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drawings/drawing1.xml" ContentType="application/vnd.openxmlformats-officedocument.drawingml.chartshapes+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drawings/drawing2.xml" ContentType="application/vnd.openxmlformats-officedocument.drawingml.chartshapes+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charts/chart10.xml" ContentType="application/vnd.openxmlformats-officedocument.drawingml.chart+xml"/>
  <Override PartName="/word/charts/style10.xml" ContentType="application/vnd.ms-office.chartstyle+xml"/>
  <Override PartName="/word/charts/colors10.xml" ContentType="application/vnd.ms-office.chartcolorstyle+xml"/>
  <Override PartName="/word/charts/chart11.xml" ContentType="application/vnd.openxmlformats-officedocument.drawingml.chart+xml"/>
  <Override PartName="/word/charts/style11.xml" ContentType="application/vnd.ms-office.chartstyle+xml"/>
  <Override PartName="/word/charts/colors11.xml" ContentType="application/vnd.ms-office.chartcolorstyle+xml"/>
  <Override PartName="/word/charts/chart12.xml" ContentType="application/vnd.openxmlformats-officedocument.drawingml.chart+xml"/>
  <Override PartName="/word/charts/style12.xml" ContentType="application/vnd.ms-office.chartstyle+xml"/>
  <Override PartName="/word/charts/colors12.xml" ContentType="application/vnd.ms-office.chartcolorstyle+xml"/>
  <Override PartName="/word/charts/chart13.xml" ContentType="application/vnd.openxmlformats-officedocument.drawingml.chart+xml"/>
  <Override PartName="/word/charts/style13.xml" ContentType="application/vnd.ms-office.chartstyle+xml"/>
  <Override PartName="/word/charts/colors13.xml" ContentType="application/vnd.ms-office.chartcolorstyle+xml"/>
  <Override PartName="/word/charts/chart14.xml" ContentType="application/vnd.openxmlformats-officedocument.drawingml.chart+xml"/>
  <Override PartName="/word/charts/style14.xml" ContentType="application/vnd.ms-office.chartstyle+xml"/>
  <Override PartName="/word/charts/colors14.xml" ContentType="application/vnd.ms-office.chartcolorstyle+xml"/>
  <Override PartName="/word/charts/chart15.xml" ContentType="application/vnd.openxmlformats-officedocument.drawingml.chart+xml"/>
  <Override PartName="/word/charts/style15.xml" ContentType="application/vnd.ms-office.chartstyle+xml"/>
  <Override PartName="/word/charts/colors15.xml" ContentType="application/vnd.ms-office.chartcolorstyle+xml"/>
  <Override PartName="/word/charts/chart16.xml" ContentType="application/vnd.openxmlformats-officedocument.drawingml.chart+xml"/>
  <Override PartName="/word/charts/style16.xml" ContentType="application/vnd.ms-office.chartstyle+xml"/>
  <Override PartName="/word/charts/colors16.xml" ContentType="application/vnd.ms-office.chartcolorstyle+xml"/>
  <Override PartName="/word/charts/chart17.xml" ContentType="application/vnd.openxmlformats-officedocument.drawingml.chart+xml"/>
  <Override PartName="/word/charts/style17.xml" ContentType="application/vnd.ms-office.chartstyle+xml"/>
  <Override PartName="/word/charts/colors17.xml" ContentType="application/vnd.ms-office.chartcolorstyle+xml"/>
  <Override PartName="/word/charts/chart18.xml" ContentType="application/vnd.openxmlformats-officedocument.drawingml.chart+xml"/>
  <Override PartName="/word/charts/style18.xml" ContentType="application/vnd.ms-office.chartstyle+xml"/>
  <Override PartName="/word/charts/colors18.xml" ContentType="application/vnd.ms-office.chartcolorstyle+xml"/>
  <Override PartName="/word/charts/chart19.xml" ContentType="application/vnd.openxmlformats-officedocument.drawingml.chart+xml"/>
  <Override PartName="/word/charts/style19.xml" ContentType="application/vnd.ms-office.chartstyle+xml"/>
  <Override PartName="/word/charts/colors19.xml" ContentType="application/vnd.ms-office.chartcolorstyle+xml"/>
  <Override PartName="/word/charts/chart20.xml" ContentType="application/vnd.openxmlformats-officedocument.drawingml.chart+xml"/>
  <Override PartName="/word/charts/style20.xml" ContentType="application/vnd.ms-office.chartstyle+xml"/>
  <Override PartName="/word/charts/colors20.xml" ContentType="application/vnd.ms-office.chartcolorstyle+xml"/>
  <Override PartName="/word/charts/chart21.xml" ContentType="application/vnd.openxmlformats-officedocument.drawingml.chart+xml"/>
  <Override PartName="/word/charts/style21.xml" ContentType="application/vnd.ms-office.chartstyle+xml"/>
  <Override PartName="/word/charts/colors21.xml" ContentType="application/vnd.ms-office.chartcolorstyle+xml"/>
  <Override PartName="/word/charts/chart22.xml" ContentType="application/vnd.openxmlformats-officedocument.drawingml.chart+xml"/>
  <Override PartName="/word/charts/style22.xml" ContentType="application/vnd.ms-office.chartstyle+xml"/>
  <Override PartName="/word/charts/colors22.xml" ContentType="application/vnd.ms-office.chartcolorstyle+xml"/>
  <Override PartName="/word/charts/chart23.xml" ContentType="application/vnd.openxmlformats-officedocument.drawingml.chart+xml"/>
  <Override PartName="/word/charts/style23.xml" ContentType="application/vnd.ms-office.chartstyle+xml"/>
  <Override PartName="/word/charts/colors23.xml" ContentType="application/vnd.ms-office.chartcolorstyle+xml"/>
  <Override PartName="/word/charts/chart24.xml" ContentType="application/vnd.openxmlformats-officedocument.drawingml.chart+xml"/>
  <Override PartName="/word/charts/style24.xml" ContentType="application/vnd.ms-office.chartstyle+xml"/>
  <Override PartName="/word/charts/colors24.xml" ContentType="application/vnd.ms-office.chartcolorstyle+xml"/>
  <Override PartName="/word/charts/chart25.xml" ContentType="application/vnd.openxmlformats-officedocument.drawingml.chart+xml"/>
  <Override PartName="/word/charts/style25.xml" ContentType="application/vnd.ms-office.chartstyle+xml"/>
  <Override PartName="/word/charts/colors25.xml" ContentType="application/vnd.ms-office.chartcolorsty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BF91C85" w14:textId="77777777" w:rsidR="00C371A5" w:rsidRPr="00D92E20" w:rsidRDefault="00C371A5" w:rsidP="00667858">
      <w:pPr>
        <w:pStyle w:val="Nadpis2"/>
        <w:numPr>
          <w:ilvl w:val="0"/>
          <w:numId w:val="18"/>
        </w:numPr>
        <w:ind w:left="426"/>
      </w:pPr>
      <w:bookmarkStart w:id="0" w:name="_Toc54262797"/>
      <w:bookmarkStart w:id="1" w:name="_Toc117774425"/>
      <w:bookmarkStart w:id="2" w:name="_GoBack"/>
      <w:bookmarkEnd w:id="2"/>
      <w:r w:rsidRPr="00D92E20">
        <w:t>Analytická část</w:t>
      </w:r>
      <w:bookmarkEnd w:id="0"/>
      <w:bookmarkEnd w:id="1"/>
    </w:p>
    <w:p w14:paraId="5EC7EA6A" w14:textId="77777777" w:rsidR="00C371A5" w:rsidRPr="00D92E20" w:rsidRDefault="00C371A5" w:rsidP="00BA0B39">
      <w:pPr>
        <w:pStyle w:val="Nadpis3"/>
        <w:numPr>
          <w:ilvl w:val="1"/>
          <w:numId w:val="20"/>
        </w:numPr>
        <w:ind w:left="425" w:hanging="357"/>
      </w:pPr>
      <w:bookmarkStart w:id="3" w:name="_Toc54262798"/>
      <w:bookmarkStart w:id="4" w:name="_Toc117774426"/>
      <w:r w:rsidRPr="00D92E20">
        <w:t>Nemocensky pojištěné osoby</w:t>
      </w:r>
      <w:bookmarkEnd w:id="3"/>
      <w:bookmarkEnd w:id="4"/>
    </w:p>
    <w:p w14:paraId="3678C504" w14:textId="77777777" w:rsidR="00184B5C" w:rsidRPr="00D92E20" w:rsidRDefault="00184B5C" w:rsidP="00155829">
      <w:pPr>
        <w:spacing w:after="120"/>
        <w:jc w:val="both"/>
      </w:pPr>
      <w:r w:rsidRPr="00D92E20">
        <w:t>Základním ukazatelem, ke kterému se vztahují údaje o pracovní neschopnosti, je ukazatel průměrného počtu nemocensky pojištěných osob.</w:t>
      </w:r>
    </w:p>
    <w:p w14:paraId="522B027E" w14:textId="77777777" w:rsidR="00184B5C" w:rsidRPr="00D92E20" w:rsidRDefault="00184B5C" w:rsidP="00155829">
      <w:pPr>
        <w:pStyle w:val="Box1"/>
        <w:spacing w:before="120" w:after="120"/>
        <w:ind w:left="0"/>
        <w:contextualSpacing w:val="0"/>
        <w:jc w:val="both"/>
        <w:rPr>
          <w:i/>
        </w:rPr>
      </w:pPr>
      <w:r w:rsidRPr="00D92E20">
        <w:rPr>
          <w:b/>
          <w:i/>
        </w:rPr>
        <w:t xml:space="preserve">Průměrný počet nemocensky pojištěných osob </w:t>
      </w:r>
      <w:r w:rsidRPr="00D92E20">
        <w:rPr>
          <w:i/>
        </w:rPr>
        <w:t xml:space="preserve">– ukazatel udává průměrný počet osob, které jsou povinně či dobrovolně nemocensky pojištěné podle zákona č. 187/2006 Sb., o nemocenském pojištění, ve znění pozdějších předpisů. Zahrnuje všechny osoby, které byly alespoň po jeden den vykazovaného období nemocensky pojištěné. V případě více překrývajících se pojistných vztahů pojištěnce v rámci jednoho zaměstnavatele a jedné mzdové účtárny se započítává pojištěnec pouze jedenkrát. V ostatních případech je pojištěnec započítáván tolikrát, kolik má pracovněprávních pojistných vztahů. </w:t>
      </w:r>
    </w:p>
    <w:p w14:paraId="570B8605" w14:textId="77777777" w:rsidR="00184B5C" w:rsidRPr="00D92E20" w:rsidRDefault="00184B5C" w:rsidP="00184B5C">
      <w:pPr>
        <w:pStyle w:val="Box1"/>
        <w:ind w:left="0"/>
        <w:jc w:val="both"/>
        <w:rPr>
          <w:i/>
          <w:u w:val="single"/>
        </w:rPr>
      </w:pPr>
      <w:r w:rsidRPr="00D92E20">
        <w:rPr>
          <w:i/>
          <w:u w:val="single"/>
        </w:rPr>
        <w:t>Poznámka:</w:t>
      </w:r>
    </w:p>
    <w:p w14:paraId="70215D62" w14:textId="77777777" w:rsidR="00184B5C" w:rsidRPr="00D92E20" w:rsidRDefault="00184B5C" w:rsidP="00184B5C">
      <w:pPr>
        <w:pStyle w:val="Box1"/>
        <w:ind w:left="0"/>
        <w:jc w:val="both"/>
        <w:rPr>
          <w:i/>
        </w:rPr>
      </w:pPr>
      <w:r w:rsidRPr="00D92E20">
        <w:rPr>
          <w:i/>
        </w:rPr>
        <w:t xml:space="preserve">Do průměrného počtu nemocensky pojištěných nejsou započteni vojáci z povolání a příslušníci Policie ČR, Hasičského záchranného sboru ČR, Celní správy ČR, Vězeňské služby ČR, Generální inspekce bezpečnostních sborů, Bezpečnostní informační služby a Úřadu pro zahraniční styky a informace. </w:t>
      </w:r>
    </w:p>
    <w:p w14:paraId="4B086433" w14:textId="77777777" w:rsidR="00184B5C" w:rsidRPr="00D92E20" w:rsidRDefault="00184B5C" w:rsidP="00184B5C">
      <w:pPr>
        <w:pStyle w:val="Box1"/>
        <w:ind w:left="0"/>
        <w:jc w:val="both"/>
        <w:rPr>
          <w:i/>
          <w:u w:val="single"/>
        </w:rPr>
      </w:pPr>
      <w:r w:rsidRPr="00D92E20">
        <w:rPr>
          <w:i/>
          <w:u w:val="single"/>
        </w:rPr>
        <w:t>Způsob výpočtu:</w:t>
      </w:r>
    </w:p>
    <w:p w14:paraId="1BF8CC13" w14:textId="77777777" w:rsidR="00184B5C" w:rsidRPr="00D92E20" w:rsidRDefault="00184B5C" w:rsidP="00155829">
      <w:pPr>
        <w:pStyle w:val="Box1"/>
        <w:spacing w:before="120" w:after="120"/>
        <w:ind w:left="0"/>
        <w:contextualSpacing w:val="0"/>
        <w:jc w:val="both"/>
        <w:rPr>
          <w:i/>
        </w:rPr>
      </w:pPr>
      <w:r w:rsidRPr="00D92E20">
        <w:rPr>
          <w:i/>
        </w:rPr>
        <w:t>Průměrný počet nemocensky pojištěných osob = počet dnů nemocenského pojištění jednotlivých pojištěných osob ve vykazovaném období / počet kalendářních dnů ve vykazovaném období.</w:t>
      </w:r>
    </w:p>
    <w:p w14:paraId="4071AFDF" w14:textId="40433921" w:rsidR="009B330C" w:rsidRPr="00847387" w:rsidRDefault="00184B5C" w:rsidP="00184B5C">
      <w:pPr>
        <w:spacing w:after="120"/>
        <w:jc w:val="both"/>
        <w:rPr>
          <w:rFonts w:cs="Arial"/>
          <w:bCs/>
          <w:color w:val="000000"/>
          <w:szCs w:val="20"/>
        </w:rPr>
      </w:pPr>
      <w:r w:rsidRPr="00847387">
        <w:rPr>
          <w:rFonts w:cs="Arial"/>
          <w:bCs/>
          <w:color w:val="000000"/>
          <w:szCs w:val="20"/>
        </w:rPr>
        <w:t>V</w:t>
      </w:r>
      <w:r w:rsidR="009B330C" w:rsidRPr="00847387">
        <w:rPr>
          <w:rFonts w:cs="Arial"/>
          <w:bCs/>
          <w:color w:val="000000"/>
          <w:szCs w:val="20"/>
        </w:rPr>
        <w:t> 1. pol. 202</w:t>
      </w:r>
      <w:r w:rsidR="00847387" w:rsidRPr="00847387">
        <w:rPr>
          <w:rFonts w:cs="Arial"/>
          <w:bCs/>
          <w:color w:val="000000"/>
          <w:szCs w:val="20"/>
        </w:rPr>
        <w:t>2</w:t>
      </w:r>
      <w:r w:rsidRPr="00847387">
        <w:rPr>
          <w:rFonts w:cs="Arial"/>
          <w:bCs/>
          <w:color w:val="000000"/>
          <w:szCs w:val="20"/>
        </w:rPr>
        <w:t xml:space="preserve"> činil průměrný počet nemocensky pojištěných </w:t>
      </w:r>
      <w:r w:rsidRPr="00847387">
        <w:rPr>
          <w:rFonts w:cs="Arial"/>
          <w:b/>
          <w:bCs/>
          <w:color w:val="000000"/>
          <w:szCs w:val="20"/>
        </w:rPr>
        <w:t>celkem</w:t>
      </w:r>
      <w:r w:rsidRPr="00847387">
        <w:rPr>
          <w:rFonts w:cs="Arial"/>
          <w:bCs/>
          <w:color w:val="000000"/>
          <w:szCs w:val="20"/>
        </w:rPr>
        <w:t xml:space="preserve"> </w:t>
      </w:r>
      <w:r w:rsidRPr="00847387">
        <w:rPr>
          <w:rFonts w:cs="Arial"/>
          <w:b/>
          <w:bCs/>
          <w:color w:val="000000"/>
          <w:szCs w:val="20"/>
        </w:rPr>
        <w:t>4 </w:t>
      </w:r>
      <w:r w:rsidR="00847387" w:rsidRPr="00847387">
        <w:rPr>
          <w:rFonts w:cs="Arial"/>
          <w:b/>
          <w:bCs/>
          <w:color w:val="000000"/>
          <w:szCs w:val="20"/>
        </w:rPr>
        <w:t>720</w:t>
      </w:r>
      <w:r w:rsidRPr="00847387">
        <w:rPr>
          <w:rFonts w:cs="Arial"/>
          <w:b/>
          <w:bCs/>
          <w:color w:val="000000"/>
          <w:szCs w:val="20"/>
        </w:rPr>
        <w:t xml:space="preserve"> tis. osob</w:t>
      </w:r>
      <w:r w:rsidRPr="00847387">
        <w:rPr>
          <w:rFonts w:cs="Arial"/>
          <w:bCs/>
          <w:color w:val="000000"/>
          <w:szCs w:val="20"/>
        </w:rPr>
        <w:t xml:space="preserve">, tedy </w:t>
      </w:r>
      <w:r w:rsidR="001706EA" w:rsidRPr="00847387">
        <w:rPr>
          <w:rFonts w:cs="Arial"/>
          <w:bCs/>
          <w:color w:val="000000"/>
          <w:szCs w:val="20"/>
        </w:rPr>
        <w:t>o </w:t>
      </w:r>
      <w:r w:rsidR="00847387" w:rsidRPr="00847387">
        <w:rPr>
          <w:rFonts w:cs="Arial"/>
          <w:bCs/>
          <w:color w:val="000000"/>
          <w:szCs w:val="20"/>
        </w:rPr>
        <w:t>3</w:t>
      </w:r>
      <w:r w:rsidR="001706EA" w:rsidRPr="00847387">
        <w:rPr>
          <w:rFonts w:cs="Arial"/>
          <w:bCs/>
          <w:color w:val="000000"/>
          <w:szCs w:val="20"/>
        </w:rPr>
        <w:t xml:space="preserve">1,3 tis. </w:t>
      </w:r>
      <w:r w:rsidR="00B15EBE" w:rsidRPr="00847387">
        <w:rPr>
          <w:rFonts w:cs="Arial"/>
          <w:bCs/>
          <w:color w:val="000000"/>
          <w:szCs w:val="20"/>
        </w:rPr>
        <w:t>více</w:t>
      </w:r>
      <w:r w:rsidR="001706EA" w:rsidRPr="00847387">
        <w:rPr>
          <w:rFonts w:cs="Arial"/>
          <w:bCs/>
          <w:color w:val="000000"/>
          <w:szCs w:val="20"/>
        </w:rPr>
        <w:t xml:space="preserve"> </w:t>
      </w:r>
      <w:r w:rsidRPr="00847387">
        <w:rPr>
          <w:rFonts w:cs="Arial"/>
          <w:bCs/>
          <w:color w:val="000000"/>
          <w:szCs w:val="20"/>
        </w:rPr>
        <w:t xml:space="preserve">než před rokem. </w:t>
      </w:r>
      <w:r w:rsidR="00847387" w:rsidRPr="00847387">
        <w:rPr>
          <w:rFonts w:cs="Arial"/>
          <w:bCs/>
          <w:color w:val="000000"/>
          <w:szCs w:val="20"/>
        </w:rPr>
        <w:t>Po poklesu v 1. pol. 2020 a následné stagnaci o rok později</w:t>
      </w:r>
      <w:r w:rsidR="007D333B">
        <w:rPr>
          <w:rFonts w:cs="Arial"/>
          <w:bCs/>
          <w:color w:val="000000"/>
          <w:szCs w:val="20"/>
        </w:rPr>
        <w:t xml:space="preserve">, </w:t>
      </w:r>
      <w:r w:rsidR="007D333B">
        <w:rPr>
          <w:b/>
          <w:bCs/>
        </w:rPr>
        <w:t>způsobenými pravděpodobně epidemií nemoci covid-19</w:t>
      </w:r>
      <w:r w:rsidR="007D333B">
        <w:t xml:space="preserve">, </w:t>
      </w:r>
      <w:r w:rsidR="00847387" w:rsidRPr="00847387">
        <w:rPr>
          <w:rFonts w:cs="Arial"/>
          <w:bCs/>
          <w:color w:val="000000"/>
          <w:szCs w:val="20"/>
        </w:rPr>
        <w:t xml:space="preserve">se počet blíží hodnotě v 1. pol. roku 2019. Tehdy ČSSZ evidovala 4 737 tis. pojištěnců. </w:t>
      </w:r>
      <w:r w:rsidR="00DF6387">
        <w:rPr>
          <w:rFonts w:cs="Arial"/>
          <w:bCs/>
          <w:color w:val="000000"/>
          <w:szCs w:val="20"/>
        </w:rPr>
        <w:t xml:space="preserve">Na meziročním nárůstu se mohou podílet i občané z Ukrajiny, kteří během 1. pol. </w:t>
      </w:r>
      <w:r w:rsidR="00C83A1D">
        <w:rPr>
          <w:rFonts w:cs="Arial"/>
          <w:bCs/>
          <w:color w:val="000000"/>
          <w:szCs w:val="20"/>
        </w:rPr>
        <w:t xml:space="preserve">po vypuknutí válečného konfliktu </w:t>
      </w:r>
      <w:r w:rsidR="00DF6387">
        <w:rPr>
          <w:rFonts w:cs="Arial"/>
          <w:bCs/>
          <w:color w:val="000000"/>
          <w:szCs w:val="20"/>
        </w:rPr>
        <w:t>přicestovali do České republiky a při zaměstnání jim vznikla účast na nemocenském pojištění, tudíž jsou součástí českého systému nemocenského pojištění.</w:t>
      </w:r>
    </w:p>
    <w:p w14:paraId="32B9BCAF" w14:textId="3B1E4065" w:rsidR="00184B5C" w:rsidRPr="00D92E20" w:rsidRDefault="00847387" w:rsidP="00184B5C">
      <w:pPr>
        <w:spacing w:after="120"/>
        <w:jc w:val="both"/>
        <w:rPr>
          <w:rFonts w:cs="Arial"/>
          <w:bCs/>
          <w:color w:val="000000"/>
          <w:szCs w:val="20"/>
        </w:rPr>
      </w:pPr>
      <w:r w:rsidRPr="008A3B50">
        <w:rPr>
          <w:rFonts w:cs="Arial"/>
          <w:bCs/>
          <w:color w:val="000000"/>
          <w:szCs w:val="20"/>
        </w:rPr>
        <w:t>Vůbec poprvé v desetileté historii bylo m</w:t>
      </w:r>
      <w:r w:rsidR="00184B5C" w:rsidRPr="008A3B50">
        <w:rPr>
          <w:rFonts w:cs="Arial"/>
          <w:bCs/>
          <w:color w:val="000000"/>
          <w:szCs w:val="20"/>
        </w:rPr>
        <w:t xml:space="preserve">ezi pojištěnci </w:t>
      </w:r>
      <w:r w:rsidRPr="008A3B50">
        <w:rPr>
          <w:rFonts w:cs="Arial"/>
          <w:bCs/>
          <w:color w:val="000000"/>
          <w:szCs w:val="20"/>
        </w:rPr>
        <w:t>více žen (50,2 %) než mužů (49,8 %).</w:t>
      </w:r>
      <w:r w:rsidR="00184B5C" w:rsidRPr="008A3B50">
        <w:rPr>
          <w:rFonts w:cs="Arial"/>
          <w:bCs/>
          <w:color w:val="000000"/>
          <w:szCs w:val="20"/>
        </w:rPr>
        <w:t xml:space="preserve"> </w:t>
      </w:r>
      <w:r w:rsidR="005D14C3" w:rsidRPr="008A3B50">
        <w:rPr>
          <w:rFonts w:cs="Arial"/>
          <w:bCs/>
          <w:color w:val="000000"/>
          <w:szCs w:val="20"/>
        </w:rPr>
        <w:t>V</w:t>
      </w:r>
      <w:r w:rsidRPr="008A3B50">
        <w:rPr>
          <w:rFonts w:cs="Arial"/>
          <w:bCs/>
          <w:color w:val="000000"/>
          <w:szCs w:val="20"/>
        </w:rPr>
        <w:t> 1. pol. 2022</w:t>
      </w:r>
      <w:r w:rsidR="00184B5C" w:rsidRPr="008A3B50">
        <w:rPr>
          <w:rFonts w:cs="Arial"/>
          <w:bCs/>
          <w:color w:val="000000"/>
          <w:szCs w:val="20"/>
        </w:rPr>
        <w:t xml:space="preserve"> bylo nemocensky pojištěných 2</w:t>
      </w:r>
      <w:r w:rsidR="00C02C40" w:rsidRPr="008A3B50">
        <w:rPr>
          <w:rFonts w:cs="Arial"/>
          <w:bCs/>
          <w:color w:val="000000"/>
          <w:szCs w:val="20"/>
        </w:rPr>
        <w:t> </w:t>
      </w:r>
      <w:r w:rsidRPr="008A3B50">
        <w:rPr>
          <w:rFonts w:cs="Arial"/>
          <w:bCs/>
          <w:color w:val="000000"/>
          <w:szCs w:val="20"/>
        </w:rPr>
        <w:t>369</w:t>
      </w:r>
      <w:r w:rsidR="00C02C40" w:rsidRPr="008A3B50">
        <w:rPr>
          <w:rFonts w:cs="Arial"/>
          <w:bCs/>
          <w:color w:val="000000"/>
          <w:szCs w:val="20"/>
        </w:rPr>
        <w:t> </w:t>
      </w:r>
      <w:r w:rsidR="00184B5C" w:rsidRPr="008A3B50">
        <w:rPr>
          <w:rFonts w:cs="Arial"/>
          <w:bCs/>
          <w:color w:val="000000"/>
          <w:szCs w:val="20"/>
        </w:rPr>
        <w:t xml:space="preserve">tis. </w:t>
      </w:r>
      <w:r w:rsidRPr="008A3B50">
        <w:rPr>
          <w:rFonts w:cs="Arial"/>
          <w:bCs/>
          <w:color w:val="000000"/>
          <w:szCs w:val="20"/>
        </w:rPr>
        <w:t>žen</w:t>
      </w:r>
      <w:r w:rsidR="00184B5C" w:rsidRPr="008A3B50">
        <w:rPr>
          <w:rFonts w:cs="Arial"/>
          <w:bCs/>
          <w:color w:val="000000"/>
          <w:szCs w:val="20"/>
        </w:rPr>
        <w:t xml:space="preserve"> a 2 3</w:t>
      </w:r>
      <w:r w:rsidRPr="008A3B50">
        <w:rPr>
          <w:rFonts w:cs="Arial"/>
          <w:bCs/>
          <w:color w:val="000000"/>
          <w:szCs w:val="20"/>
        </w:rPr>
        <w:t>5</w:t>
      </w:r>
      <w:r w:rsidR="009B330C" w:rsidRPr="008A3B50">
        <w:rPr>
          <w:rFonts w:cs="Arial"/>
          <w:bCs/>
          <w:color w:val="000000"/>
          <w:szCs w:val="20"/>
        </w:rPr>
        <w:t>1</w:t>
      </w:r>
      <w:r w:rsidR="00184B5C" w:rsidRPr="008A3B50">
        <w:rPr>
          <w:rFonts w:cs="Arial"/>
          <w:bCs/>
          <w:color w:val="000000"/>
          <w:szCs w:val="20"/>
        </w:rPr>
        <w:t xml:space="preserve"> tis. </w:t>
      </w:r>
      <w:r w:rsidRPr="008A3B50">
        <w:rPr>
          <w:rFonts w:cs="Arial"/>
          <w:bCs/>
          <w:color w:val="000000"/>
          <w:szCs w:val="20"/>
        </w:rPr>
        <w:t>mužů</w:t>
      </w:r>
      <w:r w:rsidR="00184B5C" w:rsidRPr="008A3B50">
        <w:rPr>
          <w:rFonts w:cs="Arial"/>
          <w:bCs/>
          <w:color w:val="000000"/>
          <w:szCs w:val="20"/>
        </w:rPr>
        <w:t xml:space="preserve">. </w:t>
      </w:r>
      <w:r w:rsidR="00DF6387">
        <w:rPr>
          <w:rFonts w:cs="Arial"/>
          <w:bCs/>
          <w:color w:val="000000"/>
          <w:szCs w:val="20"/>
        </w:rPr>
        <w:t xml:space="preserve">To opět může souviset s příchodem občanů, resp. převážně právě občanek – žen se svými potomky – z Ukrajiny. </w:t>
      </w:r>
      <w:r w:rsidR="00184B5C" w:rsidRPr="008A3B50">
        <w:rPr>
          <w:rFonts w:cs="Arial"/>
          <w:bCs/>
          <w:color w:val="000000"/>
          <w:szCs w:val="20"/>
        </w:rPr>
        <w:t xml:space="preserve">Počty nemocensky pojištěných </w:t>
      </w:r>
      <w:r w:rsidR="00184B5C" w:rsidRPr="008A3B50">
        <w:rPr>
          <w:rFonts w:cs="Arial"/>
          <w:b/>
          <w:bCs/>
          <w:color w:val="000000"/>
          <w:szCs w:val="20"/>
        </w:rPr>
        <w:t>podle pohlaví</w:t>
      </w:r>
      <w:r w:rsidR="00184B5C" w:rsidRPr="008A3B50">
        <w:rPr>
          <w:rFonts w:cs="Arial"/>
          <w:bCs/>
          <w:color w:val="000000"/>
          <w:szCs w:val="20"/>
        </w:rPr>
        <w:t xml:space="preserve"> se k sobě již od roku 2016 neustále při</w:t>
      </w:r>
      <w:r w:rsidRPr="008A3B50">
        <w:rPr>
          <w:rFonts w:cs="Arial"/>
          <w:bCs/>
          <w:color w:val="000000"/>
          <w:szCs w:val="20"/>
        </w:rPr>
        <w:t>bližovaly</w:t>
      </w:r>
      <w:r w:rsidR="005D14C3" w:rsidRPr="008A3B50">
        <w:rPr>
          <w:rFonts w:cs="Arial"/>
          <w:bCs/>
          <w:color w:val="000000"/>
          <w:szCs w:val="20"/>
        </w:rPr>
        <w:t xml:space="preserve">. Zatímco </w:t>
      </w:r>
      <w:r w:rsidR="009B330C" w:rsidRPr="008A3B50">
        <w:rPr>
          <w:rFonts w:cs="Arial"/>
          <w:bCs/>
          <w:color w:val="000000"/>
          <w:szCs w:val="20"/>
        </w:rPr>
        <w:t>v 1. pol. 2016</w:t>
      </w:r>
      <w:r w:rsidR="005D14C3" w:rsidRPr="008A3B50">
        <w:rPr>
          <w:rFonts w:cs="Arial"/>
          <w:bCs/>
          <w:color w:val="000000"/>
          <w:szCs w:val="20"/>
        </w:rPr>
        <w:t xml:space="preserve"> bylo o 8</w:t>
      </w:r>
      <w:r w:rsidR="009B330C" w:rsidRPr="008A3B50">
        <w:rPr>
          <w:rFonts w:cs="Arial"/>
          <w:bCs/>
          <w:color w:val="000000"/>
          <w:szCs w:val="20"/>
        </w:rPr>
        <w:t>5</w:t>
      </w:r>
      <w:r w:rsidR="00184B5C" w:rsidRPr="008A3B50">
        <w:rPr>
          <w:rFonts w:cs="Arial"/>
          <w:bCs/>
          <w:color w:val="000000"/>
          <w:szCs w:val="20"/>
        </w:rPr>
        <w:t xml:space="preserve"> tis. více mužů než žen, </w:t>
      </w:r>
      <w:r w:rsidR="00853033" w:rsidRPr="008A3B50">
        <w:rPr>
          <w:rFonts w:cs="Arial"/>
          <w:bCs/>
          <w:color w:val="000000"/>
          <w:szCs w:val="20"/>
        </w:rPr>
        <w:t>v</w:t>
      </w:r>
      <w:r w:rsidR="008A3B50">
        <w:rPr>
          <w:rFonts w:cs="Arial"/>
          <w:bCs/>
          <w:color w:val="000000"/>
          <w:szCs w:val="20"/>
        </w:rPr>
        <w:t> </w:t>
      </w:r>
      <w:r w:rsidR="009B330C" w:rsidRPr="008A3B50">
        <w:rPr>
          <w:rFonts w:cs="Arial"/>
          <w:bCs/>
          <w:color w:val="000000"/>
          <w:szCs w:val="20"/>
        </w:rPr>
        <w:t>1.</w:t>
      </w:r>
      <w:r w:rsidR="008A3B50">
        <w:rPr>
          <w:rFonts w:cs="Arial"/>
          <w:bCs/>
          <w:color w:val="000000"/>
          <w:szCs w:val="20"/>
        </w:rPr>
        <w:t> </w:t>
      </w:r>
      <w:r w:rsidR="009B330C" w:rsidRPr="008A3B50">
        <w:rPr>
          <w:rFonts w:cs="Arial"/>
          <w:bCs/>
          <w:color w:val="000000"/>
          <w:szCs w:val="20"/>
        </w:rPr>
        <w:t>pol. 2021</w:t>
      </w:r>
      <w:r w:rsidR="00184B5C" w:rsidRPr="008A3B50">
        <w:rPr>
          <w:rFonts w:cs="Arial"/>
          <w:bCs/>
          <w:color w:val="000000"/>
          <w:szCs w:val="20"/>
        </w:rPr>
        <w:t xml:space="preserve"> </w:t>
      </w:r>
      <w:r w:rsidR="008A3B50" w:rsidRPr="008A3B50">
        <w:rPr>
          <w:rFonts w:cs="Arial"/>
          <w:bCs/>
          <w:color w:val="000000"/>
          <w:szCs w:val="20"/>
        </w:rPr>
        <w:t xml:space="preserve">převyšoval počet mužů </w:t>
      </w:r>
      <w:r w:rsidR="00C83A1D">
        <w:rPr>
          <w:rFonts w:cs="Arial"/>
          <w:bCs/>
          <w:color w:val="000000"/>
          <w:szCs w:val="20"/>
        </w:rPr>
        <w:t xml:space="preserve">již pouze </w:t>
      </w:r>
      <w:r w:rsidR="008A3B50" w:rsidRPr="008A3B50">
        <w:rPr>
          <w:rFonts w:cs="Arial"/>
          <w:bCs/>
          <w:color w:val="000000"/>
          <w:szCs w:val="20"/>
        </w:rPr>
        <w:t>o</w:t>
      </w:r>
      <w:r w:rsidR="00184B5C" w:rsidRPr="008A3B50">
        <w:rPr>
          <w:rFonts w:cs="Arial"/>
          <w:bCs/>
          <w:color w:val="000000"/>
          <w:szCs w:val="20"/>
        </w:rPr>
        <w:t xml:space="preserve"> </w:t>
      </w:r>
      <w:r w:rsidR="009B330C" w:rsidRPr="008A3B50">
        <w:rPr>
          <w:rFonts w:cs="Arial"/>
          <w:bCs/>
          <w:color w:val="000000"/>
          <w:szCs w:val="20"/>
        </w:rPr>
        <w:t>6</w:t>
      </w:r>
      <w:r w:rsidR="00184B5C" w:rsidRPr="008A3B50">
        <w:rPr>
          <w:rFonts w:cs="Arial"/>
          <w:bCs/>
          <w:color w:val="000000"/>
          <w:szCs w:val="20"/>
        </w:rPr>
        <w:t xml:space="preserve"> tis. </w:t>
      </w:r>
      <w:r w:rsidRPr="008A3B50">
        <w:rPr>
          <w:rFonts w:cs="Arial"/>
          <w:bCs/>
          <w:color w:val="000000"/>
          <w:szCs w:val="20"/>
        </w:rPr>
        <w:t xml:space="preserve">Nyní bylo o 18 tis. nemocensky pojištěných žen více než mužů. </w:t>
      </w:r>
      <w:r w:rsidR="00184B5C" w:rsidRPr="008A3B50">
        <w:rPr>
          <w:rFonts w:cs="Arial"/>
          <w:bCs/>
          <w:color w:val="000000"/>
          <w:szCs w:val="20"/>
        </w:rPr>
        <w:t xml:space="preserve">Meziročně </w:t>
      </w:r>
      <w:r w:rsidRPr="008A3B50">
        <w:rPr>
          <w:rFonts w:cs="Arial"/>
          <w:bCs/>
          <w:color w:val="000000"/>
          <w:szCs w:val="20"/>
        </w:rPr>
        <w:t>vzrostl</w:t>
      </w:r>
      <w:r w:rsidR="00184B5C" w:rsidRPr="008A3B50">
        <w:rPr>
          <w:rFonts w:cs="Arial"/>
          <w:bCs/>
          <w:color w:val="000000"/>
          <w:szCs w:val="20"/>
        </w:rPr>
        <w:t xml:space="preserve"> počet pojištěných mužů o </w:t>
      </w:r>
      <w:r w:rsidRPr="008A3B50">
        <w:rPr>
          <w:rFonts w:cs="Arial"/>
          <w:bCs/>
          <w:color w:val="000000"/>
          <w:szCs w:val="20"/>
        </w:rPr>
        <w:t>3</w:t>
      </w:r>
      <w:r w:rsidR="00184B5C" w:rsidRPr="008A3B50">
        <w:rPr>
          <w:rFonts w:cs="Arial"/>
          <w:bCs/>
          <w:color w:val="000000"/>
          <w:szCs w:val="20"/>
        </w:rPr>
        <w:t xml:space="preserve"> tis. (v relativním vyjádření o </w:t>
      </w:r>
      <w:r w:rsidR="009B330C" w:rsidRPr="008A3B50">
        <w:rPr>
          <w:rFonts w:cs="Arial"/>
          <w:bCs/>
          <w:color w:val="000000"/>
          <w:szCs w:val="20"/>
        </w:rPr>
        <w:t>0</w:t>
      </w:r>
      <w:r w:rsidR="00184B5C" w:rsidRPr="008A3B50">
        <w:rPr>
          <w:rFonts w:cs="Arial"/>
          <w:bCs/>
          <w:color w:val="000000"/>
          <w:szCs w:val="20"/>
        </w:rPr>
        <w:t>,</w:t>
      </w:r>
      <w:r w:rsidRPr="008A3B50">
        <w:rPr>
          <w:rFonts w:cs="Arial"/>
          <w:bCs/>
          <w:color w:val="000000"/>
          <w:szCs w:val="20"/>
        </w:rPr>
        <w:t>1</w:t>
      </w:r>
      <w:r w:rsidR="00184B5C" w:rsidRPr="008A3B50">
        <w:rPr>
          <w:rFonts w:cs="Arial"/>
          <w:bCs/>
          <w:color w:val="000000"/>
          <w:szCs w:val="20"/>
        </w:rPr>
        <w:t xml:space="preserve"> %), počet žen </w:t>
      </w:r>
      <w:r w:rsidR="009B330C" w:rsidRPr="008A3B50">
        <w:rPr>
          <w:rFonts w:cs="Arial"/>
          <w:bCs/>
          <w:color w:val="000000"/>
          <w:szCs w:val="20"/>
        </w:rPr>
        <w:t xml:space="preserve">se </w:t>
      </w:r>
      <w:r w:rsidRPr="008A3B50">
        <w:rPr>
          <w:rFonts w:cs="Arial"/>
          <w:bCs/>
          <w:color w:val="000000"/>
          <w:szCs w:val="20"/>
        </w:rPr>
        <w:t>zvýšil o 2</w:t>
      </w:r>
      <w:r w:rsidR="009B330C" w:rsidRPr="008A3B50">
        <w:rPr>
          <w:rFonts w:cs="Arial"/>
          <w:bCs/>
          <w:color w:val="000000"/>
          <w:szCs w:val="20"/>
        </w:rPr>
        <w:t>8</w:t>
      </w:r>
      <w:r w:rsidR="005D14C3" w:rsidRPr="008A3B50">
        <w:rPr>
          <w:rFonts w:cs="Arial"/>
          <w:bCs/>
          <w:color w:val="000000"/>
          <w:szCs w:val="20"/>
        </w:rPr>
        <w:t xml:space="preserve"> tis. </w:t>
      </w:r>
      <w:r w:rsidR="009B330C" w:rsidRPr="008A3B50">
        <w:rPr>
          <w:rFonts w:cs="Arial"/>
          <w:bCs/>
          <w:color w:val="000000"/>
          <w:szCs w:val="20"/>
        </w:rPr>
        <w:t>(</w:t>
      </w:r>
      <w:r w:rsidR="008A3B50" w:rsidRPr="008A3B50">
        <w:rPr>
          <w:rFonts w:cs="Arial"/>
          <w:bCs/>
          <w:color w:val="000000"/>
          <w:szCs w:val="20"/>
        </w:rPr>
        <w:t>1,2</w:t>
      </w:r>
      <w:r w:rsidR="00184B5C" w:rsidRPr="008A3B50">
        <w:rPr>
          <w:rFonts w:cs="Arial"/>
          <w:bCs/>
          <w:color w:val="000000"/>
          <w:szCs w:val="20"/>
        </w:rPr>
        <w:t xml:space="preserve"> %).</w:t>
      </w:r>
      <w:r w:rsidR="00CA23A5">
        <w:rPr>
          <w:rFonts w:cs="Arial"/>
          <w:bCs/>
          <w:color w:val="000000"/>
          <w:szCs w:val="20"/>
        </w:rPr>
        <w:t xml:space="preserve"> </w:t>
      </w:r>
    </w:p>
    <w:p w14:paraId="24342A2B" w14:textId="469C16FB" w:rsidR="00BA0B39" w:rsidRDefault="00BA0B39" w:rsidP="00BA0B39">
      <w:pPr>
        <w:spacing w:after="0" w:line="240" w:lineRule="auto"/>
        <w:rPr>
          <w:rFonts w:cs="Arial"/>
          <w:b/>
          <w:bCs/>
          <w:color w:val="000000"/>
          <w:szCs w:val="20"/>
        </w:rPr>
      </w:pPr>
      <w:r w:rsidRPr="00BA0B39">
        <w:rPr>
          <w:rFonts w:cs="Arial"/>
          <w:b/>
          <w:bCs/>
          <w:color w:val="000000"/>
          <w:szCs w:val="20"/>
        </w:rPr>
        <w:t xml:space="preserve">Tab. 1.1: Průměrný počet nemocensky pojištěných osob, </w:t>
      </w:r>
      <w:r w:rsidR="009F34CD" w:rsidRPr="0050059C">
        <w:rPr>
          <w:b/>
          <w:spacing w:val="-2"/>
        </w:rPr>
        <w:t>1. pol. 201</w:t>
      </w:r>
      <w:r w:rsidR="009F34CD">
        <w:rPr>
          <w:b/>
          <w:spacing w:val="-2"/>
        </w:rPr>
        <w:t>2</w:t>
      </w:r>
      <w:r w:rsidR="009F34CD" w:rsidRPr="0050059C">
        <w:rPr>
          <w:b/>
          <w:spacing w:val="-2"/>
        </w:rPr>
        <w:t xml:space="preserve"> až 1. pol. 202</w:t>
      </w:r>
      <w:r w:rsidR="009F34CD">
        <w:rPr>
          <w:b/>
          <w:spacing w:val="-2"/>
        </w:rPr>
        <w:t>2</w:t>
      </w:r>
      <w:r w:rsidR="009F34CD" w:rsidRPr="00BA0B39">
        <w:rPr>
          <w:rFonts w:cs="Arial"/>
          <w:b/>
          <w:bCs/>
          <w:color w:val="000000"/>
          <w:szCs w:val="20"/>
        </w:rPr>
        <w:t xml:space="preserve"> </w:t>
      </w:r>
      <w:r w:rsidRPr="00BA0B39">
        <w:rPr>
          <w:rFonts w:cs="Arial"/>
          <w:b/>
          <w:bCs/>
          <w:color w:val="000000"/>
          <w:szCs w:val="20"/>
        </w:rPr>
        <w:t>(v tis.)</w:t>
      </w:r>
    </w:p>
    <w:tbl>
      <w:tblPr>
        <w:tblW w:w="9571" w:type="dxa"/>
        <w:tblCellMar>
          <w:left w:w="70" w:type="dxa"/>
          <w:right w:w="70" w:type="dxa"/>
        </w:tblCellMar>
        <w:tblLook w:val="04A0" w:firstRow="1" w:lastRow="0" w:firstColumn="1" w:lastColumn="0" w:noHBand="0" w:noVBand="1"/>
      </w:tblPr>
      <w:tblGrid>
        <w:gridCol w:w="1304"/>
        <w:gridCol w:w="896"/>
        <w:gridCol w:w="890"/>
        <w:gridCol w:w="890"/>
        <w:gridCol w:w="1056"/>
        <w:gridCol w:w="907"/>
        <w:gridCol w:w="907"/>
        <w:gridCol w:w="907"/>
        <w:gridCol w:w="907"/>
        <w:gridCol w:w="907"/>
      </w:tblGrid>
      <w:tr w:rsidR="00BA0B39" w:rsidRPr="00BA0B39" w14:paraId="510CECD2" w14:textId="77777777" w:rsidTr="00BA0B39">
        <w:trPr>
          <w:trHeight w:val="300"/>
        </w:trPr>
        <w:tc>
          <w:tcPr>
            <w:tcW w:w="1304" w:type="dxa"/>
            <w:vMerge w:val="restart"/>
            <w:tcBorders>
              <w:top w:val="single" w:sz="4" w:space="0" w:color="auto"/>
              <w:left w:val="nil"/>
              <w:bottom w:val="single" w:sz="4" w:space="0" w:color="000000"/>
              <w:right w:val="single" w:sz="4" w:space="0" w:color="auto"/>
            </w:tcBorders>
            <w:shd w:val="clear" w:color="000000" w:fill="F5DADD"/>
            <w:vAlign w:val="center"/>
            <w:hideMark/>
          </w:tcPr>
          <w:p w14:paraId="5D5C4F5C" w14:textId="77777777" w:rsidR="00BA0B39" w:rsidRPr="00BA0B39" w:rsidRDefault="00BA0B39" w:rsidP="00BA0B39">
            <w:pPr>
              <w:spacing w:after="0" w:line="240" w:lineRule="auto"/>
              <w:jc w:val="center"/>
              <w:rPr>
                <w:rFonts w:cs="Arial"/>
                <w:sz w:val="16"/>
                <w:szCs w:val="16"/>
              </w:rPr>
            </w:pPr>
            <w:r w:rsidRPr="00BA0B39">
              <w:rPr>
                <w:rFonts w:cs="Arial"/>
                <w:sz w:val="16"/>
                <w:szCs w:val="16"/>
              </w:rPr>
              <w:t>Období</w:t>
            </w:r>
          </w:p>
        </w:tc>
        <w:tc>
          <w:tcPr>
            <w:tcW w:w="896" w:type="dxa"/>
            <w:vMerge w:val="restart"/>
            <w:tcBorders>
              <w:top w:val="single" w:sz="4" w:space="0" w:color="auto"/>
              <w:left w:val="single" w:sz="4" w:space="0" w:color="auto"/>
              <w:bottom w:val="single" w:sz="4" w:space="0" w:color="auto"/>
              <w:right w:val="single" w:sz="4" w:space="0" w:color="auto"/>
            </w:tcBorders>
            <w:shd w:val="clear" w:color="000000" w:fill="F2DBDB"/>
            <w:vAlign w:val="center"/>
            <w:hideMark/>
          </w:tcPr>
          <w:p w14:paraId="395D5A28" w14:textId="77777777" w:rsidR="00BA0B39" w:rsidRPr="00BA0B39" w:rsidRDefault="00BA0B39" w:rsidP="00BA0B39">
            <w:pPr>
              <w:spacing w:after="0" w:line="240" w:lineRule="auto"/>
              <w:jc w:val="center"/>
              <w:rPr>
                <w:rFonts w:cs="Arial"/>
                <w:b/>
                <w:bCs/>
                <w:sz w:val="16"/>
                <w:szCs w:val="16"/>
              </w:rPr>
            </w:pPr>
            <w:r w:rsidRPr="00BA0B39">
              <w:rPr>
                <w:rFonts w:cs="Arial"/>
                <w:b/>
                <w:bCs/>
                <w:sz w:val="16"/>
                <w:szCs w:val="16"/>
              </w:rPr>
              <w:t>Celkem</w:t>
            </w:r>
          </w:p>
        </w:tc>
        <w:tc>
          <w:tcPr>
            <w:tcW w:w="1780" w:type="dxa"/>
            <w:gridSpan w:val="2"/>
            <w:tcBorders>
              <w:top w:val="single" w:sz="4" w:space="0" w:color="auto"/>
              <w:left w:val="nil"/>
              <w:bottom w:val="single" w:sz="4" w:space="0" w:color="auto"/>
              <w:right w:val="single" w:sz="4" w:space="0" w:color="auto"/>
            </w:tcBorders>
            <w:shd w:val="clear" w:color="000000" w:fill="F2DBDB"/>
            <w:vAlign w:val="center"/>
            <w:hideMark/>
          </w:tcPr>
          <w:p w14:paraId="4D589349" w14:textId="77777777" w:rsidR="00BA0B39" w:rsidRPr="00BA0B39" w:rsidRDefault="00BA0B39" w:rsidP="00BA0B39">
            <w:pPr>
              <w:spacing w:after="0" w:line="240" w:lineRule="auto"/>
              <w:jc w:val="center"/>
              <w:rPr>
                <w:rFonts w:cs="Arial"/>
                <w:sz w:val="16"/>
                <w:szCs w:val="16"/>
              </w:rPr>
            </w:pPr>
            <w:r w:rsidRPr="00BA0B39">
              <w:rPr>
                <w:rFonts w:cs="Arial"/>
                <w:sz w:val="16"/>
                <w:szCs w:val="16"/>
              </w:rPr>
              <w:t>podle pohlaví</w:t>
            </w:r>
          </w:p>
        </w:tc>
        <w:tc>
          <w:tcPr>
            <w:tcW w:w="1056" w:type="dxa"/>
            <w:vMerge w:val="restart"/>
            <w:tcBorders>
              <w:top w:val="single" w:sz="4" w:space="0" w:color="auto"/>
              <w:left w:val="single" w:sz="4" w:space="0" w:color="auto"/>
              <w:right w:val="single" w:sz="4" w:space="0" w:color="auto"/>
            </w:tcBorders>
            <w:shd w:val="clear" w:color="000000" w:fill="F2DBDB"/>
            <w:vAlign w:val="center"/>
            <w:hideMark/>
          </w:tcPr>
          <w:p w14:paraId="5A1740CB" w14:textId="77777777" w:rsidR="00BA0B39" w:rsidRPr="00BA0B39" w:rsidRDefault="00BA0B39" w:rsidP="00BA0B39">
            <w:pPr>
              <w:spacing w:after="0" w:line="240" w:lineRule="auto"/>
              <w:jc w:val="center"/>
              <w:rPr>
                <w:rFonts w:cs="Arial"/>
                <w:sz w:val="16"/>
                <w:szCs w:val="16"/>
              </w:rPr>
            </w:pPr>
            <w:r w:rsidRPr="00BA0B39">
              <w:rPr>
                <w:rFonts w:cs="Arial"/>
                <w:sz w:val="16"/>
                <w:szCs w:val="16"/>
              </w:rPr>
              <w:t>Zaměstnanci</w:t>
            </w:r>
          </w:p>
        </w:tc>
        <w:tc>
          <w:tcPr>
            <w:tcW w:w="1814" w:type="dxa"/>
            <w:gridSpan w:val="2"/>
            <w:tcBorders>
              <w:top w:val="single" w:sz="4" w:space="0" w:color="auto"/>
              <w:left w:val="nil"/>
              <w:bottom w:val="single" w:sz="4" w:space="0" w:color="auto"/>
              <w:right w:val="single" w:sz="4" w:space="0" w:color="auto"/>
            </w:tcBorders>
            <w:shd w:val="clear" w:color="000000" w:fill="F2DBDB"/>
            <w:vAlign w:val="center"/>
            <w:hideMark/>
          </w:tcPr>
          <w:p w14:paraId="491D8D74" w14:textId="77777777" w:rsidR="00BA0B39" w:rsidRPr="00BA0B39" w:rsidRDefault="00BA0B39" w:rsidP="00BA0B39">
            <w:pPr>
              <w:spacing w:after="0" w:line="240" w:lineRule="auto"/>
              <w:jc w:val="center"/>
              <w:rPr>
                <w:rFonts w:cs="Arial"/>
                <w:sz w:val="16"/>
                <w:szCs w:val="16"/>
              </w:rPr>
            </w:pPr>
            <w:r w:rsidRPr="00BA0B39">
              <w:rPr>
                <w:rFonts w:cs="Arial"/>
                <w:sz w:val="16"/>
                <w:szCs w:val="16"/>
              </w:rPr>
              <w:t>podle pohlaví</w:t>
            </w:r>
          </w:p>
        </w:tc>
        <w:tc>
          <w:tcPr>
            <w:tcW w:w="907" w:type="dxa"/>
            <w:vMerge w:val="restart"/>
            <w:tcBorders>
              <w:top w:val="single" w:sz="4" w:space="0" w:color="auto"/>
              <w:left w:val="single" w:sz="4" w:space="0" w:color="auto"/>
              <w:right w:val="single" w:sz="4" w:space="0" w:color="auto"/>
            </w:tcBorders>
            <w:shd w:val="clear" w:color="000000" w:fill="F2DBDB"/>
            <w:vAlign w:val="center"/>
            <w:hideMark/>
          </w:tcPr>
          <w:p w14:paraId="0DC86F97" w14:textId="77777777" w:rsidR="00BA0B39" w:rsidRPr="00BA0B39" w:rsidRDefault="00BA0B39" w:rsidP="00BA0B39">
            <w:pPr>
              <w:spacing w:after="0" w:line="240" w:lineRule="auto"/>
              <w:jc w:val="center"/>
              <w:rPr>
                <w:rFonts w:cs="Arial"/>
                <w:sz w:val="16"/>
                <w:szCs w:val="16"/>
              </w:rPr>
            </w:pPr>
            <w:r w:rsidRPr="00BA0B39">
              <w:rPr>
                <w:rFonts w:cs="Arial"/>
                <w:sz w:val="16"/>
                <w:szCs w:val="16"/>
              </w:rPr>
              <w:t>OSVČ</w:t>
            </w:r>
          </w:p>
        </w:tc>
        <w:tc>
          <w:tcPr>
            <w:tcW w:w="1814" w:type="dxa"/>
            <w:gridSpan w:val="2"/>
            <w:tcBorders>
              <w:top w:val="single" w:sz="4" w:space="0" w:color="auto"/>
              <w:left w:val="nil"/>
              <w:bottom w:val="single" w:sz="4" w:space="0" w:color="auto"/>
            </w:tcBorders>
            <w:shd w:val="clear" w:color="000000" w:fill="F2DBDB"/>
            <w:vAlign w:val="center"/>
            <w:hideMark/>
          </w:tcPr>
          <w:p w14:paraId="5D6D9C2A" w14:textId="77777777" w:rsidR="00BA0B39" w:rsidRPr="00BA0B39" w:rsidRDefault="00BA0B39" w:rsidP="00BA0B39">
            <w:pPr>
              <w:spacing w:after="0" w:line="240" w:lineRule="auto"/>
              <w:jc w:val="center"/>
              <w:rPr>
                <w:rFonts w:cs="Arial"/>
                <w:sz w:val="16"/>
                <w:szCs w:val="16"/>
              </w:rPr>
            </w:pPr>
            <w:r w:rsidRPr="00BA0B39">
              <w:rPr>
                <w:rFonts w:cs="Arial"/>
                <w:sz w:val="16"/>
                <w:szCs w:val="16"/>
              </w:rPr>
              <w:t>podle pohlaví</w:t>
            </w:r>
          </w:p>
        </w:tc>
      </w:tr>
      <w:tr w:rsidR="00BA0B39" w:rsidRPr="00BA0B39" w14:paraId="0A155419" w14:textId="77777777" w:rsidTr="00BA0B39">
        <w:trPr>
          <w:trHeight w:val="300"/>
        </w:trPr>
        <w:tc>
          <w:tcPr>
            <w:tcW w:w="1304" w:type="dxa"/>
            <w:vMerge/>
            <w:tcBorders>
              <w:top w:val="single" w:sz="4" w:space="0" w:color="auto"/>
              <w:left w:val="nil"/>
              <w:bottom w:val="single" w:sz="4" w:space="0" w:color="000000"/>
              <w:right w:val="single" w:sz="4" w:space="0" w:color="auto"/>
            </w:tcBorders>
            <w:vAlign w:val="center"/>
            <w:hideMark/>
          </w:tcPr>
          <w:p w14:paraId="77E60DE6" w14:textId="77777777" w:rsidR="00BA0B39" w:rsidRPr="00BA0B39" w:rsidRDefault="00BA0B39" w:rsidP="00BA0B39">
            <w:pPr>
              <w:spacing w:after="0" w:line="240" w:lineRule="auto"/>
              <w:rPr>
                <w:rFonts w:cs="Arial"/>
                <w:sz w:val="16"/>
                <w:szCs w:val="16"/>
              </w:rPr>
            </w:pPr>
          </w:p>
        </w:tc>
        <w:tc>
          <w:tcPr>
            <w:tcW w:w="896" w:type="dxa"/>
            <w:vMerge/>
            <w:tcBorders>
              <w:top w:val="single" w:sz="4" w:space="0" w:color="auto"/>
              <w:left w:val="single" w:sz="4" w:space="0" w:color="auto"/>
              <w:bottom w:val="single" w:sz="4" w:space="0" w:color="auto"/>
              <w:right w:val="single" w:sz="4" w:space="0" w:color="auto"/>
            </w:tcBorders>
            <w:vAlign w:val="center"/>
            <w:hideMark/>
          </w:tcPr>
          <w:p w14:paraId="4FB03A0C" w14:textId="77777777" w:rsidR="00BA0B39" w:rsidRPr="00BA0B39" w:rsidRDefault="00BA0B39" w:rsidP="00BA0B39">
            <w:pPr>
              <w:spacing w:after="0" w:line="240" w:lineRule="auto"/>
              <w:rPr>
                <w:rFonts w:cs="Arial"/>
                <w:b/>
                <w:bCs/>
                <w:sz w:val="16"/>
                <w:szCs w:val="16"/>
              </w:rPr>
            </w:pPr>
          </w:p>
        </w:tc>
        <w:tc>
          <w:tcPr>
            <w:tcW w:w="890" w:type="dxa"/>
            <w:tcBorders>
              <w:top w:val="nil"/>
              <w:left w:val="nil"/>
              <w:bottom w:val="single" w:sz="4" w:space="0" w:color="auto"/>
              <w:right w:val="single" w:sz="4" w:space="0" w:color="auto"/>
            </w:tcBorders>
            <w:shd w:val="clear" w:color="000000" w:fill="F2DBDB"/>
            <w:vAlign w:val="center"/>
            <w:hideMark/>
          </w:tcPr>
          <w:p w14:paraId="36AFC430" w14:textId="77777777" w:rsidR="00BA0B39" w:rsidRPr="00BA0B39" w:rsidRDefault="00BA0B39" w:rsidP="00BA0B39">
            <w:pPr>
              <w:spacing w:after="0" w:line="240" w:lineRule="auto"/>
              <w:jc w:val="center"/>
              <w:rPr>
                <w:rFonts w:cs="Arial"/>
                <w:sz w:val="16"/>
                <w:szCs w:val="16"/>
              </w:rPr>
            </w:pPr>
            <w:r w:rsidRPr="00BA0B39">
              <w:rPr>
                <w:rFonts w:cs="Arial"/>
                <w:sz w:val="16"/>
                <w:szCs w:val="16"/>
              </w:rPr>
              <w:t>muži</w:t>
            </w:r>
          </w:p>
        </w:tc>
        <w:tc>
          <w:tcPr>
            <w:tcW w:w="890" w:type="dxa"/>
            <w:tcBorders>
              <w:top w:val="nil"/>
              <w:left w:val="nil"/>
              <w:bottom w:val="single" w:sz="4" w:space="0" w:color="auto"/>
              <w:right w:val="single" w:sz="4" w:space="0" w:color="auto"/>
            </w:tcBorders>
            <w:shd w:val="clear" w:color="000000" w:fill="F2DBDB"/>
            <w:vAlign w:val="center"/>
            <w:hideMark/>
          </w:tcPr>
          <w:p w14:paraId="10063983" w14:textId="77777777" w:rsidR="00BA0B39" w:rsidRPr="00BA0B39" w:rsidRDefault="00BA0B39" w:rsidP="00BA0B39">
            <w:pPr>
              <w:spacing w:after="0" w:line="240" w:lineRule="auto"/>
              <w:jc w:val="center"/>
              <w:rPr>
                <w:rFonts w:cs="Arial"/>
                <w:sz w:val="16"/>
                <w:szCs w:val="16"/>
              </w:rPr>
            </w:pPr>
            <w:r w:rsidRPr="00BA0B39">
              <w:rPr>
                <w:rFonts w:cs="Arial"/>
                <w:sz w:val="16"/>
                <w:szCs w:val="16"/>
              </w:rPr>
              <w:t>ženy</w:t>
            </w:r>
          </w:p>
        </w:tc>
        <w:tc>
          <w:tcPr>
            <w:tcW w:w="1056" w:type="dxa"/>
            <w:vMerge/>
            <w:tcBorders>
              <w:left w:val="single" w:sz="4" w:space="0" w:color="auto"/>
              <w:bottom w:val="single" w:sz="4" w:space="0" w:color="auto"/>
              <w:right w:val="single" w:sz="4" w:space="0" w:color="auto"/>
            </w:tcBorders>
            <w:vAlign w:val="center"/>
            <w:hideMark/>
          </w:tcPr>
          <w:p w14:paraId="59D9026C" w14:textId="77777777" w:rsidR="00BA0B39" w:rsidRPr="00BA0B39" w:rsidRDefault="00BA0B39" w:rsidP="00BA0B39">
            <w:pPr>
              <w:spacing w:after="0" w:line="240" w:lineRule="auto"/>
              <w:rPr>
                <w:rFonts w:cs="Arial"/>
                <w:sz w:val="16"/>
                <w:szCs w:val="16"/>
              </w:rPr>
            </w:pPr>
          </w:p>
        </w:tc>
        <w:tc>
          <w:tcPr>
            <w:tcW w:w="907" w:type="dxa"/>
            <w:tcBorders>
              <w:top w:val="nil"/>
              <w:left w:val="nil"/>
              <w:bottom w:val="single" w:sz="4" w:space="0" w:color="auto"/>
              <w:right w:val="single" w:sz="4" w:space="0" w:color="auto"/>
            </w:tcBorders>
            <w:shd w:val="clear" w:color="000000" w:fill="F2DBDB"/>
            <w:vAlign w:val="center"/>
            <w:hideMark/>
          </w:tcPr>
          <w:p w14:paraId="753ECD09" w14:textId="77777777" w:rsidR="00BA0B39" w:rsidRPr="00BA0B39" w:rsidRDefault="00BA0B39" w:rsidP="00BA0B39">
            <w:pPr>
              <w:spacing w:after="0" w:line="240" w:lineRule="auto"/>
              <w:jc w:val="center"/>
              <w:rPr>
                <w:rFonts w:cs="Arial"/>
                <w:sz w:val="16"/>
                <w:szCs w:val="16"/>
              </w:rPr>
            </w:pPr>
            <w:r w:rsidRPr="00BA0B39">
              <w:rPr>
                <w:rFonts w:cs="Arial"/>
                <w:sz w:val="16"/>
                <w:szCs w:val="16"/>
              </w:rPr>
              <w:t>muži</w:t>
            </w:r>
          </w:p>
        </w:tc>
        <w:tc>
          <w:tcPr>
            <w:tcW w:w="907" w:type="dxa"/>
            <w:tcBorders>
              <w:top w:val="nil"/>
              <w:left w:val="nil"/>
              <w:bottom w:val="single" w:sz="4" w:space="0" w:color="auto"/>
              <w:right w:val="single" w:sz="4" w:space="0" w:color="auto"/>
            </w:tcBorders>
            <w:shd w:val="clear" w:color="000000" w:fill="F2DBDB"/>
            <w:vAlign w:val="center"/>
            <w:hideMark/>
          </w:tcPr>
          <w:p w14:paraId="054CD061" w14:textId="77777777" w:rsidR="00BA0B39" w:rsidRPr="00BA0B39" w:rsidRDefault="00BA0B39" w:rsidP="00BA0B39">
            <w:pPr>
              <w:spacing w:after="0" w:line="240" w:lineRule="auto"/>
              <w:jc w:val="center"/>
              <w:rPr>
                <w:rFonts w:cs="Arial"/>
                <w:sz w:val="16"/>
                <w:szCs w:val="16"/>
              </w:rPr>
            </w:pPr>
            <w:r w:rsidRPr="00BA0B39">
              <w:rPr>
                <w:rFonts w:cs="Arial"/>
                <w:sz w:val="16"/>
                <w:szCs w:val="16"/>
              </w:rPr>
              <w:t>ženy</w:t>
            </w:r>
          </w:p>
        </w:tc>
        <w:tc>
          <w:tcPr>
            <w:tcW w:w="907" w:type="dxa"/>
            <w:vMerge/>
            <w:tcBorders>
              <w:left w:val="single" w:sz="4" w:space="0" w:color="auto"/>
              <w:bottom w:val="single" w:sz="4" w:space="0" w:color="auto"/>
              <w:right w:val="single" w:sz="4" w:space="0" w:color="auto"/>
            </w:tcBorders>
            <w:vAlign w:val="center"/>
            <w:hideMark/>
          </w:tcPr>
          <w:p w14:paraId="6EE2C153" w14:textId="77777777" w:rsidR="00BA0B39" w:rsidRPr="00BA0B39" w:rsidRDefault="00BA0B39" w:rsidP="00BA0B39">
            <w:pPr>
              <w:spacing w:after="0" w:line="240" w:lineRule="auto"/>
              <w:rPr>
                <w:rFonts w:cs="Arial"/>
                <w:sz w:val="16"/>
                <w:szCs w:val="16"/>
              </w:rPr>
            </w:pPr>
          </w:p>
        </w:tc>
        <w:tc>
          <w:tcPr>
            <w:tcW w:w="907" w:type="dxa"/>
            <w:tcBorders>
              <w:top w:val="nil"/>
              <w:left w:val="nil"/>
              <w:bottom w:val="single" w:sz="4" w:space="0" w:color="auto"/>
              <w:right w:val="single" w:sz="4" w:space="0" w:color="auto"/>
            </w:tcBorders>
            <w:shd w:val="clear" w:color="000000" w:fill="F2DBDB"/>
            <w:vAlign w:val="center"/>
            <w:hideMark/>
          </w:tcPr>
          <w:p w14:paraId="0C1F6DD0" w14:textId="77777777" w:rsidR="00BA0B39" w:rsidRPr="00BA0B39" w:rsidRDefault="00BA0B39" w:rsidP="00BA0B39">
            <w:pPr>
              <w:spacing w:after="0" w:line="240" w:lineRule="auto"/>
              <w:jc w:val="center"/>
              <w:rPr>
                <w:rFonts w:cs="Arial"/>
                <w:sz w:val="16"/>
                <w:szCs w:val="16"/>
              </w:rPr>
            </w:pPr>
            <w:r w:rsidRPr="00BA0B39">
              <w:rPr>
                <w:rFonts w:cs="Arial"/>
                <w:sz w:val="16"/>
                <w:szCs w:val="16"/>
              </w:rPr>
              <w:t>muži</w:t>
            </w:r>
          </w:p>
        </w:tc>
        <w:tc>
          <w:tcPr>
            <w:tcW w:w="907" w:type="dxa"/>
            <w:tcBorders>
              <w:top w:val="nil"/>
              <w:left w:val="nil"/>
              <w:bottom w:val="single" w:sz="4" w:space="0" w:color="auto"/>
              <w:right w:val="nil"/>
            </w:tcBorders>
            <w:shd w:val="clear" w:color="000000" w:fill="F2DBDB"/>
            <w:vAlign w:val="center"/>
            <w:hideMark/>
          </w:tcPr>
          <w:p w14:paraId="2CC48454" w14:textId="77777777" w:rsidR="00BA0B39" w:rsidRPr="00BA0B39" w:rsidRDefault="00BA0B39" w:rsidP="00BA0B39">
            <w:pPr>
              <w:spacing w:after="0" w:line="240" w:lineRule="auto"/>
              <w:jc w:val="center"/>
              <w:rPr>
                <w:rFonts w:cs="Arial"/>
                <w:sz w:val="16"/>
                <w:szCs w:val="16"/>
              </w:rPr>
            </w:pPr>
            <w:r w:rsidRPr="00BA0B39">
              <w:rPr>
                <w:rFonts w:cs="Arial"/>
                <w:sz w:val="16"/>
                <w:szCs w:val="16"/>
              </w:rPr>
              <w:t>ženy</w:t>
            </w:r>
          </w:p>
        </w:tc>
      </w:tr>
      <w:tr w:rsidR="00BA0B39" w:rsidRPr="00BA0B39" w14:paraId="7C5EB7F6" w14:textId="77777777" w:rsidTr="00BA0B39">
        <w:trPr>
          <w:trHeight w:val="300"/>
        </w:trPr>
        <w:tc>
          <w:tcPr>
            <w:tcW w:w="1304" w:type="dxa"/>
            <w:tcBorders>
              <w:top w:val="nil"/>
              <w:left w:val="nil"/>
              <w:bottom w:val="nil"/>
              <w:right w:val="single" w:sz="4" w:space="0" w:color="auto"/>
            </w:tcBorders>
            <w:shd w:val="clear" w:color="auto" w:fill="auto"/>
            <w:vAlign w:val="center"/>
            <w:hideMark/>
          </w:tcPr>
          <w:p w14:paraId="6F4804CB" w14:textId="77777777" w:rsidR="00BA0B39" w:rsidRPr="00BA0B39" w:rsidRDefault="00BA0B39" w:rsidP="00BA0B39">
            <w:pPr>
              <w:spacing w:after="0" w:line="240" w:lineRule="auto"/>
              <w:jc w:val="center"/>
              <w:rPr>
                <w:rFonts w:cs="Arial"/>
                <w:sz w:val="16"/>
                <w:szCs w:val="16"/>
              </w:rPr>
            </w:pPr>
            <w:r w:rsidRPr="00BA0B39">
              <w:rPr>
                <w:rFonts w:cs="Arial"/>
                <w:sz w:val="16"/>
                <w:szCs w:val="16"/>
              </w:rPr>
              <w:t>1. pol. 2012</w:t>
            </w:r>
          </w:p>
        </w:tc>
        <w:tc>
          <w:tcPr>
            <w:tcW w:w="896" w:type="dxa"/>
            <w:tcBorders>
              <w:top w:val="nil"/>
              <w:left w:val="single" w:sz="4" w:space="0" w:color="auto"/>
              <w:bottom w:val="nil"/>
              <w:right w:val="nil"/>
            </w:tcBorders>
            <w:shd w:val="clear" w:color="auto" w:fill="auto"/>
            <w:noWrap/>
            <w:vAlign w:val="center"/>
            <w:hideMark/>
          </w:tcPr>
          <w:p w14:paraId="38ECC50D" w14:textId="77777777" w:rsidR="00BA0B39" w:rsidRPr="00BA0B39" w:rsidRDefault="00BA0B39" w:rsidP="00BA0B39">
            <w:pPr>
              <w:spacing w:after="0" w:line="240" w:lineRule="auto"/>
              <w:jc w:val="right"/>
              <w:rPr>
                <w:rFonts w:cs="Arial"/>
                <w:sz w:val="16"/>
                <w:szCs w:val="16"/>
              </w:rPr>
            </w:pPr>
            <w:r w:rsidRPr="00BA0B39">
              <w:rPr>
                <w:rFonts w:cs="Arial"/>
                <w:sz w:val="16"/>
                <w:szCs w:val="16"/>
              </w:rPr>
              <w:t>4 459,0</w:t>
            </w:r>
          </w:p>
        </w:tc>
        <w:tc>
          <w:tcPr>
            <w:tcW w:w="890" w:type="dxa"/>
            <w:tcBorders>
              <w:top w:val="nil"/>
              <w:left w:val="nil"/>
              <w:bottom w:val="nil"/>
              <w:right w:val="nil"/>
            </w:tcBorders>
            <w:shd w:val="clear" w:color="auto" w:fill="auto"/>
            <w:vAlign w:val="center"/>
            <w:hideMark/>
          </w:tcPr>
          <w:p w14:paraId="6E504D60" w14:textId="77777777" w:rsidR="00BA0B39" w:rsidRPr="00BA0B39" w:rsidRDefault="00BA0B39" w:rsidP="00BA0B39">
            <w:pPr>
              <w:spacing w:after="0" w:line="240" w:lineRule="auto"/>
              <w:jc w:val="right"/>
              <w:rPr>
                <w:rFonts w:cs="Arial"/>
                <w:sz w:val="16"/>
                <w:szCs w:val="16"/>
              </w:rPr>
            </w:pPr>
            <w:r w:rsidRPr="00BA0B39">
              <w:rPr>
                <w:rFonts w:cs="Arial"/>
                <w:sz w:val="16"/>
                <w:szCs w:val="16"/>
              </w:rPr>
              <w:t>2 269,1</w:t>
            </w:r>
          </w:p>
        </w:tc>
        <w:tc>
          <w:tcPr>
            <w:tcW w:w="890" w:type="dxa"/>
            <w:tcBorders>
              <w:top w:val="nil"/>
              <w:left w:val="nil"/>
              <w:bottom w:val="nil"/>
              <w:right w:val="single" w:sz="4" w:space="0" w:color="auto"/>
            </w:tcBorders>
            <w:shd w:val="clear" w:color="auto" w:fill="auto"/>
            <w:noWrap/>
            <w:vAlign w:val="center"/>
            <w:hideMark/>
          </w:tcPr>
          <w:p w14:paraId="19B54AEC" w14:textId="77777777" w:rsidR="00BA0B39" w:rsidRPr="00BA0B39" w:rsidRDefault="00BA0B39" w:rsidP="00BA0B39">
            <w:pPr>
              <w:spacing w:after="0" w:line="240" w:lineRule="auto"/>
              <w:jc w:val="right"/>
              <w:rPr>
                <w:rFonts w:cs="Arial"/>
                <w:sz w:val="16"/>
                <w:szCs w:val="16"/>
              </w:rPr>
            </w:pPr>
            <w:r w:rsidRPr="00BA0B39">
              <w:rPr>
                <w:rFonts w:cs="Arial"/>
                <w:sz w:val="16"/>
                <w:szCs w:val="16"/>
              </w:rPr>
              <w:t>2 189,9</w:t>
            </w:r>
          </w:p>
        </w:tc>
        <w:tc>
          <w:tcPr>
            <w:tcW w:w="1056" w:type="dxa"/>
            <w:tcBorders>
              <w:top w:val="nil"/>
              <w:left w:val="nil"/>
              <w:bottom w:val="nil"/>
              <w:right w:val="nil"/>
            </w:tcBorders>
            <w:shd w:val="clear" w:color="auto" w:fill="auto"/>
            <w:noWrap/>
            <w:vAlign w:val="center"/>
            <w:hideMark/>
          </w:tcPr>
          <w:p w14:paraId="5B07FAB4" w14:textId="77777777" w:rsidR="00BA0B39" w:rsidRPr="00BA0B39" w:rsidRDefault="00BA0B39" w:rsidP="00BA0B39">
            <w:pPr>
              <w:spacing w:after="0" w:line="240" w:lineRule="auto"/>
              <w:jc w:val="right"/>
              <w:rPr>
                <w:rFonts w:cs="Arial"/>
                <w:sz w:val="16"/>
                <w:szCs w:val="16"/>
              </w:rPr>
            </w:pPr>
            <w:r w:rsidRPr="00BA0B39">
              <w:rPr>
                <w:rFonts w:cs="Arial"/>
                <w:sz w:val="16"/>
                <w:szCs w:val="16"/>
              </w:rPr>
              <w:t>4 344,5</w:t>
            </w:r>
          </w:p>
        </w:tc>
        <w:tc>
          <w:tcPr>
            <w:tcW w:w="907" w:type="dxa"/>
            <w:tcBorders>
              <w:top w:val="nil"/>
              <w:left w:val="nil"/>
              <w:bottom w:val="nil"/>
              <w:right w:val="nil"/>
            </w:tcBorders>
            <w:shd w:val="clear" w:color="auto" w:fill="auto"/>
            <w:vAlign w:val="center"/>
            <w:hideMark/>
          </w:tcPr>
          <w:p w14:paraId="5C29A35B" w14:textId="77777777" w:rsidR="00BA0B39" w:rsidRPr="00BA0B39" w:rsidRDefault="00BA0B39" w:rsidP="00BA0B39">
            <w:pPr>
              <w:spacing w:after="0" w:line="240" w:lineRule="auto"/>
              <w:jc w:val="right"/>
              <w:rPr>
                <w:rFonts w:cs="Arial"/>
                <w:sz w:val="16"/>
                <w:szCs w:val="16"/>
              </w:rPr>
            </w:pPr>
            <w:r w:rsidRPr="00BA0B39">
              <w:rPr>
                <w:rFonts w:cs="Arial"/>
                <w:sz w:val="16"/>
                <w:szCs w:val="16"/>
              </w:rPr>
              <w:t>2 196,1</w:t>
            </w:r>
          </w:p>
        </w:tc>
        <w:tc>
          <w:tcPr>
            <w:tcW w:w="907" w:type="dxa"/>
            <w:tcBorders>
              <w:top w:val="nil"/>
              <w:left w:val="nil"/>
              <w:bottom w:val="nil"/>
              <w:right w:val="single" w:sz="4" w:space="0" w:color="auto"/>
            </w:tcBorders>
            <w:shd w:val="clear" w:color="auto" w:fill="auto"/>
            <w:vAlign w:val="center"/>
            <w:hideMark/>
          </w:tcPr>
          <w:p w14:paraId="446CBD57" w14:textId="77777777" w:rsidR="00BA0B39" w:rsidRPr="00BA0B39" w:rsidRDefault="00BA0B39" w:rsidP="00BA0B39">
            <w:pPr>
              <w:spacing w:after="0" w:line="240" w:lineRule="auto"/>
              <w:jc w:val="right"/>
              <w:rPr>
                <w:rFonts w:cs="Arial"/>
                <w:sz w:val="16"/>
                <w:szCs w:val="16"/>
              </w:rPr>
            </w:pPr>
            <w:r w:rsidRPr="00BA0B39">
              <w:rPr>
                <w:rFonts w:cs="Arial"/>
                <w:sz w:val="16"/>
                <w:szCs w:val="16"/>
              </w:rPr>
              <w:t>2 148,4</w:t>
            </w:r>
          </w:p>
        </w:tc>
        <w:tc>
          <w:tcPr>
            <w:tcW w:w="907" w:type="dxa"/>
            <w:tcBorders>
              <w:top w:val="nil"/>
              <w:left w:val="nil"/>
              <w:bottom w:val="nil"/>
              <w:right w:val="nil"/>
            </w:tcBorders>
            <w:shd w:val="clear" w:color="auto" w:fill="auto"/>
            <w:noWrap/>
            <w:vAlign w:val="center"/>
            <w:hideMark/>
          </w:tcPr>
          <w:p w14:paraId="1AA87FEF" w14:textId="77777777" w:rsidR="00BA0B39" w:rsidRPr="00BA0B39" w:rsidRDefault="00BA0B39" w:rsidP="00BA0B39">
            <w:pPr>
              <w:spacing w:after="0" w:line="240" w:lineRule="auto"/>
              <w:jc w:val="right"/>
              <w:rPr>
                <w:rFonts w:cs="Arial"/>
                <w:sz w:val="16"/>
                <w:szCs w:val="16"/>
              </w:rPr>
            </w:pPr>
            <w:r w:rsidRPr="00BA0B39">
              <w:rPr>
                <w:rFonts w:cs="Arial"/>
                <w:sz w:val="16"/>
                <w:szCs w:val="16"/>
              </w:rPr>
              <w:t>114,5</w:t>
            </w:r>
          </w:p>
        </w:tc>
        <w:tc>
          <w:tcPr>
            <w:tcW w:w="907" w:type="dxa"/>
            <w:tcBorders>
              <w:top w:val="nil"/>
              <w:left w:val="nil"/>
              <w:bottom w:val="nil"/>
              <w:right w:val="nil"/>
            </w:tcBorders>
            <w:shd w:val="clear" w:color="auto" w:fill="auto"/>
            <w:vAlign w:val="center"/>
            <w:hideMark/>
          </w:tcPr>
          <w:p w14:paraId="4D40B8AF" w14:textId="77777777" w:rsidR="00BA0B39" w:rsidRPr="00BA0B39" w:rsidRDefault="00BA0B39" w:rsidP="00BA0B39">
            <w:pPr>
              <w:spacing w:after="0" w:line="240" w:lineRule="auto"/>
              <w:jc w:val="right"/>
              <w:rPr>
                <w:rFonts w:cs="Arial"/>
                <w:sz w:val="16"/>
                <w:szCs w:val="16"/>
              </w:rPr>
            </w:pPr>
            <w:r w:rsidRPr="00BA0B39">
              <w:rPr>
                <w:rFonts w:cs="Arial"/>
                <w:sz w:val="16"/>
                <w:szCs w:val="16"/>
              </w:rPr>
              <w:t>73,1</w:t>
            </w:r>
          </w:p>
        </w:tc>
        <w:tc>
          <w:tcPr>
            <w:tcW w:w="907" w:type="dxa"/>
            <w:tcBorders>
              <w:top w:val="nil"/>
              <w:left w:val="nil"/>
              <w:bottom w:val="nil"/>
              <w:right w:val="nil"/>
            </w:tcBorders>
            <w:shd w:val="clear" w:color="auto" w:fill="auto"/>
            <w:noWrap/>
            <w:vAlign w:val="center"/>
            <w:hideMark/>
          </w:tcPr>
          <w:p w14:paraId="46F9E8A4" w14:textId="77777777" w:rsidR="00BA0B39" w:rsidRPr="00BA0B39" w:rsidRDefault="00BA0B39" w:rsidP="00BA0B39">
            <w:pPr>
              <w:spacing w:after="0" w:line="240" w:lineRule="auto"/>
              <w:jc w:val="right"/>
              <w:rPr>
                <w:rFonts w:cs="Arial"/>
                <w:sz w:val="16"/>
                <w:szCs w:val="16"/>
              </w:rPr>
            </w:pPr>
            <w:r w:rsidRPr="00BA0B39">
              <w:rPr>
                <w:rFonts w:cs="Arial"/>
                <w:sz w:val="16"/>
                <w:szCs w:val="16"/>
              </w:rPr>
              <w:t>41,5</w:t>
            </w:r>
          </w:p>
        </w:tc>
      </w:tr>
      <w:tr w:rsidR="00BA0B39" w:rsidRPr="00BA0B39" w14:paraId="473DF373" w14:textId="77777777" w:rsidTr="00BA0B39">
        <w:trPr>
          <w:trHeight w:val="300"/>
        </w:trPr>
        <w:tc>
          <w:tcPr>
            <w:tcW w:w="1304" w:type="dxa"/>
            <w:tcBorders>
              <w:top w:val="nil"/>
              <w:left w:val="nil"/>
              <w:bottom w:val="nil"/>
              <w:right w:val="single" w:sz="4" w:space="0" w:color="auto"/>
            </w:tcBorders>
            <w:shd w:val="clear" w:color="auto" w:fill="auto"/>
            <w:vAlign w:val="center"/>
            <w:hideMark/>
          </w:tcPr>
          <w:p w14:paraId="58C45725" w14:textId="77777777" w:rsidR="00BA0B39" w:rsidRPr="00BA0B39" w:rsidRDefault="00BA0B39" w:rsidP="00BA0B39">
            <w:pPr>
              <w:spacing w:after="0" w:line="240" w:lineRule="auto"/>
              <w:jc w:val="center"/>
              <w:rPr>
                <w:rFonts w:cs="Arial"/>
                <w:sz w:val="16"/>
                <w:szCs w:val="16"/>
              </w:rPr>
            </w:pPr>
            <w:r w:rsidRPr="00BA0B39">
              <w:rPr>
                <w:rFonts w:cs="Arial"/>
                <w:sz w:val="16"/>
                <w:szCs w:val="16"/>
              </w:rPr>
              <w:t>1. pol. 2013</w:t>
            </w:r>
          </w:p>
        </w:tc>
        <w:tc>
          <w:tcPr>
            <w:tcW w:w="896" w:type="dxa"/>
            <w:tcBorders>
              <w:top w:val="nil"/>
              <w:left w:val="single" w:sz="4" w:space="0" w:color="auto"/>
              <w:bottom w:val="nil"/>
              <w:right w:val="nil"/>
            </w:tcBorders>
            <w:shd w:val="clear" w:color="auto" w:fill="auto"/>
            <w:noWrap/>
            <w:vAlign w:val="center"/>
            <w:hideMark/>
          </w:tcPr>
          <w:p w14:paraId="7F500D2A" w14:textId="77777777" w:rsidR="00BA0B39" w:rsidRPr="00BA0B39" w:rsidRDefault="00BA0B39" w:rsidP="00BA0B39">
            <w:pPr>
              <w:spacing w:after="0" w:line="240" w:lineRule="auto"/>
              <w:jc w:val="right"/>
              <w:rPr>
                <w:rFonts w:cs="Arial"/>
                <w:sz w:val="16"/>
                <w:szCs w:val="16"/>
              </w:rPr>
            </w:pPr>
            <w:r w:rsidRPr="00BA0B39">
              <w:rPr>
                <w:rFonts w:cs="Arial"/>
                <w:sz w:val="16"/>
                <w:szCs w:val="16"/>
              </w:rPr>
              <w:t>4 415,4</w:t>
            </w:r>
          </w:p>
        </w:tc>
        <w:tc>
          <w:tcPr>
            <w:tcW w:w="890" w:type="dxa"/>
            <w:tcBorders>
              <w:top w:val="nil"/>
              <w:left w:val="nil"/>
              <w:bottom w:val="nil"/>
              <w:right w:val="nil"/>
            </w:tcBorders>
            <w:shd w:val="clear" w:color="auto" w:fill="auto"/>
            <w:vAlign w:val="center"/>
            <w:hideMark/>
          </w:tcPr>
          <w:p w14:paraId="3D160596" w14:textId="77777777" w:rsidR="00BA0B39" w:rsidRPr="00BA0B39" w:rsidRDefault="00BA0B39" w:rsidP="00BA0B39">
            <w:pPr>
              <w:spacing w:after="0" w:line="240" w:lineRule="auto"/>
              <w:jc w:val="right"/>
              <w:rPr>
                <w:rFonts w:cs="Arial"/>
                <w:sz w:val="16"/>
                <w:szCs w:val="16"/>
              </w:rPr>
            </w:pPr>
            <w:r w:rsidRPr="00BA0B39">
              <w:rPr>
                <w:rFonts w:cs="Arial"/>
                <w:sz w:val="16"/>
                <w:szCs w:val="16"/>
              </w:rPr>
              <w:t>2 248,2</w:t>
            </w:r>
          </w:p>
        </w:tc>
        <w:tc>
          <w:tcPr>
            <w:tcW w:w="890" w:type="dxa"/>
            <w:tcBorders>
              <w:top w:val="nil"/>
              <w:left w:val="nil"/>
              <w:bottom w:val="nil"/>
              <w:right w:val="single" w:sz="4" w:space="0" w:color="auto"/>
            </w:tcBorders>
            <w:shd w:val="clear" w:color="auto" w:fill="auto"/>
            <w:noWrap/>
            <w:vAlign w:val="center"/>
            <w:hideMark/>
          </w:tcPr>
          <w:p w14:paraId="10E112C1" w14:textId="77777777" w:rsidR="00BA0B39" w:rsidRPr="00BA0B39" w:rsidRDefault="00BA0B39" w:rsidP="00BA0B39">
            <w:pPr>
              <w:spacing w:after="0" w:line="240" w:lineRule="auto"/>
              <w:jc w:val="right"/>
              <w:rPr>
                <w:rFonts w:cs="Arial"/>
                <w:sz w:val="16"/>
                <w:szCs w:val="16"/>
              </w:rPr>
            </w:pPr>
            <w:r w:rsidRPr="00BA0B39">
              <w:rPr>
                <w:rFonts w:cs="Arial"/>
                <w:sz w:val="16"/>
                <w:szCs w:val="16"/>
              </w:rPr>
              <w:t>2 167,3</w:t>
            </w:r>
          </w:p>
        </w:tc>
        <w:tc>
          <w:tcPr>
            <w:tcW w:w="1056" w:type="dxa"/>
            <w:tcBorders>
              <w:top w:val="nil"/>
              <w:left w:val="nil"/>
              <w:bottom w:val="nil"/>
              <w:right w:val="nil"/>
            </w:tcBorders>
            <w:shd w:val="clear" w:color="auto" w:fill="auto"/>
            <w:noWrap/>
            <w:vAlign w:val="center"/>
            <w:hideMark/>
          </w:tcPr>
          <w:p w14:paraId="25991FA0" w14:textId="77777777" w:rsidR="00BA0B39" w:rsidRPr="00BA0B39" w:rsidRDefault="00BA0B39" w:rsidP="00BA0B39">
            <w:pPr>
              <w:spacing w:after="0" w:line="240" w:lineRule="auto"/>
              <w:jc w:val="right"/>
              <w:rPr>
                <w:rFonts w:cs="Arial"/>
                <w:sz w:val="16"/>
                <w:szCs w:val="16"/>
              </w:rPr>
            </w:pPr>
            <w:r w:rsidRPr="00BA0B39">
              <w:rPr>
                <w:rFonts w:cs="Arial"/>
                <w:sz w:val="16"/>
                <w:szCs w:val="16"/>
              </w:rPr>
              <w:t>4 311,3</w:t>
            </w:r>
          </w:p>
        </w:tc>
        <w:tc>
          <w:tcPr>
            <w:tcW w:w="907" w:type="dxa"/>
            <w:tcBorders>
              <w:top w:val="nil"/>
              <w:left w:val="nil"/>
              <w:bottom w:val="nil"/>
              <w:right w:val="nil"/>
            </w:tcBorders>
            <w:shd w:val="clear" w:color="auto" w:fill="auto"/>
            <w:vAlign w:val="center"/>
            <w:hideMark/>
          </w:tcPr>
          <w:p w14:paraId="7E5F08B9" w14:textId="77777777" w:rsidR="00BA0B39" w:rsidRPr="00BA0B39" w:rsidRDefault="00BA0B39" w:rsidP="00BA0B39">
            <w:pPr>
              <w:spacing w:after="0" w:line="240" w:lineRule="auto"/>
              <w:jc w:val="right"/>
              <w:rPr>
                <w:rFonts w:cs="Arial"/>
                <w:sz w:val="16"/>
                <w:szCs w:val="16"/>
              </w:rPr>
            </w:pPr>
            <w:r w:rsidRPr="00BA0B39">
              <w:rPr>
                <w:rFonts w:cs="Arial"/>
                <w:sz w:val="16"/>
                <w:szCs w:val="16"/>
              </w:rPr>
              <w:t>2 182,4</w:t>
            </w:r>
          </w:p>
        </w:tc>
        <w:tc>
          <w:tcPr>
            <w:tcW w:w="907" w:type="dxa"/>
            <w:tcBorders>
              <w:top w:val="nil"/>
              <w:left w:val="nil"/>
              <w:bottom w:val="nil"/>
              <w:right w:val="single" w:sz="4" w:space="0" w:color="auto"/>
            </w:tcBorders>
            <w:shd w:val="clear" w:color="auto" w:fill="auto"/>
            <w:vAlign w:val="center"/>
            <w:hideMark/>
          </w:tcPr>
          <w:p w14:paraId="1EDEABFA" w14:textId="77777777" w:rsidR="00BA0B39" w:rsidRPr="00BA0B39" w:rsidRDefault="00BA0B39" w:rsidP="00BA0B39">
            <w:pPr>
              <w:spacing w:after="0" w:line="240" w:lineRule="auto"/>
              <w:jc w:val="right"/>
              <w:rPr>
                <w:rFonts w:cs="Arial"/>
                <w:sz w:val="16"/>
                <w:szCs w:val="16"/>
              </w:rPr>
            </w:pPr>
            <w:r w:rsidRPr="00BA0B39">
              <w:rPr>
                <w:rFonts w:cs="Arial"/>
                <w:sz w:val="16"/>
                <w:szCs w:val="16"/>
              </w:rPr>
              <w:t>2 128,9</w:t>
            </w:r>
          </w:p>
        </w:tc>
        <w:tc>
          <w:tcPr>
            <w:tcW w:w="907" w:type="dxa"/>
            <w:tcBorders>
              <w:top w:val="nil"/>
              <w:left w:val="nil"/>
              <w:bottom w:val="nil"/>
              <w:right w:val="nil"/>
            </w:tcBorders>
            <w:shd w:val="clear" w:color="auto" w:fill="auto"/>
            <w:noWrap/>
            <w:vAlign w:val="center"/>
            <w:hideMark/>
          </w:tcPr>
          <w:p w14:paraId="5F785894" w14:textId="77777777" w:rsidR="00BA0B39" w:rsidRPr="00BA0B39" w:rsidRDefault="00BA0B39" w:rsidP="00BA0B39">
            <w:pPr>
              <w:spacing w:after="0" w:line="240" w:lineRule="auto"/>
              <w:jc w:val="right"/>
              <w:rPr>
                <w:rFonts w:cs="Arial"/>
                <w:sz w:val="16"/>
                <w:szCs w:val="16"/>
              </w:rPr>
            </w:pPr>
            <w:r w:rsidRPr="00BA0B39">
              <w:rPr>
                <w:rFonts w:cs="Arial"/>
                <w:sz w:val="16"/>
                <w:szCs w:val="16"/>
              </w:rPr>
              <w:t>104,1</w:t>
            </w:r>
          </w:p>
        </w:tc>
        <w:tc>
          <w:tcPr>
            <w:tcW w:w="907" w:type="dxa"/>
            <w:tcBorders>
              <w:top w:val="nil"/>
              <w:left w:val="nil"/>
              <w:bottom w:val="nil"/>
              <w:right w:val="nil"/>
            </w:tcBorders>
            <w:shd w:val="clear" w:color="auto" w:fill="auto"/>
            <w:vAlign w:val="center"/>
            <w:hideMark/>
          </w:tcPr>
          <w:p w14:paraId="26EB1FE7" w14:textId="77777777" w:rsidR="00BA0B39" w:rsidRPr="00BA0B39" w:rsidRDefault="00BA0B39" w:rsidP="00BA0B39">
            <w:pPr>
              <w:spacing w:after="0" w:line="240" w:lineRule="auto"/>
              <w:jc w:val="right"/>
              <w:rPr>
                <w:rFonts w:cs="Arial"/>
                <w:sz w:val="16"/>
                <w:szCs w:val="16"/>
              </w:rPr>
            </w:pPr>
            <w:r w:rsidRPr="00BA0B39">
              <w:rPr>
                <w:rFonts w:cs="Arial"/>
                <w:sz w:val="16"/>
                <w:szCs w:val="16"/>
              </w:rPr>
              <w:t>65,8</w:t>
            </w:r>
          </w:p>
        </w:tc>
        <w:tc>
          <w:tcPr>
            <w:tcW w:w="907" w:type="dxa"/>
            <w:tcBorders>
              <w:top w:val="nil"/>
              <w:left w:val="nil"/>
              <w:bottom w:val="nil"/>
              <w:right w:val="nil"/>
            </w:tcBorders>
            <w:shd w:val="clear" w:color="auto" w:fill="auto"/>
            <w:noWrap/>
            <w:vAlign w:val="center"/>
            <w:hideMark/>
          </w:tcPr>
          <w:p w14:paraId="2533973E" w14:textId="77777777" w:rsidR="00BA0B39" w:rsidRPr="00BA0B39" w:rsidRDefault="00BA0B39" w:rsidP="00BA0B39">
            <w:pPr>
              <w:spacing w:after="0" w:line="240" w:lineRule="auto"/>
              <w:jc w:val="right"/>
              <w:rPr>
                <w:rFonts w:cs="Arial"/>
                <w:sz w:val="16"/>
                <w:szCs w:val="16"/>
              </w:rPr>
            </w:pPr>
            <w:r w:rsidRPr="00BA0B39">
              <w:rPr>
                <w:rFonts w:cs="Arial"/>
                <w:sz w:val="16"/>
                <w:szCs w:val="16"/>
              </w:rPr>
              <w:t>38,3</w:t>
            </w:r>
          </w:p>
        </w:tc>
      </w:tr>
      <w:tr w:rsidR="00BA0B39" w:rsidRPr="00BA0B39" w14:paraId="3CE1D441" w14:textId="77777777" w:rsidTr="00BA0B39">
        <w:trPr>
          <w:trHeight w:val="300"/>
        </w:trPr>
        <w:tc>
          <w:tcPr>
            <w:tcW w:w="1304" w:type="dxa"/>
            <w:tcBorders>
              <w:top w:val="nil"/>
              <w:left w:val="nil"/>
              <w:bottom w:val="nil"/>
              <w:right w:val="single" w:sz="4" w:space="0" w:color="auto"/>
            </w:tcBorders>
            <w:shd w:val="clear" w:color="auto" w:fill="auto"/>
            <w:vAlign w:val="center"/>
            <w:hideMark/>
          </w:tcPr>
          <w:p w14:paraId="2EB15905" w14:textId="77777777" w:rsidR="00BA0B39" w:rsidRPr="00BA0B39" w:rsidRDefault="00BA0B39" w:rsidP="00BA0B39">
            <w:pPr>
              <w:spacing w:after="0" w:line="240" w:lineRule="auto"/>
              <w:jc w:val="center"/>
              <w:rPr>
                <w:rFonts w:cs="Arial"/>
                <w:sz w:val="16"/>
                <w:szCs w:val="16"/>
              </w:rPr>
            </w:pPr>
            <w:r w:rsidRPr="00BA0B39">
              <w:rPr>
                <w:rFonts w:cs="Arial"/>
                <w:sz w:val="16"/>
                <w:szCs w:val="16"/>
              </w:rPr>
              <w:t>1. pol. 2014</w:t>
            </w:r>
          </w:p>
        </w:tc>
        <w:tc>
          <w:tcPr>
            <w:tcW w:w="896" w:type="dxa"/>
            <w:tcBorders>
              <w:top w:val="nil"/>
              <w:left w:val="single" w:sz="4" w:space="0" w:color="auto"/>
              <w:bottom w:val="nil"/>
              <w:right w:val="nil"/>
            </w:tcBorders>
            <w:shd w:val="clear" w:color="auto" w:fill="auto"/>
            <w:noWrap/>
            <w:vAlign w:val="center"/>
            <w:hideMark/>
          </w:tcPr>
          <w:p w14:paraId="64B0F147" w14:textId="77777777" w:rsidR="00BA0B39" w:rsidRPr="00BA0B39" w:rsidRDefault="00BA0B39" w:rsidP="00BA0B39">
            <w:pPr>
              <w:spacing w:after="0" w:line="240" w:lineRule="auto"/>
              <w:jc w:val="right"/>
              <w:rPr>
                <w:rFonts w:cs="Arial"/>
                <w:sz w:val="16"/>
                <w:szCs w:val="16"/>
              </w:rPr>
            </w:pPr>
            <w:r w:rsidRPr="00BA0B39">
              <w:rPr>
                <w:rFonts w:cs="Arial"/>
                <w:sz w:val="16"/>
                <w:szCs w:val="16"/>
              </w:rPr>
              <w:t>4 413,5</w:t>
            </w:r>
          </w:p>
        </w:tc>
        <w:tc>
          <w:tcPr>
            <w:tcW w:w="890" w:type="dxa"/>
            <w:tcBorders>
              <w:top w:val="nil"/>
              <w:left w:val="nil"/>
              <w:bottom w:val="nil"/>
              <w:right w:val="nil"/>
            </w:tcBorders>
            <w:shd w:val="clear" w:color="auto" w:fill="auto"/>
            <w:vAlign w:val="center"/>
            <w:hideMark/>
          </w:tcPr>
          <w:p w14:paraId="7325102D" w14:textId="77777777" w:rsidR="00BA0B39" w:rsidRPr="00BA0B39" w:rsidRDefault="00BA0B39" w:rsidP="00BA0B39">
            <w:pPr>
              <w:spacing w:after="0" w:line="240" w:lineRule="auto"/>
              <w:jc w:val="right"/>
              <w:rPr>
                <w:rFonts w:cs="Arial"/>
                <w:sz w:val="16"/>
                <w:szCs w:val="16"/>
              </w:rPr>
            </w:pPr>
            <w:r w:rsidRPr="00BA0B39">
              <w:rPr>
                <w:rFonts w:cs="Arial"/>
                <w:sz w:val="16"/>
                <w:szCs w:val="16"/>
              </w:rPr>
              <w:t>2 247,8</w:t>
            </w:r>
          </w:p>
        </w:tc>
        <w:tc>
          <w:tcPr>
            <w:tcW w:w="890" w:type="dxa"/>
            <w:tcBorders>
              <w:top w:val="nil"/>
              <w:left w:val="nil"/>
              <w:bottom w:val="nil"/>
              <w:right w:val="single" w:sz="4" w:space="0" w:color="auto"/>
            </w:tcBorders>
            <w:shd w:val="clear" w:color="auto" w:fill="auto"/>
            <w:noWrap/>
            <w:vAlign w:val="center"/>
            <w:hideMark/>
          </w:tcPr>
          <w:p w14:paraId="6FEA70F3" w14:textId="77777777" w:rsidR="00BA0B39" w:rsidRPr="00BA0B39" w:rsidRDefault="00BA0B39" w:rsidP="00BA0B39">
            <w:pPr>
              <w:spacing w:after="0" w:line="240" w:lineRule="auto"/>
              <w:jc w:val="right"/>
              <w:rPr>
                <w:rFonts w:cs="Arial"/>
                <w:sz w:val="16"/>
                <w:szCs w:val="16"/>
              </w:rPr>
            </w:pPr>
            <w:r w:rsidRPr="00BA0B39">
              <w:rPr>
                <w:rFonts w:cs="Arial"/>
                <w:sz w:val="16"/>
                <w:szCs w:val="16"/>
              </w:rPr>
              <w:t>2 165,7</w:t>
            </w:r>
          </w:p>
        </w:tc>
        <w:tc>
          <w:tcPr>
            <w:tcW w:w="1056" w:type="dxa"/>
            <w:tcBorders>
              <w:top w:val="nil"/>
              <w:left w:val="nil"/>
              <w:bottom w:val="nil"/>
              <w:right w:val="nil"/>
            </w:tcBorders>
            <w:shd w:val="clear" w:color="auto" w:fill="auto"/>
            <w:noWrap/>
            <w:vAlign w:val="center"/>
            <w:hideMark/>
          </w:tcPr>
          <w:p w14:paraId="0FFC1BFB" w14:textId="77777777" w:rsidR="00BA0B39" w:rsidRPr="00BA0B39" w:rsidRDefault="00BA0B39" w:rsidP="00BA0B39">
            <w:pPr>
              <w:spacing w:after="0" w:line="240" w:lineRule="auto"/>
              <w:jc w:val="right"/>
              <w:rPr>
                <w:rFonts w:cs="Arial"/>
                <w:sz w:val="16"/>
                <w:szCs w:val="16"/>
              </w:rPr>
            </w:pPr>
            <w:r w:rsidRPr="00BA0B39">
              <w:rPr>
                <w:rFonts w:cs="Arial"/>
                <w:sz w:val="16"/>
                <w:szCs w:val="16"/>
              </w:rPr>
              <w:t>4 314,2</w:t>
            </w:r>
          </w:p>
        </w:tc>
        <w:tc>
          <w:tcPr>
            <w:tcW w:w="907" w:type="dxa"/>
            <w:tcBorders>
              <w:top w:val="nil"/>
              <w:left w:val="nil"/>
              <w:bottom w:val="nil"/>
              <w:right w:val="nil"/>
            </w:tcBorders>
            <w:shd w:val="clear" w:color="auto" w:fill="auto"/>
            <w:vAlign w:val="center"/>
            <w:hideMark/>
          </w:tcPr>
          <w:p w14:paraId="55CA2FD8" w14:textId="77777777" w:rsidR="00BA0B39" w:rsidRPr="00BA0B39" w:rsidRDefault="00BA0B39" w:rsidP="00BA0B39">
            <w:pPr>
              <w:spacing w:after="0" w:line="240" w:lineRule="auto"/>
              <w:jc w:val="right"/>
              <w:rPr>
                <w:rFonts w:cs="Arial"/>
                <w:sz w:val="16"/>
                <w:szCs w:val="16"/>
              </w:rPr>
            </w:pPr>
            <w:r w:rsidRPr="00BA0B39">
              <w:rPr>
                <w:rFonts w:cs="Arial"/>
                <w:sz w:val="16"/>
                <w:szCs w:val="16"/>
              </w:rPr>
              <w:t>2 185,7</w:t>
            </w:r>
          </w:p>
        </w:tc>
        <w:tc>
          <w:tcPr>
            <w:tcW w:w="907" w:type="dxa"/>
            <w:tcBorders>
              <w:top w:val="nil"/>
              <w:left w:val="nil"/>
              <w:bottom w:val="nil"/>
              <w:right w:val="single" w:sz="4" w:space="0" w:color="auto"/>
            </w:tcBorders>
            <w:shd w:val="clear" w:color="auto" w:fill="auto"/>
            <w:vAlign w:val="center"/>
            <w:hideMark/>
          </w:tcPr>
          <w:p w14:paraId="489A4C22" w14:textId="77777777" w:rsidR="00BA0B39" w:rsidRPr="00BA0B39" w:rsidRDefault="00BA0B39" w:rsidP="00BA0B39">
            <w:pPr>
              <w:spacing w:after="0" w:line="240" w:lineRule="auto"/>
              <w:jc w:val="right"/>
              <w:rPr>
                <w:rFonts w:cs="Arial"/>
                <w:sz w:val="16"/>
                <w:szCs w:val="16"/>
              </w:rPr>
            </w:pPr>
            <w:r w:rsidRPr="00BA0B39">
              <w:rPr>
                <w:rFonts w:cs="Arial"/>
                <w:sz w:val="16"/>
                <w:szCs w:val="16"/>
              </w:rPr>
              <w:t>2 128,6</w:t>
            </w:r>
          </w:p>
        </w:tc>
        <w:tc>
          <w:tcPr>
            <w:tcW w:w="907" w:type="dxa"/>
            <w:tcBorders>
              <w:top w:val="nil"/>
              <w:left w:val="nil"/>
              <w:bottom w:val="nil"/>
              <w:right w:val="nil"/>
            </w:tcBorders>
            <w:shd w:val="clear" w:color="auto" w:fill="auto"/>
            <w:noWrap/>
            <w:vAlign w:val="center"/>
            <w:hideMark/>
          </w:tcPr>
          <w:p w14:paraId="626785F2" w14:textId="77777777" w:rsidR="00BA0B39" w:rsidRPr="00BA0B39" w:rsidRDefault="00BA0B39" w:rsidP="00BA0B39">
            <w:pPr>
              <w:spacing w:after="0" w:line="240" w:lineRule="auto"/>
              <w:jc w:val="right"/>
              <w:rPr>
                <w:rFonts w:cs="Arial"/>
                <w:sz w:val="16"/>
                <w:szCs w:val="16"/>
              </w:rPr>
            </w:pPr>
            <w:r w:rsidRPr="00BA0B39">
              <w:rPr>
                <w:rFonts w:cs="Arial"/>
                <w:sz w:val="16"/>
                <w:szCs w:val="16"/>
              </w:rPr>
              <w:t>99,3</w:t>
            </w:r>
          </w:p>
        </w:tc>
        <w:tc>
          <w:tcPr>
            <w:tcW w:w="907" w:type="dxa"/>
            <w:tcBorders>
              <w:top w:val="nil"/>
              <w:left w:val="nil"/>
              <w:bottom w:val="nil"/>
              <w:right w:val="nil"/>
            </w:tcBorders>
            <w:shd w:val="clear" w:color="auto" w:fill="auto"/>
            <w:vAlign w:val="center"/>
            <w:hideMark/>
          </w:tcPr>
          <w:p w14:paraId="388A8DB3" w14:textId="77777777" w:rsidR="00BA0B39" w:rsidRPr="00BA0B39" w:rsidRDefault="00BA0B39" w:rsidP="00BA0B39">
            <w:pPr>
              <w:spacing w:after="0" w:line="240" w:lineRule="auto"/>
              <w:jc w:val="right"/>
              <w:rPr>
                <w:rFonts w:cs="Arial"/>
                <w:sz w:val="16"/>
                <w:szCs w:val="16"/>
              </w:rPr>
            </w:pPr>
            <w:r w:rsidRPr="00BA0B39">
              <w:rPr>
                <w:rFonts w:cs="Arial"/>
                <w:sz w:val="16"/>
                <w:szCs w:val="16"/>
              </w:rPr>
              <w:t>62,1</w:t>
            </w:r>
          </w:p>
        </w:tc>
        <w:tc>
          <w:tcPr>
            <w:tcW w:w="907" w:type="dxa"/>
            <w:tcBorders>
              <w:top w:val="nil"/>
              <w:left w:val="nil"/>
              <w:bottom w:val="nil"/>
              <w:right w:val="nil"/>
            </w:tcBorders>
            <w:shd w:val="clear" w:color="auto" w:fill="auto"/>
            <w:vAlign w:val="center"/>
            <w:hideMark/>
          </w:tcPr>
          <w:p w14:paraId="366ADE60" w14:textId="77777777" w:rsidR="00BA0B39" w:rsidRPr="00BA0B39" w:rsidRDefault="00BA0B39" w:rsidP="00BA0B39">
            <w:pPr>
              <w:spacing w:after="0" w:line="240" w:lineRule="auto"/>
              <w:jc w:val="right"/>
              <w:rPr>
                <w:rFonts w:cs="Arial"/>
                <w:sz w:val="16"/>
                <w:szCs w:val="16"/>
              </w:rPr>
            </w:pPr>
            <w:r w:rsidRPr="00BA0B39">
              <w:rPr>
                <w:rFonts w:cs="Arial"/>
                <w:sz w:val="16"/>
                <w:szCs w:val="16"/>
              </w:rPr>
              <w:t>37,2</w:t>
            </w:r>
          </w:p>
        </w:tc>
      </w:tr>
      <w:tr w:rsidR="00BA0B39" w:rsidRPr="00BA0B39" w14:paraId="42237B84" w14:textId="77777777" w:rsidTr="00BA0B39">
        <w:trPr>
          <w:trHeight w:val="300"/>
        </w:trPr>
        <w:tc>
          <w:tcPr>
            <w:tcW w:w="1304" w:type="dxa"/>
            <w:tcBorders>
              <w:top w:val="nil"/>
              <w:left w:val="nil"/>
              <w:bottom w:val="nil"/>
              <w:right w:val="single" w:sz="4" w:space="0" w:color="auto"/>
            </w:tcBorders>
            <w:shd w:val="clear" w:color="auto" w:fill="auto"/>
            <w:vAlign w:val="center"/>
            <w:hideMark/>
          </w:tcPr>
          <w:p w14:paraId="3E98911D" w14:textId="77777777" w:rsidR="00BA0B39" w:rsidRPr="00BA0B39" w:rsidRDefault="00BA0B39" w:rsidP="00BA0B39">
            <w:pPr>
              <w:spacing w:after="0" w:line="240" w:lineRule="auto"/>
              <w:jc w:val="center"/>
              <w:rPr>
                <w:rFonts w:cs="Arial"/>
                <w:sz w:val="16"/>
                <w:szCs w:val="16"/>
              </w:rPr>
            </w:pPr>
            <w:r w:rsidRPr="00BA0B39">
              <w:rPr>
                <w:rFonts w:cs="Arial"/>
                <w:sz w:val="16"/>
                <w:szCs w:val="16"/>
              </w:rPr>
              <w:t>1. pol. 2015</w:t>
            </w:r>
          </w:p>
        </w:tc>
        <w:tc>
          <w:tcPr>
            <w:tcW w:w="896" w:type="dxa"/>
            <w:tcBorders>
              <w:top w:val="nil"/>
              <w:left w:val="single" w:sz="4" w:space="0" w:color="auto"/>
              <w:bottom w:val="nil"/>
              <w:right w:val="nil"/>
            </w:tcBorders>
            <w:shd w:val="clear" w:color="auto" w:fill="auto"/>
            <w:noWrap/>
            <w:vAlign w:val="center"/>
            <w:hideMark/>
          </w:tcPr>
          <w:p w14:paraId="7E03D4A8" w14:textId="77777777" w:rsidR="00BA0B39" w:rsidRPr="00BA0B39" w:rsidRDefault="00BA0B39" w:rsidP="00BA0B39">
            <w:pPr>
              <w:spacing w:after="0" w:line="240" w:lineRule="auto"/>
              <w:jc w:val="right"/>
              <w:rPr>
                <w:rFonts w:cs="Arial"/>
                <w:sz w:val="16"/>
                <w:szCs w:val="16"/>
              </w:rPr>
            </w:pPr>
            <w:r w:rsidRPr="00BA0B39">
              <w:rPr>
                <w:rFonts w:cs="Arial"/>
                <w:sz w:val="16"/>
                <w:szCs w:val="16"/>
              </w:rPr>
              <w:t>4 471,4</w:t>
            </w:r>
          </w:p>
        </w:tc>
        <w:tc>
          <w:tcPr>
            <w:tcW w:w="890" w:type="dxa"/>
            <w:tcBorders>
              <w:top w:val="nil"/>
              <w:left w:val="nil"/>
              <w:bottom w:val="nil"/>
              <w:right w:val="nil"/>
            </w:tcBorders>
            <w:shd w:val="clear" w:color="auto" w:fill="auto"/>
            <w:vAlign w:val="center"/>
            <w:hideMark/>
          </w:tcPr>
          <w:p w14:paraId="74022A0A" w14:textId="77777777" w:rsidR="00BA0B39" w:rsidRPr="00BA0B39" w:rsidRDefault="00BA0B39" w:rsidP="00BA0B39">
            <w:pPr>
              <w:spacing w:after="0" w:line="240" w:lineRule="auto"/>
              <w:jc w:val="right"/>
              <w:rPr>
                <w:rFonts w:cs="Arial"/>
                <w:sz w:val="16"/>
                <w:szCs w:val="16"/>
              </w:rPr>
            </w:pPr>
            <w:r w:rsidRPr="00BA0B39">
              <w:rPr>
                <w:rFonts w:cs="Arial"/>
                <w:sz w:val="16"/>
                <w:szCs w:val="16"/>
              </w:rPr>
              <w:t>2 280,3</w:t>
            </w:r>
          </w:p>
        </w:tc>
        <w:tc>
          <w:tcPr>
            <w:tcW w:w="890" w:type="dxa"/>
            <w:tcBorders>
              <w:top w:val="nil"/>
              <w:left w:val="nil"/>
              <w:bottom w:val="nil"/>
              <w:right w:val="single" w:sz="4" w:space="0" w:color="auto"/>
            </w:tcBorders>
            <w:shd w:val="clear" w:color="auto" w:fill="auto"/>
            <w:noWrap/>
            <w:vAlign w:val="center"/>
            <w:hideMark/>
          </w:tcPr>
          <w:p w14:paraId="1213A8F6" w14:textId="77777777" w:rsidR="00BA0B39" w:rsidRPr="00BA0B39" w:rsidRDefault="00BA0B39" w:rsidP="00BA0B39">
            <w:pPr>
              <w:spacing w:after="0" w:line="240" w:lineRule="auto"/>
              <w:jc w:val="right"/>
              <w:rPr>
                <w:rFonts w:cs="Arial"/>
                <w:sz w:val="16"/>
                <w:szCs w:val="16"/>
              </w:rPr>
            </w:pPr>
            <w:r w:rsidRPr="00BA0B39">
              <w:rPr>
                <w:rFonts w:cs="Arial"/>
                <w:sz w:val="16"/>
                <w:szCs w:val="16"/>
              </w:rPr>
              <w:t>2 191,1</w:t>
            </w:r>
          </w:p>
        </w:tc>
        <w:tc>
          <w:tcPr>
            <w:tcW w:w="1056" w:type="dxa"/>
            <w:tcBorders>
              <w:top w:val="nil"/>
              <w:left w:val="nil"/>
              <w:bottom w:val="nil"/>
              <w:right w:val="nil"/>
            </w:tcBorders>
            <w:shd w:val="clear" w:color="auto" w:fill="auto"/>
            <w:noWrap/>
            <w:vAlign w:val="center"/>
            <w:hideMark/>
          </w:tcPr>
          <w:p w14:paraId="1745AB6E" w14:textId="77777777" w:rsidR="00BA0B39" w:rsidRPr="00BA0B39" w:rsidRDefault="00BA0B39" w:rsidP="00BA0B39">
            <w:pPr>
              <w:spacing w:after="0" w:line="240" w:lineRule="auto"/>
              <w:jc w:val="right"/>
              <w:rPr>
                <w:rFonts w:cs="Arial"/>
                <w:sz w:val="16"/>
                <w:szCs w:val="16"/>
              </w:rPr>
            </w:pPr>
            <w:r w:rsidRPr="00BA0B39">
              <w:rPr>
                <w:rFonts w:cs="Arial"/>
                <w:sz w:val="16"/>
                <w:szCs w:val="16"/>
              </w:rPr>
              <w:t>4 382,9</w:t>
            </w:r>
          </w:p>
        </w:tc>
        <w:tc>
          <w:tcPr>
            <w:tcW w:w="907" w:type="dxa"/>
            <w:tcBorders>
              <w:top w:val="nil"/>
              <w:left w:val="nil"/>
              <w:bottom w:val="nil"/>
              <w:right w:val="nil"/>
            </w:tcBorders>
            <w:shd w:val="clear" w:color="auto" w:fill="auto"/>
            <w:vAlign w:val="center"/>
            <w:hideMark/>
          </w:tcPr>
          <w:p w14:paraId="66CE4811" w14:textId="77777777" w:rsidR="00BA0B39" w:rsidRPr="00BA0B39" w:rsidRDefault="00BA0B39" w:rsidP="00BA0B39">
            <w:pPr>
              <w:spacing w:after="0" w:line="240" w:lineRule="auto"/>
              <w:jc w:val="right"/>
              <w:rPr>
                <w:rFonts w:cs="Arial"/>
                <w:sz w:val="16"/>
                <w:szCs w:val="16"/>
              </w:rPr>
            </w:pPr>
            <w:r w:rsidRPr="00BA0B39">
              <w:rPr>
                <w:rFonts w:cs="Arial"/>
                <w:sz w:val="16"/>
                <w:szCs w:val="16"/>
              </w:rPr>
              <w:t>2 230,2</w:t>
            </w:r>
          </w:p>
        </w:tc>
        <w:tc>
          <w:tcPr>
            <w:tcW w:w="907" w:type="dxa"/>
            <w:tcBorders>
              <w:top w:val="nil"/>
              <w:left w:val="nil"/>
              <w:bottom w:val="nil"/>
              <w:right w:val="single" w:sz="4" w:space="0" w:color="auto"/>
            </w:tcBorders>
            <w:shd w:val="clear" w:color="auto" w:fill="auto"/>
            <w:vAlign w:val="center"/>
            <w:hideMark/>
          </w:tcPr>
          <w:p w14:paraId="12AF9B5B" w14:textId="77777777" w:rsidR="00BA0B39" w:rsidRPr="00BA0B39" w:rsidRDefault="00BA0B39" w:rsidP="00BA0B39">
            <w:pPr>
              <w:spacing w:after="0" w:line="240" w:lineRule="auto"/>
              <w:jc w:val="right"/>
              <w:rPr>
                <w:rFonts w:cs="Arial"/>
                <w:sz w:val="16"/>
                <w:szCs w:val="16"/>
              </w:rPr>
            </w:pPr>
            <w:r w:rsidRPr="00BA0B39">
              <w:rPr>
                <w:rFonts w:cs="Arial"/>
                <w:sz w:val="16"/>
                <w:szCs w:val="16"/>
              </w:rPr>
              <w:t>2 152,6</w:t>
            </w:r>
          </w:p>
        </w:tc>
        <w:tc>
          <w:tcPr>
            <w:tcW w:w="907" w:type="dxa"/>
            <w:tcBorders>
              <w:top w:val="nil"/>
              <w:left w:val="nil"/>
              <w:bottom w:val="nil"/>
              <w:right w:val="nil"/>
            </w:tcBorders>
            <w:shd w:val="clear" w:color="auto" w:fill="auto"/>
            <w:noWrap/>
            <w:vAlign w:val="center"/>
            <w:hideMark/>
          </w:tcPr>
          <w:p w14:paraId="75E7AA1A" w14:textId="77777777" w:rsidR="00BA0B39" w:rsidRPr="00BA0B39" w:rsidRDefault="00BA0B39" w:rsidP="00BA0B39">
            <w:pPr>
              <w:spacing w:after="0" w:line="240" w:lineRule="auto"/>
              <w:jc w:val="right"/>
              <w:rPr>
                <w:rFonts w:cs="Arial"/>
                <w:sz w:val="16"/>
                <w:szCs w:val="16"/>
              </w:rPr>
            </w:pPr>
            <w:r w:rsidRPr="00BA0B39">
              <w:rPr>
                <w:rFonts w:cs="Arial"/>
                <w:sz w:val="16"/>
                <w:szCs w:val="16"/>
              </w:rPr>
              <w:t>88,5</w:t>
            </w:r>
          </w:p>
        </w:tc>
        <w:tc>
          <w:tcPr>
            <w:tcW w:w="907" w:type="dxa"/>
            <w:tcBorders>
              <w:top w:val="nil"/>
              <w:left w:val="nil"/>
              <w:bottom w:val="nil"/>
              <w:right w:val="nil"/>
            </w:tcBorders>
            <w:shd w:val="clear" w:color="auto" w:fill="auto"/>
            <w:vAlign w:val="center"/>
            <w:hideMark/>
          </w:tcPr>
          <w:p w14:paraId="5375A28D" w14:textId="77777777" w:rsidR="00BA0B39" w:rsidRPr="00BA0B39" w:rsidRDefault="00BA0B39" w:rsidP="00BA0B39">
            <w:pPr>
              <w:spacing w:after="0" w:line="240" w:lineRule="auto"/>
              <w:jc w:val="right"/>
              <w:rPr>
                <w:rFonts w:cs="Arial"/>
                <w:sz w:val="16"/>
                <w:szCs w:val="16"/>
              </w:rPr>
            </w:pPr>
            <w:r w:rsidRPr="00BA0B39">
              <w:rPr>
                <w:rFonts w:cs="Arial"/>
                <w:sz w:val="16"/>
                <w:szCs w:val="16"/>
              </w:rPr>
              <w:t>50,0</w:t>
            </w:r>
          </w:p>
        </w:tc>
        <w:tc>
          <w:tcPr>
            <w:tcW w:w="907" w:type="dxa"/>
            <w:tcBorders>
              <w:top w:val="nil"/>
              <w:left w:val="nil"/>
              <w:bottom w:val="nil"/>
              <w:right w:val="nil"/>
            </w:tcBorders>
            <w:shd w:val="clear" w:color="auto" w:fill="auto"/>
            <w:noWrap/>
            <w:vAlign w:val="center"/>
            <w:hideMark/>
          </w:tcPr>
          <w:p w14:paraId="62E9E5D8" w14:textId="77777777" w:rsidR="00BA0B39" w:rsidRPr="00BA0B39" w:rsidRDefault="00BA0B39" w:rsidP="00BA0B39">
            <w:pPr>
              <w:spacing w:after="0" w:line="240" w:lineRule="auto"/>
              <w:jc w:val="right"/>
              <w:rPr>
                <w:rFonts w:cs="Arial"/>
                <w:sz w:val="16"/>
                <w:szCs w:val="16"/>
              </w:rPr>
            </w:pPr>
            <w:r w:rsidRPr="00BA0B39">
              <w:rPr>
                <w:rFonts w:cs="Arial"/>
                <w:sz w:val="16"/>
                <w:szCs w:val="16"/>
              </w:rPr>
              <w:t>38,4</w:t>
            </w:r>
          </w:p>
        </w:tc>
      </w:tr>
      <w:tr w:rsidR="00BA0B39" w:rsidRPr="00BA0B39" w14:paraId="557F17E9" w14:textId="77777777" w:rsidTr="00BA0B39">
        <w:trPr>
          <w:trHeight w:val="300"/>
        </w:trPr>
        <w:tc>
          <w:tcPr>
            <w:tcW w:w="1304" w:type="dxa"/>
            <w:tcBorders>
              <w:top w:val="nil"/>
              <w:left w:val="nil"/>
              <w:bottom w:val="nil"/>
              <w:right w:val="single" w:sz="4" w:space="0" w:color="auto"/>
            </w:tcBorders>
            <w:shd w:val="clear" w:color="auto" w:fill="auto"/>
            <w:vAlign w:val="center"/>
            <w:hideMark/>
          </w:tcPr>
          <w:p w14:paraId="66464DF1" w14:textId="77777777" w:rsidR="00BA0B39" w:rsidRPr="00BA0B39" w:rsidRDefault="00BA0B39" w:rsidP="00BA0B39">
            <w:pPr>
              <w:spacing w:after="0" w:line="240" w:lineRule="auto"/>
              <w:jc w:val="center"/>
              <w:rPr>
                <w:rFonts w:cs="Arial"/>
                <w:sz w:val="16"/>
                <w:szCs w:val="16"/>
              </w:rPr>
            </w:pPr>
            <w:r w:rsidRPr="00BA0B39">
              <w:rPr>
                <w:rFonts w:cs="Arial"/>
                <w:sz w:val="16"/>
                <w:szCs w:val="16"/>
              </w:rPr>
              <w:t>1. pol. 2016</w:t>
            </w:r>
          </w:p>
        </w:tc>
        <w:tc>
          <w:tcPr>
            <w:tcW w:w="896" w:type="dxa"/>
            <w:tcBorders>
              <w:top w:val="nil"/>
              <w:left w:val="single" w:sz="4" w:space="0" w:color="auto"/>
              <w:bottom w:val="nil"/>
              <w:right w:val="nil"/>
            </w:tcBorders>
            <w:shd w:val="clear" w:color="auto" w:fill="auto"/>
            <w:noWrap/>
            <w:vAlign w:val="center"/>
            <w:hideMark/>
          </w:tcPr>
          <w:p w14:paraId="32291255" w14:textId="77777777" w:rsidR="00BA0B39" w:rsidRPr="00BA0B39" w:rsidRDefault="00BA0B39" w:rsidP="00BA0B39">
            <w:pPr>
              <w:spacing w:after="0" w:line="240" w:lineRule="auto"/>
              <w:jc w:val="right"/>
              <w:rPr>
                <w:rFonts w:cs="Arial"/>
                <w:sz w:val="16"/>
                <w:szCs w:val="16"/>
              </w:rPr>
            </w:pPr>
            <w:r w:rsidRPr="00BA0B39">
              <w:rPr>
                <w:rFonts w:cs="Arial"/>
                <w:sz w:val="16"/>
                <w:szCs w:val="16"/>
              </w:rPr>
              <w:t>4 539,5</w:t>
            </w:r>
          </w:p>
        </w:tc>
        <w:tc>
          <w:tcPr>
            <w:tcW w:w="890" w:type="dxa"/>
            <w:tcBorders>
              <w:top w:val="nil"/>
              <w:left w:val="nil"/>
              <w:bottom w:val="nil"/>
              <w:right w:val="nil"/>
            </w:tcBorders>
            <w:shd w:val="clear" w:color="auto" w:fill="auto"/>
            <w:vAlign w:val="center"/>
            <w:hideMark/>
          </w:tcPr>
          <w:p w14:paraId="6CB1236A" w14:textId="77777777" w:rsidR="00BA0B39" w:rsidRPr="00BA0B39" w:rsidRDefault="00BA0B39" w:rsidP="00BA0B39">
            <w:pPr>
              <w:spacing w:after="0" w:line="240" w:lineRule="auto"/>
              <w:jc w:val="right"/>
              <w:rPr>
                <w:rFonts w:cs="Arial"/>
                <w:sz w:val="16"/>
                <w:szCs w:val="16"/>
              </w:rPr>
            </w:pPr>
            <w:r w:rsidRPr="00BA0B39">
              <w:rPr>
                <w:rFonts w:cs="Arial"/>
                <w:sz w:val="16"/>
                <w:szCs w:val="16"/>
              </w:rPr>
              <w:t>2 312,2</w:t>
            </w:r>
          </w:p>
        </w:tc>
        <w:tc>
          <w:tcPr>
            <w:tcW w:w="890" w:type="dxa"/>
            <w:tcBorders>
              <w:top w:val="nil"/>
              <w:left w:val="nil"/>
              <w:bottom w:val="nil"/>
              <w:right w:val="single" w:sz="4" w:space="0" w:color="auto"/>
            </w:tcBorders>
            <w:shd w:val="clear" w:color="auto" w:fill="auto"/>
            <w:noWrap/>
            <w:vAlign w:val="center"/>
            <w:hideMark/>
          </w:tcPr>
          <w:p w14:paraId="62A87FDC"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2 227,3</w:t>
            </w:r>
          </w:p>
        </w:tc>
        <w:tc>
          <w:tcPr>
            <w:tcW w:w="1056" w:type="dxa"/>
            <w:tcBorders>
              <w:top w:val="nil"/>
              <w:left w:val="nil"/>
              <w:bottom w:val="nil"/>
              <w:right w:val="nil"/>
            </w:tcBorders>
            <w:shd w:val="clear" w:color="auto" w:fill="auto"/>
            <w:noWrap/>
            <w:vAlign w:val="center"/>
            <w:hideMark/>
          </w:tcPr>
          <w:p w14:paraId="753DF98E" w14:textId="77777777" w:rsidR="00BA0B39" w:rsidRPr="00BA0B39" w:rsidRDefault="00BA0B39" w:rsidP="00BA0B39">
            <w:pPr>
              <w:spacing w:after="0" w:line="240" w:lineRule="auto"/>
              <w:jc w:val="right"/>
              <w:rPr>
                <w:rFonts w:cs="Arial"/>
                <w:sz w:val="16"/>
                <w:szCs w:val="16"/>
              </w:rPr>
            </w:pPr>
            <w:r w:rsidRPr="00BA0B39">
              <w:rPr>
                <w:rFonts w:cs="Arial"/>
                <w:sz w:val="16"/>
                <w:szCs w:val="16"/>
              </w:rPr>
              <w:t>4 451,0</w:t>
            </w:r>
          </w:p>
        </w:tc>
        <w:tc>
          <w:tcPr>
            <w:tcW w:w="907" w:type="dxa"/>
            <w:tcBorders>
              <w:top w:val="nil"/>
              <w:left w:val="nil"/>
              <w:bottom w:val="nil"/>
              <w:right w:val="nil"/>
            </w:tcBorders>
            <w:shd w:val="clear" w:color="auto" w:fill="auto"/>
            <w:vAlign w:val="center"/>
            <w:hideMark/>
          </w:tcPr>
          <w:p w14:paraId="659BA63C" w14:textId="77777777" w:rsidR="00BA0B39" w:rsidRPr="00BA0B39" w:rsidRDefault="00BA0B39" w:rsidP="00BA0B39">
            <w:pPr>
              <w:spacing w:after="0" w:line="240" w:lineRule="auto"/>
              <w:jc w:val="right"/>
              <w:rPr>
                <w:rFonts w:cs="Arial"/>
                <w:sz w:val="16"/>
                <w:szCs w:val="16"/>
              </w:rPr>
            </w:pPr>
            <w:r w:rsidRPr="00BA0B39">
              <w:rPr>
                <w:rFonts w:cs="Arial"/>
                <w:sz w:val="16"/>
                <w:szCs w:val="16"/>
              </w:rPr>
              <w:t>2 262,7</w:t>
            </w:r>
          </w:p>
        </w:tc>
        <w:tc>
          <w:tcPr>
            <w:tcW w:w="907" w:type="dxa"/>
            <w:tcBorders>
              <w:top w:val="nil"/>
              <w:left w:val="nil"/>
              <w:bottom w:val="nil"/>
              <w:right w:val="single" w:sz="4" w:space="0" w:color="auto"/>
            </w:tcBorders>
            <w:shd w:val="clear" w:color="auto" w:fill="auto"/>
            <w:vAlign w:val="center"/>
            <w:hideMark/>
          </w:tcPr>
          <w:p w14:paraId="1F452A22" w14:textId="77777777" w:rsidR="00BA0B39" w:rsidRPr="00BA0B39" w:rsidRDefault="00BA0B39" w:rsidP="00BA0B39">
            <w:pPr>
              <w:spacing w:after="0" w:line="240" w:lineRule="auto"/>
              <w:jc w:val="right"/>
              <w:rPr>
                <w:rFonts w:cs="Arial"/>
                <w:sz w:val="16"/>
                <w:szCs w:val="16"/>
              </w:rPr>
            </w:pPr>
            <w:r w:rsidRPr="00BA0B39">
              <w:rPr>
                <w:rFonts w:cs="Arial"/>
                <w:sz w:val="16"/>
                <w:szCs w:val="16"/>
              </w:rPr>
              <w:t>2 188,3</w:t>
            </w:r>
          </w:p>
        </w:tc>
        <w:tc>
          <w:tcPr>
            <w:tcW w:w="907" w:type="dxa"/>
            <w:tcBorders>
              <w:top w:val="nil"/>
              <w:left w:val="nil"/>
              <w:bottom w:val="nil"/>
              <w:right w:val="nil"/>
            </w:tcBorders>
            <w:shd w:val="clear" w:color="auto" w:fill="auto"/>
            <w:noWrap/>
            <w:vAlign w:val="center"/>
            <w:hideMark/>
          </w:tcPr>
          <w:p w14:paraId="3B6E2821"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88,6</w:t>
            </w:r>
          </w:p>
        </w:tc>
        <w:tc>
          <w:tcPr>
            <w:tcW w:w="907" w:type="dxa"/>
            <w:tcBorders>
              <w:top w:val="nil"/>
              <w:left w:val="nil"/>
              <w:bottom w:val="nil"/>
              <w:right w:val="nil"/>
            </w:tcBorders>
            <w:shd w:val="clear" w:color="auto" w:fill="auto"/>
            <w:vAlign w:val="center"/>
            <w:hideMark/>
          </w:tcPr>
          <w:p w14:paraId="0C06424C" w14:textId="77777777" w:rsidR="00BA0B39" w:rsidRPr="00BA0B39" w:rsidRDefault="00BA0B39" w:rsidP="00BA0B39">
            <w:pPr>
              <w:spacing w:after="0" w:line="240" w:lineRule="auto"/>
              <w:jc w:val="right"/>
              <w:rPr>
                <w:rFonts w:cs="Arial"/>
                <w:sz w:val="16"/>
                <w:szCs w:val="16"/>
              </w:rPr>
            </w:pPr>
            <w:r w:rsidRPr="00BA0B39">
              <w:rPr>
                <w:rFonts w:cs="Arial"/>
                <w:sz w:val="16"/>
                <w:szCs w:val="16"/>
              </w:rPr>
              <w:t>49,5</w:t>
            </w:r>
          </w:p>
        </w:tc>
        <w:tc>
          <w:tcPr>
            <w:tcW w:w="907" w:type="dxa"/>
            <w:tcBorders>
              <w:top w:val="nil"/>
              <w:left w:val="nil"/>
              <w:bottom w:val="nil"/>
              <w:right w:val="nil"/>
            </w:tcBorders>
            <w:shd w:val="clear" w:color="auto" w:fill="auto"/>
            <w:noWrap/>
            <w:vAlign w:val="center"/>
            <w:hideMark/>
          </w:tcPr>
          <w:p w14:paraId="672A1BF3"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39,0</w:t>
            </w:r>
          </w:p>
        </w:tc>
      </w:tr>
      <w:tr w:rsidR="00BA0B39" w:rsidRPr="00BA0B39" w14:paraId="5F1ECACE" w14:textId="77777777" w:rsidTr="00BA0B39">
        <w:trPr>
          <w:trHeight w:val="300"/>
        </w:trPr>
        <w:tc>
          <w:tcPr>
            <w:tcW w:w="1304" w:type="dxa"/>
            <w:tcBorders>
              <w:top w:val="nil"/>
              <w:left w:val="nil"/>
              <w:bottom w:val="nil"/>
              <w:right w:val="single" w:sz="4" w:space="0" w:color="auto"/>
            </w:tcBorders>
            <w:shd w:val="clear" w:color="auto" w:fill="auto"/>
            <w:vAlign w:val="center"/>
            <w:hideMark/>
          </w:tcPr>
          <w:p w14:paraId="07C52F4C" w14:textId="77777777" w:rsidR="00BA0B39" w:rsidRPr="00BA0B39" w:rsidRDefault="00BA0B39" w:rsidP="00BA0B39">
            <w:pPr>
              <w:spacing w:after="0" w:line="240" w:lineRule="auto"/>
              <w:jc w:val="center"/>
              <w:rPr>
                <w:rFonts w:cs="Arial"/>
                <w:sz w:val="16"/>
                <w:szCs w:val="16"/>
              </w:rPr>
            </w:pPr>
            <w:r w:rsidRPr="00BA0B39">
              <w:rPr>
                <w:rFonts w:cs="Arial"/>
                <w:sz w:val="16"/>
                <w:szCs w:val="16"/>
              </w:rPr>
              <w:t>1. pol. 2017</w:t>
            </w:r>
          </w:p>
        </w:tc>
        <w:tc>
          <w:tcPr>
            <w:tcW w:w="896" w:type="dxa"/>
            <w:tcBorders>
              <w:top w:val="nil"/>
              <w:left w:val="single" w:sz="4" w:space="0" w:color="auto"/>
              <w:bottom w:val="nil"/>
              <w:right w:val="nil"/>
            </w:tcBorders>
            <w:shd w:val="clear" w:color="auto" w:fill="auto"/>
            <w:noWrap/>
            <w:vAlign w:val="center"/>
            <w:hideMark/>
          </w:tcPr>
          <w:p w14:paraId="32B42E6F"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4 632,1</w:t>
            </w:r>
          </w:p>
        </w:tc>
        <w:tc>
          <w:tcPr>
            <w:tcW w:w="890" w:type="dxa"/>
            <w:tcBorders>
              <w:top w:val="nil"/>
              <w:left w:val="nil"/>
              <w:bottom w:val="nil"/>
              <w:right w:val="nil"/>
            </w:tcBorders>
            <w:shd w:val="clear" w:color="auto" w:fill="auto"/>
            <w:vAlign w:val="center"/>
            <w:hideMark/>
          </w:tcPr>
          <w:p w14:paraId="4566182A" w14:textId="77777777" w:rsidR="00BA0B39" w:rsidRPr="00BA0B39" w:rsidRDefault="00BA0B39" w:rsidP="00BA0B39">
            <w:pPr>
              <w:spacing w:after="0" w:line="240" w:lineRule="auto"/>
              <w:jc w:val="right"/>
              <w:rPr>
                <w:rFonts w:cs="Arial"/>
                <w:sz w:val="16"/>
                <w:szCs w:val="16"/>
              </w:rPr>
            </w:pPr>
            <w:r w:rsidRPr="00BA0B39">
              <w:rPr>
                <w:rFonts w:cs="Arial"/>
                <w:sz w:val="16"/>
                <w:szCs w:val="16"/>
              </w:rPr>
              <w:t>2 351,8</w:t>
            </w:r>
          </w:p>
        </w:tc>
        <w:tc>
          <w:tcPr>
            <w:tcW w:w="890" w:type="dxa"/>
            <w:tcBorders>
              <w:top w:val="nil"/>
              <w:left w:val="nil"/>
              <w:bottom w:val="nil"/>
              <w:right w:val="single" w:sz="4" w:space="0" w:color="auto"/>
            </w:tcBorders>
            <w:shd w:val="clear" w:color="auto" w:fill="auto"/>
            <w:noWrap/>
            <w:vAlign w:val="center"/>
            <w:hideMark/>
          </w:tcPr>
          <w:p w14:paraId="78B9D3CD"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2 280,3</w:t>
            </w:r>
          </w:p>
        </w:tc>
        <w:tc>
          <w:tcPr>
            <w:tcW w:w="1056" w:type="dxa"/>
            <w:tcBorders>
              <w:top w:val="nil"/>
              <w:left w:val="nil"/>
              <w:bottom w:val="nil"/>
              <w:right w:val="nil"/>
            </w:tcBorders>
            <w:shd w:val="clear" w:color="auto" w:fill="auto"/>
            <w:noWrap/>
            <w:vAlign w:val="center"/>
            <w:hideMark/>
          </w:tcPr>
          <w:p w14:paraId="0BFF69CB" w14:textId="77777777" w:rsidR="00BA0B39" w:rsidRPr="00BA0B39" w:rsidRDefault="00BA0B39" w:rsidP="00BA0B39">
            <w:pPr>
              <w:spacing w:after="0" w:line="240" w:lineRule="auto"/>
              <w:jc w:val="right"/>
              <w:rPr>
                <w:rFonts w:cs="Arial"/>
                <w:sz w:val="16"/>
                <w:szCs w:val="16"/>
              </w:rPr>
            </w:pPr>
            <w:r w:rsidRPr="00BA0B39">
              <w:rPr>
                <w:rFonts w:cs="Arial"/>
                <w:sz w:val="16"/>
                <w:szCs w:val="16"/>
              </w:rPr>
              <w:t>4 544,0</w:t>
            </w:r>
          </w:p>
        </w:tc>
        <w:tc>
          <w:tcPr>
            <w:tcW w:w="907" w:type="dxa"/>
            <w:tcBorders>
              <w:top w:val="nil"/>
              <w:left w:val="nil"/>
              <w:bottom w:val="nil"/>
              <w:right w:val="nil"/>
            </w:tcBorders>
            <w:shd w:val="clear" w:color="auto" w:fill="auto"/>
            <w:vAlign w:val="center"/>
            <w:hideMark/>
          </w:tcPr>
          <w:p w14:paraId="608A5035" w14:textId="77777777" w:rsidR="00BA0B39" w:rsidRPr="00BA0B39" w:rsidRDefault="00BA0B39" w:rsidP="00BA0B39">
            <w:pPr>
              <w:spacing w:after="0" w:line="240" w:lineRule="auto"/>
              <w:jc w:val="right"/>
              <w:rPr>
                <w:rFonts w:cs="Arial"/>
                <w:sz w:val="16"/>
                <w:szCs w:val="16"/>
              </w:rPr>
            </w:pPr>
            <w:r w:rsidRPr="00BA0B39">
              <w:rPr>
                <w:rFonts w:cs="Arial"/>
                <w:sz w:val="16"/>
                <w:szCs w:val="16"/>
              </w:rPr>
              <w:t>2 298,4</w:t>
            </w:r>
          </w:p>
        </w:tc>
        <w:tc>
          <w:tcPr>
            <w:tcW w:w="907" w:type="dxa"/>
            <w:tcBorders>
              <w:top w:val="nil"/>
              <w:left w:val="nil"/>
              <w:bottom w:val="nil"/>
              <w:right w:val="single" w:sz="4" w:space="0" w:color="auto"/>
            </w:tcBorders>
            <w:shd w:val="clear" w:color="auto" w:fill="auto"/>
            <w:vAlign w:val="center"/>
            <w:hideMark/>
          </w:tcPr>
          <w:p w14:paraId="3533FBB0" w14:textId="77777777" w:rsidR="00BA0B39" w:rsidRPr="00BA0B39" w:rsidRDefault="00BA0B39" w:rsidP="00BA0B39">
            <w:pPr>
              <w:spacing w:after="0" w:line="240" w:lineRule="auto"/>
              <w:jc w:val="right"/>
              <w:rPr>
                <w:rFonts w:cs="Arial"/>
                <w:sz w:val="16"/>
                <w:szCs w:val="16"/>
              </w:rPr>
            </w:pPr>
            <w:r w:rsidRPr="00BA0B39">
              <w:rPr>
                <w:rFonts w:cs="Arial"/>
                <w:sz w:val="16"/>
                <w:szCs w:val="16"/>
              </w:rPr>
              <w:t>2 245,6</w:t>
            </w:r>
          </w:p>
        </w:tc>
        <w:tc>
          <w:tcPr>
            <w:tcW w:w="907" w:type="dxa"/>
            <w:tcBorders>
              <w:top w:val="nil"/>
              <w:left w:val="nil"/>
              <w:bottom w:val="nil"/>
              <w:right w:val="nil"/>
            </w:tcBorders>
            <w:shd w:val="clear" w:color="auto" w:fill="auto"/>
            <w:noWrap/>
            <w:vAlign w:val="center"/>
            <w:hideMark/>
          </w:tcPr>
          <w:p w14:paraId="264B6123"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88,1</w:t>
            </w:r>
          </w:p>
        </w:tc>
        <w:tc>
          <w:tcPr>
            <w:tcW w:w="907" w:type="dxa"/>
            <w:tcBorders>
              <w:top w:val="nil"/>
              <w:left w:val="nil"/>
              <w:bottom w:val="nil"/>
              <w:right w:val="nil"/>
            </w:tcBorders>
            <w:shd w:val="clear" w:color="auto" w:fill="auto"/>
            <w:vAlign w:val="center"/>
            <w:hideMark/>
          </w:tcPr>
          <w:p w14:paraId="34DA3928" w14:textId="77777777" w:rsidR="00BA0B39" w:rsidRPr="00BA0B39" w:rsidRDefault="00BA0B39" w:rsidP="00BA0B39">
            <w:pPr>
              <w:spacing w:after="0" w:line="240" w:lineRule="auto"/>
              <w:jc w:val="right"/>
              <w:rPr>
                <w:rFonts w:cs="Arial"/>
                <w:sz w:val="16"/>
                <w:szCs w:val="16"/>
              </w:rPr>
            </w:pPr>
            <w:r w:rsidRPr="00BA0B39">
              <w:rPr>
                <w:rFonts w:cs="Arial"/>
                <w:sz w:val="16"/>
                <w:szCs w:val="16"/>
              </w:rPr>
              <w:t>53,4</w:t>
            </w:r>
          </w:p>
        </w:tc>
        <w:tc>
          <w:tcPr>
            <w:tcW w:w="907" w:type="dxa"/>
            <w:tcBorders>
              <w:top w:val="nil"/>
              <w:left w:val="nil"/>
              <w:bottom w:val="nil"/>
              <w:right w:val="nil"/>
            </w:tcBorders>
            <w:shd w:val="clear" w:color="auto" w:fill="auto"/>
            <w:noWrap/>
            <w:vAlign w:val="center"/>
            <w:hideMark/>
          </w:tcPr>
          <w:p w14:paraId="32CF8B46"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34,7</w:t>
            </w:r>
          </w:p>
        </w:tc>
      </w:tr>
      <w:tr w:rsidR="00BA0B39" w:rsidRPr="00BA0B39" w14:paraId="718D948F" w14:textId="77777777" w:rsidTr="00BA0B39">
        <w:trPr>
          <w:trHeight w:val="300"/>
        </w:trPr>
        <w:tc>
          <w:tcPr>
            <w:tcW w:w="1304" w:type="dxa"/>
            <w:tcBorders>
              <w:top w:val="nil"/>
              <w:left w:val="nil"/>
              <w:bottom w:val="nil"/>
              <w:right w:val="single" w:sz="4" w:space="0" w:color="auto"/>
            </w:tcBorders>
            <w:shd w:val="clear" w:color="auto" w:fill="auto"/>
            <w:vAlign w:val="center"/>
            <w:hideMark/>
          </w:tcPr>
          <w:p w14:paraId="3B571A87" w14:textId="77777777" w:rsidR="00BA0B39" w:rsidRPr="00BA0B39" w:rsidRDefault="00BA0B39" w:rsidP="00BA0B39">
            <w:pPr>
              <w:spacing w:after="0" w:line="240" w:lineRule="auto"/>
              <w:jc w:val="center"/>
              <w:rPr>
                <w:rFonts w:cs="Arial"/>
                <w:sz w:val="16"/>
                <w:szCs w:val="16"/>
              </w:rPr>
            </w:pPr>
            <w:r w:rsidRPr="00BA0B39">
              <w:rPr>
                <w:rFonts w:cs="Arial"/>
                <w:sz w:val="16"/>
                <w:szCs w:val="16"/>
              </w:rPr>
              <w:t>1. pol. 2018</w:t>
            </w:r>
          </w:p>
        </w:tc>
        <w:tc>
          <w:tcPr>
            <w:tcW w:w="896" w:type="dxa"/>
            <w:tcBorders>
              <w:top w:val="nil"/>
              <w:left w:val="single" w:sz="4" w:space="0" w:color="auto"/>
              <w:bottom w:val="nil"/>
              <w:right w:val="nil"/>
            </w:tcBorders>
            <w:shd w:val="clear" w:color="auto" w:fill="auto"/>
            <w:noWrap/>
            <w:vAlign w:val="center"/>
            <w:hideMark/>
          </w:tcPr>
          <w:p w14:paraId="17A170C8"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4 710,8</w:t>
            </w:r>
          </w:p>
        </w:tc>
        <w:tc>
          <w:tcPr>
            <w:tcW w:w="890" w:type="dxa"/>
            <w:tcBorders>
              <w:top w:val="nil"/>
              <w:left w:val="nil"/>
              <w:bottom w:val="nil"/>
              <w:right w:val="nil"/>
            </w:tcBorders>
            <w:shd w:val="clear" w:color="auto" w:fill="auto"/>
            <w:vAlign w:val="center"/>
            <w:hideMark/>
          </w:tcPr>
          <w:p w14:paraId="277063ED" w14:textId="77777777" w:rsidR="00BA0B39" w:rsidRPr="00BA0B39" w:rsidRDefault="00BA0B39" w:rsidP="00BA0B39">
            <w:pPr>
              <w:spacing w:after="0" w:line="240" w:lineRule="auto"/>
              <w:jc w:val="right"/>
              <w:rPr>
                <w:rFonts w:cs="Arial"/>
                <w:sz w:val="16"/>
                <w:szCs w:val="16"/>
              </w:rPr>
            </w:pPr>
            <w:r w:rsidRPr="00BA0B39">
              <w:rPr>
                <w:rFonts w:cs="Arial"/>
                <w:sz w:val="16"/>
                <w:szCs w:val="16"/>
              </w:rPr>
              <w:t>2 381,4</w:t>
            </w:r>
          </w:p>
        </w:tc>
        <w:tc>
          <w:tcPr>
            <w:tcW w:w="890" w:type="dxa"/>
            <w:tcBorders>
              <w:top w:val="nil"/>
              <w:left w:val="nil"/>
              <w:bottom w:val="nil"/>
              <w:right w:val="single" w:sz="4" w:space="0" w:color="auto"/>
            </w:tcBorders>
            <w:shd w:val="clear" w:color="auto" w:fill="auto"/>
            <w:noWrap/>
            <w:vAlign w:val="center"/>
            <w:hideMark/>
          </w:tcPr>
          <w:p w14:paraId="1DB64893"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2 329,4</w:t>
            </w:r>
          </w:p>
        </w:tc>
        <w:tc>
          <w:tcPr>
            <w:tcW w:w="1056" w:type="dxa"/>
            <w:tcBorders>
              <w:top w:val="nil"/>
              <w:left w:val="nil"/>
              <w:bottom w:val="nil"/>
              <w:right w:val="nil"/>
            </w:tcBorders>
            <w:shd w:val="clear" w:color="auto" w:fill="auto"/>
            <w:noWrap/>
            <w:vAlign w:val="center"/>
            <w:hideMark/>
          </w:tcPr>
          <w:p w14:paraId="750B0232" w14:textId="77777777" w:rsidR="00BA0B39" w:rsidRPr="00BA0B39" w:rsidRDefault="00BA0B39" w:rsidP="00BA0B39">
            <w:pPr>
              <w:spacing w:after="0" w:line="240" w:lineRule="auto"/>
              <w:jc w:val="right"/>
              <w:rPr>
                <w:rFonts w:cs="Arial"/>
                <w:sz w:val="16"/>
                <w:szCs w:val="16"/>
              </w:rPr>
            </w:pPr>
            <w:r w:rsidRPr="00BA0B39">
              <w:rPr>
                <w:rFonts w:cs="Arial"/>
                <w:sz w:val="16"/>
                <w:szCs w:val="16"/>
              </w:rPr>
              <w:t>4 620,7</w:t>
            </w:r>
          </w:p>
        </w:tc>
        <w:tc>
          <w:tcPr>
            <w:tcW w:w="907" w:type="dxa"/>
            <w:tcBorders>
              <w:top w:val="nil"/>
              <w:left w:val="nil"/>
              <w:bottom w:val="nil"/>
              <w:right w:val="nil"/>
            </w:tcBorders>
            <w:shd w:val="clear" w:color="auto" w:fill="auto"/>
            <w:vAlign w:val="center"/>
            <w:hideMark/>
          </w:tcPr>
          <w:p w14:paraId="42602D5A" w14:textId="77777777" w:rsidR="00BA0B39" w:rsidRPr="00BA0B39" w:rsidRDefault="00BA0B39" w:rsidP="00BA0B39">
            <w:pPr>
              <w:spacing w:after="0" w:line="240" w:lineRule="auto"/>
              <w:jc w:val="right"/>
              <w:rPr>
                <w:rFonts w:cs="Arial"/>
                <w:sz w:val="16"/>
                <w:szCs w:val="16"/>
              </w:rPr>
            </w:pPr>
            <w:r w:rsidRPr="00BA0B39">
              <w:rPr>
                <w:rFonts w:cs="Arial"/>
                <w:sz w:val="16"/>
                <w:szCs w:val="16"/>
              </w:rPr>
              <w:t>2 327,6</w:t>
            </w:r>
          </w:p>
        </w:tc>
        <w:tc>
          <w:tcPr>
            <w:tcW w:w="907" w:type="dxa"/>
            <w:tcBorders>
              <w:top w:val="nil"/>
              <w:left w:val="nil"/>
              <w:bottom w:val="nil"/>
              <w:right w:val="single" w:sz="4" w:space="0" w:color="auto"/>
            </w:tcBorders>
            <w:shd w:val="clear" w:color="auto" w:fill="auto"/>
            <w:vAlign w:val="center"/>
            <w:hideMark/>
          </w:tcPr>
          <w:p w14:paraId="7EB8B2D4" w14:textId="77777777" w:rsidR="00BA0B39" w:rsidRPr="00BA0B39" w:rsidRDefault="00BA0B39" w:rsidP="00BA0B39">
            <w:pPr>
              <w:spacing w:after="0" w:line="240" w:lineRule="auto"/>
              <w:jc w:val="right"/>
              <w:rPr>
                <w:rFonts w:cs="Arial"/>
                <w:sz w:val="16"/>
                <w:szCs w:val="16"/>
              </w:rPr>
            </w:pPr>
            <w:r w:rsidRPr="00BA0B39">
              <w:rPr>
                <w:rFonts w:cs="Arial"/>
                <w:sz w:val="16"/>
                <w:szCs w:val="16"/>
              </w:rPr>
              <w:t>2 293,1</w:t>
            </w:r>
          </w:p>
        </w:tc>
        <w:tc>
          <w:tcPr>
            <w:tcW w:w="907" w:type="dxa"/>
            <w:tcBorders>
              <w:top w:val="nil"/>
              <w:left w:val="nil"/>
              <w:bottom w:val="nil"/>
              <w:right w:val="nil"/>
            </w:tcBorders>
            <w:shd w:val="clear" w:color="auto" w:fill="auto"/>
            <w:noWrap/>
            <w:vAlign w:val="center"/>
            <w:hideMark/>
          </w:tcPr>
          <w:p w14:paraId="0EB166C1"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90,1</w:t>
            </w:r>
          </w:p>
        </w:tc>
        <w:tc>
          <w:tcPr>
            <w:tcW w:w="907" w:type="dxa"/>
            <w:tcBorders>
              <w:top w:val="nil"/>
              <w:left w:val="nil"/>
              <w:bottom w:val="nil"/>
              <w:right w:val="nil"/>
            </w:tcBorders>
            <w:shd w:val="clear" w:color="auto" w:fill="auto"/>
            <w:vAlign w:val="center"/>
            <w:hideMark/>
          </w:tcPr>
          <w:p w14:paraId="46BFB7C7" w14:textId="77777777" w:rsidR="00BA0B39" w:rsidRPr="00BA0B39" w:rsidRDefault="00BA0B39" w:rsidP="00BA0B39">
            <w:pPr>
              <w:spacing w:after="0" w:line="240" w:lineRule="auto"/>
              <w:jc w:val="right"/>
              <w:rPr>
                <w:rFonts w:cs="Arial"/>
                <w:sz w:val="16"/>
                <w:szCs w:val="16"/>
              </w:rPr>
            </w:pPr>
            <w:r w:rsidRPr="00BA0B39">
              <w:rPr>
                <w:rFonts w:cs="Arial"/>
                <w:sz w:val="16"/>
                <w:szCs w:val="16"/>
              </w:rPr>
              <w:t>53,8</w:t>
            </w:r>
          </w:p>
        </w:tc>
        <w:tc>
          <w:tcPr>
            <w:tcW w:w="907" w:type="dxa"/>
            <w:tcBorders>
              <w:top w:val="nil"/>
              <w:left w:val="nil"/>
              <w:bottom w:val="nil"/>
              <w:right w:val="nil"/>
            </w:tcBorders>
            <w:shd w:val="clear" w:color="auto" w:fill="auto"/>
            <w:noWrap/>
            <w:vAlign w:val="center"/>
            <w:hideMark/>
          </w:tcPr>
          <w:p w14:paraId="43FA39F0"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36,3</w:t>
            </w:r>
          </w:p>
        </w:tc>
      </w:tr>
      <w:tr w:rsidR="00BA0B39" w:rsidRPr="00BA0B39" w14:paraId="6C4766E9" w14:textId="77777777" w:rsidTr="00BA0B39">
        <w:trPr>
          <w:trHeight w:val="300"/>
        </w:trPr>
        <w:tc>
          <w:tcPr>
            <w:tcW w:w="1304" w:type="dxa"/>
            <w:tcBorders>
              <w:top w:val="nil"/>
              <w:left w:val="nil"/>
              <w:bottom w:val="nil"/>
              <w:right w:val="single" w:sz="4" w:space="0" w:color="auto"/>
            </w:tcBorders>
            <w:shd w:val="clear" w:color="auto" w:fill="auto"/>
            <w:vAlign w:val="center"/>
            <w:hideMark/>
          </w:tcPr>
          <w:p w14:paraId="5F893320" w14:textId="77777777" w:rsidR="00BA0B39" w:rsidRPr="00BA0B39" w:rsidRDefault="00BA0B39" w:rsidP="00BA0B39">
            <w:pPr>
              <w:spacing w:after="0" w:line="240" w:lineRule="auto"/>
              <w:jc w:val="center"/>
              <w:rPr>
                <w:rFonts w:cs="Arial"/>
                <w:sz w:val="16"/>
                <w:szCs w:val="16"/>
              </w:rPr>
            </w:pPr>
            <w:r w:rsidRPr="00BA0B39">
              <w:rPr>
                <w:rFonts w:cs="Arial"/>
                <w:sz w:val="16"/>
                <w:szCs w:val="16"/>
              </w:rPr>
              <w:t>1. pol. 2019</w:t>
            </w:r>
          </w:p>
        </w:tc>
        <w:tc>
          <w:tcPr>
            <w:tcW w:w="896" w:type="dxa"/>
            <w:tcBorders>
              <w:top w:val="nil"/>
              <w:left w:val="nil"/>
              <w:bottom w:val="nil"/>
              <w:right w:val="nil"/>
            </w:tcBorders>
            <w:shd w:val="clear" w:color="auto" w:fill="auto"/>
            <w:noWrap/>
            <w:vAlign w:val="center"/>
            <w:hideMark/>
          </w:tcPr>
          <w:p w14:paraId="2D7B3229"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4 736,9</w:t>
            </w:r>
          </w:p>
        </w:tc>
        <w:tc>
          <w:tcPr>
            <w:tcW w:w="890" w:type="dxa"/>
            <w:tcBorders>
              <w:top w:val="nil"/>
              <w:left w:val="nil"/>
              <w:bottom w:val="nil"/>
              <w:right w:val="nil"/>
            </w:tcBorders>
            <w:shd w:val="clear" w:color="auto" w:fill="auto"/>
            <w:noWrap/>
            <w:vAlign w:val="center"/>
            <w:hideMark/>
          </w:tcPr>
          <w:p w14:paraId="6A401912"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2 386,5</w:t>
            </w:r>
          </w:p>
        </w:tc>
        <w:tc>
          <w:tcPr>
            <w:tcW w:w="890" w:type="dxa"/>
            <w:tcBorders>
              <w:top w:val="nil"/>
              <w:left w:val="nil"/>
              <w:bottom w:val="nil"/>
              <w:right w:val="single" w:sz="4" w:space="0" w:color="auto"/>
            </w:tcBorders>
            <w:shd w:val="clear" w:color="auto" w:fill="auto"/>
            <w:noWrap/>
            <w:vAlign w:val="center"/>
            <w:hideMark/>
          </w:tcPr>
          <w:p w14:paraId="380EC100"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2 350,4</w:t>
            </w:r>
          </w:p>
        </w:tc>
        <w:tc>
          <w:tcPr>
            <w:tcW w:w="1056" w:type="dxa"/>
            <w:tcBorders>
              <w:top w:val="nil"/>
              <w:left w:val="nil"/>
              <w:bottom w:val="nil"/>
              <w:right w:val="nil"/>
            </w:tcBorders>
            <w:shd w:val="clear" w:color="auto" w:fill="auto"/>
            <w:noWrap/>
            <w:vAlign w:val="center"/>
            <w:hideMark/>
          </w:tcPr>
          <w:p w14:paraId="290EE156"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4 644,3</w:t>
            </w:r>
          </w:p>
        </w:tc>
        <w:tc>
          <w:tcPr>
            <w:tcW w:w="907" w:type="dxa"/>
            <w:tcBorders>
              <w:top w:val="nil"/>
              <w:left w:val="nil"/>
              <w:bottom w:val="nil"/>
              <w:right w:val="nil"/>
            </w:tcBorders>
            <w:shd w:val="clear" w:color="auto" w:fill="auto"/>
            <w:noWrap/>
            <w:vAlign w:val="center"/>
            <w:hideMark/>
          </w:tcPr>
          <w:p w14:paraId="3AE76CE5"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2 332,0</w:t>
            </w:r>
          </w:p>
        </w:tc>
        <w:tc>
          <w:tcPr>
            <w:tcW w:w="907" w:type="dxa"/>
            <w:tcBorders>
              <w:top w:val="nil"/>
              <w:left w:val="nil"/>
              <w:bottom w:val="nil"/>
              <w:right w:val="single" w:sz="4" w:space="0" w:color="auto"/>
            </w:tcBorders>
            <w:shd w:val="clear" w:color="auto" w:fill="auto"/>
            <w:noWrap/>
            <w:vAlign w:val="center"/>
            <w:hideMark/>
          </w:tcPr>
          <w:p w14:paraId="5B496010"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2 312,3</w:t>
            </w:r>
          </w:p>
        </w:tc>
        <w:tc>
          <w:tcPr>
            <w:tcW w:w="907" w:type="dxa"/>
            <w:tcBorders>
              <w:top w:val="nil"/>
              <w:left w:val="nil"/>
              <w:bottom w:val="nil"/>
              <w:right w:val="nil"/>
            </w:tcBorders>
            <w:shd w:val="clear" w:color="auto" w:fill="auto"/>
            <w:noWrap/>
            <w:vAlign w:val="center"/>
            <w:hideMark/>
          </w:tcPr>
          <w:p w14:paraId="28F71B9B"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92,6</w:t>
            </w:r>
          </w:p>
        </w:tc>
        <w:tc>
          <w:tcPr>
            <w:tcW w:w="907" w:type="dxa"/>
            <w:tcBorders>
              <w:top w:val="nil"/>
              <w:left w:val="nil"/>
              <w:bottom w:val="nil"/>
              <w:right w:val="nil"/>
            </w:tcBorders>
            <w:shd w:val="clear" w:color="auto" w:fill="auto"/>
            <w:noWrap/>
            <w:vAlign w:val="center"/>
            <w:hideMark/>
          </w:tcPr>
          <w:p w14:paraId="2AEAE253"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54,5</w:t>
            </w:r>
          </w:p>
        </w:tc>
        <w:tc>
          <w:tcPr>
            <w:tcW w:w="907" w:type="dxa"/>
            <w:tcBorders>
              <w:top w:val="nil"/>
              <w:left w:val="nil"/>
              <w:bottom w:val="nil"/>
              <w:right w:val="nil"/>
            </w:tcBorders>
            <w:shd w:val="clear" w:color="auto" w:fill="auto"/>
            <w:noWrap/>
            <w:vAlign w:val="center"/>
            <w:hideMark/>
          </w:tcPr>
          <w:p w14:paraId="0FF95BE7"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38,1</w:t>
            </w:r>
          </w:p>
        </w:tc>
      </w:tr>
      <w:tr w:rsidR="00BA0B39" w:rsidRPr="00BA0B39" w14:paraId="619589EA" w14:textId="77777777" w:rsidTr="00BA0B39">
        <w:trPr>
          <w:trHeight w:val="300"/>
        </w:trPr>
        <w:tc>
          <w:tcPr>
            <w:tcW w:w="1304" w:type="dxa"/>
            <w:tcBorders>
              <w:top w:val="nil"/>
              <w:left w:val="nil"/>
              <w:bottom w:val="nil"/>
              <w:right w:val="single" w:sz="4" w:space="0" w:color="auto"/>
            </w:tcBorders>
            <w:shd w:val="clear" w:color="auto" w:fill="auto"/>
            <w:vAlign w:val="center"/>
            <w:hideMark/>
          </w:tcPr>
          <w:p w14:paraId="0A43E91E" w14:textId="77777777" w:rsidR="00BA0B39" w:rsidRPr="00BA0B39" w:rsidRDefault="00BA0B39" w:rsidP="00BA0B39">
            <w:pPr>
              <w:spacing w:after="0" w:line="240" w:lineRule="auto"/>
              <w:jc w:val="center"/>
              <w:rPr>
                <w:rFonts w:cs="Arial"/>
                <w:sz w:val="16"/>
                <w:szCs w:val="16"/>
              </w:rPr>
            </w:pPr>
            <w:r w:rsidRPr="00BA0B39">
              <w:rPr>
                <w:rFonts w:cs="Arial"/>
                <w:sz w:val="16"/>
                <w:szCs w:val="16"/>
              </w:rPr>
              <w:t>1. pol. 2020</w:t>
            </w:r>
          </w:p>
        </w:tc>
        <w:tc>
          <w:tcPr>
            <w:tcW w:w="896" w:type="dxa"/>
            <w:tcBorders>
              <w:top w:val="nil"/>
              <w:left w:val="nil"/>
              <w:bottom w:val="nil"/>
              <w:right w:val="nil"/>
            </w:tcBorders>
            <w:shd w:val="clear" w:color="auto" w:fill="auto"/>
            <w:noWrap/>
            <w:vAlign w:val="center"/>
            <w:hideMark/>
          </w:tcPr>
          <w:p w14:paraId="6A52C9BC"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4 687,3</w:t>
            </w:r>
          </w:p>
        </w:tc>
        <w:tc>
          <w:tcPr>
            <w:tcW w:w="890" w:type="dxa"/>
            <w:tcBorders>
              <w:top w:val="nil"/>
              <w:left w:val="nil"/>
              <w:bottom w:val="nil"/>
              <w:right w:val="nil"/>
            </w:tcBorders>
            <w:shd w:val="clear" w:color="auto" w:fill="auto"/>
            <w:noWrap/>
            <w:vAlign w:val="center"/>
            <w:hideMark/>
          </w:tcPr>
          <w:p w14:paraId="05122717"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2 354,3</w:t>
            </w:r>
          </w:p>
        </w:tc>
        <w:tc>
          <w:tcPr>
            <w:tcW w:w="890" w:type="dxa"/>
            <w:tcBorders>
              <w:top w:val="nil"/>
              <w:left w:val="nil"/>
              <w:bottom w:val="nil"/>
              <w:right w:val="single" w:sz="4" w:space="0" w:color="auto"/>
            </w:tcBorders>
            <w:shd w:val="clear" w:color="auto" w:fill="auto"/>
            <w:noWrap/>
            <w:vAlign w:val="center"/>
            <w:hideMark/>
          </w:tcPr>
          <w:p w14:paraId="24723F26"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2 333,0</w:t>
            </w:r>
          </w:p>
        </w:tc>
        <w:tc>
          <w:tcPr>
            <w:tcW w:w="1056" w:type="dxa"/>
            <w:tcBorders>
              <w:top w:val="nil"/>
              <w:left w:val="nil"/>
              <w:bottom w:val="nil"/>
              <w:right w:val="nil"/>
            </w:tcBorders>
            <w:shd w:val="clear" w:color="auto" w:fill="auto"/>
            <w:noWrap/>
            <w:vAlign w:val="center"/>
            <w:hideMark/>
          </w:tcPr>
          <w:p w14:paraId="4DED6B92"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4 592,3</w:t>
            </w:r>
          </w:p>
        </w:tc>
        <w:tc>
          <w:tcPr>
            <w:tcW w:w="907" w:type="dxa"/>
            <w:tcBorders>
              <w:top w:val="nil"/>
              <w:left w:val="nil"/>
              <w:bottom w:val="nil"/>
              <w:right w:val="nil"/>
            </w:tcBorders>
            <w:shd w:val="clear" w:color="auto" w:fill="auto"/>
            <w:noWrap/>
            <w:vAlign w:val="center"/>
            <w:hideMark/>
          </w:tcPr>
          <w:p w14:paraId="2844A6EB"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2 299,1</w:t>
            </w:r>
          </w:p>
        </w:tc>
        <w:tc>
          <w:tcPr>
            <w:tcW w:w="907" w:type="dxa"/>
            <w:tcBorders>
              <w:top w:val="nil"/>
              <w:left w:val="nil"/>
              <w:bottom w:val="nil"/>
              <w:right w:val="single" w:sz="4" w:space="0" w:color="auto"/>
            </w:tcBorders>
            <w:shd w:val="clear" w:color="auto" w:fill="auto"/>
            <w:noWrap/>
            <w:vAlign w:val="center"/>
            <w:hideMark/>
          </w:tcPr>
          <w:p w14:paraId="6CC447E8"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2 293,2</w:t>
            </w:r>
          </w:p>
        </w:tc>
        <w:tc>
          <w:tcPr>
            <w:tcW w:w="907" w:type="dxa"/>
            <w:tcBorders>
              <w:top w:val="nil"/>
              <w:left w:val="nil"/>
              <w:bottom w:val="nil"/>
              <w:right w:val="nil"/>
            </w:tcBorders>
            <w:shd w:val="clear" w:color="auto" w:fill="auto"/>
            <w:noWrap/>
            <w:vAlign w:val="center"/>
            <w:hideMark/>
          </w:tcPr>
          <w:p w14:paraId="41077482"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95,0</w:t>
            </w:r>
          </w:p>
        </w:tc>
        <w:tc>
          <w:tcPr>
            <w:tcW w:w="907" w:type="dxa"/>
            <w:tcBorders>
              <w:top w:val="nil"/>
              <w:left w:val="nil"/>
              <w:bottom w:val="nil"/>
              <w:right w:val="nil"/>
            </w:tcBorders>
            <w:shd w:val="clear" w:color="auto" w:fill="auto"/>
            <w:noWrap/>
            <w:vAlign w:val="center"/>
            <w:hideMark/>
          </w:tcPr>
          <w:p w14:paraId="560D885A"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55,3</w:t>
            </w:r>
          </w:p>
        </w:tc>
        <w:tc>
          <w:tcPr>
            <w:tcW w:w="907" w:type="dxa"/>
            <w:tcBorders>
              <w:top w:val="nil"/>
              <w:left w:val="nil"/>
              <w:bottom w:val="nil"/>
              <w:right w:val="nil"/>
            </w:tcBorders>
            <w:shd w:val="clear" w:color="auto" w:fill="auto"/>
            <w:noWrap/>
            <w:vAlign w:val="center"/>
            <w:hideMark/>
          </w:tcPr>
          <w:p w14:paraId="6034B877"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39,8</w:t>
            </w:r>
          </w:p>
        </w:tc>
      </w:tr>
      <w:tr w:rsidR="00BA0B39" w:rsidRPr="00BA0B39" w14:paraId="40ACC16A" w14:textId="77777777" w:rsidTr="00BA0B39">
        <w:trPr>
          <w:trHeight w:val="300"/>
        </w:trPr>
        <w:tc>
          <w:tcPr>
            <w:tcW w:w="1304" w:type="dxa"/>
            <w:tcBorders>
              <w:top w:val="nil"/>
              <w:left w:val="nil"/>
              <w:bottom w:val="nil"/>
              <w:right w:val="single" w:sz="4" w:space="0" w:color="auto"/>
            </w:tcBorders>
            <w:shd w:val="clear" w:color="auto" w:fill="auto"/>
            <w:vAlign w:val="center"/>
            <w:hideMark/>
          </w:tcPr>
          <w:p w14:paraId="40D8CA4C" w14:textId="77777777" w:rsidR="00BA0B39" w:rsidRPr="00BA0B39" w:rsidRDefault="00BA0B39" w:rsidP="00BA0B39">
            <w:pPr>
              <w:spacing w:after="0" w:line="240" w:lineRule="auto"/>
              <w:jc w:val="center"/>
              <w:rPr>
                <w:rFonts w:cs="Arial"/>
                <w:sz w:val="16"/>
                <w:szCs w:val="16"/>
              </w:rPr>
            </w:pPr>
            <w:r w:rsidRPr="00BA0B39">
              <w:rPr>
                <w:rFonts w:cs="Arial"/>
                <w:sz w:val="16"/>
                <w:szCs w:val="16"/>
              </w:rPr>
              <w:t>1. pol. 2021</w:t>
            </w:r>
          </w:p>
        </w:tc>
        <w:tc>
          <w:tcPr>
            <w:tcW w:w="896" w:type="dxa"/>
            <w:tcBorders>
              <w:top w:val="nil"/>
              <w:left w:val="nil"/>
              <w:bottom w:val="nil"/>
              <w:right w:val="nil"/>
            </w:tcBorders>
            <w:shd w:val="clear" w:color="auto" w:fill="auto"/>
            <w:noWrap/>
            <w:vAlign w:val="center"/>
            <w:hideMark/>
          </w:tcPr>
          <w:p w14:paraId="57D59BDA"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4 688,6</w:t>
            </w:r>
          </w:p>
        </w:tc>
        <w:tc>
          <w:tcPr>
            <w:tcW w:w="890" w:type="dxa"/>
            <w:tcBorders>
              <w:top w:val="nil"/>
              <w:left w:val="nil"/>
              <w:bottom w:val="nil"/>
              <w:right w:val="nil"/>
            </w:tcBorders>
            <w:shd w:val="clear" w:color="auto" w:fill="auto"/>
            <w:noWrap/>
            <w:vAlign w:val="center"/>
            <w:hideMark/>
          </w:tcPr>
          <w:p w14:paraId="38C8D6A8"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2 347,5</w:t>
            </w:r>
          </w:p>
        </w:tc>
        <w:tc>
          <w:tcPr>
            <w:tcW w:w="890" w:type="dxa"/>
            <w:tcBorders>
              <w:top w:val="nil"/>
              <w:left w:val="nil"/>
              <w:bottom w:val="nil"/>
              <w:right w:val="single" w:sz="4" w:space="0" w:color="auto"/>
            </w:tcBorders>
            <w:shd w:val="clear" w:color="auto" w:fill="auto"/>
            <w:noWrap/>
            <w:vAlign w:val="center"/>
            <w:hideMark/>
          </w:tcPr>
          <w:p w14:paraId="0BDFCA6B"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2 341,1</w:t>
            </w:r>
          </w:p>
        </w:tc>
        <w:tc>
          <w:tcPr>
            <w:tcW w:w="1056" w:type="dxa"/>
            <w:tcBorders>
              <w:top w:val="nil"/>
              <w:left w:val="nil"/>
              <w:bottom w:val="nil"/>
              <w:right w:val="nil"/>
            </w:tcBorders>
            <w:shd w:val="clear" w:color="auto" w:fill="auto"/>
            <w:noWrap/>
            <w:vAlign w:val="center"/>
            <w:hideMark/>
          </w:tcPr>
          <w:p w14:paraId="2365271E"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4 591,3</w:t>
            </w:r>
          </w:p>
        </w:tc>
        <w:tc>
          <w:tcPr>
            <w:tcW w:w="907" w:type="dxa"/>
            <w:tcBorders>
              <w:top w:val="nil"/>
              <w:left w:val="nil"/>
              <w:bottom w:val="nil"/>
              <w:right w:val="nil"/>
            </w:tcBorders>
            <w:shd w:val="clear" w:color="auto" w:fill="auto"/>
            <w:noWrap/>
            <w:vAlign w:val="center"/>
            <w:hideMark/>
          </w:tcPr>
          <w:p w14:paraId="7A9A5EDF"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2 291,4</w:t>
            </w:r>
          </w:p>
        </w:tc>
        <w:tc>
          <w:tcPr>
            <w:tcW w:w="907" w:type="dxa"/>
            <w:tcBorders>
              <w:top w:val="nil"/>
              <w:left w:val="nil"/>
              <w:bottom w:val="nil"/>
              <w:right w:val="single" w:sz="4" w:space="0" w:color="auto"/>
            </w:tcBorders>
            <w:shd w:val="clear" w:color="auto" w:fill="auto"/>
            <w:noWrap/>
            <w:vAlign w:val="center"/>
            <w:hideMark/>
          </w:tcPr>
          <w:p w14:paraId="0F367AF7"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2 299,8</w:t>
            </w:r>
          </w:p>
        </w:tc>
        <w:tc>
          <w:tcPr>
            <w:tcW w:w="907" w:type="dxa"/>
            <w:tcBorders>
              <w:top w:val="nil"/>
              <w:left w:val="nil"/>
              <w:bottom w:val="nil"/>
              <w:right w:val="nil"/>
            </w:tcBorders>
            <w:shd w:val="clear" w:color="auto" w:fill="auto"/>
            <w:noWrap/>
            <w:vAlign w:val="center"/>
            <w:hideMark/>
          </w:tcPr>
          <w:p w14:paraId="38180336"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97,3</w:t>
            </w:r>
          </w:p>
        </w:tc>
        <w:tc>
          <w:tcPr>
            <w:tcW w:w="907" w:type="dxa"/>
            <w:tcBorders>
              <w:top w:val="nil"/>
              <w:left w:val="nil"/>
              <w:bottom w:val="nil"/>
              <w:right w:val="nil"/>
            </w:tcBorders>
            <w:shd w:val="clear" w:color="auto" w:fill="auto"/>
            <w:noWrap/>
            <w:vAlign w:val="center"/>
            <w:hideMark/>
          </w:tcPr>
          <w:p w14:paraId="0C401246"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56,0</w:t>
            </w:r>
          </w:p>
        </w:tc>
        <w:tc>
          <w:tcPr>
            <w:tcW w:w="907" w:type="dxa"/>
            <w:tcBorders>
              <w:top w:val="nil"/>
              <w:left w:val="nil"/>
              <w:bottom w:val="nil"/>
              <w:right w:val="nil"/>
            </w:tcBorders>
            <w:shd w:val="clear" w:color="auto" w:fill="auto"/>
            <w:noWrap/>
            <w:vAlign w:val="center"/>
            <w:hideMark/>
          </w:tcPr>
          <w:p w14:paraId="1109D13D"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41,3</w:t>
            </w:r>
          </w:p>
        </w:tc>
      </w:tr>
      <w:tr w:rsidR="00BA0B39" w:rsidRPr="00BA0B39" w14:paraId="6DA14E17" w14:textId="77777777" w:rsidTr="00BA0B39">
        <w:trPr>
          <w:trHeight w:val="300"/>
        </w:trPr>
        <w:tc>
          <w:tcPr>
            <w:tcW w:w="1304" w:type="dxa"/>
            <w:tcBorders>
              <w:top w:val="nil"/>
              <w:left w:val="nil"/>
              <w:bottom w:val="nil"/>
              <w:right w:val="single" w:sz="4" w:space="0" w:color="auto"/>
            </w:tcBorders>
            <w:shd w:val="clear" w:color="auto" w:fill="auto"/>
            <w:vAlign w:val="center"/>
            <w:hideMark/>
          </w:tcPr>
          <w:p w14:paraId="3E84D873" w14:textId="77777777" w:rsidR="00BA0B39" w:rsidRPr="00BA0B39" w:rsidRDefault="00BA0B39" w:rsidP="00BA0B39">
            <w:pPr>
              <w:spacing w:after="0" w:line="240" w:lineRule="auto"/>
              <w:jc w:val="center"/>
              <w:rPr>
                <w:rFonts w:cs="Arial"/>
                <w:sz w:val="16"/>
                <w:szCs w:val="16"/>
              </w:rPr>
            </w:pPr>
            <w:r w:rsidRPr="00BA0B39">
              <w:rPr>
                <w:rFonts w:cs="Arial"/>
                <w:sz w:val="16"/>
                <w:szCs w:val="16"/>
              </w:rPr>
              <w:t>1. pol. 2022</w:t>
            </w:r>
          </w:p>
        </w:tc>
        <w:tc>
          <w:tcPr>
            <w:tcW w:w="896" w:type="dxa"/>
            <w:tcBorders>
              <w:top w:val="nil"/>
              <w:left w:val="nil"/>
              <w:bottom w:val="nil"/>
              <w:right w:val="nil"/>
            </w:tcBorders>
            <w:shd w:val="clear" w:color="auto" w:fill="auto"/>
            <w:noWrap/>
            <w:vAlign w:val="center"/>
            <w:hideMark/>
          </w:tcPr>
          <w:p w14:paraId="09707E8F"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4 719,9</w:t>
            </w:r>
          </w:p>
        </w:tc>
        <w:tc>
          <w:tcPr>
            <w:tcW w:w="890" w:type="dxa"/>
            <w:tcBorders>
              <w:top w:val="nil"/>
              <w:left w:val="nil"/>
              <w:bottom w:val="nil"/>
              <w:right w:val="nil"/>
            </w:tcBorders>
            <w:shd w:val="clear" w:color="auto" w:fill="auto"/>
            <w:noWrap/>
            <w:vAlign w:val="center"/>
            <w:hideMark/>
          </w:tcPr>
          <w:p w14:paraId="3BB3F211"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2 350,7</w:t>
            </w:r>
          </w:p>
        </w:tc>
        <w:tc>
          <w:tcPr>
            <w:tcW w:w="890" w:type="dxa"/>
            <w:tcBorders>
              <w:top w:val="nil"/>
              <w:left w:val="nil"/>
              <w:bottom w:val="nil"/>
              <w:right w:val="single" w:sz="4" w:space="0" w:color="auto"/>
            </w:tcBorders>
            <w:shd w:val="clear" w:color="auto" w:fill="auto"/>
            <w:noWrap/>
            <w:vAlign w:val="center"/>
            <w:hideMark/>
          </w:tcPr>
          <w:p w14:paraId="015A3FE9"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2 369,1</w:t>
            </w:r>
          </w:p>
        </w:tc>
        <w:tc>
          <w:tcPr>
            <w:tcW w:w="1056" w:type="dxa"/>
            <w:tcBorders>
              <w:top w:val="nil"/>
              <w:left w:val="nil"/>
              <w:bottom w:val="nil"/>
              <w:right w:val="nil"/>
            </w:tcBorders>
            <w:shd w:val="clear" w:color="auto" w:fill="auto"/>
            <w:noWrap/>
            <w:vAlign w:val="center"/>
            <w:hideMark/>
          </w:tcPr>
          <w:p w14:paraId="7E5276ED"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4 619,5</w:t>
            </w:r>
          </w:p>
        </w:tc>
        <w:tc>
          <w:tcPr>
            <w:tcW w:w="907" w:type="dxa"/>
            <w:tcBorders>
              <w:top w:val="nil"/>
              <w:left w:val="nil"/>
              <w:bottom w:val="nil"/>
              <w:right w:val="nil"/>
            </w:tcBorders>
            <w:shd w:val="clear" w:color="auto" w:fill="auto"/>
            <w:noWrap/>
            <w:vAlign w:val="center"/>
            <w:hideMark/>
          </w:tcPr>
          <w:p w14:paraId="3CA96586"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2 293,3</w:t>
            </w:r>
          </w:p>
        </w:tc>
        <w:tc>
          <w:tcPr>
            <w:tcW w:w="907" w:type="dxa"/>
            <w:tcBorders>
              <w:top w:val="nil"/>
              <w:left w:val="nil"/>
              <w:bottom w:val="nil"/>
              <w:right w:val="single" w:sz="4" w:space="0" w:color="auto"/>
            </w:tcBorders>
            <w:shd w:val="clear" w:color="auto" w:fill="auto"/>
            <w:noWrap/>
            <w:vAlign w:val="center"/>
            <w:hideMark/>
          </w:tcPr>
          <w:p w14:paraId="49A89B9F"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2 326,2</w:t>
            </w:r>
          </w:p>
        </w:tc>
        <w:tc>
          <w:tcPr>
            <w:tcW w:w="907" w:type="dxa"/>
            <w:tcBorders>
              <w:top w:val="nil"/>
              <w:left w:val="nil"/>
              <w:bottom w:val="nil"/>
              <w:right w:val="nil"/>
            </w:tcBorders>
            <w:shd w:val="clear" w:color="auto" w:fill="auto"/>
            <w:noWrap/>
            <w:vAlign w:val="center"/>
            <w:hideMark/>
          </w:tcPr>
          <w:p w14:paraId="646709B6"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100,4</w:t>
            </w:r>
          </w:p>
        </w:tc>
        <w:tc>
          <w:tcPr>
            <w:tcW w:w="907" w:type="dxa"/>
            <w:tcBorders>
              <w:top w:val="nil"/>
              <w:left w:val="nil"/>
              <w:bottom w:val="nil"/>
              <w:right w:val="nil"/>
            </w:tcBorders>
            <w:shd w:val="clear" w:color="auto" w:fill="auto"/>
            <w:noWrap/>
            <w:vAlign w:val="center"/>
            <w:hideMark/>
          </w:tcPr>
          <w:p w14:paraId="5FEC7AFC"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57,4</w:t>
            </w:r>
          </w:p>
        </w:tc>
        <w:tc>
          <w:tcPr>
            <w:tcW w:w="907" w:type="dxa"/>
            <w:tcBorders>
              <w:top w:val="nil"/>
              <w:left w:val="nil"/>
              <w:bottom w:val="nil"/>
              <w:right w:val="nil"/>
            </w:tcBorders>
            <w:shd w:val="clear" w:color="auto" w:fill="auto"/>
            <w:noWrap/>
            <w:vAlign w:val="center"/>
            <w:hideMark/>
          </w:tcPr>
          <w:p w14:paraId="0E36F6A8"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43,0</w:t>
            </w:r>
          </w:p>
        </w:tc>
      </w:tr>
    </w:tbl>
    <w:p w14:paraId="61677C45" w14:textId="77777777" w:rsidR="00BA0B39" w:rsidRPr="00BA0B39" w:rsidRDefault="00BA0B39" w:rsidP="00BA0B39">
      <w:pPr>
        <w:spacing w:after="0" w:line="240" w:lineRule="auto"/>
        <w:rPr>
          <w:rFonts w:cs="Arial"/>
          <w:b/>
          <w:bCs/>
          <w:color w:val="000000"/>
          <w:szCs w:val="20"/>
        </w:rPr>
      </w:pPr>
    </w:p>
    <w:p w14:paraId="7B9F09BF" w14:textId="77777777" w:rsidR="00184B5C" w:rsidRPr="00D92E20" w:rsidRDefault="00184B5C" w:rsidP="00BA0B39">
      <w:pPr>
        <w:spacing w:after="120"/>
        <w:jc w:val="both"/>
        <w:rPr>
          <w:rFonts w:cs="Arial"/>
          <w:bCs/>
          <w:color w:val="000000"/>
          <w:sz w:val="16"/>
          <w:szCs w:val="20"/>
        </w:rPr>
      </w:pPr>
      <w:r w:rsidRPr="00D92E20">
        <w:rPr>
          <w:rFonts w:cs="Arial"/>
          <w:bCs/>
          <w:color w:val="000000"/>
          <w:sz w:val="16"/>
          <w:szCs w:val="20"/>
        </w:rPr>
        <w:t>Zdroj: ČSÚ</w:t>
      </w:r>
    </w:p>
    <w:p w14:paraId="7CDD3160" w14:textId="2E58BE4A" w:rsidR="00C05AB7" w:rsidRPr="008A3B50" w:rsidRDefault="005D14C3" w:rsidP="00155829">
      <w:pPr>
        <w:spacing w:after="120"/>
        <w:jc w:val="both"/>
      </w:pPr>
      <w:r w:rsidRPr="008A3B50">
        <w:t xml:space="preserve">Počet </w:t>
      </w:r>
      <w:r w:rsidRPr="008A3B50">
        <w:rPr>
          <w:b/>
        </w:rPr>
        <w:t>dobrovolně nemocensky pojištěných</w:t>
      </w:r>
      <w:r w:rsidRPr="008A3B50">
        <w:t xml:space="preserve"> – tedy</w:t>
      </w:r>
      <w:r w:rsidR="00AC7EEB" w:rsidRPr="008A3B50">
        <w:t xml:space="preserve"> </w:t>
      </w:r>
      <w:r w:rsidR="00AC7EEB" w:rsidRPr="008A3B50">
        <w:rPr>
          <w:b/>
        </w:rPr>
        <w:t>osob samostatně výdělečně činných</w:t>
      </w:r>
      <w:r w:rsidRPr="008A3B50">
        <w:t xml:space="preserve"> </w:t>
      </w:r>
      <w:r w:rsidR="00AC7EEB" w:rsidRPr="008A3B50">
        <w:rPr>
          <w:b/>
        </w:rPr>
        <w:t>(</w:t>
      </w:r>
      <w:r w:rsidRPr="008A3B50">
        <w:rPr>
          <w:b/>
        </w:rPr>
        <w:t>OSVČ</w:t>
      </w:r>
      <w:r w:rsidR="00AC7EEB" w:rsidRPr="008A3B50">
        <w:rPr>
          <w:b/>
        </w:rPr>
        <w:t>)</w:t>
      </w:r>
      <w:r w:rsidRPr="008A3B50">
        <w:t xml:space="preserve"> </w:t>
      </w:r>
      <w:r w:rsidR="00B74855" w:rsidRPr="008A3B50">
        <w:br/>
      </w:r>
      <w:r w:rsidRPr="008A3B50">
        <w:t>–</w:t>
      </w:r>
      <w:r w:rsidR="008A3B50" w:rsidRPr="008A3B50">
        <w:t xml:space="preserve"> </w:t>
      </w:r>
      <w:r w:rsidRPr="008A3B50">
        <w:t>pokračoval v rostoucím trendu nastoleném od roku 201</w:t>
      </w:r>
      <w:r w:rsidR="001706EA" w:rsidRPr="008A3B50">
        <w:t>8</w:t>
      </w:r>
      <w:r w:rsidRPr="008A3B50">
        <w:t>. Jejich počet v</w:t>
      </w:r>
      <w:r w:rsidR="001706EA" w:rsidRPr="008A3B50">
        <w:t> 1. pol.</w:t>
      </w:r>
      <w:r w:rsidRPr="008A3B50">
        <w:t xml:space="preserve"> 202</w:t>
      </w:r>
      <w:r w:rsidR="008A3B50" w:rsidRPr="008A3B50">
        <w:t>2</w:t>
      </w:r>
      <w:r w:rsidRPr="008A3B50">
        <w:t xml:space="preserve"> </w:t>
      </w:r>
      <w:r w:rsidR="00A101F1" w:rsidRPr="008A3B50">
        <w:t>překonal</w:t>
      </w:r>
      <w:r w:rsidR="001706EA" w:rsidRPr="008A3B50">
        <w:t xml:space="preserve"> </w:t>
      </w:r>
      <w:r w:rsidR="008A3B50" w:rsidRPr="008A3B50">
        <w:t>100</w:t>
      </w:r>
      <w:r w:rsidR="00361B7D" w:rsidRPr="008A3B50">
        <w:t> </w:t>
      </w:r>
      <w:r w:rsidRPr="008A3B50">
        <w:t xml:space="preserve">tis., </w:t>
      </w:r>
      <w:r w:rsidRPr="008A3B50">
        <w:lastRenderedPageBreak/>
        <w:t xml:space="preserve">meziročně o </w:t>
      </w:r>
      <w:r w:rsidR="008A3B50" w:rsidRPr="008A3B50">
        <w:t>3</w:t>
      </w:r>
      <w:r w:rsidRPr="008A3B50">
        <w:t xml:space="preserve"> % více. Přesto podíl pojištěných OSVČ na celkovém počtu </w:t>
      </w:r>
      <w:r w:rsidR="005A1638" w:rsidRPr="008A3B50">
        <w:t>OSVČ</w:t>
      </w:r>
      <w:r w:rsidRPr="008A3B50">
        <w:t xml:space="preserve"> </w:t>
      </w:r>
      <w:r w:rsidR="005A1638" w:rsidRPr="008A3B50">
        <w:t>vykonávajících</w:t>
      </w:r>
      <w:r w:rsidRPr="008A3B50">
        <w:t xml:space="preserve"> hlavní činnost dosáhl necelých 16 %. Muži se na počtu nemocensky pojištěných OSVČ podíleli z 5</w:t>
      </w:r>
      <w:r w:rsidR="008A3B50" w:rsidRPr="008A3B50">
        <w:t>7</w:t>
      </w:r>
      <w:r w:rsidRPr="008A3B50">
        <w:t xml:space="preserve"> %, žen bylo 4</w:t>
      </w:r>
      <w:r w:rsidR="008A3B50" w:rsidRPr="008A3B50">
        <w:t>3</w:t>
      </w:r>
      <w:r w:rsidRPr="008A3B50">
        <w:t xml:space="preserve"> %. </w:t>
      </w:r>
      <w:r w:rsidR="00C05AB7" w:rsidRPr="008A3B50">
        <w:t xml:space="preserve">Počet nemocensky pojištěných </w:t>
      </w:r>
      <w:r w:rsidR="007D333B">
        <w:t xml:space="preserve">samostatně výdělečně činných </w:t>
      </w:r>
      <w:r w:rsidR="00C05AB7" w:rsidRPr="008A3B50">
        <w:t>žen</w:t>
      </w:r>
      <w:r w:rsidR="00C37437">
        <w:t xml:space="preserve"> </w:t>
      </w:r>
      <w:r w:rsidR="008A3B50" w:rsidRPr="008A3B50">
        <w:t>je nejvyšší za 10 let</w:t>
      </w:r>
      <w:r w:rsidR="00C05AB7" w:rsidRPr="008A3B50">
        <w:t>. Může to být ovlivněno nárokem na</w:t>
      </w:r>
      <w:r w:rsidR="008C3456" w:rsidRPr="008A3B50">
        <w:t> </w:t>
      </w:r>
      <w:r w:rsidR="00C05AB7" w:rsidRPr="008A3B50">
        <w:t>peněžitou podporu v mateřství, ale i větší ochotou žen samostatně výdělečně činných si nemocenské platit.</w:t>
      </w:r>
    </w:p>
    <w:p w14:paraId="1F45F094" w14:textId="4CE66D16" w:rsidR="0018528F" w:rsidRPr="008A3B50" w:rsidRDefault="00C83A1D" w:rsidP="00155829">
      <w:pPr>
        <w:spacing w:after="120"/>
        <w:jc w:val="both"/>
      </w:pPr>
      <w:r>
        <w:t>I</w:t>
      </w:r>
      <w:r w:rsidR="005D14C3" w:rsidRPr="008A3B50">
        <w:t xml:space="preserve"> přes výše uvedený nárůst počet pojištěnců v rámci OSVČ stále nedosahuje hodnot z minulosti, kdy např. před deseti lety jich bylo </w:t>
      </w:r>
      <w:r w:rsidR="005A1638" w:rsidRPr="008A3B50">
        <w:t>nemocensky</w:t>
      </w:r>
      <w:r w:rsidR="005D14C3" w:rsidRPr="008A3B50">
        <w:t xml:space="preserve"> pojištěno o </w:t>
      </w:r>
      <w:r w:rsidR="008A3B50" w:rsidRPr="008A3B50">
        <w:t>14</w:t>
      </w:r>
      <w:r w:rsidR="005D14C3" w:rsidRPr="008A3B50">
        <w:t xml:space="preserve"> tis. více než v</w:t>
      </w:r>
      <w:r w:rsidR="00673DCF" w:rsidRPr="008A3B50">
        <w:t> 1. pol.</w:t>
      </w:r>
      <w:r w:rsidR="005D14C3" w:rsidRPr="008A3B50">
        <w:t xml:space="preserve"> 202</w:t>
      </w:r>
      <w:r w:rsidR="008A3B50" w:rsidRPr="008A3B50">
        <w:t>2</w:t>
      </w:r>
      <w:r w:rsidR="005D14C3" w:rsidRPr="008A3B50">
        <w:t xml:space="preserve">. </w:t>
      </w:r>
      <w:r w:rsidR="005A1638" w:rsidRPr="008A3B50">
        <w:t>Tehdy p</w:t>
      </w:r>
      <w:r w:rsidR="005D14C3" w:rsidRPr="008A3B50">
        <w:t>ředstavoval</w:t>
      </w:r>
      <w:r w:rsidR="00B02687">
        <w:t>y</w:t>
      </w:r>
      <w:r w:rsidR="005D14C3" w:rsidRPr="008A3B50">
        <w:t xml:space="preserve"> </w:t>
      </w:r>
      <w:r w:rsidR="008A3B50" w:rsidRPr="008A3B50">
        <w:t>18</w:t>
      </w:r>
      <w:r w:rsidR="005D14C3" w:rsidRPr="008A3B50">
        <w:t xml:space="preserve">% podíl ze všech OSVČ </w:t>
      </w:r>
      <w:r w:rsidR="005A1638" w:rsidRPr="008A3B50">
        <w:t xml:space="preserve">vykonávajících </w:t>
      </w:r>
      <w:r w:rsidR="005D14C3" w:rsidRPr="008A3B50">
        <w:t>hlavní činnost.</w:t>
      </w:r>
      <w:r w:rsidR="00C05AB7" w:rsidRPr="008A3B50">
        <w:t xml:space="preserve"> </w:t>
      </w:r>
    </w:p>
    <w:p w14:paraId="592B31E9" w14:textId="453C81B6" w:rsidR="001E0E41" w:rsidRPr="006E5778" w:rsidRDefault="001E0E41" w:rsidP="00155829">
      <w:pPr>
        <w:spacing w:after="120"/>
        <w:jc w:val="both"/>
      </w:pPr>
      <w:r w:rsidRPr="006E5778">
        <w:t xml:space="preserve">Pomineme-li </w:t>
      </w:r>
      <w:r w:rsidR="0018528F" w:rsidRPr="006E5778">
        <w:t xml:space="preserve">meziroční </w:t>
      </w:r>
      <w:r w:rsidRPr="006E5778">
        <w:t>pokles v</w:t>
      </w:r>
      <w:r w:rsidR="00322DC1" w:rsidRPr="006E5778">
        <w:t> 1. pol.</w:t>
      </w:r>
      <w:r w:rsidR="0018528F" w:rsidRPr="006E5778">
        <w:t xml:space="preserve"> 2020 a stagnaci </w:t>
      </w:r>
      <w:r w:rsidR="00322DC1" w:rsidRPr="006E5778">
        <w:t>v 1. pol. 2021</w:t>
      </w:r>
      <w:r w:rsidR="00C83A1D">
        <w:t xml:space="preserve"> (tj. v období pandemie</w:t>
      </w:r>
      <w:r w:rsidR="00315DF2">
        <w:t xml:space="preserve"> covid-19</w:t>
      </w:r>
      <w:r w:rsidR="00C83A1D">
        <w:t>)</w:t>
      </w:r>
      <w:r w:rsidRPr="006E5778">
        <w:t xml:space="preserve">, je patrné, že </w:t>
      </w:r>
      <w:r w:rsidR="00853033" w:rsidRPr="006E5778">
        <w:t xml:space="preserve">se vlivem rostoucího počtu </w:t>
      </w:r>
      <w:r w:rsidR="006E5778" w:rsidRPr="006E5778">
        <w:t>zaměstnaných</w:t>
      </w:r>
      <w:r w:rsidRPr="006E5778">
        <w:t xml:space="preserve"> od roku 201</w:t>
      </w:r>
      <w:r w:rsidR="00322DC1" w:rsidRPr="006E5778">
        <w:t>4</w:t>
      </w:r>
      <w:r w:rsidRPr="006E5778">
        <w:t xml:space="preserve"> kontinuálně zvyšoval i průměrn</w:t>
      </w:r>
      <w:r w:rsidR="00853033" w:rsidRPr="006E5778">
        <w:t xml:space="preserve">ý počet nemocensky pojištěných. </w:t>
      </w:r>
      <w:r w:rsidR="00CA23A5" w:rsidRPr="006E5778">
        <w:rPr>
          <w:rFonts w:cs="Arial"/>
          <w:bCs/>
          <w:color w:val="000000"/>
          <w:szCs w:val="20"/>
        </w:rPr>
        <w:t>Za</w:t>
      </w:r>
      <w:r w:rsidR="008C3456" w:rsidRPr="006E5778">
        <w:rPr>
          <w:rFonts w:cs="Arial"/>
          <w:bCs/>
          <w:color w:val="000000"/>
          <w:szCs w:val="20"/>
        </w:rPr>
        <w:t> </w:t>
      </w:r>
      <w:r w:rsidR="00CA23A5" w:rsidRPr="006E5778">
        <w:rPr>
          <w:rFonts w:cs="Arial"/>
          <w:bCs/>
          <w:color w:val="000000"/>
          <w:szCs w:val="20"/>
        </w:rPr>
        <w:t xml:space="preserve">uplynulých 10 let počet nemocensky pojištěných vzrostl o </w:t>
      </w:r>
      <w:r w:rsidR="008A3B50" w:rsidRPr="006E5778">
        <w:rPr>
          <w:rFonts w:cs="Arial"/>
          <w:bCs/>
          <w:color w:val="000000"/>
          <w:szCs w:val="20"/>
        </w:rPr>
        <w:t>261 tis. (6</w:t>
      </w:r>
      <w:r w:rsidR="00CA23A5" w:rsidRPr="006E5778">
        <w:rPr>
          <w:rFonts w:cs="Arial"/>
          <w:bCs/>
          <w:color w:val="000000"/>
          <w:szCs w:val="20"/>
        </w:rPr>
        <w:t xml:space="preserve"> %). </w:t>
      </w:r>
      <w:r w:rsidRPr="006E5778">
        <w:t>Na tomto nárůstu</w:t>
      </w:r>
      <w:r w:rsidR="006E5778" w:rsidRPr="006E5778">
        <w:t xml:space="preserve"> se podílely především ženy. V tomto období </w:t>
      </w:r>
      <w:r w:rsidRPr="006E5778">
        <w:t xml:space="preserve">vzrostl </w:t>
      </w:r>
      <w:r w:rsidRPr="006E5778">
        <w:rPr>
          <w:b/>
        </w:rPr>
        <w:t xml:space="preserve">počet nemocensky pojištěných </w:t>
      </w:r>
      <w:r w:rsidR="006E5778" w:rsidRPr="006E5778">
        <w:rPr>
          <w:b/>
        </w:rPr>
        <w:t>žen</w:t>
      </w:r>
      <w:r w:rsidR="00FF3D8E" w:rsidRPr="006E5778">
        <w:rPr>
          <w:b/>
        </w:rPr>
        <w:t xml:space="preserve"> </w:t>
      </w:r>
      <w:r w:rsidRPr="006E5778">
        <w:t xml:space="preserve">o </w:t>
      </w:r>
      <w:r w:rsidR="006E5778" w:rsidRPr="006E5778">
        <w:t>179 tis. (8</w:t>
      </w:r>
      <w:r w:rsidRPr="006E5778">
        <w:t xml:space="preserve"> %</w:t>
      </w:r>
      <w:r w:rsidR="006E5778" w:rsidRPr="006E5778">
        <w:t>).</w:t>
      </w:r>
      <w:r w:rsidRPr="006E5778">
        <w:t xml:space="preserve"> </w:t>
      </w:r>
      <w:r w:rsidR="006E5778">
        <w:t>P</w:t>
      </w:r>
      <w:r w:rsidR="006E5778" w:rsidRPr="006E5778">
        <w:t>ojištěných mužů přibylo 82 tis. (4 %).</w:t>
      </w:r>
    </w:p>
    <w:p w14:paraId="692690CF" w14:textId="1F6A9E3E" w:rsidR="00EA098E" w:rsidRPr="001F7DD3" w:rsidRDefault="00EA098E" w:rsidP="00155829">
      <w:pPr>
        <w:spacing w:after="120"/>
        <w:jc w:val="both"/>
      </w:pPr>
      <w:r w:rsidRPr="001F7DD3">
        <w:t>Z </w:t>
      </w:r>
      <w:r w:rsidRPr="001F7DD3">
        <w:rPr>
          <w:b/>
        </w:rPr>
        <w:t>regionálního pohledu</w:t>
      </w:r>
      <w:r w:rsidRPr="001F7DD3">
        <w:t xml:space="preserve"> je nejvyšší průměrný počet nemocensky pojištěných </w:t>
      </w:r>
      <w:r w:rsidR="006E5778" w:rsidRPr="001F7DD3">
        <w:t>v hlavním městě Praze, a to 1 274</w:t>
      </w:r>
      <w:r w:rsidRPr="001F7DD3">
        <w:t xml:space="preserve"> tis. (</w:t>
      </w:r>
      <w:r w:rsidR="00EB2AD1" w:rsidRPr="001F7DD3">
        <w:t xml:space="preserve">27 % všech pojištěnců v </w:t>
      </w:r>
      <w:r w:rsidRPr="001F7DD3">
        <w:t>republi</w:t>
      </w:r>
      <w:r w:rsidR="00EB2AD1" w:rsidRPr="001F7DD3">
        <w:t>ce</w:t>
      </w:r>
      <w:r w:rsidRPr="001F7DD3">
        <w:t>). Zásadní roli zde sehrává skutečnost, že data v krajském třídění jsou zpracována podle sídla zaměstnavatele, resp. jeho mzdové účtárny</w:t>
      </w:r>
      <w:r w:rsidR="00C05AB7" w:rsidRPr="001F7DD3">
        <w:t>,</w:t>
      </w:r>
      <w:r w:rsidRPr="001F7DD3">
        <w:t xml:space="preserve"> a není výjimkou, aby firma se sídlem v Praze působila v jiných regionech či dokonce celorepublikově. Druhé a třetí místo obsadily Jihomoravský kraj s 5</w:t>
      </w:r>
      <w:r w:rsidR="006E5778" w:rsidRPr="001F7DD3">
        <w:t>2</w:t>
      </w:r>
      <w:r w:rsidR="00EB2AD1" w:rsidRPr="001F7DD3">
        <w:t>0</w:t>
      </w:r>
      <w:r w:rsidRPr="001F7DD3">
        <w:t xml:space="preserve"> tis. pojištěnců a </w:t>
      </w:r>
      <w:r w:rsidR="006E5778" w:rsidRPr="001F7DD3">
        <w:t xml:space="preserve">Středočeský kraj s 466 tis. pojištěnců. Každý z těchto dvou krajů se na celkovém počtu nemocensky pojištěných v Česku podílí přibližně z jedné desetiny. Středočeský kraj </w:t>
      </w:r>
      <w:r w:rsidR="001F7DD3" w:rsidRPr="001F7DD3">
        <w:t xml:space="preserve">nově </w:t>
      </w:r>
      <w:r w:rsidR="006E5778" w:rsidRPr="001F7DD3">
        <w:t xml:space="preserve">předběhl </w:t>
      </w:r>
      <w:r w:rsidRPr="001F7DD3">
        <w:t>Moravskoslezský kraj s 46</w:t>
      </w:r>
      <w:r w:rsidR="006E5778" w:rsidRPr="001F7DD3">
        <w:t>3</w:t>
      </w:r>
      <w:r w:rsidRPr="001F7DD3">
        <w:t xml:space="preserve"> tis. pojištěnc</w:t>
      </w:r>
      <w:r w:rsidR="001F7DD3" w:rsidRPr="001F7DD3">
        <w:t>ů</w:t>
      </w:r>
      <w:r w:rsidRPr="001F7DD3">
        <w:t xml:space="preserve">. </w:t>
      </w:r>
      <w:r w:rsidR="006E5778" w:rsidRPr="001F7DD3">
        <w:t xml:space="preserve">Nutno doplnit, že ačkoliv je </w:t>
      </w:r>
      <w:r w:rsidR="001F7DD3" w:rsidRPr="001F7DD3">
        <w:t>S</w:t>
      </w:r>
      <w:r w:rsidR="006E5778" w:rsidRPr="001F7DD3">
        <w:t xml:space="preserve">tředočeský kraj v České republice nejlidnatější, mnoho </w:t>
      </w:r>
      <w:r w:rsidRPr="001F7DD3">
        <w:t xml:space="preserve">Středočechů </w:t>
      </w:r>
      <w:r w:rsidR="006E5778" w:rsidRPr="001F7DD3">
        <w:t xml:space="preserve">dojíždí </w:t>
      </w:r>
      <w:r w:rsidRPr="001F7DD3">
        <w:t>za zaměstnáním do Prahy.</w:t>
      </w:r>
    </w:p>
    <w:p w14:paraId="078E34E3" w14:textId="1796C4F8" w:rsidR="00E03972" w:rsidRPr="00D92E20" w:rsidRDefault="004066CC" w:rsidP="00155829">
      <w:pPr>
        <w:spacing w:after="120"/>
        <w:jc w:val="both"/>
      </w:pPr>
      <w:r w:rsidRPr="001F7DD3">
        <w:t xml:space="preserve">Co se týče </w:t>
      </w:r>
      <w:r w:rsidRPr="001F7DD3">
        <w:rPr>
          <w:b/>
        </w:rPr>
        <w:t xml:space="preserve">velikosti </w:t>
      </w:r>
      <w:r w:rsidR="005A1638" w:rsidRPr="001F7DD3">
        <w:rPr>
          <w:b/>
        </w:rPr>
        <w:t>podniku</w:t>
      </w:r>
      <w:r w:rsidRPr="001F7DD3">
        <w:t>, třetina ne</w:t>
      </w:r>
      <w:r w:rsidR="00D529DD" w:rsidRPr="001F7DD3">
        <w:t>mocensky pojištěných osob (1 53</w:t>
      </w:r>
      <w:r w:rsidR="001F7DD3" w:rsidRPr="001F7DD3">
        <w:t>1</w:t>
      </w:r>
      <w:r w:rsidRPr="001F7DD3">
        <w:t xml:space="preserve"> tis.) pracuje ve velkých firmách s 500 a více zaměstnanci</w:t>
      </w:r>
      <w:r w:rsidR="00E03972" w:rsidRPr="001F7DD3">
        <w:t>.</w:t>
      </w:r>
      <w:r w:rsidRPr="001F7DD3">
        <w:t xml:space="preserve"> </w:t>
      </w:r>
      <w:r w:rsidR="00E03972" w:rsidRPr="001F7DD3">
        <w:t xml:space="preserve">Za posledních deset let jejich počet </w:t>
      </w:r>
      <w:r w:rsidR="00174F62" w:rsidRPr="001F7DD3">
        <w:t xml:space="preserve">vzrostl </w:t>
      </w:r>
      <w:r w:rsidR="00D529DD" w:rsidRPr="001F7DD3">
        <w:t xml:space="preserve">o </w:t>
      </w:r>
      <w:r w:rsidR="001F7DD3" w:rsidRPr="001F7DD3">
        <w:t>128</w:t>
      </w:r>
      <w:r w:rsidR="00E03972" w:rsidRPr="001F7DD3">
        <w:t xml:space="preserve"> tis. osob. Další třetina</w:t>
      </w:r>
      <w:r w:rsidRPr="001F7DD3">
        <w:t xml:space="preserve"> připadá na </w:t>
      </w:r>
      <w:r w:rsidR="00174F62" w:rsidRPr="001F7DD3">
        <w:t>podniky mající</w:t>
      </w:r>
      <w:r w:rsidRPr="001F7DD3">
        <w:t xml:space="preserve"> do 50 zaměstnanců, kde v</w:t>
      </w:r>
      <w:r w:rsidR="00D529DD" w:rsidRPr="001F7DD3">
        <w:t> 1. pol.</w:t>
      </w:r>
      <w:r w:rsidRPr="001F7DD3">
        <w:t xml:space="preserve"> 202</w:t>
      </w:r>
      <w:r w:rsidR="001F7DD3" w:rsidRPr="001F7DD3">
        <w:t>2</w:t>
      </w:r>
      <w:r w:rsidRPr="001F7DD3">
        <w:t xml:space="preserve"> pracovalo </w:t>
      </w:r>
      <w:r w:rsidR="00E03972" w:rsidRPr="001F7DD3">
        <w:t xml:space="preserve">téměř </w:t>
      </w:r>
      <w:r w:rsidRPr="001F7DD3">
        <w:t>1</w:t>
      </w:r>
      <w:r w:rsidR="007D333B">
        <w:t xml:space="preserve"> </w:t>
      </w:r>
      <w:r w:rsidRPr="001F7DD3">
        <w:t>5</w:t>
      </w:r>
      <w:r w:rsidR="007D333B">
        <w:t>00 tis.</w:t>
      </w:r>
      <w:r w:rsidRPr="001F7DD3">
        <w:t xml:space="preserve"> nemocensky pojištěných osob. Nejnižší podíl mezi nemocensky pojištěnými osobami představují </w:t>
      </w:r>
      <w:r w:rsidRPr="001F7DD3">
        <w:rPr>
          <w:b/>
        </w:rPr>
        <w:t>OSVČ</w:t>
      </w:r>
      <w:r w:rsidRPr="001F7DD3">
        <w:t>, které jsou</w:t>
      </w:r>
      <w:r w:rsidR="00E03972" w:rsidRPr="001F7DD3">
        <w:t xml:space="preserve">, jak </w:t>
      </w:r>
      <w:r w:rsidR="00D529DD" w:rsidRPr="001F7DD3">
        <w:t>již</w:t>
      </w:r>
      <w:r w:rsidR="00E03972" w:rsidRPr="001F7DD3">
        <w:t xml:space="preserve"> bylo zmíněno,</w:t>
      </w:r>
      <w:r w:rsidRPr="001F7DD3">
        <w:t xml:space="preserve"> pojištěny dobrovolně. V</w:t>
      </w:r>
      <w:r w:rsidR="00D529DD" w:rsidRPr="001F7DD3">
        <w:t> 1. pol. 202</w:t>
      </w:r>
      <w:r w:rsidR="001F7DD3" w:rsidRPr="001F7DD3">
        <w:t>2</w:t>
      </w:r>
      <w:r w:rsidR="00D529DD" w:rsidRPr="001F7DD3">
        <w:t xml:space="preserve"> </w:t>
      </w:r>
      <w:r w:rsidR="00E03972" w:rsidRPr="001F7DD3">
        <w:t>tvořily</w:t>
      </w:r>
      <w:r w:rsidRPr="001F7DD3">
        <w:t xml:space="preserve"> </w:t>
      </w:r>
      <w:r w:rsidR="00E03972" w:rsidRPr="001F7DD3">
        <w:t>pouhá</w:t>
      </w:r>
      <w:r w:rsidRPr="001F7DD3">
        <w:t xml:space="preserve"> 2 % z celkového počtu pojištěnců v ČR. Před deseti lety </w:t>
      </w:r>
      <w:r w:rsidR="00D529DD" w:rsidRPr="001F7DD3">
        <w:t>zaujímaly</w:t>
      </w:r>
      <w:r w:rsidRPr="001F7DD3">
        <w:t xml:space="preserve"> </w:t>
      </w:r>
      <w:r w:rsidR="001F7DD3" w:rsidRPr="001F7DD3">
        <w:t>2,6</w:t>
      </w:r>
      <w:r w:rsidR="00D529DD" w:rsidRPr="001F7DD3">
        <w:t xml:space="preserve"> %</w:t>
      </w:r>
      <w:r w:rsidRPr="001F7DD3">
        <w:t>.</w:t>
      </w:r>
      <w:r w:rsidR="00E03972" w:rsidRPr="00D92E20">
        <w:t xml:space="preserve"> </w:t>
      </w:r>
    </w:p>
    <w:p w14:paraId="211C2133" w14:textId="233BE8D3" w:rsidR="00E03972" w:rsidRPr="00D92E20" w:rsidRDefault="00E03972" w:rsidP="00C35DBB">
      <w:pPr>
        <w:spacing w:after="0"/>
        <w:jc w:val="both"/>
        <w:rPr>
          <w:sz w:val="16"/>
        </w:rPr>
      </w:pPr>
      <w:r w:rsidRPr="00D92E20">
        <w:rPr>
          <w:b/>
        </w:rPr>
        <w:t>Graf 1.1: P</w:t>
      </w:r>
      <w:r w:rsidR="00684AA4" w:rsidRPr="00D92E20">
        <w:rPr>
          <w:b/>
        </w:rPr>
        <w:t>růměrný</w:t>
      </w:r>
      <w:r w:rsidRPr="00D92E20">
        <w:rPr>
          <w:b/>
        </w:rPr>
        <w:t xml:space="preserve"> počet nemocensky pojištěných osob podle velikosti</w:t>
      </w:r>
      <w:r w:rsidRPr="00D92E20">
        <w:t xml:space="preserve"> </w:t>
      </w:r>
      <w:r w:rsidRPr="00D92E20">
        <w:rPr>
          <w:b/>
        </w:rPr>
        <w:t xml:space="preserve">podniku, </w:t>
      </w:r>
      <w:r w:rsidR="00C35DBB">
        <w:rPr>
          <w:b/>
        </w:rPr>
        <w:t>1. pol. 2012, 2017</w:t>
      </w:r>
      <w:r w:rsidR="00EB2AD1" w:rsidRPr="00EB2AD1">
        <w:rPr>
          <w:b/>
        </w:rPr>
        <w:t>, 202</w:t>
      </w:r>
      <w:r w:rsidR="00C35DBB">
        <w:rPr>
          <w:b/>
        </w:rPr>
        <w:t>2</w:t>
      </w:r>
      <w:r w:rsidR="00EB2AD1" w:rsidRPr="00EB2AD1">
        <w:rPr>
          <w:b/>
        </w:rPr>
        <w:t xml:space="preserve"> </w:t>
      </w:r>
      <w:r w:rsidRPr="00D92E20">
        <w:rPr>
          <w:b/>
        </w:rPr>
        <w:t>(v</w:t>
      </w:r>
      <w:r w:rsidR="00174F62" w:rsidRPr="00D92E20">
        <w:rPr>
          <w:b/>
        </w:rPr>
        <w:t> </w:t>
      </w:r>
      <w:r w:rsidRPr="00D92E20">
        <w:rPr>
          <w:b/>
        </w:rPr>
        <w:t>tis. a v %)</w:t>
      </w:r>
      <w:r w:rsidRPr="00D92E20">
        <w:t xml:space="preserve"> </w:t>
      </w:r>
      <w:r w:rsidR="00C35DBB">
        <w:rPr>
          <w:noProof/>
        </w:rPr>
        <w:drawing>
          <wp:anchor distT="0" distB="0" distL="114300" distR="114300" simplePos="0" relativeHeight="251664896" behindDoc="1" locked="0" layoutInCell="1" allowOverlap="1" wp14:anchorId="0670B0A8" wp14:editId="1294900A">
            <wp:simplePos x="0" y="0"/>
            <wp:positionH relativeFrom="column">
              <wp:posOffset>2689860</wp:posOffset>
            </wp:positionH>
            <wp:positionV relativeFrom="paragraph">
              <wp:posOffset>324485</wp:posOffset>
            </wp:positionV>
            <wp:extent cx="3476625" cy="2590800"/>
            <wp:effectExtent l="0" t="0" r="9525" b="0"/>
            <wp:wrapTight wrapText="bothSides">
              <wp:wrapPolygon edited="0">
                <wp:start x="0" y="0"/>
                <wp:lineTo x="0" y="21441"/>
                <wp:lineTo x="21541" y="21441"/>
                <wp:lineTo x="21541" y="0"/>
                <wp:lineTo x="0" y="0"/>
              </wp:wrapPolygon>
            </wp:wrapTight>
            <wp:docPr id="28" name="Graf 28"/>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14:sizeRelH relativeFrom="page">
              <wp14:pctWidth>0</wp14:pctWidth>
            </wp14:sizeRelH>
            <wp14:sizeRelV relativeFrom="page">
              <wp14:pctHeight>0</wp14:pctHeight>
            </wp14:sizeRelV>
          </wp:anchor>
        </w:drawing>
      </w:r>
      <w:r w:rsidR="00C35DBB">
        <w:rPr>
          <w:noProof/>
        </w:rPr>
        <w:drawing>
          <wp:anchor distT="0" distB="0" distL="114300" distR="114300" simplePos="0" relativeHeight="251665920" behindDoc="1" locked="0" layoutInCell="1" allowOverlap="1" wp14:anchorId="13B6777B" wp14:editId="425C60D4">
            <wp:simplePos x="0" y="0"/>
            <wp:positionH relativeFrom="column">
              <wp:posOffset>3810</wp:posOffset>
            </wp:positionH>
            <wp:positionV relativeFrom="paragraph">
              <wp:posOffset>324485</wp:posOffset>
            </wp:positionV>
            <wp:extent cx="2686050" cy="2590800"/>
            <wp:effectExtent l="0" t="0" r="0" b="0"/>
            <wp:wrapTight wrapText="bothSides">
              <wp:wrapPolygon edited="0">
                <wp:start x="0" y="0"/>
                <wp:lineTo x="0" y="21441"/>
                <wp:lineTo x="21447" y="21441"/>
                <wp:lineTo x="21447" y="0"/>
                <wp:lineTo x="0" y="0"/>
              </wp:wrapPolygon>
            </wp:wrapTight>
            <wp:docPr id="26" name="Graf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14:sizeRelH relativeFrom="page">
              <wp14:pctWidth>0</wp14:pctWidth>
            </wp14:sizeRelH>
            <wp14:sizeRelV relativeFrom="page">
              <wp14:pctHeight>0</wp14:pctHeight>
            </wp14:sizeRelV>
          </wp:anchor>
        </w:drawing>
      </w:r>
    </w:p>
    <w:p w14:paraId="4F3266B0" w14:textId="77777777" w:rsidR="00E03972" w:rsidRPr="00D92E20" w:rsidRDefault="00E03972" w:rsidP="00E03972">
      <w:pPr>
        <w:spacing w:before="60" w:after="120"/>
        <w:jc w:val="both"/>
        <w:rPr>
          <w:sz w:val="16"/>
        </w:rPr>
      </w:pPr>
      <w:r w:rsidRPr="00D92E20">
        <w:rPr>
          <w:sz w:val="16"/>
        </w:rPr>
        <w:t>Zdroj: ČSÚ</w:t>
      </w:r>
    </w:p>
    <w:p w14:paraId="5B9A3A83" w14:textId="266D240E" w:rsidR="00E03972" w:rsidRPr="001F7DD3" w:rsidRDefault="00E03972" w:rsidP="00155829">
      <w:pPr>
        <w:spacing w:after="120"/>
        <w:jc w:val="both"/>
      </w:pPr>
      <w:r w:rsidRPr="001F7DD3">
        <w:t xml:space="preserve">Nejvíce zastoupenými </w:t>
      </w:r>
      <w:r w:rsidRPr="001F7DD3">
        <w:rPr>
          <w:b/>
        </w:rPr>
        <w:t>odvětvími</w:t>
      </w:r>
      <w:r w:rsidRPr="001F7DD3">
        <w:t>, co do počtu nemocensky pojištěných, jsou sekce Zpracovatelský průmysl a Velkoobchod a maloobchod, opravy a údržba motorových vozidel, což odráží strukturu české ekonomiky. Tato dvě odvětví dohromady zaměstnávají téměř 40 % všech nemocensky pojištěných, přičemž na podniky s převažující ekonomickou činností ve zpr</w:t>
      </w:r>
      <w:r w:rsidR="00D529DD" w:rsidRPr="001F7DD3">
        <w:t>acovatelském průmyslu připadá 25</w:t>
      </w:r>
      <w:r w:rsidRPr="001F7DD3">
        <w:t xml:space="preserve"> %. V rámci zpracovatelského </w:t>
      </w:r>
      <w:r w:rsidRPr="001F7DD3">
        <w:lastRenderedPageBreak/>
        <w:t>průmyslu působilo nejvíce nemocensky pojištěných osob v automobilovém průmyslu (CZ-NACE oddíl 29), kde v</w:t>
      </w:r>
      <w:r w:rsidR="00D529DD" w:rsidRPr="001F7DD3">
        <w:t> 1. pol. 202</w:t>
      </w:r>
      <w:r w:rsidR="001F7DD3" w:rsidRPr="001F7DD3">
        <w:t>2</w:t>
      </w:r>
      <w:r w:rsidRPr="001F7DD3">
        <w:t xml:space="preserve"> pracovalo 1</w:t>
      </w:r>
      <w:r w:rsidR="001F7DD3" w:rsidRPr="001F7DD3">
        <w:t>5</w:t>
      </w:r>
      <w:r w:rsidRPr="001F7DD3">
        <w:t xml:space="preserve"> % všech nemocensky pojištěných osob </w:t>
      </w:r>
      <w:r w:rsidR="00684AA4" w:rsidRPr="001F7DD3">
        <w:t>ze zpracovatelského průmyslu</w:t>
      </w:r>
      <w:r w:rsidRPr="001F7DD3">
        <w:t>. S menším odstupem následovaly kovozpracující (oddíl 25) a strojírenský (oddíl 28)</w:t>
      </w:r>
      <w:r w:rsidR="00FF3D8E" w:rsidRPr="001F7DD3">
        <w:t xml:space="preserve"> průmysl</w:t>
      </w:r>
      <w:r w:rsidRPr="001F7DD3">
        <w:t>, na které připadalo 1</w:t>
      </w:r>
      <w:r w:rsidR="00F35E90" w:rsidRPr="001F7DD3">
        <w:t>3</w:t>
      </w:r>
      <w:r w:rsidR="00684AA4" w:rsidRPr="001F7DD3">
        <w:t xml:space="preserve"> %, resp. 10</w:t>
      </w:r>
      <w:r w:rsidRPr="001F7DD3">
        <w:t xml:space="preserve"> % ze všech nemocensky pojištěných osob ve zpracovatelském průmyslu.</w:t>
      </w:r>
      <w:r w:rsidR="00EF2129" w:rsidRPr="001F7DD3">
        <w:t xml:space="preserve"> Vzhledem k velkému </w:t>
      </w:r>
      <w:r w:rsidR="001F7DD3">
        <w:t>významu</w:t>
      </w:r>
      <w:r w:rsidR="00EF2129" w:rsidRPr="001F7DD3">
        <w:t xml:space="preserve"> Zpracovatelského průmyslu </w:t>
      </w:r>
      <w:r w:rsidR="001F7DD3">
        <w:t>v českém hospodářství</w:t>
      </w:r>
      <w:r w:rsidR="00EF2129" w:rsidRPr="001F7DD3">
        <w:t xml:space="preserve"> je této sekci věnována samostatná část </w:t>
      </w:r>
      <w:r w:rsidR="00335F6A" w:rsidRPr="001F7DD3">
        <w:t>8</w:t>
      </w:r>
      <w:r w:rsidR="001F7DD3">
        <w:t> </w:t>
      </w:r>
      <w:r w:rsidR="00335F6A" w:rsidRPr="001F7DD3">
        <w:t>tabulkové přílohy</w:t>
      </w:r>
      <w:r w:rsidR="00EF2129" w:rsidRPr="001F7DD3">
        <w:t>.</w:t>
      </w:r>
    </w:p>
    <w:p w14:paraId="46C3A5DB" w14:textId="380F4888" w:rsidR="00E03972" w:rsidRPr="00D92E20" w:rsidRDefault="00E03972" w:rsidP="00155829">
      <w:pPr>
        <w:spacing w:after="120"/>
        <w:jc w:val="both"/>
      </w:pPr>
      <w:r w:rsidRPr="001F7DD3">
        <w:t>V odvětvových sekcích Veřejná správa</w:t>
      </w:r>
      <w:r w:rsidR="00F35E90" w:rsidRPr="001F7DD3">
        <w:rPr>
          <w:rStyle w:val="Znakapoznpodarou"/>
        </w:rPr>
        <w:footnoteReference w:id="1"/>
      </w:r>
      <w:r w:rsidRPr="001F7DD3">
        <w:t xml:space="preserve">, Vzdělávání a Zdravotní a sociální péče byla </w:t>
      </w:r>
      <w:r w:rsidR="00684AA4" w:rsidRPr="001F7DD3">
        <w:t>v</w:t>
      </w:r>
      <w:r w:rsidR="00D529DD" w:rsidRPr="001F7DD3">
        <w:t> 1. pol. 202</w:t>
      </w:r>
      <w:r w:rsidR="001F7DD3" w:rsidRPr="001F7DD3">
        <w:t>2</w:t>
      </w:r>
      <w:r w:rsidRPr="001F7DD3">
        <w:t xml:space="preserve"> dohromady zaměstnána </w:t>
      </w:r>
      <w:r w:rsidR="001F7DD3" w:rsidRPr="001F7DD3">
        <w:t>více než pětina</w:t>
      </w:r>
      <w:r w:rsidRPr="001F7DD3">
        <w:t xml:space="preserve"> (2</w:t>
      </w:r>
      <w:r w:rsidR="00D529DD" w:rsidRPr="001F7DD3">
        <w:t>3</w:t>
      </w:r>
      <w:r w:rsidRPr="001F7DD3">
        <w:t xml:space="preserve"> %) ze všech nemocensky pojištěných. </w:t>
      </w:r>
      <w:r w:rsidR="00913648" w:rsidRPr="001F7DD3">
        <w:t>V</w:t>
      </w:r>
      <w:r w:rsidR="00CA23A5" w:rsidRPr="001F7DD3">
        <w:t xml:space="preserve">íce než tři čtvrtiny </w:t>
      </w:r>
      <w:r w:rsidR="001F7DD3" w:rsidRPr="001F7DD3">
        <w:t xml:space="preserve">(76 %) </w:t>
      </w:r>
      <w:r w:rsidR="00CA23A5" w:rsidRPr="001F7DD3">
        <w:t>z</w:t>
      </w:r>
      <w:r w:rsidR="00F35E90" w:rsidRPr="001F7DD3">
        <w:t xml:space="preserve"> celkového počtu </w:t>
      </w:r>
      <w:r w:rsidR="00CA23A5" w:rsidRPr="001F7DD3">
        <w:t xml:space="preserve">nemocensky pojištěných osob v těchto třech odvětvových sekcích </w:t>
      </w:r>
      <w:r w:rsidR="00FF3D8E" w:rsidRPr="001F7DD3">
        <w:t>tvořily ženy.</w:t>
      </w:r>
    </w:p>
    <w:p w14:paraId="5D85A699" w14:textId="170FB91C" w:rsidR="00E03972" w:rsidRDefault="00CA23A5" w:rsidP="00CA23A5">
      <w:pPr>
        <w:spacing w:before="60" w:after="120"/>
        <w:rPr>
          <w:noProof/>
        </w:rPr>
      </w:pPr>
      <w:r w:rsidRPr="00CA23A5">
        <w:rPr>
          <w:b/>
        </w:rPr>
        <w:t>Graf 1.2: Průměrný počet nemocensky pojištěných osob podle odvět</w:t>
      </w:r>
      <w:r w:rsidR="00C35DBB">
        <w:rPr>
          <w:b/>
        </w:rPr>
        <w:t>ví (sekce CZ-NACE), 1. pol. 2012 a 2022</w:t>
      </w:r>
      <w:r w:rsidRPr="00CA23A5">
        <w:rPr>
          <w:b/>
        </w:rPr>
        <w:t xml:space="preserve"> (v tis.)</w:t>
      </w:r>
    </w:p>
    <w:p w14:paraId="33EA8C22" w14:textId="104D32B7" w:rsidR="00CA23A5" w:rsidRPr="00D92E20" w:rsidRDefault="00C35DBB" w:rsidP="00CA23A5">
      <w:pPr>
        <w:spacing w:before="60" w:after="120"/>
        <w:rPr>
          <w:sz w:val="16"/>
        </w:rPr>
      </w:pPr>
      <w:r w:rsidRPr="00C35DBB">
        <w:rPr>
          <w:noProof/>
        </w:rPr>
        <mc:AlternateContent>
          <mc:Choice Requires="wps">
            <w:drawing>
              <wp:anchor distT="0" distB="0" distL="114300" distR="114300" simplePos="0" relativeHeight="251667968" behindDoc="0" locked="0" layoutInCell="1" allowOverlap="1" wp14:anchorId="3FC5DF14" wp14:editId="6524F1E9">
                <wp:simplePos x="0" y="0"/>
                <wp:positionH relativeFrom="column">
                  <wp:posOffset>5728335</wp:posOffset>
                </wp:positionH>
                <wp:positionV relativeFrom="paragraph">
                  <wp:posOffset>116205</wp:posOffset>
                </wp:positionV>
                <wp:extent cx="381000" cy="409575"/>
                <wp:effectExtent l="0" t="0" r="0" b="0"/>
                <wp:wrapNone/>
                <wp:docPr id="36" name="TextovéPole 2"/>
                <wp:cNvGraphicFramePr/>
                <a:graphic xmlns:a="http://schemas.openxmlformats.org/drawingml/2006/main">
                  <a:graphicData uri="http://schemas.microsoft.com/office/word/2010/wordprocessingShape">
                    <wps:wsp>
                      <wps:cNvSpPr txBox="1"/>
                      <wps:spPr>
                        <a:xfrm>
                          <a:off x="0" y="0"/>
                          <a:ext cx="381000" cy="409575"/>
                        </a:xfrm>
                        <a:prstGeom prst="rect">
                          <a:avLst/>
                        </a:prstGeom>
                        <a:noFill/>
                        <a:ln w="9525" cmpd="sng">
                          <a:noFill/>
                        </a:ln>
                      </wps:spPr>
                      <wps:style>
                        <a:lnRef idx="0">
                          <a:scrgbClr r="0" g="0" b="0"/>
                        </a:lnRef>
                        <a:fillRef idx="0">
                          <a:scrgbClr r="0" g="0" b="0"/>
                        </a:fillRef>
                        <a:effectRef idx="0">
                          <a:scrgbClr r="0" g="0" b="0"/>
                        </a:effectRef>
                        <a:fontRef idx="minor">
                          <a:schemeClr val="dk1"/>
                        </a:fontRef>
                      </wps:style>
                      <wps:txbx>
                        <w:txbxContent>
                          <w:p w14:paraId="1573205D" w14:textId="77777777" w:rsidR="00790B93" w:rsidRDefault="00790B93" w:rsidP="00C35DBB">
                            <w:pPr>
                              <w:pStyle w:val="Normlnweb"/>
                              <w:spacing w:before="0" w:beforeAutospacing="0" w:after="0" w:afterAutospacing="0"/>
                            </w:pPr>
                            <w:r>
                              <w:rPr>
                                <w:rFonts w:asciiTheme="minorHAnsi" w:hAnsi="Cambria" w:cstheme="minorBidi"/>
                                <w:b/>
                                <w:bCs/>
                                <w:color w:val="FFFFFF" w:themeColor="background1"/>
                                <w:sz w:val="28"/>
                                <w:szCs w:val="28"/>
                              </w:rPr>
                              <w:t>//</w:t>
                            </w:r>
                          </w:p>
                        </w:txbxContent>
                      </wps:txbx>
                      <wps:bodyPr vertOverflow="clip" horzOverflow="clip" wrap="square" rtlCol="0" anchor="t"/>
                    </wps:wsp>
                  </a:graphicData>
                </a:graphic>
              </wp:anchor>
            </w:drawing>
          </mc:Choice>
          <mc:Fallback>
            <w:pict>
              <v:shapetype w14:anchorId="3FC5DF14" id="_x0000_t202" coordsize="21600,21600" o:spt="202" path="m,l,21600r21600,l21600,xe">
                <v:stroke joinstyle="miter"/>
                <v:path gradientshapeok="t" o:connecttype="rect"/>
              </v:shapetype>
              <v:shape id="TextovéPole 2" o:spid="_x0000_s1026" type="#_x0000_t202" style="position:absolute;margin-left:451.05pt;margin-top:9.15pt;width:30pt;height:32.25pt;z-index:2516679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" filled="f" stroked="f">
                <v:textbox>
                  <w:txbxContent>
                    <w:p w14:paraId="1573205D" w14:textId="77777777" w:rsidR="00790B93" w:rsidRDefault="00790B93" w:rsidP="00C35DBB">
                      <w:pPr>
                        <w:pStyle w:val="Normlnweb"/>
                        <w:spacing w:before="0" w:beforeAutospacing="0" w:after="0" w:afterAutospacing="0"/>
                      </w:pPr>
                      <w:r>
                        <w:rPr>
                          <w:rFonts w:asciiTheme="minorHAnsi" w:hAnsi="Cambria" w:cstheme="minorBidi"/>
                          <w:b/>
                          <w:bCs/>
                          <w:color w:val="FFFFFF" w:themeColor="background1"/>
                          <w:sz w:val="28"/>
                          <w:szCs w:val="28"/>
                        </w:rPr>
                        <w:t>//</w:t>
                      </w:r>
                    </w:p>
                  </w:txbxContent>
                </v:textbox>
              </v:shape>
            </w:pict>
          </mc:Fallback>
        </mc:AlternateContent>
      </w:r>
      <w:r>
        <w:rPr>
          <w:noProof/>
        </w:rPr>
        <w:drawing>
          <wp:inline distT="0" distB="0" distL="0" distR="0" wp14:anchorId="3870E907" wp14:editId="6CD8C45B">
            <wp:extent cx="6120130" cy="5573395"/>
            <wp:effectExtent l="0" t="0" r="13970" b="8255"/>
            <wp:docPr id="35" name="Graf 35"/>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r w:rsidRPr="00C35DBB">
        <w:rPr>
          <w:noProof/>
        </w:rPr>
        <w:t xml:space="preserve"> </w:t>
      </w:r>
    </w:p>
    <w:p w14:paraId="6B5510D9" w14:textId="77777777" w:rsidR="004066CC" w:rsidRPr="00D92E20" w:rsidRDefault="00684AA4" w:rsidP="00684AA4">
      <w:pPr>
        <w:spacing w:before="120" w:after="120"/>
        <w:jc w:val="both"/>
        <w:rPr>
          <w:sz w:val="16"/>
        </w:rPr>
      </w:pPr>
      <w:r w:rsidRPr="00D92E20">
        <w:rPr>
          <w:sz w:val="16"/>
        </w:rPr>
        <w:t>Zdroj: ČSÚ</w:t>
      </w:r>
    </w:p>
    <w:p w14:paraId="6E71F4BD" w14:textId="4EDDF755" w:rsidR="00A10BE6" w:rsidRPr="001869B8" w:rsidRDefault="00684AA4" w:rsidP="00155829">
      <w:pPr>
        <w:pStyle w:val="Seznam"/>
        <w:spacing w:after="120"/>
        <w:contextualSpacing w:val="0"/>
        <w:jc w:val="both"/>
      </w:pPr>
      <w:r w:rsidRPr="001869B8">
        <w:rPr>
          <w:b/>
        </w:rPr>
        <w:lastRenderedPageBreak/>
        <w:t xml:space="preserve">Mezi </w:t>
      </w:r>
      <w:r w:rsidR="00CA23A5" w:rsidRPr="001869B8">
        <w:rPr>
          <w:b/>
        </w:rPr>
        <w:t>1. pol. 201</w:t>
      </w:r>
      <w:r w:rsidR="00DA558F" w:rsidRPr="001869B8">
        <w:rPr>
          <w:b/>
        </w:rPr>
        <w:t>2</w:t>
      </w:r>
      <w:r w:rsidRPr="001869B8">
        <w:rPr>
          <w:b/>
        </w:rPr>
        <w:t xml:space="preserve"> a 202</w:t>
      </w:r>
      <w:r w:rsidR="00DA558F" w:rsidRPr="001869B8">
        <w:rPr>
          <w:b/>
        </w:rPr>
        <w:t>2</w:t>
      </w:r>
      <w:r w:rsidRPr="001869B8">
        <w:t xml:space="preserve"> došlo k nárůstu počtu nemocensky pojištěných téměř o </w:t>
      </w:r>
      <w:r w:rsidR="00CA23A5" w:rsidRPr="001869B8">
        <w:t xml:space="preserve">již zmíněných </w:t>
      </w:r>
      <w:r w:rsidR="00DA558F" w:rsidRPr="001869B8">
        <w:t xml:space="preserve">261 </w:t>
      </w:r>
      <w:r w:rsidR="00CA23A5" w:rsidRPr="001869B8">
        <w:t>tis</w:t>
      </w:r>
      <w:r w:rsidRPr="001869B8">
        <w:t xml:space="preserve">. osob (tj. o </w:t>
      </w:r>
      <w:r w:rsidR="00DA558F" w:rsidRPr="001869B8">
        <w:t>6</w:t>
      </w:r>
      <w:r w:rsidR="00CA23A5" w:rsidRPr="001869B8">
        <w:t xml:space="preserve"> </w:t>
      </w:r>
      <w:r w:rsidRPr="001869B8">
        <w:t xml:space="preserve">%). Nejvíce pojištěnců, </w:t>
      </w:r>
      <w:r w:rsidR="00E404AC" w:rsidRPr="001869B8">
        <w:t>8</w:t>
      </w:r>
      <w:r w:rsidR="00DA558F" w:rsidRPr="001869B8">
        <w:t>1</w:t>
      </w:r>
      <w:r w:rsidRPr="001869B8">
        <w:t xml:space="preserve"> tis. (tedy </w:t>
      </w:r>
      <w:r w:rsidR="00DA558F" w:rsidRPr="001869B8">
        <w:t>25</w:t>
      </w:r>
      <w:r w:rsidRPr="001869B8">
        <w:t xml:space="preserve"> %), přibylo v</w:t>
      </w:r>
      <w:r w:rsidR="00C05AB7" w:rsidRPr="001869B8">
        <w:t xml:space="preserve"> odvětví</w:t>
      </w:r>
      <w:r w:rsidRPr="001869B8">
        <w:t xml:space="preserve"> </w:t>
      </w:r>
      <w:r w:rsidR="009967C9" w:rsidRPr="001869B8">
        <w:t>Zdravotní a sociální péč</w:t>
      </w:r>
      <w:r w:rsidR="00C05AB7" w:rsidRPr="001869B8">
        <w:t>e</w:t>
      </w:r>
      <w:r w:rsidR="009967C9" w:rsidRPr="001869B8">
        <w:t>, což</w:t>
      </w:r>
      <w:r w:rsidR="00F35E90" w:rsidRPr="001869B8">
        <w:t xml:space="preserve"> patrně </w:t>
      </w:r>
      <w:r w:rsidR="009967C9" w:rsidRPr="001869B8">
        <w:t>souvisí s tématem stárnutí populace.</w:t>
      </w:r>
      <w:r w:rsidRPr="001869B8">
        <w:t xml:space="preserve"> Odvětvovou sekcí s druhým nejvyšším absolutním přírůstkem byl</w:t>
      </w:r>
      <w:r w:rsidR="001869B8" w:rsidRPr="001869B8">
        <w:t>o Vzdělávání</w:t>
      </w:r>
      <w:r w:rsidRPr="001869B8">
        <w:t xml:space="preserve">. Zde vzrostl počet pojištěnců o </w:t>
      </w:r>
      <w:r w:rsidR="001869B8" w:rsidRPr="001869B8">
        <w:t>67</w:t>
      </w:r>
      <w:r w:rsidRPr="001869B8">
        <w:t xml:space="preserve"> tis</w:t>
      </w:r>
      <w:r w:rsidR="00E404AC" w:rsidRPr="001869B8">
        <w:t xml:space="preserve">, což představovalo </w:t>
      </w:r>
      <w:r w:rsidR="001869B8" w:rsidRPr="001869B8">
        <w:t>20</w:t>
      </w:r>
      <w:r w:rsidRPr="001869B8">
        <w:t xml:space="preserve">% nárůst. </w:t>
      </w:r>
      <w:r w:rsidR="00A10BE6" w:rsidRPr="001869B8">
        <w:t xml:space="preserve">Třetí nejvyšší nárůst náleží </w:t>
      </w:r>
      <w:r w:rsidR="00C05AB7" w:rsidRPr="001869B8">
        <w:t xml:space="preserve">odvětví </w:t>
      </w:r>
      <w:r w:rsidR="001869B8" w:rsidRPr="001869B8">
        <w:t>Informační a komunikační činnosti</w:t>
      </w:r>
      <w:r w:rsidR="00A10BE6" w:rsidRPr="001869B8">
        <w:t xml:space="preserve">. Počet pojištěnců se </w:t>
      </w:r>
      <w:r w:rsidR="00C05AB7" w:rsidRPr="001869B8">
        <w:t xml:space="preserve">zde </w:t>
      </w:r>
      <w:r w:rsidR="00A10BE6" w:rsidRPr="001869B8">
        <w:t xml:space="preserve">za poslední dekádu zvýšil o </w:t>
      </w:r>
      <w:r w:rsidR="001869B8" w:rsidRPr="001869B8">
        <w:t>42 tis., tedy o</w:t>
      </w:r>
      <w:r w:rsidR="001869B8">
        <w:t> </w:t>
      </w:r>
      <w:r w:rsidR="001869B8" w:rsidRPr="001869B8">
        <w:t>37 %</w:t>
      </w:r>
      <w:r w:rsidR="00A10BE6" w:rsidRPr="001869B8">
        <w:t xml:space="preserve">. </w:t>
      </w:r>
      <w:r w:rsidR="00D56D90" w:rsidRPr="00D56D90">
        <w:t>Tato odvětvová sekce zahrnuje řadu ekonomických činností od vydavatelských, audiovizuálních a</w:t>
      </w:r>
      <w:r w:rsidR="00713D1B">
        <w:t> </w:t>
      </w:r>
      <w:r w:rsidR="00D56D90" w:rsidRPr="00D56D90">
        <w:t xml:space="preserve">mediálních činností přes telekomunikace až po činnosti v oblasti informačních a komunikačních technologií. Tam spadá např. programování či IT poradenství a zpracování dat. </w:t>
      </w:r>
      <w:r w:rsidR="00D56D90" w:rsidRPr="00713D1B">
        <w:t xml:space="preserve">Největší nárůst počtu nemocensky pojištěných osob byl v této sekci zaznamenán v oddílu Činnosti v oblasti informačních technologií (CZ-NACE 62), kde se počet pojištěnců </w:t>
      </w:r>
      <w:r w:rsidR="00713D1B">
        <w:t>za uplynulou dekádu</w:t>
      </w:r>
      <w:r w:rsidR="00713D1B" w:rsidRPr="00713D1B">
        <w:t xml:space="preserve"> zvýšil o 69 %</w:t>
      </w:r>
      <w:r w:rsidR="00D56D90" w:rsidRPr="00713D1B">
        <w:t xml:space="preserve"> (tj. o </w:t>
      </w:r>
      <w:r w:rsidR="00713D1B" w:rsidRPr="00713D1B">
        <w:t>37</w:t>
      </w:r>
      <w:r w:rsidR="00D56D90" w:rsidRPr="00713D1B">
        <w:t xml:space="preserve"> tis.).</w:t>
      </w:r>
    </w:p>
    <w:p w14:paraId="3D3FDF6A" w14:textId="0680CD18" w:rsidR="00155829" w:rsidRPr="001869B8" w:rsidRDefault="00E404AC" w:rsidP="00155829">
      <w:pPr>
        <w:pStyle w:val="Seznam"/>
        <w:spacing w:after="120"/>
        <w:contextualSpacing w:val="0"/>
        <w:jc w:val="both"/>
      </w:pPr>
      <w:r w:rsidRPr="001869B8">
        <w:t>Naopak odvětvími, která měla v</w:t>
      </w:r>
      <w:r w:rsidR="00A10BE6" w:rsidRPr="001869B8">
        <w:t> 1. pol. 202</w:t>
      </w:r>
      <w:r w:rsidR="001869B8" w:rsidRPr="001869B8">
        <w:t>2</w:t>
      </w:r>
      <w:r w:rsidR="00A10BE6" w:rsidRPr="001869B8">
        <w:t xml:space="preserve"> méně pojištěnců než v 1. pol.</w:t>
      </w:r>
      <w:r w:rsidRPr="001869B8">
        <w:t xml:space="preserve"> 201</w:t>
      </w:r>
      <w:r w:rsidR="001869B8" w:rsidRPr="001869B8">
        <w:t>2</w:t>
      </w:r>
      <w:r w:rsidRPr="001869B8">
        <w:t>, byl</w:t>
      </w:r>
      <w:r w:rsidR="003609B8" w:rsidRPr="001869B8">
        <w:t>a</w:t>
      </w:r>
      <w:r w:rsidRPr="001869B8">
        <w:t xml:space="preserve"> Stavebnictví</w:t>
      </w:r>
      <w:r w:rsidR="001869B8" w:rsidRPr="001869B8">
        <w:t xml:space="preserve"> a Těžba a</w:t>
      </w:r>
      <w:r w:rsidR="001869B8">
        <w:t> </w:t>
      </w:r>
      <w:r w:rsidR="001869B8" w:rsidRPr="001869B8">
        <w:t>dobývání</w:t>
      </w:r>
      <w:r w:rsidRPr="001869B8">
        <w:t xml:space="preserve"> (</w:t>
      </w:r>
      <w:r w:rsidR="001869B8" w:rsidRPr="001869B8">
        <w:t>obě shodně −17</w:t>
      </w:r>
      <w:r w:rsidRPr="001869B8">
        <w:t xml:space="preserve"> tis.)</w:t>
      </w:r>
      <w:r w:rsidR="001869B8" w:rsidRPr="001869B8">
        <w:t>.</w:t>
      </w:r>
      <w:r w:rsidR="00BE4399" w:rsidRPr="001869B8">
        <w:t xml:space="preserve"> </w:t>
      </w:r>
      <w:r w:rsidR="001869B8" w:rsidRPr="001869B8">
        <w:t xml:space="preserve">U Stavebnictví to představovalo relativní pokles o 7 %, zatímco u Těžby téměř o polovinu (−48 %). </w:t>
      </w:r>
      <w:r w:rsidR="004A6AC9">
        <w:t xml:space="preserve">Další významnější poklesy se odehrály v sekcích </w:t>
      </w:r>
      <w:r w:rsidR="00BE4399" w:rsidRPr="001869B8">
        <w:t>Ubytová</w:t>
      </w:r>
      <w:r w:rsidR="001869B8" w:rsidRPr="001869B8">
        <w:t>ní, stravování a</w:t>
      </w:r>
      <w:r w:rsidR="00923F2E">
        <w:t> </w:t>
      </w:r>
      <w:r w:rsidR="001869B8" w:rsidRPr="001869B8">
        <w:t>pohostinství (−</w:t>
      </w:r>
      <w:r w:rsidR="00A808DE">
        <w:t>4,4</w:t>
      </w:r>
      <w:r w:rsidR="00BE4399" w:rsidRPr="001869B8">
        <w:t xml:space="preserve"> tis.)</w:t>
      </w:r>
      <w:r w:rsidRPr="001869B8">
        <w:t xml:space="preserve"> a Zemědělství, lesnictví a rybářství (</w:t>
      </w:r>
      <w:r w:rsidR="001869B8" w:rsidRPr="001869B8">
        <w:t>−</w:t>
      </w:r>
      <w:r w:rsidR="00A808DE">
        <w:t>5,6</w:t>
      </w:r>
      <w:r w:rsidR="00A808DE" w:rsidRPr="001869B8">
        <w:t xml:space="preserve"> </w:t>
      </w:r>
      <w:r w:rsidRPr="001869B8">
        <w:t xml:space="preserve">tis.). </w:t>
      </w:r>
    </w:p>
    <w:p w14:paraId="566ACA36" w14:textId="6936FED5" w:rsidR="0064464A" w:rsidRPr="0039463A" w:rsidRDefault="00A81B9F" w:rsidP="00155829">
      <w:pPr>
        <w:pStyle w:val="Seznam"/>
        <w:spacing w:after="120"/>
        <w:contextualSpacing w:val="0"/>
        <w:jc w:val="both"/>
      </w:pPr>
      <w:r w:rsidRPr="0039463A">
        <w:t xml:space="preserve">Co se týče </w:t>
      </w:r>
      <w:r w:rsidRPr="0039463A">
        <w:rPr>
          <w:b/>
        </w:rPr>
        <w:t>meziročních rozdílů</w:t>
      </w:r>
      <w:r w:rsidRPr="0039463A">
        <w:t>, největší pokles</w:t>
      </w:r>
      <w:r w:rsidR="00FF3D8E" w:rsidRPr="0039463A">
        <w:t xml:space="preserve"> </w:t>
      </w:r>
      <w:r w:rsidR="006145A9" w:rsidRPr="0039463A">
        <w:t xml:space="preserve">byl </w:t>
      </w:r>
      <w:r w:rsidR="00FF3D8E" w:rsidRPr="0039463A">
        <w:t>v abs</w:t>
      </w:r>
      <w:r w:rsidR="001869B8" w:rsidRPr="0039463A">
        <w:t>olutním vyjádření zaznamenán v sekci Veřejná správa a obrana; povinné sociální zabezpečení, kte</w:t>
      </w:r>
      <w:r w:rsidRPr="0039463A">
        <w:t>r</w:t>
      </w:r>
      <w:r w:rsidR="001869B8" w:rsidRPr="0039463A">
        <w:t>á</w:t>
      </w:r>
      <w:r w:rsidR="00FF3D8E" w:rsidRPr="0039463A">
        <w:t xml:space="preserve"> </w:t>
      </w:r>
      <w:r w:rsidR="00BE4399" w:rsidRPr="0039463A">
        <w:t>měl</w:t>
      </w:r>
      <w:r w:rsidR="001869B8" w:rsidRPr="0039463A">
        <w:t>a</w:t>
      </w:r>
      <w:r w:rsidR="00BE4399" w:rsidRPr="0039463A">
        <w:t xml:space="preserve"> </w:t>
      </w:r>
      <w:r w:rsidR="0038725E" w:rsidRPr="0039463A">
        <w:t>v</w:t>
      </w:r>
      <w:r w:rsidR="00251D95" w:rsidRPr="0039463A">
        <w:t> 1. pol.</w:t>
      </w:r>
      <w:r w:rsidR="0038725E" w:rsidRPr="0039463A">
        <w:t xml:space="preserve"> 202</w:t>
      </w:r>
      <w:r w:rsidR="001869B8" w:rsidRPr="0039463A">
        <w:t>2</w:t>
      </w:r>
      <w:r w:rsidR="0038725E" w:rsidRPr="0039463A">
        <w:t xml:space="preserve"> </w:t>
      </w:r>
      <w:r w:rsidR="00251D95" w:rsidRPr="0039463A">
        <w:t>o 1</w:t>
      </w:r>
      <w:r w:rsidR="001869B8" w:rsidRPr="0039463A">
        <w:t>2</w:t>
      </w:r>
      <w:r w:rsidRPr="0039463A">
        <w:t xml:space="preserve"> tis. pojištěnců</w:t>
      </w:r>
      <w:r w:rsidR="00BE4399" w:rsidRPr="0039463A">
        <w:t xml:space="preserve"> méně</w:t>
      </w:r>
      <w:r w:rsidR="00AD0A47">
        <w:t xml:space="preserve">. </w:t>
      </w:r>
      <w:r w:rsidR="006145A9" w:rsidRPr="0039463A">
        <w:t>Relativně</w:t>
      </w:r>
      <w:r w:rsidR="00FF3D8E" w:rsidRPr="0039463A">
        <w:t xml:space="preserve"> to představuje </w:t>
      </w:r>
      <w:r w:rsidR="004C36AF" w:rsidRPr="0039463A">
        <w:t xml:space="preserve">meziroční </w:t>
      </w:r>
      <w:r w:rsidR="00FF3D8E" w:rsidRPr="0039463A">
        <w:t>pokles o</w:t>
      </w:r>
      <w:r w:rsidR="008C3456" w:rsidRPr="0039463A">
        <w:t> </w:t>
      </w:r>
      <w:r w:rsidR="001869B8" w:rsidRPr="0039463A">
        <w:t>4</w:t>
      </w:r>
      <w:r w:rsidR="004C36AF" w:rsidRPr="0039463A">
        <w:t> %</w:t>
      </w:r>
      <w:r w:rsidR="00FF3D8E" w:rsidRPr="0039463A">
        <w:t>.</w:t>
      </w:r>
      <w:r w:rsidR="0038725E" w:rsidRPr="0039463A">
        <w:t xml:space="preserve"> </w:t>
      </w:r>
      <w:r w:rsidR="00AD0A47">
        <w:t xml:space="preserve">Bližší vysvětlení v poznámce pod čarou </w:t>
      </w:r>
      <w:r w:rsidR="00550835">
        <w:t xml:space="preserve">na str. 36. </w:t>
      </w:r>
      <w:r w:rsidR="004C36AF" w:rsidRPr="0039463A">
        <w:t>K výr</w:t>
      </w:r>
      <w:r w:rsidR="001869B8" w:rsidRPr="0039463A">
        <w:t>aznému snížení počtu pojištěnců</w:t>
      </w:r>
      <w:r w:rsidR="004C36AF" w:rsidRPr="0039463A">
        <w:t xml:space="preserve"> </w:t>
      </w:r>
      <w:r w:rsidR="001869B8" w:rsidRPr="0039463A">
        <w:t>(o 7 tis., o 3</w:t>
      </w:r>
      <w:r w:rsidR="00251D95" w:rsidRPr="0039463A">
        <w:t xml:space="preserve"> %) </w:t>
      </w:r>
      <w:r w:rsidR="004C36AF" w:rsidRPr="0039463A">
        <w:t>došlo i</w:t>
      </w:r>
      <w:r w:rsidR="0039463A" w:rsidRPr="0039463A">
        <w:t> </w:t>
      </w:r>
      <w:r w:rsidR="004C36AF" w:rsidRPr="0039463A">
        <w:t xml:space="preserve">v odvětvové sekci </w:t>
      </w:r>
      <w:r w:rsidR="0039463A" w:rsidRPr="0039463A">
        <w:t>Administrativní a podpůrné činnosti</w:t>
      </w:r>
      <w:r w:rsidR="00251D95" w:rsidRPr="0039463A">
        <w:t xml:space="preserve">. </w:t>
      </w:r>
      <w:r w:rsidR="0039463A">
        <w:t xml:space="preserve">V této sekci jsou zařazeny i subjekty, které poskytují tzv. agenturní pracovníky jiným firmám často působícím </w:t>
      </w:r>
      <w:r w:rsidR="00F73A3B">
        <w:t xml:space="preserve">ve </w:t>
      </w:r>
      <w:r w:rsidR="0039463A">
        <w:t>zpracovatelském průmyslu. Dále tato sekce zahrnuje bezpečnostní a úklidové činnosti.</w:t>
      </w:r>
    </w:p>
    <w:p w14:paraId="1E72476F" w14:textId="26551AC1" w:rsidR="00251D95" w:rsidRDefault="00404BB0" w:rsidP="00155829">
      <w:pPr>
        <w:pStyle w:val="Seznam"/>
        <w:spacing w:after="120"/>
        <w:contextualSpacing w:val="0"/>
        <w:jc w:val="both"/>
      </w:pPr>
      <w:r>
        <w:t>Naproti tomu</w:t>
      </w:r>
      <w:r w:rsidR="0064464A" w:rsidRPr="0039463A">
        <w:t xml:space="preserve"> odvětví, která co do počtu nemocensky pojištěných </w:t>
      </w:r>
      <w:r w:rsidR="0039463A" w:rsidRPr="0039463A">
        <w:t xml:space="preserve">meziročně </w:t>
      </w:r>
      <w:r w:rsidR="00251D95" w:rsidRPr="0039463A">
        <w:t xml:space="preserve">nejvíce </w:t>
      </w:r>
      <w:r w:rsidR="0064464A" w:rsidRPr="0039463A">
        <w:t>rostla, byl</w:t>
      </w:r>
      <w:r w:rsidR="0039463A" w:rsidRPr="0039463A">
        <w:t>o Vzdělávání</w:t>
      </w:r>
      <w:r w:rsidR="00251D95" w:rsidRPr="0039463A">
        <w:t xml:space="preserve"> (+1</w:t>
      </w:r>
      <w:r w:rsidR="0039463A" w:rsidRPr="0039463A">
        <w:t>3</w:t>
      </w:r>
      <w:r w:rsidR="00251D95" w:rsidRPr="0039463A">
        <w:t xml:space="preserve"> tis.; </w:t>
      </w:r>
      <w:r w:rsidR="0039463A" w:rsidRPr="0039463A">
        <w:t>3</w:t>
      </w:r>
      <w:r w:rsidR="00251D95" w:rsidRPr="0039463A">
        <w:t xml:space="preserve"> %)</w:t>
      </w:r>
      <w:r w:rsidR="00BE4399" w:rsidRPr="0039463A">
        <w:t xml:space="preserve">, </w:t>
      </w:r>
      <w:r w:rsidR="0039463A" w:rsidRPr="0039463A">
        <w:t>Velkoobchod a maloobchod; opravy a údržba motorových vozidel (+7 tis.; 1 %) či Informační a</w:t>
      </w:r>
      <w:r w:rsidR="0039463A">
        <w:t> </w:t>
      </w:r>
      <w:r w:rsidR="0039463A" w:rsidRPr="0039463A">
        <w:t>komunikační činnosti (+6 tis.; 4 %).</w:t>
      </w:r>
    </w:p>
    <w:p w14:paraId="753278E5" w14:textId="77777777" w:rsidR="00E404AC" w:rsidRPr="00D92E20" w:rsidRDefault="00E404AC" w:rsidP="00155829">
      <w:pPr>
        <w:pStyle w:val="Box1"/>
        <w:spacing w:before="120" w:after="120"/>
        <w:ind w:left="0"/>
        <w:contextualSpacing w:val="0"/>
        <w:jc w:val="both"/>
        <w:rPr>
          <w:i/>
        </w:rPr>
      </w:pPr>
      <w:r w:rsidRPr="00D92E20">
        <w:rPr>
          <w:b/>
          <w:i/>
        </w:rPr>
        <w:t xml:space="preserve">Průměrný počet nemocensky pojištěných mladistvých </w:t>
      </w:r>
      <w:r w:rsidRPr="00D92E20">
        <w:rPr>
          <w:i/>
        </w:rPr>
        <w:t>– ukazatel udává průměrný počet nemocensky pojištěných osob mladších 18 let (viz § 350 odst. 2 zákona č. 262/2006 Sb., zákoník práce, ve znění pozdějších předpisů).</w:t>
      </w:r>
    </w:p>
    <w:p w14:paraId="2C54EDBE" w14:textId="77777777" w:rsidR="00E404AC" w:rsidRPr="00D92E20" w:rsidRDefault="00E404AC" w:rsidP="00E404AC">
      <w:pPr>
        <w:pStyle w:val="Box1"/>
        <w:ind w:left="0"/>
        <w:jc w:val="both"/>
        <w:rPr>
          <w:i/>
          <w:u w:val="single"/>
        </w:rPr>
      </w:pPr>
      <w:r w:rsidRPr="00D92E20">
        <w:rPr>
          <w:i/>
          <w:u w:val="single"/>
        </w:rPr>
        <w:t>Způsob výpočtu:</w:t>
      </w:r>
    </w:p>
    <w:p w14:paraId="513151F0" w14:textId="77777777" w:rsidR="00E404AC" w:rsidRPr="00D92E20" w:rsidRDefault="00E404AC" w:rsidP="00BA6B4E">
      <w:pPr>
        <w:pStyle w:val="Box1"/>
        <w:spacing w:before="120" w:after="120"/>
        <w:ind w:left="0"/>
        <w:contextualSpacing w:val="0"/>
        <w:jc w:val="both"/>
        <w:rPr>
          <w:i/>
        </w:rPr>
      </w:pPr>
      <w:r w:rsidRPr="00D92E20">
        <w:rPr>
          <w:i/>
        </w:rPr>
        <w:t>Průměrný počet nemocensky pojištěných mladistvých = počet dnů nemocenského pojištění jednotlivých pojištěných mladistvých ve vykazovaném období / počet kalendářních dnů ve vykazovaném období.</w:t>
      </w:r>
    </w:p>
    <w:p w14:paraId="6C213BB4" w14:textId="78FE45A6" w:rsidR="00ED103E" w:rsidRPr="00713D1B" w:rsidRDefault="00E404AC" w:rsidP="00BA6B4E">
      <w:pPr>
        <w:pStyle w:val="Seznam"/>
        <w:spacing w:after="120"/>
        <w:contextualSpacing w:val="0"/>
        <w:jc w:val="both"/>
        <w:rPr>
          <w:spacing w:val="-2"/>
        </w:rPr>
      </w:pPr>
      <w:r w:rsidRPr="00713D1B">
        <w:rPr>
          <w:spacing w:val="-2"/>
        </w:rPr>
        <w:t>V</w:t>
      </w:r>
      <w:r w:rsidR="0039463A" w:rsidRPr="00713D1B">
        <w:rPr>
          <w:spacing w:val="-2"/>
        </w:rPr>
        <w:t> 1. pol. 2022</w:t>
      </w:r>
      <w:r w:rsidRPr="00713D1B">
        <w:rPr>
          <w:spacing w:val="-2"/>
        </w:rPr>
        <w:t xml:space="preserve"> bylo evidováno </w:t>
      </w:r>
      <w:r w:rsidR="0039463A" w:rsidRPr="00713D1B">
        <w:rPr>
          <w:spacing w:val="-2"/>
        </w:rPr>
        <w:t>5,4</w:t>
      </w:r>
      <w:r w:rsidRPr="00713D1B">
        <w:rPr>
          <w:spacing w:val="-2"/>
        </w:rPr>
        <w:t xml:space="preserve"> tis. nemocensky pojištěných mladistvých, tedy osob mladších 18 let. Na</w:t>
      </w:r>
      <w:r w:rsidR="008C3456" w:rsidRPr="00713D1B">
        <w:rPr>
          <w:spacing w:val="-2"/>
        </w:rPr>
        <w:t> </w:t>
      </w:r>
      <w:r w:rsidRPr="00713D1B">
        <w:rPr>
          <w:spacing w:val="-2"/>
        </w:rPr>
        <w:t>celkové</w:t>
      </w:r>
      <w:r w:rsidR="00E9284B" w:rsidRPr="00713D1B">
        <w:rPr>
          <w:spacing w:val="-2"/>
        </w:rPr>
        <w:t>m</w:t>
      </w:r>
      <w:r w:rsidRPr="00713D1B">
        <w:rPr>
          <w:spacing w:val="-2"/>
        </w:rPr>
        <w:t xml:space="preserve"> počtu pojištěnců se podíleli 0,</w:t>
      </w:r>
      <w:r w:rsidR="004A6AC9">
        <w:rPr>
          <w:spacing w:val="-2"/>
        </w:rPr>
        <w:t>11</w:t>
      </w:r>
      <w:r w:rsidRPr="00713D1B">
        <w:rPr>
          <w:spacing w:val="-2"/>
        </w:rPr>
        <w:t xml:space="preserve"> %. Jejich počet meziročně </w:t>
      </w:r>
      <w:r w:rsidR="0039463A" w:rsidRPr="00713D1B">
        <w:rPr>
          <w:spacing w:val="-2"/>
        </w:rPr>
        <w:t>vzrostl</w:t>
      </w:r>
      <w:r w:rsidRPr="00713D1B">
        <w:rPr>
          <w:spacing w:val="-2"/>
        </w:rPr>
        <w:t xml:space="preserve"> z </w:t>
      </w:r>
      <w:r w:rsidR="00251D95" w:rsidRPr="00713D1B">
        <w:rPr>
          <w:spacing w:val="-2"/>
        </w:rPr>
        <w:t>5</w:t>
      </w:r>
      <w:r w:rsidR="0039463A" w:rsidRPr="00713D1B">
        <w:rPr>
          <w:spacing w:val="-2"/>
        </w:rPr>
        <w:t>,2</w:t>
      </w:r>
      <w:r w:rsidRPr="00713D1B">
        <w:rPr>
          <w:spacing w:val="-2"/>
        </w:rPr>
        <w:t xml:space="preserve"> tis. o</w:t>
      </w:r>
      <w:r w:rsidR="0039463A" w:rsidRPr="00713D1B">
        <w:rPr>
          <w:spacing w:val="-2"/>
        </w:rPr>
        <w:t xml:space="preserve"> 187</w:t>
      </w:r>
      <w:r w:rsidR="00251D95" w:rsidRPr="00713D1B">
        <w:rPr>
          <w:spacing w:val="-2"/>
        </w:rPr>
        <w:t xml:space="preserve"> osob</w:t>
      </w:r>
      <w:r w:rsidRPr="00713D1B">
        <w:rPr>
          <w:spacing w:val="-2"/>
        </w:rPr>
        <w:t xml:space="preserve">, tj. o </w:t>
      </w:r>
      <w:r w:rsidR="0039463A" w:rsidRPr="00713D1B">
        <w:rPr>
          <w:spacing w:val="-2"/>
        </w:rPr>
        <w:t>4</w:t>
      </w:r>
      <w:r w:rsidR="00713D1B" w:rsidRPr="00713D1B">
        <w:rPr>
          <w:spacing w:val="-2"/>
        </w:rPr>
        <w:t> </w:t>
      </w:r>
      <w:r w:rsidRPr="00713D1B">
        <w:rPr>
          <w:spacing w:val="-2"/>
        </w:rPr>
        <w:t>%.</w:t>
      </w:r>
    </w:p>
    <w:p w14:paraId="51FC4839" w14:textId="77777777" w:rsidR="00ED103E" w:rsidRPr="00D92E20" w:rsidRDefault="00ED103E" w:rsidP="005A63A4">
      <w:pPr>
        <w:pStyle w:val="Nadpis3"/>
        <w:numPr>
          <w:ilvl w:val="1"/>
          <w:numId w:val="19"/>
        </w:numPr>
        <w:spacing w:after="120"/>
        <w:ind w:left="425" w:hanging="425"/>
      </w:pPr>
      <w:bookmarkStart w:id="5" w:name="_Toc54262799"/>
      <w:bookmarkStart w:id="6" w:name="_Toc117774427"/>
      <w:r w:rsidRPr="00D92E20">
        <w:t>Nově hlášené případy dočasné pracovní neschopnosti</w:t>
      </w:r>
      <w:bookmarkEnd w:id="5"/>
      <w:bookmarkEnd w:id="6"/>
    </w:p>
    <w:p w14:paraId="566B98D5" w14:textId="10C7592C" w:rsidR="00ED103E" w:rsidRPr="00D92E20" w:rsidRDefault="00ED103E" w:rsidP="00BA6B4E">
      <w:pPr>
        <w:spacing w:after="120"/>
        <w:jc w:val="both"/>
      </w:pPr>
      <w:r w:rsidRPr="00D92E20">
        <w:t xml:space="preserve">Vstupním zdrojem a podkladem pro zpracování dat této kapitoly jsou údaje o dočasné pracovní neschopnosti pro nemoc a úraz nahlášené České správě sociálního zabezpečení prostřednictvím </w:t>
      </w:r>
      <w:r w:rsidRPr="00D92E20">
        <w:rPr>
          <w:i/>
        </w:rPr>
        <w:t>„Rozhodnutí o dočasné pracovní neschopnosti“</w:t>
      </w:r>
      <w:r w:rsidR="00BE4399">
        <w:t xml:space="preserve"> (tzv. eNeschopenky</w:t>
      </w:r>
      <w:r w:rsidRPr="00D92E20">
        <w:t>), které vyplňuje ošetřující lékař.</w:t>
      </w:r>
    </w:p>
    <w:p w14:paraId="78D31352" w14:textId="77777777" w:rsidR="00ED103E" w:rsidRPr="00D92E20" w:rsidRDefault="00ED103E" w:rsidP="00BA6B4E">
      <w:pPr>
        <w:pStyle w:val="Nadpis3"/>
        <w:numPr>
          <w:ilvl w:val="2"/>
          <w:numId w:val="18"/>
        </w:numPr>
        <w:spacing w:after="120"/>
        <w:ind w:left="709"/>
        <w:jc w:val="both"/>
      </w:pPr>
      <w:bookmarkStart w:id="7" w:name="_Toc54262800"/>
      <w:bookmarkStart w:id="8" w:name="_Toc117774428"/>
      <w:r w:rsidRPr="00D92E20">
        <w:t>Počet případů dočasné pracovní neschopnosti</w:t>
      </w:r>
      <w:bookmarkEnd w:id="7"/>
      <w:bookmarkEnd w:id="8"/>
    </w:p>
    <w:p w14:paraId="549918DD" w14:textId="41DD094F" w:rsidR="00ED103E" w:rsidRPr="00D92E20" w:rsidRDefault="00ED103E" w:rsidP="00BA6B4E">
      <w:pPr>
        <w:spacing w:after="120"/>
        <w:jc w:val="both"/>
        <w:rPr>
          <w:bCs/>
        </w:rPr>
      </w:pPr>
      <w:r w:rsidRPr="00D92E20">
        <w:rPr>
          <w:b/>
          <w:bCs/>
        </w:rPr>
        <w:t>Četnost výskytu dočasné pracovní neschopnosti</w:t>
      </w:r>
      <w:r w:rsidRPr="00D92E20">
        <w:rPr>
          <w:bCs/>
        </w:rPr>
        <w:t xml:space="preserve"> </w:t>
      </w:r>
      <w:r w:rsidRPr="00D92E20">
        <w:rPr>
          <w:b/>
          <w:bCs/>
        </w:rPr>
        <w:t>(DPN)</w:t>
      </w:r>
      <w:r w:rsidRPr="00D92E20">
        <w:rPr>
          <w:bCs/>
        </w:rPr>
        <w:t xml:space="preserve"> odráží ukazatel </w:t>
      </w:r>
      <w:r w:rsidR="004C36AF" w:rsidRPr="00D92E20">
        <w:rPr>
          <w:bCs/>
        </w:rPr>
        <w:t xml:space="preserve">o počtu </w:t>
      </w:r>
      <w:r w:rsidRPr="00D92E20">
        <w:rPr>
          <w:bCs/>
        </w:rPr>
        <w:t>nově hlášených případů pracovní neschopnosti. Tento absolutní ukazatel je rovněž vhodný pro posouzení trendů vývoje pracovní neschopnosti</w:t>
      </w:r>
      <w:r w:rsidR="004C36AF" w:rsidRPr="00D92E20">
        <w:rPr>
          <w:bCs/>
        </w:rPr>
        <w:t xml:space="preserve"> v čase</w:t>
      </w:r>
      <w:r w:rsidRPr="00D92E20">
        <w:rPr>
          <w:bCs/>
        </w:rPr>
        <w:t xml:space="preserve">. Avšak z pohledu porovnání regionů, jednotlivých odvětví ekonomických činností či velikosti podniku má vyšší vypovídací schopnost </w:t>
      </w:r>
      <w:r w:rsidRPr="00D92E20">
        <w:rPr>
          <w:b/>
          <w:bCs/>
        </w:rPr>
        <w:t>ukazatel relativní</w:t>
      </w:r>
      <w:r w:rsidRPr="00D92E20">
        <w:rPr>
          <w:bCs/>
        </w:rPr>
        <w:t xml:space="preserve"> – </w:t>
      </w:r>
      <w:r w:rsidRPr="00D92E20">
        <w:rPr>
          <w:b/>
          <w:bCs/>
        </w:rPr>
        <w:t>počet</w:t>
      </w:r>
      <w:r w:rsidRPr="00D92E20">
        <w:rPr>
          <w:bCs/>
        </w:rPr>
        <w:t xml:space="preserve"> nově hlášených případů pracovní neschopnosti </w:t>
      </w:r>
      <w:r w:rsidRPr="00D92E20">
        <w:rPr>
          <w:b/>
          <w:bCs/>
        </w:rPr>
        <w:t>na 100 pojištěnců</w:t>
      </w:r>
      <w:r w:rsidRPr="00D92E20">
        <w:rPr>
          <w:bCs/>
        </w:rPr>
        <w:t xml:space="preserve"> v dané kategorii, např. ve zpracovatelském průmyslu, v malých podnicích či konkrétním kraji.</w:t>
      </w:r>
    </w:p>
    <w:p w14:paraId="105BBBAB" w14:textId="28A72FAD" w:rsidR="00ED103E" w:rsidRPr="00D92E20" w:rsidRDefault="00ED103E" w:rsidP="00BA6B4E">
      <w:pPr>
        <w:pStyle w:val="Box1"/>
        <w:spacing w:before="120" w:after="120"/>
        <w:ind w:left="0"/>
        <w:contextualSpacing w:val="0"/>
        <w:jc w:val="both"/>
        <w:rPr>
          <w:i/>
        </w:rPr>
      </w:pPr>
      <w:r w:rsidRPr="00D92E20">
        <w:rPr>
          <w:b/>
          <w:i/>
        </w:rPr>
        <w:t xml:space="preserve">Počet nově hlášených případů pracovní neschopnosti </w:t>
      </w:r>
      <w:r w:rsidRPr="00D92E20">
        <w:rPr>
          <w:i/>
        </w:rPr>
        <w:t xml:space="preserve">– ukazatel zahrnuje nově hlášené případy pracovní neschopnosti </w:t>
      </w:r>
      <w:r w:rsidR="007C6359">
        <w:rPr>
          <w:i/>
        </w:rPr>
        <w:t xml:space="preserve">vzniklé </w:t>
      </w:r>
      <w:r w:rsidRPr="00D92E20">
        <w:rPr>
          <w:i/>
        </w:rPr>
        <w:t xml:space="preserve">ve sledovaném období </w:t>
      </w:r>
      <w:r w:rsidR="00153C97">
        <w:rPr>
          <w:i/>
        </w:rPr>
        <w:t xml:space="preserve">(1. pololetí) </w:t>
      </w:r>
      <w:r w:rsidRPr="00D92E20">
        <w:rPr>
          <w:i/>
        </w:rPr>
        <w:t>na základě hlášení o vzniku pracovní neschopnosti nemocensky pojištěných osob.</w:t>
      </w:r>
    </w:p>
    <w:p w14:paraId="2A3B3962" w14:textId="77777777" w:rsidR="00ED103E" w:rsidRPr="00D92E20" w:rsidRDefault="00ED103E" w:rsidP="00BA6B4E">
      <w:pPr>
        <w:pStyle w:val="Box1"/>
        <w:spacing w:before="120" w:after="120"/>
        <w:ind w:left="0"/>
        <w:contextualSpacing w:val="0"/>
        <w:jc w:val="both"/>
        <w:rPr>
          <w:i/>
        </w:rPr>
      </w:pPr>
      <w:r w:rsidRPr="00D92E20">
        <w:rPr>
          <w:b/>
          <w:i/>
        </w:rPr>
        <w:lastRenderedPageBreak/>
        <w:t xml:space="preserve">Počet případů pracovní neschopnosti na 100 pojištěnců </w:t>
      </w:r>
      <w:r w:rsidRPr="00D92E20">
        <w:rPr>
          <w:i/>
        </w:rPr>
        <w:t xml:space="preserve">– ukazatel vyjadřuje počet nově hlášených případů pracovní neschopnosti, které připadají v průměru na 100 nemocensky pojištěných osob. </w:t>
      </w:r>
    </w:p>
    <w:p w14:paraId="3D152929" w14:textId="2F195149" w:rsidR="00700CEF" w:rsidRPr="00D92E20" w:rsidRDefault="00F71B6A" w:rsidP="00BA6B4E">
      <w:pPr>
        <w:spacing w:before="120" w:after="120"/>
        <w:jc w:val="both"/>
        <w:rPr>
          <w:bCs/>
        </w:rPr>
      </w:pPr>
      <w:r w:rsidRPr="00D92E20">
        <w:rPr>
          <w:bCs/>
        </w:rPr>
        <w:t>V</w:t>
      </w:r>
      <w:r w:rsidR="00153C97">
        <w:rPr>
          <w:bCs/>
        </w:rPr>
        <w:t> 1. pol. 202</w:t>
      </w:r>
      <w:r w:rsidR="00956085">
        <w:rPr>
          <w:bCs/>
        </w:rPr>
        <w:t>2</w:t>
      </w:r>
      <w:r w:rsidRPr="00D92E20">
        <w:rPr>
          <w:bCs/>
        </w:rPr>
        <w:t xml:space="preserve"> bylo </w:t>
      </w:r>
      <w:r w:rsidR="004C36AF" w:rsidRPr="00D92E20">
        <w:rPr>
          <w:bCs/>
        </w:rPr>
        <w:t xml:space="preserve">v Česku </w:t>
      </w:r>
      <w:r w:rsidRPr="00D92E20">
        <w:rPr>
          <w:bCs/>
        </w:rPr>
        <w:t>nahlášeno</w:t>
      </w:r>
      <w:r w:rsidR="004C36AF" w:rsidRPr="00D92E20">
        <w:rPr>
          <w:bCs/>
        </w:rPr>
        <w:t xml:space="preserve"> </w:t>
      </w:r>
      <w:r w:rsidR="004C36AF" w:rsidRPr="00D92E20">
        <w:rPr>
          <w:b/>
          <w:bCs/>
        </w:rPr>
        <w:t>celkem</w:t>
      </w:r>
      <w:r w:rsidRPr="00D92E20">
        <w:rPr>
          <w:bCs/>
        </w:rPr>
        <w:t xml:space="preserve"> </w:t>
      </w:r>
      <w:r w:rsidR="00956085">
        <w:rPr>
          <w:b/>
          <w:bCs/>
        </w:rPr>
        <w:t>2 054</w:t>
      </w:r>
      <w:r w:rsidRPr="00D92E20">
        <w:rPr>
          <w:b/>
          <w:bCs/>
        </w:rPr>
        <w:t xml:space="preserve"> tis. případů pracovní neschopnosti.</w:t>
      </w:r>
      <w:r w:rsidRPr="00D92E20">
        <w:rPr>
          <w:bCs/>
        </w:rPr>
        <w:t xml:space="preserve"> To je </w:t>
      </w:r>
      <w:r w:rsidR="0035708E">
        <w:rPr>
          <w:bCs/>
        </w:rPr>
        <w:t>o více než 46</w:t>
      </w:r>
      <w:r w:rsidR="00AD62A2">
        <w:rPr>
          <w:bCs/>
        </w:rPr>
        <w:t xml:space="preserve"> %</w:t>
      </w:r>
      <w:r w:rsidRPr="00D92E20">
        <w:rPr>
          <w:bCs/>
        </w:rPr>
        <w:t xml:space="preserve"> (</w:t>
      </w:r>
      <w:r w:rsidR="00AD62A2">
        <w:rPr>
          <w:bCs/>
        </w:rPr>
        <w:t>655</w:t>
      </w:r>
      <w:r w:rsidRPr="00D92E20">
        <w:rPr>
          <w:bCs/>
        </w:rPr>
        <w:t xml:space="preserve"> tis.</w:t>
      </w:r>
      <w:r w:rsidR="002D1B28" w:rsidRPr="00D92E20">
        <w:rPr>
          <w:bCs/>
        </w:rPr>
        <w:t>)</w:t>
      </w:r>
      <w:r w:rsidRPr="00D92E20">
        <w:rPr>
          <w:bCs/>
        </w:rPr>
        <w:t xml:space="preserve"> případů více než před ro</w:t>
      </w:r>
      <w:r w:rsidR="00153C97">
        <w:rPr>
          <w:bCs/>
        </w:rPr>
        <w:t>kem</w:t>
      </w:r>
      <w:r w:rsidRPr="00D92E20">
        <w:rPr>
          <w:bCs/>
        </w:rPr>
        <w:t>. Rostoucí trend byl nastolen již v</w:t>
      </w:r>
      <w:r w:rsidR="00153C97">
        <w:rPr>
          <w:bCs/>
        </w:rPr>
        <w:t xml:space="preserve"> roce </w:t>
      </w:r>
      <w:r w:rsidRPr="00D92E20">
        <w:rPr>
          <w:bCs/>
        </w:rPr>
        <w:t>201</w:t>
      </w:r>
      <w:r w:rsidR="002A1CEC" w:rsidRPr="00D92E20">
        <w:rPr>
          <w:bCs/>
        </w:rPr>
        <w:t>5</w:t>
      </w:r>
      <w:r w:rsidRPr="00D92E20">
        <w:rPr>
          <w:bCs/>
        </w:rPr>
        <w:t xml:space="preserve">. </w:t>
      </w:r>
      <w:r w:rsidR="00700CEF" w:rsidRPr="00D92E20">
        <w:rPr>
          <w:bCs/>
        </w:rPr>
        <w:t xml:space="preserve">V té době však bylo během </w:t>
      </w:r>
      <w:r w:rsidR="00153C97">
        <w:rPr>
          <w:bCs/>
        </w:rPr>
        <w:t>1. pol.</w:t>
      </w:r>
      <w:r w:rsidR="00700CEF" w:rsidRPr="00D92E20">
        <w:rPr>
          <w:bCs/>
        </w:rPr>
        <w:t xml:space="preserve"> nahlášeno o </w:t>
      </w:r>
      <w:r w:rsidR="00AD62A2">
        <w:rPr>
          <w:bCs/>
        </w:rPr>
        <w:t>1 180</w:t>
      </w:r>
      <w:r w:rsidR="002A1CEC" w:rsidRPr="00D92E20">
        <w:rPr>
          <w:bCs/>
        </w:rPr>
        <w:t xml:space="preserve"> tis.</w:t>
      </w:r>
      <w:r w:rsidR="00700CEF" w:rsidRPr="00D92E20">
        <w:rPr>
          <w:bCs/>
        </w:rPr>
        <w:t xml:space="preserve"> případů méně</w:t>
      </w:r>
      <w:r w:rsidR="009F305A">
        <w:rPr>
          <w:bCs/>
        </w:rPr>
        <w:t xml:space="preserve"> než </w:t>
      </w:r>
      <w:r w:rsidR="00153C97">
        <w:rPr>
          <w:bCs/>
        </w:rPr>
        <w:t>za 1. polovinu roku 202</w:t>
      </w:r>
      <w:r w:rsidR="00AD62A2">
        <w:rPr>
          <w:bCs/>
        </w:rPr>
        <w:t>2</w:t>
      </w:r>
      <w:r w:rsidR="00700CEF" w:rsidRPr="00D92E20">
        <w:rPr>
          <w:bCs/>
        </w:rPr>
        <w:t>.</w:t>
      </w:r>
      <w:r w:rsidR="00471D3F" w:rsidRPr="00D92E20">
        <w:rPr>
          <w:bCs/>
        </w:rPr>
        <w:t xml:space="preserve"> </w:t>
      </w:r>
    </w:p>
    <w:p w14:paraId="45168F8D" w14:textId="370C9E79" w:rsidR="00315DF2" w:rsidRDefault="00991A19" w:rsidP="00315DF2">
      <w:pPr>
        <w:spacing w:before="120" w:after="120"/>
        <w:jc w:val="both"/>
        <w:rPr>
          <w:bCs/>
        </w:rPr>
      </w:pPr>
      <w:r w:rsidRPr="00D92E20">
        <w:rPr>
          <w:bCs/>
        </w:rPr>
        <w:t>Významným</w:t>
      </w:r>
      <w:r w:rsidR="00471D3F" w:rsidRPr="00D92E20">
        <w:rPr>
          <w:bCs/>
        </w:rPr>
        <w:t xml:space="preserve"> faktorem</w:t>
      </w:r>
      <w:r w:rsidR="00F71B6A" w:rsidRPr="00D92E20">
        <w:rPr>
          <w:bCs/>
        </w:rPr>
        <w:t xml:space="preserve">, který </w:t>
      </w:r>
      <w:r w:rsidR="004071F1">
        <w:rPr>
          <w:bCs/>
        </w:rPr>
        <w:t>stojí</w:t>
      </w:r>
      <w:r w:rsidR="00700CEF" w:rsidRPr="00D92E20">
        <w:rPr>
          <w:bCs/>
        </w:rPr>
        <w:t xml:space="preserve"> za </w:t>
      </w:r>
      <w:r w:rsidR="00153C97">
        <w:rPr>
          <w:bCs/>
        </w:rPr>
        <w:t xml:space="preserve">meziročním extrémním </w:t>
      </w:r>
      <w:r w:rsidR="00F71B6A" w:rsidRPr="00D92E20">
        <w:rPr>
          <w:bCs/>
        </w:rPr>
        <w:t>nárůstem</w:t>
      </w:r>
      <w:r w:rsidR="00471D3F" w:rsidRPr="00D92E20">
        <w:rPr>
          <w:bCs/>
        </w:rPr>
        <w:t xml:space="preserve"> počtu nových případů,</w:t>
      </w:r>
      <w:r w:rsidR="00F71B6A" w:rsidRPr="00D92E20">
        <w:rPr>
          <w:bCs/>
        </w:rPr>
        <w:t xml:space="preserve"> </w:t>
      </w:r>
      <w:r w:rsidR="004071F1">
        <w:rPr>
          <w:bCs/>
        </w:rPr>
        <w:t xml:space="preserve">byla </w:t>
      </w:r>
      <w:r w:rsidR="00F71B6A" w:rsidRPr="00D92E20">
        <w:rPr>
          <w:bCs/>
        </w:rPr>
        <w:t xml:space="preserve">bezesporu </w:t>
      </w:r>
      <w:r w:rsidR="004071F1">
        <w:rPr>
          <w:bCs/>
        </w:rPr>
        <w:t>pokračující</w:t>
      </w:r>
      <w:r w:rsidR="004071F1" w:rsidRPr="00D92E20">
        <w:rPr>
          <w:bCs/>
        </w:rPr>
        <w:t xml:space="preserve"> </w:t>
      </w:r>
      <w:r w:rsidR="00F71B6A" w:rsidRPr="00D92E20">
        <w:rPr>
          <w:b/>
          <w:bCs/>
        </w:rPr>
        <w:t xml:space="preserve">pandemie nemoci </w:t>
      </w:r>
      <w:r w:rsidR="000221A2">
        <w:rPr>
          <w:b/>
          <w:bCs/>
        </w:rPr>
        <w:t>c</w:t>
      </w:r>
      <w:r w:rsidR="00F71B6A" w:rsidRPr="00D92E20">
        <w:rPr>
          <w:b/>
          <w:bCs/>
        </w:rPr>
        <w:t>ovid-19</w:t>
      </w:r>
      <w:r w:rsidR="007872B7">
        <w:rPr>
          <w:b/>
          <w:bCs/>
        </w:rPr>
        <w:t xml:space="preserve"> </w:t>
      </w:r>
      <w:r w:rsidR="007872B7">
        <w:t>a rozšíření velmi nakažlivé varianty omikron</w:t>
      </w:r>
      <w:r w:rsidR="00F71B6A" w:rsidRPr="00D92E20">
        <w:rPr>
          <w:bCs/>
        </w:rPr>
        <w:t xml:space="preserve">. </w:t>
      </w:r>
      <w:r w:rsidR="00315DF2">
        <w:rPr>
          <w:bCs/>
        </w:rPr>
        <w:t xml:space="preserve">Kromě nemoci byl ovšem nárůst částečně způsoben i metodologicky. </w:t>
      </w:r>
      <w:r w:rsidR="00315DF2" w:rsidRPr="00231C42">
        <w:rPr>
          <w:b/>
          <w:bCs/>
        </w:rPr>
        <w:t>V</w:t>
      </w:r>
      <w:r w:rsidR="00315DF2" w:rsidRPr="00231C42">
        <w:rPr>
          <w:b/>
        </w:rPr>
        <w:t> lednu</w:t>
      </w:r>
      <w:r w:rsidR="00315DF2" w:rsidRPr="004D3AD6">
        <w:t xml:space="preserve"> </w:t>
      </w:r>
      <w:r w:rsidR="00315DF2">
        <w:t xml:space="preserve">(od 17. 1.) </w:t>
      </w:r>
      <w:r w:rsidR="00315DF2" w:rsidRPr="00231C42">
        <w:rPr>
          <w:b/>
        </w:rPr>
        <w:t>a únoru 2022</w:t>
      </w:r>
      <w:r w:rsidR="00315DF2">
        <w:t xml:space="preserve"> </w:t>
      </w:r>
      <w:r w:rsidR="00315DF2" w:rsidRPr="004D3AD6">
        <w:t xml:space="preserve">při testování zaměstnanců byly </w:t>
      </w:r>
      <w:r w:rsidR="00315DF2" w:rsidRPr="00231C42">
        <w:rPr>
          <w:b/>
        </w:rPr>
        <w:t>některým pracujícím</w:t>
      </w:r>
      <w:r w:rsidR="00315DF2" w:rsidRPr="004D3AD6">
        <w:t xml:space="preserve"> vydány neschopenky </w:t>
      </w:r>
      <w:r w:rsidR="00315DF2">
        <w:t xml:space="preserve">pro karanténu či izolaci </w:t>
      </w:r>
      <w:r w:rsidR="00315DF2" w:rsidRPr="00231C42">
        <w:rPr>
          <w:b/>
        </w:rPr>
        <w:t>duplicitně</w:t>
      </w:r>
      <w:r w:rsidR="00315DF2" w:rsidRPr="004D3AD6">
        <w:t xml:space="preserve">. V zájmu operativního jednání při </w:t>
      </w:r>
      <w:r w:rsidR="00315DF2">
        <w:t xml:space="preserve">jejich </w:t>
      </w:r>
      <w:r w:rsidR="00315DF2" w:rsidRPr="004D3AD6">
        <w:t>vyřiz</w:t>
      </w:r>
      <w:r w:rsidR="00315DF2">
        <w:t xml:space="preserve">ování </w:t>
      </w:r>
      <w:r w:rsidR="00315DF2" w:rsidRPr="004D3AD6">
        <w:t xml:space="preserve">vydávali neschopenky jak praktičtí lékaři, tak krajské hygienické stanice. </w:t>
      </w:r>
      <w:r w:rsidR="00315DF2" w:rsidRPr="00EA05C7">
        <w:t xml:space="preserve">Z dostupných zdrojových databází </w:t>
      </w:r>
      <w:r w:rsidR="00231C42">
        <w:t xml:space="preserve">však </w:t>
      </w:r>
      <w:r w:rsidR="00315DF2" w:rsidRPr="00EA05C7">
        <w:t>není možné duplicitní případy identifikovat.</w:t>
      </w:r>
      <w:r w:rsidR="001D4AB5">
        <w:t xml:space="preserve"> </w:t>
      </w:r>
      <w:r w:rsidR="00C36BB1">
        <w:t>Tato skutečnost má vliv na další prezentované a z nich odvozené ukazatele (počet kalendářních dnů v pracovní neschopnosti, průměrné procento dočasné pracovní neschopnosti, průměrný denní stav dočasně práce neschopných).</w:t>
      </w:r>
    </w:p>
    <w:p w14:paraId="6FD8EB73" w14:textId="70BDA7DA" w:rsidR="00471D3F" w:rsidRDefault="00471D3F" w:rsidP="00BA6B4E">
      <w:pPr>
        <w:spacing w:before="120" w:after="120"/>
        <w:jc w:val="both"/>
        <w:rPr>
          <w:bCs/>
        </w:rPr>
      </w:pPr>
      <w:r w:rsidRPr="00D92E20">
        <w:rPr>
          <w:bCs/>
        </w:rPr>
        <w:t xml:space="preserve">Případů </w:t>
      </w:r>
      <w:r w:rsidR="000675AD" w:rsidRPr="00D92E20">
        <w:rPr>
          <w:bCs/>
        </w:rPr>
        <w:t xml:space="preserve">pracovní neschopnosti </w:t>
      </w:r>
      <w:r w:rsidRPr="00D92E20">
        <w:rPr>
          <w:b/>
          <w:bCs/>
        </w:rPr>
        <w:t>pro nemoc</w:t>
      </w:r>
      <w:r w:rsidRPr="00D92E20">
        <w:rPr>
          <w:bCs/>
        </w:rPr>
        <w:t xml:space="preserve"> bylo </w:t>
      </w:r>
      <w:r w:rsidR="00676201" w:rsidRPr="00D92E20">
        <w:rPr>
          <w:bCs/>
        </w:rPr>
        <w:t>v</w:t>
      </w:r>
      <w:r w:rsidR="004071F1">
        <w:rPr>
          <w:bCs/>
        </w:rPr>
        <w:t> 1. pol. 2022</w:t>
      </w:r>
      <w:r w:rsidR="00676201" w:rsidRPr="00D92E20">
        <w:rPr>
          <w:bCs/>
        </w:rPr>
        <w:t xml:space="preserve"> </w:t>
      </w:r>
      <w:r w:rsidRPr="00D92E20">
        <w:rPr>
          <w:bCs/>
        </w:rPr>
        <w:t xml:space="preserve">nahlášeno </w:t>
      </w:r>
      <w:r w:rsidR="00153C97">
        <w:rPr>
          <w:bCs/>
        </w:rPr>
        <w:t>1,</w:t>
      </w:r>
      <w:r w:rsidR="004071F1">
        <w:rPr>
          <w:bCs/>
        </w:rPr>
        <w:t>9</w:t>
      </w:r>
      <w:r w:rsidR="008C3456">
        <w:rPr>
          <w:bCs/>
        </w:rPr>
        <w:t> </w:t>
      </w:r>
      <w:r w:rsidRPr="00D92E20">
        <w:rPr>
          <w:bCs/>
        </w:rPr>
        <w:t>mili</w:t>
      </w:r>
      <w:r w:rsidR="00384289" w:rsidRPr="00D92E20">
        <w:rPr>
          <w:bCs/>
        </w:rPr>
        <w:t>o</w:t>
      </w:r>
      <w:r w:rsidRPr="00D92E20">
        <w:rPr>
          <w:bCs/>
        </w:rPr>
        <w:t>nu, tedy o</w:t>
      </w:r>
      <w:r w:rsidR="00CE1E85" w:rsidRPr="00D92E20">
        <w:rPr>
          <w:bCs/>
        </w:rPr>
        <w:t> </w:t>
      </w:r>
      <w:r w:rsidR="004071F1">
        <w:rPr>
          <w:bCs/>
        </w:rPr>
        <w:t>642</w:t>
      </w:r>
      <w:r w:rsidR="00CE1E85" w:rsidRPr="00D92E20">
        <w:rPr>
          <w:bCs/>
        </w:rPr>
        <w:t> </w:t>
      </w:r>
      <w:r w:rsidRPr="00D92E20">
        <w:rPr>
          <w:bCs/>
        </w:rPr>
        <w:t xml:space="preserve">tis. více než </w:t>
      </w:r>
      <w:r w:rsidR="00153C97">
        <w:rPr>
          <w:bCs/>
        </w:rPr>
        <w:t>před rokem</w:t>
      </w:r>
      <w:r w:rsidRPr="00D92E20">
        <w:rPr>
          <w:bCs/>
        </w:rPr>
        <w:t xml:space="preserve">. V relativním vyjádření došlo k nárůstu </w:t>
      </w:r>
      <w:r w:rsidR="004071F1">
        <w:rPr>
          <w:bCs/>
        </w:rPr>
        <w:t xml:space="preserve">téměř </w:t>
      </w:r>
      <w:r w:rsidRPr="00D92E20">
        <w:rPr>
          <w:bCs/>
        </w:rPr>
        <w:t xml:space="preserve">o </w:t>
      </w:r>
      <w:r w:rsidR="004071F1">
        <w:rPr>
          <w:bCs/>
        </w:rPr>
        <w:t>polovinu</w:t>
      </w:r>
      <w:r w:rsidRPr="00D92E20">
        <w:rPr>
          <w:bCs/>
        </w:rPr>
        <w:t>.</w:t>
      </w:r>
      <w:r w:rsidR="00E44890" w:rsidRPr="00D92E20">
        <w:rPr>
          <w:bCs/>
        </w:rPr>
        <w:t xml:space="preserve"> Do počtu případů pro nemoc jsou </w:t>
      </w:r>
      <w:r w:rsidR="00CE1E85" w:rsidRPr="00D92E20">
        <w:rPr>
          <w:bCs/>
        </w:rPr>
        <w:t xml:space="preserve">kromě nemocí jako takových </w:t>
      </w:r>
      <w:r w:rsidR="00E44890" w:rsidRPr="00D92E20">
        <w:rPr>
          <w:bCs/>
        </w:rPr>
        <w:t xml:space="preserve">započteny </w:t>
      </w:r>
      <w:r w:rsidR="00CE1E85" w:rsidRPr="00D92E20">
        <w:rPr>
          <w:bCs/>
        </w:rPr>
        <w:t>i</w:t>
      </w:r>
      <w:r w:rsidR="00384289" w:rsidRPr="00D92E20">
        <w:rPr>
          <w:bCs/>
        </w:rPr>
        <w:t xml:space="preserve"> </w:t>
      </w:r>
      <w:r w:rsidR="00E44890" w:rsidRPr="00D92E20">
        <w:rPr>
          <w:bCs/>
        </w:rPr>
        <w:t>karantény</w:t>
      </w:r>
      <w:r w:rsidR="009F305A">
        <w:rPr>
          <w:rStyle w:val="Znakapoznpodarou"/>
          <w:bCs/>
        </w:rPr>
        <w:footnoteReference w:id="2"/>
      </w:r>
      <w:r w:rsidR="00CE1E85" w:rsidRPr="00D92E20">
        <w:rPr>
          <w:bCs/>
        </w:rPr>
        <w:t xml:space="preserve">. A sice karantény </w:t>
      </w:r>
      <w:r w:rsidR="00E44890" w:rsidRPr="00D92E20">
        <w:rPr>
          <w:bCs/>
        </w:rPr>
        <w:t>osob</w:t>
      </w:r>
      <w:r w:rsidR="00CE1E85" w:rsidRPr="00D92E20">
        <w:rPr>
          <w:bCs/>
        </w:rPr>
        <w:t>y</w:t>
      </w:r>
      <w:r w:rsidR="00E44890" w:rsidRPr="00D92E20">
        <w:rPr>
          <w:bCs/>
        </w:rPr>
        <w:t>, která splňuje nárok na</w:t>
      </w:r>
      <w:r w:rsidR="00384289" w:rsidRPr="00D92E20">
        <w:rPr>
          <w:bCs/>
        </w:rPr>
        <w:t xml:space="preserve"> dávku nemocenské, podá žádost a ta </w:t>
      </w:r>
      <w:r w:rsidR="00E44890" w:rsidRPr="00D92E20">
        <w:rPr>
          <w:bCs/>
        </w:rPr>
        <w:t>je ze strany ošetřujícího lékař</w:t>
      </w:r>
      <w:r w:rsidR="00775419">
        <w:rPr>
          <w:bCs/>
        </w:rPr>
        <w:t>e či hygienické stanice uznána.</w:t>
      </w:r>
    </w:p>
    <w:p w14:paraId="47AED6B6" w14:textId="3C863C6E" w:rsidR="00153C97" w:rsidRPr="00D92E20" w:rsidRDefault="00775419" w:rsidP="00BA6B4E">
      <w:pPr>
        <w:spacing w:before="120" w:after="120"/>
        <w:jc w:val="both"/>
        <w:rPr>
          <w:bCs/>
        </w:rPr>
      </w:pPr>
      <w:r>
        <w:rPr>
          <w:bCs/>
        </w:rPr>
        <w:t xml:space="preserve">Vedle pandemie mělo na nárůst počtu případů pracovní neschopnosti v posledních </w:t>
      </w:r>
      <w:r w:rsidR="004071F1">
        <w:rPr>
          <w:bCs/>
        </w:rPr>
        <w:t>3</w:t>
      </w:r>
      <w:r>
        <w:rPr>
          <w:bCs/>
        </w:rPr>
        <w:t xml:space="preserve"> letech </w:t>
      </w:r>
      <w:r w:rsidR="009F305A">
        <w:rPr>
          <w:bCs/>
        </w:rPr>
        <w:t xml:space="preserve">vliv </w:t>
      </w:r>
      <w:r>
        <w:rPr>
          <w:bCs/>
        </w:rPr>
        <w:t>i</w:t>
      </w:r>
      <w:r w:rsidR="00153C97" w:rsidRPr="00D92E20">
        <w:rPr>
          <w:bCs/>
        </w:rPr>
        <w:t xml:space="preserve"> </w:t>
      </w:r>
      <w:r w:rsidR="00153C97" w:rsidRPr="00D92E20">
        <w:rPr>
          <w:b/>
          <w:bCs/>
        </w:rPr>
        <w:t>zrušení karenční doby od 1. července 2019</w:t>
      </w:r>
      <w:r w:rsidR="00153C97" w:rsidRPr="00D92E20">
        <w:rPr>
          <w:bCs/>
        </w:rPr>
        <w:t>, kdy zaměstnanec dostává náhradu mzdy již od prvního dne, a nikoliv až od čtvrtého, jako tomu bylo od roku 2009 až do té doby.</w:t>
      </w:r>
    </w:p>
    <w:p w14:paraId="52F2071F" w14:textId="5C1E2509" w:rsidR="00775419" w:rsidRDefault="00775419" w:rsidP="00BA6B4E">
      <w:pPr>
        <w:spacing w:before="120" w:after="120"/>
        <w:jc w:val="both"/>
      </w:pPr>
      <w:r>
        <w:t>V 1. pol. 202</w:t>
      </w:r>
      <w:r w:rsidR="004071F1">
        <w:t>2</w:t>
      </w:r>
      <w:r>
        <w:t xml:space="preserve"> bylo </w:t>
      </w:r>
      <w:r w:rsidR="004071F1">
        <w:t xml:space="preserve">stejně jako před rokem </w:t>
      </w:r>
      <w:r>
        <w:t xml:space="preserve">vystaveno 23 tis. neschopenek pro </w:t>
      </w:r>
      <w:r w:rsidRPr="00DF284E">
        <w:rPr>
          <w:b/>
        </w:rPr>
        <w:t>pracovní úraz</w:t>
      </w:r>
      <w:r>
        <w:t>. Po poklesu v 1.</w:t>
      </w:r>
      <w:r w:rsidR="00923F2E">
        <w:t> </w:t>
      </w:r>
      <w:r>
        <w:t xml:space="preserve">pol. 2020, </w:t>
      </w:r>
      <w:r w:rsidR="009F305A">
        <w:t>kdy došlo ke</w:t>
      </w:r>
      <w:r w:rsidR="00CD63E8">
        <w:t> </w:t>
      </w:r>
      <w:r w:rsidR="009F305A">
        <w:t>20,5 tis. pracovních</w:t>
      </w:r>
      <w:r>
        <w:t xml:space="preserve"> úrazů vyžadující</w:t>
      </w:r>
      <w:r w:rsidR="009F305A">
        <w:t>ch</w:t>
      </w:r>
      <w:r>
        <w:t xml:space="preserve"> pracovní neschopnost, se čísla vrátila zhruba na hodnotu </w:t>
      </w:r>
      <w:r w:rsidR="003609B8">
        <w:t>z</w:t>
      </w:r>
      <w:r>
        <w:t xml:space="preserve"> 1. pol. 2019.</w:t>
      </w:r>
      <w:r w:rsidR="00DF284E">
        <w:t xml:space="preserve"> Meziročně vzrostl </w:t>
      </w:r>
      <w:r w:rsidR="00DF284E" w:rsidRPr="00DF284E">
        <w:rPr>
          <w:b/>
        </w:rPr>
        <w:t>počet mimopracovních úrazů</w:t>
      </w:r>
      <w:r w:rsidR="000221A2" w:rsidRPr="000221A2">
        <w:t>,</w:t>
      </w:r>
      <w:r w:rsidR="000221A2">
        <w:rPr>
          <w:b/>
        </w:rPr>
        <w:t xml:space="preserve"> </w:t>
      </w:r>
      <w:r w:rsidR="000221A2" w:rsidRPr="000221A2">
        <w:t>kvůli nimž byla vydána neschopenka</w:t>
      </w:r>
      <w:r w:rsidR="00DF284E">
        <w:t>. Ze 7</w:t>
      </w:r>
      <w:r w:rsidR="004071F1">
        <w:t>6</w:t>
      </w:r>
      <w:r w:rsidR="00DF284E">
        <w:t xml:space="preserve"> tis. na</w:t>
      </w:r>
      <w:r w:rsidR="00CD63E8">
        <w:t> </w:t>
      </w:r>
      <w:r w:rsidR="004071F1">
        <w:t>88</w:t>
      </w:r>
      <w:r w:rsidR="00DF284E">
        <w:t xml:space="preserve"> tis. </w:t>
      </w:r>
    </w:p>
    <w:p w14:paraId="3AD9C24C" w14:textId="28804B6D" w:rsidR="00C44482" w:rsidRPr="00DF284E" w:rsidRDefault="00C44482" w:rsidP="00C44482">
      <w:pPr>
        <w:spacing w:after="60"/>
        <w:jc w:val="both"/>
        <w:rPr>
          <w:b/>
          <w:bCs/>
        </w:rPr>
      </w:pPr>
      <w:r w:rsidRPr="00DF284E">
        <w:rPr>
          <w:b/>
          <w:bCs/>
        </w:rPr>
        <w:t xml:space="preserve">Tab. 2.1: Nově hlášené případy dočasné pracovní neschopnosti podle příčiny a pohlaví, </w:t>
      </w:r>
      <w:r w:rsidR="00DF284E">
        <w:rPr>
          <w:b/>
          <w:bCs/>
        </w:rPr>
        <w:br/>
      </w:r>
      <w:r w:rsidR="009F34CD" w:rsidRPr="0050059C">
        <w:rPr>
          <w:b/>
          <w:spacing w:val="-2"/>
        </w:rPr>
        <w:t>1. pol. 201</w:t>
      </w:r>
      <w:r w:rsidR="009F34CD">
        <w:rPr>
          <w:b/>
          <w:spacing w:val="-2"/>
        </w:rPr>
        <w:t>2</w:t>
      </w:r>
      <w:r w:rsidR="009F34CD" w:rsidRPr="0050059C">
        <w:rPr>
          <w:b/>
          <w:spacing w:val="-2"/>
        </w:rPr>
        <w:t xml:space="preserve"> až 1. pol. 202</w:t>
      </w:r>
      <w:r w:rsidR="009F34CD">
        <w:rPr>
          <w:b/>
          <w:spacing w:val="-2"/>
        </w:rPr>
        <w:t>2</w:t>
      </w:r>
      <w:r w:rsidR="009F34CD" w:rsidRPr="00DF284E">
        <w:rPr>
          <w:b/>
          <w:bCs/>
        </w:rPr>
        <w:t xml:space="preserve"> </w:t>
      </w:r>
      <w:r w:rsidRPr="00DF284E">
        <w:rPr>
          <w:b/>
          <w:bCs/>
        </w:rPr>
        <w:t>(v tis.)</w:t>
      </w:r>
    </w:p>
    <w:tbl>
      <w:tblPr>
        <w:tblW w:w="9552" w:type="dxa"/>
        <w:tblCellMar>
          <w:left w:w="70" w:type="dxa"/>
          <w:right w:w="70" w:type="dxa"/>
        </w:tblCellMar>
        <w:tblLook w:val="04A0" w:firstRow="1" w:lastRow="0" w:firstColumn="1" w:lastColumn="0" w:noHBand="0" w:noVBand="1"/>
      </w:tblPr>
      <w:tblGrid>
        <w:gridCol w:w="1020"/>
        <w:gridCol w:w="710"/>
        <w:gridCol w:w="704"/>
        <w:gridCol w:w="704"/>
        <w:gridCol w:w="707"/>
        <w:gridCol w:w="704"/>
        <w:gridCol w:w="704"/>
        <w:gridCol w:w="754"/>
        <w:gridCol w:w="709"/>
        <w:gridCol w:w="709"/>
        <w:gridCol w:w="709"/>
        <w:gridCol w:w="709"/>
        <w:gridCol w:w="709"/>
      </w:tblGrid>
      <w:tr w:rsidR="00DF284E" w:rsidRPr="00D92E20" w14:paraId="05341B7C" w14:textId="77777777" w:rsidTr="00DF284E">
        <w:trPr>
          <w:trHeight w:val="300"/>
        </w:trPr>
        <w:tc>
          <w:tcPr>
            <w:tcW w:w="1020" w:type="dxa"/>
            <w:vMerge w:val="restart"/>
            <w:tcBorders>
              <w:top w:val="single" w:sz="4" w:space="0" w:color="auto"/>
              <w:left w:val="nil"/>
              <w:bottom w:val="nil"/>
              <w:right w:val="nil"/>
            </w:tcBorders>
            <w:shd w:val="clear" w:color="000000" w:fill="F5DADD"/>
            <w:vAlign w:val="center"/>
            <w:hideMark/>
          </w:tcPr>
          <w:p w14:paraId="4EFFB31A" w14:textId="68C97ECD" w:rsidR="00DF284E" w:rsidRPr="00D92E20" w:rsidRDefault="00DF284E" w:rsidP="00C44482">
            <w:pPr>
              <w:spacing w:after="0" w:line="240" w:lineRule="auto"/>
              <w:jc w:val="center"/>
              <w:rPr>
                <w:rFonts w:cs="Arial"/>
                <w:color w:val="000000"/>
                <w:sz w:val="16"/>
                <w:szCs w:val="16"/>
              </w:rPr>
            </w:pPr>
            <w:r w:rsidRPr="00DF284E">
              <w:rPr>
                <w:rFonts w:cs="Arial"/>
                <w:color w:val="000000"/>
                <w:sz w:val="16"/>
                <w:szCs w:val="16"/>
              </w:rPr>
              <w:t>Období</w:t>
            </w:r>
          </w:p>
        </w:tc>
        <w:tc>
          <w:tcPr>
            <w:tcW w:w="710" w:type="dxa"/>
            <w:vMerge w:val="restart"/>
            <w:tcBorders>
              <w:top w:val="single" w:sz="4" w:space="0" w:color="auto"/>
              <w:left w:val="single" w:sz="4" w:space="0" w:color="auto"/>
              <w:bottom w:val="nil"/>
              <w:right w:val="nil"/>
            </w:tcBorders>
            <w:shd w:val="clear" w:color="000000" w:fill="F2DBDB"/>
            <w:vAlign w:val="center"/>
            <w:hideMark/>
          </w:tcPr>
          <w:p w14:paraId="4286CFF3" w14:textId="77777777" w:rsidR="00DF284E" w:rsidRPr="00D92E20" w:rsidRDefault="00DF284E" w:rsidP="00C44482">
            <w:pPr>
              <w:spacing w:after="0" w:line="240" w:lineRule="auto"/>
              <w:jc w:val="center"/>
              <w:rPr>
                <w:rFonts w:cs="Arial"/>
                <w:b/>
                <w:bCs/>
                <w:color w:val="000000"/>
                <w:sz w:val="16"/>
                <w:szCs w:val="16"/>
              </w:rPr>
            </w:pPr>
            <w:r w:rsidRPr="00D92E20">
              <w:rPr>
                <w:rFonts w:cs="Arial"/>
                <w:b/>
                <w:bCs/>
                <w:color w:val="000000"/>
                <w:sz w:val="16"/>
                <w:szCs w:val="16"/>
              </w:rPr>
              <w:t>Celkem</w:t>
            </w:r>
          </w:p>
        </w:tc>
        <w:tc>
          <w:tcPr>
            <w:tcW w:w="1408" w:type="dxa"/>
            <w:gridSpan w:val="2"/>
            <w:tcBorders>
              <w:top w:val="single" w:sz="4" w:space="0" w:color="auto"/>
              <w:left w:val="single" w:sz="4" w:space="0" w:color="auto"/>
              <w:bottom w:val="single" w:sz="4" w:space="0" w:color="auto"/>
              <w:right w:val="single" w:sz="4" w:space="0" w:color="auto"/>
            </w:tcBorders>
            <w:shd w:val="clear" w:color="000000" w:fill="F2DBDB"/>
            <w:vAlign w:val="center"/>
            <w:hideMark/>
          </w:tcPr>
          <w:p w14:paraId="48E47F82" w14:textId="77777777" w:rsidR="00DF284E" w:rsidRPr="00D92E20" w:rsidRDefault="00DF284E" w:rsidP="00C44482">
            <w:pPr>
              <w:spacing w:after="0" w:line="240" w:lineRule="auto"/>
              <w:jc w:val="center"/>
              <w:rPr>
                <w:rFonts w:cs="Arial"/>
                <w:color w:val="000000"/>
                <w:sz w:val="16"/>
                <w:szCs w:val="16"/>
              </w:rPr>
            </w:pPr>
            <w:r w:rsidRPr="00D92E20">
              <w:rPr>
                <w:rFonts w:cs="Arial"/>
                <w:color w:val="000000"/>
                <w:sz w:val="16"/>
                <w:szCs w:val="16"/>
              </w:rPr>
              <w:t>podle pohlaví</w:t>
            </w:r>
          </w:p>
        </w:tc>
        <w:tc>
          <w:tcPr>
            <w:tcW w:w="707" w:type="dxa"/>
            <w:vMerge w:val="restart"/>
            <w:tcBorders>
              <w:top w:val="single" w:sz="4" w:space="0" w:color="auto"/>
              <w:left w:val="nil"/>
              <w:right w:val="nil"/>
            </w:tcBorders>
            <w:shd w:val="clear" w:color="000000" w:fill="F2DBDB"/>
            <w:vAlign w:val="center"/>
            <w:hideMark/>
          </w:tcPr>
          <w:p w14:paraId="00FC7D17" w14:textId="77777777" w:rsidR="00DF284E" w:rsidRPr="00D92E20" w:rsidRDefault="00DF284E" w:rsidP="00C44482">
            <w:pPr>
              <w:spacing w:after="0" w:line="240" w:lineRule="auto"/>
              <w:jc w:val="center"/>
              <w:rPr>
                <w:rFonts w:cs="Arial"/>
                <w:color w:val="000000"/>
                <w:sz w:val="16"/>
                <w:szCs w:val="16"/>
              </w:rPr>
            </w:pPr>
            <w:r w:rsidRPr="00D92E20">
              <w:rPr>
                <w:rFonts w:cs="Arial"/>
                <w:color w:val="000000"/>
                <w:sz w:val="16"/>
                <w:szCs w:val="16"/>
              </w:rPr>
              <w:t>Pro nemoc</w:t>
            </w:r>
          </w:p>
        </w:tc>
        <w:tc>
          <w:tcPr>
            <w:tcW w:w="1408" w:type="dxa"/>
            <w:gridSpan w:val="2"/>
            <w:tcBorders>
              <w:top w:val="single" w:sz="4" w:space="0" w:color="auto"/>
              <w:left w:val="single" w:sz="4" w:space="0" w:color="auto"/>
              <w:bottom w:val="single" w:sz="4" w:space="0" w:color="auto"/>
              <w:right w:val="single" w:sz="4" w:space="0" w:color="auto"/>
            </w:tcBorders>
            <w:shd w:val="clear" w:color="000000" w:fill="F2DBDB"/>
            <w:vAlign w:val="center"/>
            <w:hideMark/>
          </w:tcPr>
          <w:p w14:paraId="71578D2E" w14:textId="77777777" w:rsidR="00DF284E" w:rsidRPr="00D92E20" w:rsidRDefault="00DF284E" w:rsidP="00C44482">
            <w:pPr>
              <w:spacing w:after="0" w:line="240" w:lineRule="auto"/>
              <w:jc w:val="center"/>
              <w:rPr>
                <w:rFonts w:cs="Arial"/>
                <w:color w:val="000000"/>
                <w:sz w:val="16"/>
                <w:szCs w:val="16"/>
              </w:rPr>
            </w:pPr>
            <w:r w:rsidRPr="00D92E20">
              <w:rPr>
                <w:rFonts w:cs="Arial"/>
                <w:color w:val="000000"/>
                <w:sz w:val="16"/>
                <w:szCs w:val="16"/>
              </w:rPr>
              <w:t>podle pohlaví</w:t>
            </w:r>
          </w:p>
        </w:tc>
        <w:tc>
          <w:tcPr>
            <w:tcW w:w="754" w:type="dxa"/>
            <w:vMerge w:val="restart"/>
            <w:tcBorders>
              <w:top w:val="single" w:sz="4" w:space="0" w:color="auto"/>
              <w:left w:val="single" w:sz="4" w:space="0" w:color="auto"/>
              <w:right w:val="nil"/>
            </w:tcBorders>
            <w:shd w:val="clear" w:color="000000" w:fill="F2DBDB"/>
            <w:vAlign w:val="center"/>
            <w:hideMark/>
          </w:tcPr>
          <w:p w14:paraId="46D015E6" w14:textId="77777777" w:rsidR="00DF284E" w:rsidRPr="00D92E20" w:rsidRDefault="00DF284E" w:rsidP="00C44482">
            <w:pPr>
              <w:spacing w:after="0" w:line="240" w:lineRule="auto"/>
              <w:jc w:val="center"/>
              <w:rPr>
                <w:rFonts w:cs="Arial"/>
                <w:color w:val="000000"/>
                <w:sz w:val="16"/>
                <w:szCs w:val="16"/>
              </w:rPr>
            </w:pPr>
            <w:r w:rsidRPr="00D92E20">
              <w:rPr>
                <w:rFonts w:cs="Arial"/>
                <w:color w:val="000000"/>
                <w:sz w:val="16"/>
                <w:szCs w:val="16"/>
              </w:rPr>
              <w:t>Pro pracovní úrazy</w:t>
            </w:r>
          </w:p>
        </w:tc>
        <w:tc>
          <w:tcPr>
            <w:tcW w:w="1418" w:type="dxa"/>
            <w:gridSpan w:val="2"/>
            <w:tcBorders>
              <w:top w:val="single" w:sz="4" w:space="0" w:color="auto"/>
              <w:left w:val="single" w:sz="4" w:space="0" w:color="auto"/>
              <w:bottom w:val="single" w:sz="4" w:space="0" w:color="auto"/>
              <w:right w:val="single" w:sz="4" w:space="0" w:color="auto"/>
            </w:tcBorders>
            <w:shd w:val="clear" w:color="000000" w:fill="F2DBDB"/>
            <w:vAlign w:val="center"/>
            <w:hideMark/>
          </w:tcPr>
          <w:p w14:paraId="37E4E50F" w14:textId="77777777" w:rsidR="00DF284E" w:rsidRPr="00D92E20" w:rsidRDefault="00DF284E" w:rsidP="00C44482">
            <w:pPr>
              <w:spacing w:after="0" w:line="240" w:lineRule="auto"/>
              <w:jc w:val="center"/>
              <w:rPr>
                <w:rFonts w:cs="Arial"/>
                <w:color w:val="000000"/>
                <w:sz w:val="16"/>
                <w:szCs w:val="16"/>
              </w:rPr>
            </w:pPr>
            <w:r w:rsidRPr="00D92E20">
              <w:rPr>
                <w:rFonts w:cs="Arial"/>
                <w:color w:val="000000"/>
                <w:sz w:val="16"/>
                <w:szCs w:val="16"/>
              </w:rPr>
              <w:t>podle pohlaví</w:t>
            </w:r>
          </w:p>
        </w:tc>
        <w:tc>
          <w:tcPr>
            <w:tcW w:w="709" w:type="dxa"/>
            <w:vMerge w:val="restart"/>
            <w:tcBorders>
              <w:top w:val="single" w:sz="4" w:space="0" w:color="auto"/>
              <w:left w:val="nil"/>
              <w:right w:val="nil"/>
            </w:tcBorders>
            <w:shd w:val="clear" w:color="000000" w:fill="F2DBDB"/>
            <w:vAlign w:val="center"/>
            <w:hideMark/>
          </w:tcPr>
          <w:p w14:paraId="63343562" w14:textId="77777777" w:rsidR="00DF284E" w:rsidRPr="00D92E20" w:rsidRDefault="00DF284E" w:rsidP="00C44482">
            <w:pPr>
              <w:spacing w:after="0" w:line="240" w:lineRule="auto"/>
              <w:jc w:val="center"/>
              <w:rPr>
                <w:rFonts w:cs="Arial"/>
                <w:color w:val="000000"/>
                <w:sz w:val="16"/>
                <w:szCs w:val="16"/>
              </w:rPr>
            </w:pPr>
            <w:r w:rsidRPr="00D92E20">
              <w:rPr>
                <w:rFonts w:cs="Arial"/>
                <w:color w:val="000000"/>
                <w:sz w:val="16"/>
                <w:szCs w:val="16"/>
              </w:rPr>
              <w:t>Pro ostatní úrazy</w:t>
            </w:r>
          </w:p>
        </w:tc>
        <w:tc>
          <w:tcPr>
            <w:tcW w:w="1418" w:type="dxa"/>
            <w:gridSpan w:val="2"/>
            <w:tcBorders>
              <w:top w:val="single" w:sz="4" w:space="0" w:color="auto"/>
              <w:left w:val="single" w:sz="4" w:space="0" w:color="auto"/>
              <w:bottom w:val="single" w:sz="4" w:space="0" w:color="auto"/>
              <w:right w:val="nil"/>
            </w:tcBorders>
            <w:shd w:val="clear" w:color="000000" w:fill="F2DBDB"/>
            <w:vAlign w:val="center"/>
            <w:hideMark/>
          </w:tcPr>
          <w:p w14:paraId="64F0CEA2" w14:textId="77777777" w:rsidR="00DF284E" w:rsidRPr="00D92E20" w:rsidRDefault="00DF284E" w:rsidP="00C44482">
            <w:pPr>
              <w:spacing w:after="0" w:line="240" w:lineRule="auto"/>
              <w:jc w:val="center"/>
              <w:rPr>
                <w:rFonts w:cs="Arial"/>
                <w:color w:val="000000"/>
                <w:sz w:val="16"/>
                <w:szCs w:val="16"/>
              </w:rPr>
            </w:pPr>
            <w:r w:rsidRPr="00D92E20">
              <w:rPr>
                <w:rFonts w:cs="Arial"/>
                <w:color w:val="000000"/>
                <w:sz w:val="16"/>
                <w:szCs w:val="16"/>
              </w:rPr>
              <w:t>podle pohlaví</w:t>
            </w:r>
          </w:p>
        </w:tc>
      </w:tr>
      <w:tr w:rsidR="00DF284E" w:rsidRPr="00D92E20" w14:paraId="3698B7BD" w14:textId="77777777" w:rsidTr="00DF284E">
        <w:trPr>
          <w:trHeight w:val="405"/>
        </w:trPr>
        <w:tc>
          <w:tcPr>
            <w:tcW w:w="1020" w:type="dxa"/>
            <w:vMerge/>
            <w:tcBorders>
              <w:top w:val="single" w:sz="4" w:space="0" w:color="auto"/>
              <w:left w:val="nil"/>
              <w:bottom w:val="nil"/>
              <w:right w:val="nil"/>
            </w:tcBorders>
            <w:vAlign w:val="center"/>
            <w:hideMark/>
          </w:tcPr>
          <w:p w14:paraId="3B0F1679" w14:textId="77777777" w:rsidR="00DF284E" w:rsidRPr="00D92E20" w:rsidRDefault="00DF284E" w:rsidP="00C44482">
            <w:pPr>
              <w:spacing w:after="0" w:line="240" w:lineRule="auto"/>
              <w:rPr>
                <w:rFonts w:cs="Arial"/>
                <w:color w:val="000000"/>
                <w:sz w:val="16"/>
                <w:szCs w:val="16"/>
              </w:rPr>
            </w:pPr>
          </w:p>
        </w:tc>
        <w:tc>
          <w:tcPr>
            <w:tcW w:w="710" w:type="dxa"/>
            <w:vMerge/>
            <w:tcBorders>
              <w:top w:val="single" w:sz="4" w:space="0" w:color="auto"/>
              <w:left w:val="single" w:sz="4" w:space="0" w:color="auto"/>
              <w:bottom w:val="nil"/>
              <w:right w:val="nil"/>
            </w:tcBorders>
            <w:vAlign w:val="center"/>
            <w:hideMark/>
          </w:tcPr>
          <w:p w14:paraId="4CDE0329" w14:textId="77777777" w:rsidR="00DF284E" w:rsidRPr="00D92E20" w:rsidRDefault="00DF284E" w:rsidP="00C44482">
            <w:pPr>
              <w:spacing w:after="0" w:line="240" w:lineRule="auto"/>
              <w:rPr>
                <w:rFonts w:cs="Arial"/>
                <w:b/>
                <w:bCs/>
                <w:color w:val="000000"/>
                <w:sz w:val="16"/>
                <w:szCs w:val="16"/>
              </w:rPr>
            </w:pPr>
          </w:p>
        </w:tc>
        <w:tc>
          <w:tcPr>
            <w:tcW w:w="704" w:type="dxa"/>
            <w:tcBorders>
              <w:top w:val="nil"/>
              <w:left w:val="single" w:sz="4" w:space="0" w:color="auto"/>
              <w:bottom w:val="single" w:sz="4" w:space="0" w:color="auto"/>
              <w:right w:val="single" w:sz="4" w:space="0" w:color="auto"/>
            </w:tcBorders>
            <w:shd w:val="clear" w:color="000000" w:fill="F2DBDB"/>
            <w:vAlign w:val="center"/>
            <w:hideMark/>
          </w:tcPr>
          <w:p w14:paraId="7C2C289D" w14:textId="77777777" w:rsidR="00DF284E" w:rsidRPr="00D92E20" w:rsidRDefault="00DF284E" w:rsidP="00C44482">
            <w:pPr>
              <w:spacing w:after="0" w:line="240" w:lineRule="auto"/>
              <w:jc w:val="center"/>
              <w:rPr>
                <w:rFonts w:cs="Arial"/>
                <w:color w:val="000000"/>
                <w:sz w:val="16"/>
                <w:szCs w:val="16"/>
              </w:rPr>
            </w:pPr>
            <w:r w:rsidRPr="00D92E20">
              <w:rPr>
                <w:rFonts w:cs="Arial"/>
                <w:color w:val="000000"/>
                <w:sz w:val="16"/>
                <w:szCs w:val="16"/>
              </w:rPr>
              <w:t>muži</w:t>
            </w:r>
          </w:p>
        </w:tc>
        <w:tc>
          <w:tcPr>
            <w:tcW w:w="704" w:type="dxa"/>
            <w:tcBorders>
              <w:top w:val="nil"/>
              <w:left w:val="nil"/>
              <w:bottom w:val="single" w:sz="4" w:space="0" w:color="auto"/>
              <w:right w:val="single" w:sz="4" w:space="0" w:color="auto"/>
            </w:tcBorders>
            <w:shd w:val="clear" w:color="000000" w:fill="F2DBDB"/>
            <w:vAlign w:val="center"/>
            <w:hideMark/>
          </w:tcPr>
          <w:p w14:paraId="451EFE61" w14:textId="77777777" w:rsidR="00DF284E" w:rsidRPr="00D92E20" w:rsidRDefault="00DF284E" w:rsidP="00C44482">
            <w:pPr>
              <w:spacing w:after="0" w:line="240" w:lineRule="auto"/>
              <w:jc w:val="center"/>
              <w:rPr>
                <w:rFonts w:cs="Arial"/>
                <w:color w:val="000000"/>
                <w:sz w:val="16"/>
                <w:szCs w:val="16"/>
              </w:rPr>
            </w:pPr>
            <w:r w:rsidRPr="00D92E20">
              <w:rPr>
                <w:rFonts w:cs="Arial"/>
                <w:color w:val="000000"/>
                <w:sz w:val="16"/>
                <w:szCs w:val="16"/>
              </w:rPr>
              <w:t>ženy</w:t>
            </w:r>
          </w:p>
        </w:tc>
        <w:tc>
          <w:tcPr>
            <w:tcW w:w="707" w:type="dxa"/>
            <w:vMerge/>
            <w:tcBorders>
              <w:left w:val="nil"/>
              <w:bottom w:val="nil"/>
              <w:right w:val="nil"/>
            </w:tcBorders>
            <w:vAlign w:val="center"/>
            <w:hideMark/>
          </w:tcPr>
          <w:p w14:paraId="5111A614" w14:textId="77777777" w:rsidR="00DF284E" w:rsidRPr="00D92E20" w:rsidRDefault="00DF284E" w:rsidP="00C44482">
            <w:pPr>
              <w:spacing w:after="0" w:line="240" w:lineRule="auto"/>
              <w:rPr>
                <w:rFonts w:cs="Arial"/>
                <w:color w:val="000000"/>
                <w:sz w:val="16"/>
                <w:szCs w:val="16"/>
              </w:rPr>
            </w:pPr>
          </w:p>
        </w:tc>
        <w:tc>
          <w:tcPr>
            <w:tcW w:w="704" w:type="dxa"/>
            <w:tcBorders>
              <w:top w:val="nil"/>
              <w:left w:val="single" w:sz="4" w:space="0" w:color="auto"/>
              <w:bottom w:val="single" w:sz="4" w:space="0" w:color="auto"/>
              <w:right w:val="single" w:sz="4" w:space="0" w:color="auto"/>
            </w:tcBorders>
            <w:shd w:val="clear" w:color="000000" w:fill="F2DBDB"/>
            <w:vAlign w:val="center"/>
            <w:hideMark/>
          </w:tcPr>
          <w:p w14:paraId="2D1D3B1D" w14:textId="77777777" w:rsidR="00DF284E" w:rsidRPr="00D92E20" w:rsidRDefault="00DF284E" w:rsidP="00C44482">
            <w:pPr>
              <w:spacing w:after="0" w:line="240" w:lineRule="auto"/>
              <w:jc w:val="center"/>
              <w:rPr>
                <w:rFonts w:cs="Arial"/>
                <w:color w:val="000000"/>
                <w:sz w:val="16"/>
                <w:szCs w:val="16"/>
              </w:rPr>
            </w:pPr>
            <w:r w:rsidRPr="00D92E20">
              <w:rPr>
                <w:rFonts w:cs="Arial"/>
                <w:color w:val="000000"/>
                <w:sz w:val="16"/>
                <w:szCs w:val="16"/>
              </w:rPr>
              <w:t>muži</w:t>
            </w:r>
          </w:p>
        </w:tc>
        <w:tc>
          <w:tcPr>
            <w:tcW w:w="704" w:type="dxa"/>
            <w:tcBorders>
              <w:top w:val="nil"/>
              <w:left w:val="nil"/>
              <w:bottom w:val="single" w:sz="4" w:space="0" w:color="auto"/>
              <w:right w:val="single" w:sz="4" w:space="0" w:color="auto"/>
            </w:tcBorders>
            <w:shd w:val="clear" w:color="000000" w:fill="F2DBDB"/>
            <w:vAlign w:val="center"/>
            <w:hideMark/>
          </w:tcPr>
          <w:p w14:paraId="557185F3" w14:textId="77777777" w:rsidR="00DF284E" w:rsidRPr="00D92E20" w:rsidRDefault="00DF284E" w:rsidP="00C44482">
            <w:pPr>
              <w:spacing w:after="0" w:line="240" w:lineRule="auto"/>
              <w:jc w:val="center"/>
              <w:rPr>
                <w:rFonts w:cs="Arial"/>
                <w:color w:val="000000"/>
                <w:sz w:val="16"/>
                <w:szCs w:val="16"/>
              </w:rPr>
            </w:pPr>
            <w:r w:rsidRPr="00D92E20">
              <w:rPr>
                <w:rFonts w:cs="Arial"/>
                <w:color w:val="000000"/>
                <w:sz w:val="16"/>
                <w:szCs w:val="16"/>
              </w:rPr>
              <w:t>ženy</w:t>
            </w:r>
          </w:p>
        </w:tc>
        <w:tc>
          <w:tcPr>
            <w:tcW w:w="754" w:type="dxa"/>
            <w:vMerge/>
            <w:tcBorders>
              <w:left w:val="single" w:sz="4" w:space="0" w:color="auto"/>
              <w:bottom w:val="nil"/>
              <w:right w:val="nil"/>
            </w:tcBorders>
            <w:vAlign w:val="center"/>
            <w:hideMark/>
          </w:tcPr>
          <w:p w14:paraId="7F2CA0E0" w14:textId="77777777" w:rsidR="00DF284E" w:rsidRPr="00D92E20" w:rsidRDefault="00DF284E" w:rsidP="00C44482">
            <w:pPr>
              <w:spacing w:after="0" w:line="240" w:lineRule="auto"/>
              <w:rPr>
                <w:rFonts w:cs="Arial"/>
                <w:color w:val="000000"/>
                <w:sz w:val="16"/>
                <w:szCs w:val="16"/>
              </w:rPr>
            </w:pPr>
          </w:p>
        </w:tc>
        <w:tc>
          <w:tcPr>
            <w:tcW w:w="709" w:type="dxa"/>
            <w:tcBorders>
              <w:top w:val="nil"/>
              <w:left w:val="single" w:sz="4" w:space="0" w:color="auto"/>
              <w:bottom w:val="single" w:sz="4" w:space="0" w:color="auto"/>
              <w:right w:val="single" w:sz="4" w:space="0" w:color="auto"/>
            </w:tcBorders>
            <w:shd w:val="clear" w:color="000000" w:fill="F2DBDB"/>
            <w:vAlign w:val="center"/>
            <w:hideMark/>
          </w:tcPr>
          <w:p w14:paraId="6E24BD43" w14:textId="77777777" w:rsidR="00DF284E" w:rsidRPr="00D92E20" w:rsidRDefault="00DF284E" w:rsidP="00C44482">
            <w:pPr>
              <w:spacing w:after="0" w:line="240" w:lineRule="auto"/>
              <w:jc w:val="center"/>
              <w:rPr>
                <w:rFonts w:cs="Arial"/>
                <w:color w:val="000000"/>
                <w:sz w:val="16"/>
                <w:szCs w:val="16"/>
              </w:rPr>
            </w:pPr>
            <w:r w:rsidRPr="00D92E20">
              <w:rPr>
                <w:rFonts w:cs="Arial"/>
                <w:color w:val="000000"/>
                <w:sz w:val="16"/>
                <w:szCs w:val="16"/>
              </w:rPr>
              <w:t>muži</w:t>
            </w:r>
          </w:p>
        </w:tc>
        <w:tc>
          <w:tcPr>
            <w:tcW w:w="709" w:type="dxa"/>
            <w:tcBorders>
              <w:top w:val="nil"/>
              <w:left w:val="nil"/>
              <w:bottom w:val="single" w:sz="4" w:space="0" w:color="auto"/>
              <w:right w:val="single" w:sz="4" w:space="0" w:color="auto"/>
            </w:tcBorders>
            <w:shd w:val="clear" w:color="000000" w:fill="F2DBDB"/>
            <w:vAlign w:val="center"/>
            <w:hideMark/>
          </w:tcPr>
          <w:p w14:paraId="127DB857" w14:textId="77777777" w:rsidR="00DF284E" w:rsidRPr="00D92E20" w:rsidRDefault="00DF284E" w:rsidP="00C44482">
            <w:pPr>
              <w:spacing w:after="0" w:line="240" w:lineRule="auto"/>
              <w:jc w:val="center"/>
              <w:rPr>
                <w:rFonts w:cs="Arial"/>
                <w:color w:val="000000"/>
                <w:sz w:val="16"/>
                <w:szCs w:val="16"/>
              </w:rPr>
            </w:pPr>
            <w:r w:rsidRPr="00D92E20">
              <w:rPr>
                <w:rFonts w:cs="Arial"/>
                <w:color w:val="000000"/>
                <w:sz w:val="16"/>
                <w:szCs w:val="16"/>
              </w:rPr>
              <w:t>ženy</w:t>
            </w:r>
          </w:p>
        </w:tc>
        <w:tc>
          <w:tcPr>
            <w:tcW w:w="709" w:type="dxa"/>
            <w:vMerge/>
            <w:tcBorders>
              <w:left w:val="nil"/>
              <w:bottom w:val="nil"/>
              <w:right w:val="nil"/>
            </w:tcBorders>
            <w:vAlign w:val="center"/>
            <w:hideMark/>
          </w:tcPr>
          <w:p w14:paraId="7C15A4F6" w14:textId="77777777" w:rsidR="00DF284E" w:rsidRPr="00D92E20" w:rsidRDefault="00DF284E" w:rsidP="00C44482">
            <w:pPr>
              <w:spacing w:after="0" w:line="240" w:lineRule="auto"/>
              <w:rPr>
                <w:rFonts w:cs="Arial"/>
                <w:color w:val="000000"/>
                <w:sz w:val="16"/>
                <w:szCs w:val="16"/>
              </w:rPr>
            </w:pPr>
          </w:p>
        </w:tc>
        <w:tc>
          <w:tcPr>
            <w:tcW w:w="709" w:type="dxa"/>
            <w:tcBorders>
              <w:top w:val="nil"/>
              <w:left w:val="single" w:sz="4" w:space="0" w:color="auto"/>
              <w:bottom w:val="single" w:sz="4" w:space="0" w:color="auto"/>
              <w:right w:val="single" w:sz="4" w:space="0" w:color="auto"/>
            </w:tcBorders>
            <w:shd w:val="clear" w:color="000000" w:fill="F2DBDB"/>
            <w:vAlign w:val="center"/>
            <w:hideMark/>
          </w:tcPr>
          <w:p w14:paraId="65667CE2" w14:textId="77777777" w:rsidR="00DF284E" w:rsidRPr="00D92E20" w:rsidRDefault="00DF284E" w:rsidP="00C44482">
            <w:pPr>
              <w:spacing w:after="0" w:line="240" w:lineRule="auto"/>
              <w:jc w:val="center"/>
              <w:rPr>
                <w:rFonts w:cs="Arial"/>
                <w:color w:val="000000"/>
                <w:sz w:val="16"/>
                <w:szCs w:val="16"/>
              </w:rPr>
            </w:pPr>
            <w:r w:rsidRPr="00D92E20">
              <w:rPr>
                <w:rFonts w:cs="Arial"/>
                <w:color w:val="000000"/>
                <w:sz w:val="16"/>
                <w:szCs w:val="16"/>
              </w:rPr>
              <w:t>muži</w:t>
            </w:r>
          </w:p>
        </w:tc>
        <w:tc>
          <w:tcPr>
            <w:tcW w:w="709" w:type="dxa"/>
            <w:tcBorders>
              <w:top w:val="nil"/>
              <w:left w:val="nil"/>
              <w:bottom w:val="single" w:sz="4" w:space="0" w:color="auto"/>
              <w:right w:val="nil"/>
            </w:tcBorders>
            <w:shd w:val="clear" w:color="000000" w:fill="F2DBDB"/>
            <w:vAlign w:val="center"/>
            <w:hideMark/>
          </w:tcPr>
          <w:p w14:paraId="27D1CC56" w14:textId="77777777" w:rsidR="00DF284E" w:rsidRPr="00D92E20" w:rsidRDefault="00DF284E" w:rsidP="00C44482">
            <w:pPr>
              <w:spacing w:after="0" w:line="240" w:lineRule="auto"/>
              <w:jc w:val="center"/>
              <w:rPr>
                <w:rFonts w:cs="Arial"/>
                <w:color w:val="000000"/>
                <w:sz w:val="16"/>
                <w:szCs w:val="16"/>
              </w:rPr>
            </w:pPr>
            <w:r w:rsidRPr="00D92E20">
              <w:rPr>
                <w:rFonts w:cs="Arial"/>
                <w:color w:val="000000"/>
                <w:sz w:val="16"/>
                <w:szCs w:val="16"/>
              </w:rPr>
              <w:t>ženy</w:t>
            </w:r>
          </w:p>
        </w:tc>
      </w:tr>
      <w:tr w:rsidR="004071F1" w:rsidRPr="00D92E20" w14:paraId="0E3B899F" w14:textId="77777777" w:rsidTr="00DF284E">
        <w:trPr>
          <w:trHeight w:val="300"/>
        </w:trPr>
        <w:tc>
          <w:tcPr>
            <w:tcW w:w="1020" w:type="dxa"/>
            <w:tcBorders>
              <w:top w:val="single" w:sz="4" w:space="0" w:color="auto"/>
              <w:left w:val="nil"/>
              <w:bottom w:val="nil"/>
              <w:right w:val="nil"/>
            </w:tcBorders>
            <w:shd w:val="clear" w:color="auto" w:fill="auto"/>
            <w:vAlign w:val="center"/>
            <w:hideMark/>
          </w:tcPr>
          <w:p w14:paraId="1BCDA5DA" w14:textId="767DB72C" w:rsidR="004071F1" w:rsidRPr="00D92E20" w:rsidRDefault="004071F1" w:rsidP="004071F1">
            <w:pPr>
              <w:spacing w:after="0" w:line="240" w:lineRule="auto"/>
              <w:jc w:val="center"/>
              <w:rPr>
                <w:rFonts w:cs="Arial"/>
                <w:color w:val="000000"/>
                <w:sz w:val="16"/>
                <w:szCs w:val="16"/>
              </w:rPr>
            </w:pPr>
            <w:r>
              <w:rPr>
                <w:rFonts w:cs="Arial"/>
                <w:sz w:val="16"/>
                <w:szCs w:val="16"/>
              </w:rPr>
              <w:t>1. pol. 2012</w:t>
            </w:r>
          </w:p>
        </w:tc>
        <w:tc>
          <w:tcPr>
            <w:tcW w:w="710" w:type="dxa"/>
            <w:tcBorders>
              <w:top w:val="single" w:sz="4" w:space="0" w:color="auto"/>
              <w:left w:val="single" w:sz="4" w:space="0" w:color="auto"/>
              <w:bottom w:val="nil"/>
              <w:right w:val="nil"/>
            </w:tcBorders>
            <w:shd w:val="clear" w:color="auto" w:fill="auto"/>
            <w:vAlign w:val="center"/>
            <w:hideMark/>
          </w:tcPr>
          <w:p w14:paraId="3B606E05" w14:textId="3A8C55E1" w:rsidR="004071F1" w:rsidRPr="00D92E20" w:rsidRDefault="004071F1" w:rsidP="004071F1">
            <w:pPr>
              <w:spacing w:after="0" w:line="240" w:lineRule="auto"/>
              <w:jc w:val="right"/>
              <w:rPr>
                <w:rFonts w:cs="Arial"/>
                <w:color w:val="000000"/>
                <w:sz w:val="16"/>
                <w:szCs w:val="16"/>
              </w:rPr>
            </w:pPr>
            <w:r>
              <w:rPr>
                <w:rFonts w:cs="Arial"/>
                <w:sz w:val="16"/>
                <w:szCs w:val="16"/>
              </w:rPr>
              <w:t>607,4</w:t>
            </w:r>
          </w:p>
        </w:tc>
        <w:tc>
          <w:tcPr>
            <w:tcW w:w="704" w:type="dxa"/>
            <w:tcBorders>
              <w:top w:val="nil"/>
              <w:left w:val="nil"/>
              <w:bottom w:val="nil"/>
              <w:right w:val="nil"/>
            </w:tcBorders>
            <w:shd w:val="clear" w:color="auto" w:fill="auto"/>
            <w:vAlign w:val="center"/>
            <w:hideMark/>
          </w:tcPr>
          <w:p w14:paraId="7D6976C7" w14:textId="61279916" w:rsidR="004071F1" w:rsidRPr="00D92E20" w:rsidRDefault="004071F1" w:rsidP="004071F1">
            <w:pPr>
              <w:spacing w:after="0" w:line="240" w:lineRule="auto"/>
              <w:jc w:val="right"/>
              <w:rPr>
                <w:rFonts w:cs="Arial"/>
                <w:color w:val="000000"/>
                <w:sz w:val="16"/>
                <w:szCs w:val="16"/>
              </w:rPr>
            </w:pPr>
            <w:r>
              <w:rPr>
                <w:rFonts w:cs="Arial"/>
                <w:sz w:val="16"/>
                <w:szCs w:val="16"/>
              </w:rPr>
              <w:t>289,6</w:t>
            </w:r>
          </w:p>
        </w:tc>
        <w:tc>
          <w:tcPr>
            <w:tcW w:w="704" w:type="dxa"/>
            <w:tcBorders>
              <w:top w:val="nil"/>
              <w:left w:val="nil"/>
              <w:bottom w:val="nil"/>
              <w:right w:val="single" w:sz="4" w:space="0" w:color="auto"/>
            </w:tcBorders>
            <w:shd w:val="clear" w:color="auto" w:fill="auto"/>
            <w:vAlign w:val="center"/>
            <w:hideMark/>
          </w:tcPr>
          <w:p w14:paraId="51FE9CA3" w14:textId="00802FF6" w:rsidR="004071F1" w:rsidRPr="00D92E20" w:rsidRDefault="004071F1" w:rsidP="004071F1">
            <w:pPr>
              <w:spacing w:after="0" w:line="240" w:lineRule="auto"/>
              <w:jc w:val="right"/>
              <w:rPr>
                <w:rFonts w:cs="Arial"/>
                <w:color w:val="000000"/>
                <w:sz w:val="16"/>
                <w:szCs w:val="16"/>
              </w:rPr>
            </w:pPr>
            <w:r>
              <w:rPr>
                <w:rFonts w:cs="Arial"/>
                <w:sz w:val="16"/>
                <w:szCs w:val="16"/>
              </w:rPr>
              <w:t>317,8</w:t>
            </w:r>
          </w:p>
        </w:tc>
        <w:tc>
          <w:tcPr>
            <w:tcW w:w="707" w:type="dxa"/>
            <w:tcBorders>
              <w:top w:val="single" w:sz="4" w:space="0" w:color="auto"/>
              <w:left w:val="nil"/>
              <w:bottom w:val="nil"/>
              <w:right w:val="nil"/>
            </w:tcBorders>
            <w:shd w:val="clear" w:color="auto" w:fill="auto"/>
            <w:vAlign w:val="center"/>
            <w:hideMark/>
          </w:tcPr>
          <w:p w14:paraId="2FCC0C3B" w14:textId="6E681857" w:rsidR="004071F1" w:rsidRPr="00D92E20" w:rsidRDefault="004071F1" w:rsidP="004071F1">
            <w:pPr>
              <w:spacing w:after="0" w:line="240" w:lineRule="auto"/>
              <w:jc w:val="right"/>
              <w:rPr>
                <w:rFonts w:cs="Arial"/>
                <w:color w:val="000000"/>
                <w:sz w:val="16"/>
                <w:szCs w:val="16"/>
              </w:rPr>
            </w:pPr>
            <w:r>
              <w:rPr>
                <w:rFonts w:cs="Arial"/>
                <w:sz w:val="16"/>
                <w:szCs w:val="16"/>
              </w:rPr>
              <w:t>532,1</w:t>
            </w:r>
          </w:p>
        </w:tc>
        <w:tc>
          <w:tcPr>
            <w:tcW w:w="704" w:type="dxa"/>
            <w:tcBorders>
              <w:top w:val="nil"/>
              <w:left w:val="nil"/>
              <w:bottom w:val="nil"/>
              <w:right w:val="nil"/>
            </w:tcBorders>
            <w:shd w:val="clear" w:color="auto" w:fill="auto"/>
            <w:vAlign w:val="center"/>
            <w:hideMark/>
          </w:tcPr>
          <w:p w14:paraId="41FE064E" w14:textId="3FF75024" w:rsidR="004071F1" w:rsidRPr="00D92E20" w:rsidRDefault="004071F1" w:rsidP="004071F1">
            <w:pPr>
              <w:spacing w:after="0" w:line="240" w:lineRule="auto"/>
              <w:jc w:val="right"/>
              <w:rPr>
                <w:rFonts w:cs="Arial"/>
                <w:color w:val="000000"/>
                <w:sz w:val="16"/>
                <w:szCs w:val="16"/>
              </w:rPr>
            </w:pPr>
            <w:r>
              <w:rPr>
                <w:rFonts w:cs="Arial"/>
                <w:sz w:val="16"/>
                <w:szCs w:val="16"/>
              </w:rPr>
              <w:t>239,3</w:t>
            </w:r>
          </w:p>
        </w:tc>
        <w:tc>
          <w:tcPr>
            <w:tcW w:w="704" w:type="dxa"/>
            <w:tcBorders>
              <w:top w:val="nil"/>
              <w:left w:val="nil"/>
              <w:bottom w:val="nil"/>
              <w:right w:val="nil"/>
            </w:tcBorders>
            <w:shd w:val="clear" w:color="auto" w:fill="auto"/>
            <w:vAlign w:val="center"/>
            <w:hideMark/>
          </w:tcPr>
          <w:p w14:paraId="4944B421" w14:textId="22E3DA55" w:rsidR="004071F1" w:rsidRPr="00D92E20" w:rsidRDefault="004071F1" w:rsidP="004071F1">
            <w:pPr>
              <w:spacing w:after="0" w:line="240" w:lineRule="auto"/>
              <w:jc w:val="right"/>
              <w:rPr>
                <w:rFonts w:cs="Arial"/>
                <w:color w:val="000000"/>
                <w:sz w:val="16"/>
                <w:szCs w:val="16"/>
              </w:rPr>
            </w:pPr>
            <w:r>
              <w:rPr>
                <w:rFonts w:cs="Arial"/>
                <w:sz w:val="16"/>
                <w:szCs w:val="16"/>
              </w:rPr>
              <w:t>292,8</w:t>
            </w:r>
          </w:p>
        </w:tc>
        <w:tc>
          <w:tcPr>
            <w:tcW w:w="754" w:type="dxa"/>
            <w:tcBorders>
              <w:top w:val="single" w:sz="4" w:space="0" w:color="auto"/>
              <w:left w:val="single" w:sz="4" w:space="0" w:color="auto"/>
              <w:bottom w:val="nil"/>
              <w:right w:val="nil"/>
            </w:tcBorders>
            <w:shd w:val="clear" w:color="auto" w:fill="auto"/>
            <w:vAlign w:val="center"/>
            <w:hideMark/>
          </w:tcPr>
          <w:p w14:paraId="6BBF2F00" w14:textId="00934369" w:rsidR="004071F1" w:rsidRPr="00D92E20" w:rsidRDefault="004071F1" w:rsidP="004071F1">
            <w:pPr>
              <w:spacing w:after="0" w:line="240" w:lineRule="auto"/>
              <w:jc w:val="right"/>
              <w:rPr>
                <w:rFonts w:cs="Arial"/>
                <w:color w:val="000000"/>
                <w:sz w:val="16"/>
                <w:szCs w:val="16"/>
              </w:rPr>
            </w:pPr>
            <w:r>
              <w:rPr>
                <w:rFonts w:cs="Arial"/>
                <w:sz w:val="16"/>
                <w:szCs w:val="16"/>
              </w:rPr>
              <w:t>21,8</w:t>
            </w:r>
          </w:p>
        </w:tc>
        <w:tc>
          <w:tcPr>
            <w:tcW w:w="709" w:type="dxa"/>
            <w:tcBorders>
              <w:top w:val="nil"/>
              <w:left w:val="nil"/>
              <w:bottom w:val="nil"/>
              <w:right w:val="nil"/>
            </w:tcBorders>
            <w:shd w:val="clear" w:color="auto" w:fill="auto"/>
            <w:vAlign w:val="center"/>
            <w:hideMark/>
          </w:tcPr>
          <w:p w14:paraId="207B0B1D" w14:textId="560C734E" w:rsidR="004071F1" w:rsidRPr="00D92E20" w:rsidRDefault="004071F1" w:rsidP="004071F1">
            <w:pPr>
              <w:spacing w:after="0" w:line="240" w:lineRule="auto"/>
              <w:jc w:val="right"/>
              <w:rPr>
                <w:rFonts w:cs="Arial"/>
                <w:color w:val="000000"/>
                <w:sz w:val="16"/>
                <w:szCs w:val="16"/>
              </w:rPr>
            </w:pPr>
            <w:r>
              <w:rPr>
                <w:rFonts w:cs="Arial"/>
                <w:sz w:val="16"/>
                <w:szCs w:val="16"/>
              </w:rPr>
              <w:t>15,5</w:t>
            </w:r>
          </w:p>
        </w:tc>
        <w:tc>
          <w:tcPr>
            <w:tcW w:w="709" w:type="dxa"/>
            <w:tcBorders>
              <w:top w:val="nil"/>
              <w:left w:val="nil"/>
              <w:bottom w:val="nil"/>
              <w:right w:val="single" w:sz="4" w:space="0" w:color="auto"/>
            </w:tcBorders>
            <w:shd w:val="clear" w:color="auto" w:fill="auto"/>
            <w:vAlign w:val="center"/>
            <w:hideMark/>
          </w:tcPr>
          <w:p w14:paraId="2B66119B" w14:textId="2630E105" w:rsidR="004071F1" w:rsidRPr="00D92E20" w:rsidRDefault="004071F1" w:rsidP="004071F1">
            <w:pPr>
              <w:spacing w:after="0" w:line="240" w:lineRule="auto"/>
              <w:jc w:val="right"/>
              <w:rPr>
                <w:rFonts w:cs="Arial"/>
                <w:color w:val="000000"/>
                <w:sz w:val="16"/>
                <w:szCs w:val="16"/>
              </w:rPr>
            </w:pPr>
            <w:r>
              <w:rPr>
                <w:rFonts w:cs="Arial"/>
                <w:sz w:val="16"/>
                <w:szCs w:val="16"/>
              </w:rPr>
              <w:t>6,3</w:t>
            </w:r>
          </w:p>
        </w:tc>
        <w:tc>
          <w:tcPr>
            <w:tcW w:w="709" w:type="dxa"/>
            <w:tcBorders>
              <w:top w:val="single" w:sz="4" w:space="0" w:color="auto"/>
              <w:left w:val="nil"/>
              <w:bottom w:val="nil"/>
              <w:right w:val="nil"/>
            </w:tcBorders>
            <w:shd w:val="clear" w:color="auto" w:fill="auto"/>
            <w:vAlign w:val="center"/>
            <w:hideMark/>
          </w:tcPr>
          <w:p w14:paraId="05BE3863" w14:textId="6510BF4A" w:rsidR="004071F1" w:rsidRPr="00D92E20" w:rsidRDefault="004071F1" w:rsidP="004071F1">
            <w:pPr>
              <w:spacing w:after="0" w:line="240" w:lineRule="auto"/>
              <w:jc w:val="right"/>
              <w:rPr>
                <w:rFonts w:cs="Arial"/>
                <w:color w:val="000000"/>
                <w:sz w:val="16"/>
                <w:szCs w:val="16"/>
              </w:rPr>
            </w:pPr>
            <w:r>
              <w:rPr>
                <w:rFonts w:cs="Arial"/>
                <w:sz w:val="16"/>
                <w:szCs w:val="16"/>
              </w:rPr>
              <w:t>53,4</w:t>
            </w:r>
          </w:p>
        </w:tc>
        <w:tc>
          <w:tcPr>
            <w:tcW w:w="709" w:type="dxa"/>
            <w:tcBorders>
              <w:top w:val="nil"/>
              <w:left w:val="nil"/>
              <w:bottom w:val="nil"/>
              <w:right w:val="nil"/>
            </w:tcBorders>
            <w:shd w:val="clear" w:color="auto" w:fill="auto"/>
            <w:vAlign w:val="center"/>
            <w:hideMark/>
          </w:tcPr>
          <w:p w14:paraId="6D85CF9B" w14:textId="396CE8D4" w:rsidR="004071F1" w:rsidRPr="00D92E20" w:rsidRDefault="004071F1" w:rsidP="004071F1">
            <w:pPr>
              <w:spacing w:after="0" w:line="240" w:lineRule="auto"/>
              <w:jc w:val="right"/>
              <w:rPr>
                <w:rFonts w:cs="Arial"/>
                <w:color w:val="000000"/>
                <w:sz w:val="16"/>
                <w:szCs w:val="16"/>
              </w:rPr>
            </w:pPr>
            <w:r>
              <w:rPr>
                <w:rFonts w:cs="Arial"/>
                <w:sz w:val="16"/>
                <w:szCs w:val="16"/>
              </w:rPr>
              <w:t>34,8</w:t>
            </w:r>
          </w:p>
        </w:tc>
        <w:tc>
          <w:tcPr>
            <w:tcW w:w="709" w:type="dxa"/>
            <w:tcBorders>
              <w:top w:val="nil"/>
              <w:left w:val="nil"/>
              <w:bottom w:val="nil"/>
              <w:right w:val="nil"/>
            </w:tcBorders>
            <w:shd w:val="clear" w:color="auto" w:fill="auto"/>
            <w:vAlign w:val="center"/>
            <w:hideMark/>
          </w:tcPr>
          <w:p w14:paraId="417A5C81" w14:textId="2C935469" w:rsidR="004071F1" w:rsidRPr="00D92E20" w:rsidRDefault="004071F1" w:rsidP="004071F1">
            <w:pPr>
              <w:spacing w:after="0" w:line="240" w:lineRule="auto"/>
              <w:jc w:val="right"/>
              <w:rPr>
                <w:rFonts w:cs="Arial"/>
                <w:color w:val="000000"/>
                <w:sz w:val="16"/>
                <w:szCs w:val="16"/>
              </w:rPr>
            </w:pPr>
            <w:r>
              <w:rPr>
                <w:rFonts w:cs="Arial"/>
                <w:sz w:val="16"/>
                <w:szCs w:val="16"/>
              </w:rPr>
              <w:t>18,6</w:t>
            </w:r>
          </w:p>
        </w:tc>
      </w:tr>
      <w:tr w:rsidR="004071F1" w:rsidRPr="00D92E20" w14:paraId="06A11B75" w14:textId="77777777" w:rsidTr="00DF284E">
        <w:trPr>
          <w:trHeight w:val="300"/>
        </w:trPr>
        <w:tc>
          <w:tcPr>
            <w:tcW w:w="1020" w:type="dxa"/>
            <w:tcBorders>
              <w:top w:val="nil"/>
              <w:left w:val="nil"/>
              <w:bottom w:val="nil"/>
              <w:right w:val="nil"/>
            </w:tcBorders>
            <w:shd w:val="clear" w:color="auto" w:fill="auto"/>
            <w:vAlign w:val="center"/>
            <w:hideMark/>
          </w:tcPr>
          <w:p w14:paraId="1D1B5A8D" w14:textId="1ED49EBA" w:rsidR="004071F1" w:rsidRPr="00D92E20" w:rsidRDefault="004071F1" w:rsidP="004071F1">
            <w:pPr>
              <w:spacing w:after="0" w:line="240" w:lineRule="auto"/>
              <w:jc w:val="center"/>
              <w:rPr>
                <w:rFonts w:cs="Arial"/>
                <w:color w:val="000000"/>
                <w:sz w:val="16"/>
                <w:szCs w:val="16"/>
              </w:rPr>
            </w:pPr>
            <w:r>
              <w:rPr>
                <w:rFonts w:cs="Arial"/>
                <w:sz w:val="16"/>
                <w:szCs w:val="16"/>
              </w:rPr>
              <w:t>1. pol. 2013</w:t>
            </w:r>
          </w:p>
        </w:tc>
        <w:tc>
          <w:tcPr>
            <w:tcW w:w="710" w:type="dxa"/>
            <w:tcBorders>
              <w:top w:val="nil"/>
              <w:left w:val="single" w:sz="4" w:space="0" w:color="auto"/>
              <w:bottom w:val="nil"/>
              <w:right w:val="nil"/>
            </w:tcBorders>
            <w:shd w:val="clear" w:color="auto" w:fill="auto"/>
            <w:vAlign w:val="center"/>
            <w:hideMark/>
          </w:tcPr>
          <w:p w14:paraId="3D6D9922" w14:textId="11A96B34" w:rsidR="004071F1" w:rsidRPr="00D92E20" w:rsidRDefault="004071F1" w:rsidP="004071F1">
            <w:pPr>
              <w:spacing w:after="0" w:line="240" w:lineRule="auto"/>
              <w:jc w:val="right"/>
              <w:rPr>
                <w:rFonts w:cs="Arial"/>
                <w:color w:val="000000"/>
                <w:sz w:val="16"/>
                <w:szCs w:val="16"/>
              </w:rPr>
            </w:pPr>
            <w:r>
              <w:rPr>
                <w:rFonts w:cs="Arial"/>
                <w:sz w:val="16"/>
                <w:szCs w:val="16"/>
              </w:rPr>
              <w:t>754,6</w:t>
            </w:r>
          </w:p>
        </w:tc>
        <w:tc>
          <w:tcPr>
            <w:tcW w:w="704" w:type="dxa"/>
            <w:tcBorders>
              <w:top w:val="nil"/>
              <w:left w:val="nil"/>
              <w:bottom w:val="nil"/>
              <w:right w:val="nil"/>
            </w:tcBorders>
            <w:shd w:val="clear" w:color="auto" w:fill="auto"/>
            <w:vAlign w:val="center"/>
            <w:hideMark/>
          </w:tcPr>
          <w:p w14:paraId="309872E3" w14:textId="42B4F749" w:rsidR="004071F1" w:rsidRPr="00D92E20" w:rsidRDefault="004071F1" w:rsidP="004071F1">
            <w:pPr>
              <w:spacing w:after="0" w:line="240" w:lineRule="auto"/>
              <w:jc w:val="right"/>
              <w:rPr>
                <w:rFonts w:cs="Arial"/>
                <w:color w:val="000000"/>
                <w:sz w:val="16"/>
                <w:szCs w:val="16"/>
              </w:rPr>
            </w:pPr>
            <w:r>
              <w:rPr>
                <w:rFonts w:cs="Arial"/>
                <w:sz w:val="16"/>
                <w:szCs w:val="16"/>
              </w:rPr>
              <w:t>354,7</w:t>
            </w:r>
          </w:p>
        </w:tc>
        <w:tc>
          <w:tcPr>
            <w:tcW w:w="704" w:type="dxa"/>
            <w:tcBorders>
              <w:top w:val="nil"/>
              <w:left w:val="nil"/>
              <w:bottom w:val="nil"/>
              <w:right w:val="single" w:sz="4" w:space="0" w:color="auto"/>
            </w:tcBorders>
            <w:shd w:val="clear" w:color="auto" w:fill="auto"/>
            <w:vAlign w:val="center"/>
            <w:hideMark/>
          </w:tcPr>
          <w:p w14:paraId="637C3785" w14:textId="403CD44C" w:rsidR="004071F1" w:rsidRPr="00D92E20" w:rsidRDefault="004071F1" w:rsidP="004071F1">
            <w:pPr>
              <w:spacing w:after="0" w:line="240" w:lineRule="auto"/>
              <w:jc w:val="right"/>
              <w:rPr>
                <w:rFonts w:cs="Arial"/>
                <w:color w:val="000000"/>
                <w:sz w:val="16"/>
                <w:szCs w:val="16"/>
              </w:rPr>
            </w:pPr>
            <w:r>
              <w:rPr>
                <w:rFonts w:cs="Arial"/>
                <w:sz w:val="16"/>
                <w:szCs w:val="16"/>
              </w:rPr>
              <w:t>399,9</w:t>
            </w:r>
          </w:p>
        </w:tc>
        <w:tc>
          <w:tcPr>
            <w:tcW w:w="707" w:type="dxa"/>
            <w:tcBorders>
              <w:top w:val="nil"/>
              <w:left w:val="nil"/>
              <w:bottom w:val="nil"/>
              <w:right w:val="nil"/>
            </w:tcBorders>
            <w:shd w:val="clear" w:color="auto" w:fill="auto"/>
            <w:vAlign w:val="center"/>
            <w:hideMark/>
          </w:tcPr>
          <w:p w14:paraId="2F6AC6FA" w14:textId="11885BB6" w:rsidR="004071F1" w:rsidRPr="00D92E20" w:rsidRDefault="004071F1" w:rsidP="004071F1">
            <w:pPr>
              <w:spacing w:after="0" w:line="240" w:lineRule="auto"/>
              <w:jc w:val="right"/>
              <w:rPr>
                <w:rFonts w:cs="Arial"/>
                <w:color w:val="000000"/>
                <w:sz w:val="16"/>
                <w:szCs w:val="16"/>
              </w:rPr>
            </w:pPr>
            <w:r>
              <w:rPr>
                <w:rFonts w:cs="Arial"/>
                <w:sz w:val="16"/>
                <w:szCs w:val="16"/>
              </w:rPr>
              <w:t>672,2</w:t>
            </w:r>
          </w:p>
        </w:tc>
        <w:tc>
          <w:tcPr>
            <w:tcW w:w="704" w:type="dxa"/>
            <w:tcBorders>
              <w:top w:val="nil"/>
              <w:left w:val="nil"/>
              <w:bottom w:val="nil"/>
              <w:right w:val="nil"/>
            </w:tcBorders>
            <w:shd w:val="clear" w:color="auto" w:fill="auto"/>
            <w:vAlign w:val="center"/>
            <w:hideMark/>
          </w:tcPr>
          <w:p w14:paraId="2E60409C" w14:textId="3A6211F6" w:rsidR="004071F1" w:rsidRPr="00D92E20" w:rsidRDefault="004071F1" w:rsidP="004071F1">
            <w:pPr>
              <w:spacing w:after="0" w:line="240" w:lineRule="auto"/>
              <w:jc w:val="right"/>
              <w:rPr>
                <w:rFonts w:cs="Arial"/>
                <w:color w:val="000000"/>
                <w:sz w:val="16"/>
                <w:szCs w:val="16"/>
              </w:rPr>
            </w:pPr>
            <w:r>
              <w:rPr>
                <w:rFonts w:cs="Arial"/>
                <w:sz w:val="16"/>
                <w:szCs w:val="16"/>
              </w:rPr>
              <w:t>300,7</w:t>
            </w:r>
          </w:p>
        </w:tc>
        <w:tc>
          <w:tcPr>
            <w:tcW w:w="704" w:type="dxa"/>
            <w:tcBorders>
              <w:top w:val="nil"/>
              <w:left w:val="nil"/>
              <w:bottom w:val="nil"/>
              <w:right w:val="nil"/>
            </w:tcBorders>
            <w:shd w:val="clear" w:color="auto" w:fill="auto"/>
            <w:vAlign w:val="center"/>
            <w:hideMark/>
          </w:tcPr>
          <w:p w14:paraId="3D9B67B4" w14:textId="4AD1CBCE" w:rsidR="004071F1" w:rsidRPr="00D92E20" w:rsidRDefault="004071F1" w:rsidP="004071F1">
            <w:pPr>
              <w:spacing w:after="0" w:line="240" w:lineRule="auto"/>
              <w:jc w:val="right"/>
              <w:rPr>
                <w:rFonts w:cs="Arial"/>
                <w:color w:val="000000"/>
                <w:sz w:val="16"/>
                <w:szCs w:val="16"/>
              </w:rPr>
            </w:pPr>
            <w:r>
              <w:rPr>
                <w:rFonts w:cs="Arial"/>
                <w:sz w:val="16"/>
                <w:szCs w:val="16"/>
              </w:rPr>
              <w:t>371,5</w:t>
            </w:r>
          </w:p>
        </w:tc>
        <w:tc>
          <w:tcPr>
            <w:tcW w:w="754" w:type="dxa"/>
            <w:tcBorders>
              <w:top w:val="nil"/>
              <w:left w:val="single" w:sz="4" w:space="0" w:color="auto"/>
              <w:bottom w:val="nil"/>
              <w:right w:val="nil"/>
            </w:tcBorders>
            <w:shd w:val="clear" w:color="auto" w:fill="auto"/>
            <w:vAlign w:val="center"/>
            <w:hideMark/>
          </w:tcPr>
          <w:p w14:paraId="0DE645BA" w14:textId="0C800A14" w:rsidR="004071F1" w:rsidRPr="00D92E20" w:rsidRDefault="004071F1" w:rsidP="004071F1">
            <w:pPr>
              <w:spacing w:after="0" w:line="240" w:lineRule="auto"/>
              <w:jc w:val="right"/>
              <w:rPr>
                <w:rFonts w:cs="Arial"/>
                <w:color w:val="000000"/>
                <w:sz w:val="16"/>
                <w:szCs w:val="16"/>
              </w:rPr>
            </w:pPr>
            <w:r>
              <w:rPr>
                <w:rFonts w:cs="Arial"/>
                <w:sz w:val="16"/>
                <w:szCs w:val="16"/>
              </w:rPr>
              <w:t>21,9</w:t>
            </w:r>
          </w:p>
        </w:tc>
        <w:tc>
          <w:tcPr>
            <w:tcW w:w="709" w:type="dxa"/>
            <w:tcBorders>
              <w:top w:val="nil"/>
              <w:left w:val="nil"/>
              <w:bottom w:val="nil"/>
              <w:right w:val="nil"/>
            </w:tcBorders>
            <w:shd w:val="clear" w:color="auto" w:fill="auto"/>
            <w:vAlign w:val="center"/>
            <w:hideMark/>
          </w:tcPr>
          <w:p w14:paraId="560DA22C" w14:textId="10B75FC5" w:rsidR="004071F1" w:rsidRPr="00D92E20" w:rsidRDefault="004071F1" w:rsidP="004071F1">
            <w:pPr>
              <w:spacing w:after="0" w:line="240" w:lineRule="auto"/>
              <w:jc w:val="right"/>
              <w:rPr>
                <w:rFonts w:cs="Arial"/>
                <w:color w:val="000000"/>
                <w:sz w:val="16"/>
                <w:szCs w:val="16"/>
              </w:rPr>
            </w:pPr>
            <w:r>
              <w:rPr>
                <w:rFonts w:cs="Arial"/>
                <w:sz w:val="16"/>
                <w:szCs w:val="16"/>
              </w:rPr>
              <w:t>15,3</w:t>
            </w:r>
          </w:p>
        </w:tc>
        <w:tc>
          <w:tcPr>
            <w:tcW w:w="709" w:type="dxa"/>
            <w:tcBorders>
              <w:top w:val="nil"/>
              <w:left w:val="nil"/>
              <w:bottom w:val="nil"/>
              <w:right w:val="single" w:sz="4" w:space="0" w:color="auto"/>
            </w:tcBorders>
            <w:shd w:val="clear" w:color="auto" w:fill="auto"/>
            <w:vAlign w:val="center"/>
            <w:hideMark/>
          </w:tcPr>
          <w:p w14:paraId="64135543" w14:textId="20EEF88C" w:rsidR="004071F1" w:rsidRPr="00D92E20" w:rsidRDefault="004071F1" w:rsidP="004071F1">
            <w:pPr>
              <w:spacing w:after="0" w:line="240" w:lineRule="auto"/>
              <w:jc w:val="right"/>
              <w:rPr>
                <w:rFonts w:cs="Arial"/>
                <w:color w:val="000000"/>
                <w:sz w:val="16"/>
                <w:szCs w:val="16"/>
              </w:rPr>
            </w:pPr>
            <w:r>
              <w:rPr>
                <w:rFonts w:cs="Arial"/>
                <w:sz w:val="16"/>
                <w:szCs w:val="16"/>
              </w:rPr>
              <w:t>6,6</w:t>
            </w:r>
          </w:p>
        </w:tc>
        <w:tc>
          <w:tcPr>
            <w:tcW w:w="709" w:type="dxa"/>
            <w:tcBorders>
              <w:top w:val="nil"/>
              <w:left w:val="nil"/>
              <w:bottom w:val="nil"/>
              <w:right w:val="nil"/>
            </w:tcBorders>
            <w:shd w:val="clear" w:color="auto" w:fill="auto"/>
            <w:vAlign w:val="center"/>
            <w:hideMark/>
          </w:tcPr>
          <w:p w14:paraId="54BADF07" w14:textId="4B327141" w:rsidR="004071F1" w:rsidRPr="00D92E20" w:rsidRDefault="004071F1" w:rsidP="004071F1">
            <w:pPr>
              <w:spacing w:after="0" w:line="240" w:lineRule="auto"/>
              <w:jc w:val="right"/>
              <w:rPr>
                <w:rFonts w:cs="Arial"/>
                <w:color w:val="000000"/>
                <w:sz w:val="16"/>
                <w:szCs w:val="16"/>
              </w:rPr>
            </w:pPr>
            <w:r>
              <w:rPr>
                <w:rFonts w:cs="Arial"/>
                <w:sz w:val="16"/>
                <w:szCs w:val="16"/>
              </w:rPr>
              <w:t>60,5</w:t>
            </w:r>
          </w:p>
        </w:tc>
        <w:tc>
          <w:tcPr>
            <w:tcW w:w="709" w:type="dxa"/>
            <w:tcBorders>
              <w:top w:val="nil"/>
              <w:left w:val="nil"/>
              <w:bottom w:val="nil"/>
              <w:right w:val="nil"/>
            </w:tcBorders>
            <w:shd w:val="clear" w:color="auto" w:fill="auto"/>
            <w:vAlign w:val="center"/>
            <w:hideMark/>
          </w:tcPr>
          <w:p w14:paraId="200AFAC5" w14:textId="62439924" w:rsidR="004071F1" w:rsidRPr="00D92E20" w:rsidRDefault="004071F1" w:rsidP="004071F1">
            <w:pPr>
              <w:spacing w:after="0" w:line="240" w:lineRule="auto"/>
              <w:jc w:val="right"/>
              <w:rPr>
                <w:rFonts w:cs="Arial"/>
                <w:color w:val="000000"/>
                <w:sz w:val="16"/>
                <w:szCs w:val="16"/>
              </w:rPr>
            </w:pPr>
            <w:r>
              <w:rPr>
                <w:rFonts w:cs="Arial"/>
                <w:sz w:val="16"/>
                <w:szCs w:val="16"/>
              </w:rPr>
              <w:t>38,8</w:t>
            </w:r>
          </w:p>
        </w:tc>
        <w:tc>
          <w:tcPr>
            <w:tcW w:w="709" w:type="dxa"/>
            <w:tcBorders>
              <w:top w:val="nil"/>
              <w:left w:val="nil"/>
              <w:bottom w:val="nil"/>
              <w:right w:val="nil"/>
            </w:tcBorders>
            <w:shd w:val="clear" w:color="auto" w:fill="auto"/>
            <w:vAlign w:val="center"/>
            <w:hideMark/>
          </w:tcPr>
          <w:p w14:paraId="60430845" w14:textId="5E4016B2" w:rsidR="004071F1" w:rsidRPr="00D92E20" w:rsidRDefault="004071F1" w:rsidP="004071F1">
            <w:pPr>
              <w:spacing w:after="0" w:line="240" w:lineRule="auto"/>
              <w:jc w:val="right"/>
              <w:rPr>
                <w:rFonts w:cs="Arial"/>
                <w:color w:val="000000"/>
                <w:sz w:val="16"/>
                <w:szCs w:val="16"/>
              </w:rPr>
            </w:pPr>
            <w:r>
              <w:rPr>
                <w:rFonts w:cs="Arial"/>
                <w:sz w:val="16"/>
                <w:szCs w:val="16"/>
              </w:rPr>
              <w:t>21,7</w:t>
            </w:r>
          </w:p>
        </w:tc>
      </w:tr>
      <w:tr w:rsidR="004071F1" w:rsidRPr="00D92E20" w14:paraId="20CC6FD1" w14:textId="77777777" w:rsidTr="00DF284E">
        <w:trPr>
          <w:trHeight w:val="300"/>
        </w:trPr>
        <w:tc>
          <w:tcPr>
            <w:tcW w:w="1020" w:type="dxa"/>
            <w:tcBorders>
              <w:top w:val="nil"/>
              <w:left w:val="nil"/>
              <w:bottom w:val="nil"/>
              <w:right w:val="nil"/>
            </w:tcBorders>
            <w:shd w:val="clear" w:color="auto" w:fill="auto"/>
            <w:vAlign w:val="center"/>
            <w:hideMark/>
          </w:tcPr>
          <w:p w14:paraId="6DA7098E" w14:textId="108D5EEF" w:rsidR="004071F1" w:rsidRPr="00D92E20" w:rsidRDefault="004071F1" w:rsidP="004071F1">
            <w:pPr>
              <w:spacing w:after="0" w:line="240" w:lineRule="auto"/>
              <w:jc w:val="center"/>
              <w:rPr>
                <w:rFonts w:cs="Arial"/>
                <w:color w:val="000000"/>
                <w:sz w:val="16"/>
                <w:szCs w:val="16"/>
              </w:rPr>
            </w:pPr>
            <w:r>
              <w:rPr>
                <w:rFonts w:cs="Arial"/>
                <w:sz w:val="16"/>
                <w:szCs w:val="16"/>
              </w:rPr>
              <w:t>1. pol. 2014</w:t>
            </w:r>
          </w:p>
        </w:tc>
        <w:tc>
          <w:tcPr>
            <w:tcW w:w="710" w:type="dxa"/>
            <w:tcBorders>
              <w:top w:val="nil"/>
              <w:left w:val="single" w:sz="4" w:space="0" w:color="auto"/>
              <w:bottom w:val="nil"/>
              <w:right w:val="nil"/>
            </w:tcBorders>
            <w:shd w:val="clear" w:color="auto" w:fill="auto"/>
            <w:vAlign w:val="center"/>
            <w:hideMark/>
          </w:tcPr>
          <w:p w14:paraId="3C267350" w14:textId="3263F33A" w:rsidR="004071F1" w:rsidRPr="00D92E20" w:rsidRDefault="004071F1" w:rsidP="004071F1">
            <w:pPr>
              <w:spacing w:after="0" w:line="240" w:lineRule="auto"/>
              <w:jc w:val="right"/>
              <w:rPr>
                <w:rFonts w:cs="Arial"/>
                <w:color w:val="000000"/>
                <w:sz w:val="16"/>
                <w:szCs w:val="16"/>
              </w:rPr>
            </w:pPr>
            <w:r>
              <w:rPr>
                <w:rFonts w:cs="Arial"/>
                <w:sz w:val="16"/>
                <w:szCs w:val="16"/>
              </w:rPr>
              <w:t>664,1</w:t>
            </w:r>
          </w:p>
        </w:tc>
        <w:tc>
          <w:tcPr>
            <w:tcW w:w="704" w:type="dxa"/>
            <w:tcBorders>
              <w:top w:val="nil"/>
              <w:left w:val="nil"/>
              <w:bottom w:val="nil"/>
              <w:right w:val="nil"/>
            </w:tcBorders>
            <w:shd w:val="clear" w:color="auto" w:fill="auto"/>
            <w:vAlign w:val="center"/>
            <w:hideMark/>
          </w:tcPr>
          <w:p w14:paraId="2A229F1A" w14:textId="4AF5799C" w:rsidR="004071F1" w:rsidRPr="00D92E20" w:rsidRDefault="004071F1" w:rsidP="004071F1">
            <w:pPr>
              <w:spacing w:after="0" w:line="240" w:lineRule="auto"/>
              <w:jc w:val="right"/>
              <w:rPr>
                <w:rFonts w:cs="Arial"/>
                <w:color w:val="000000"/>
                <w:sz w:val="16"/>
                <w:szCs w:val="16"/>
              </w:rPr>
            </w:pPr>
            <w:r>
              <w:rPr>
                <w:rFonts w:cs="Arial"/>
                <w:sz w:val="16"/>
                <w:szCs w:val="16"/>
              </w:rPr>
              <w:t>313,5</w:t>
            </w:r>
          </w:p>
        </w:tc>
        <w:tc>
          <w:tcPr>
            <w:tcW w:w="704" w:type="dxa"/>
            <w:tcBorders>
              <w:top w:val="nil"/>
              <w:left w:val="nil"/>
              <w:bottom w:val="nil"/>
              <w:right w:val="single" w:sz="4" w:space="0" w:color="auto"/>
            </w:tcBorders>
            <w:shd w:val="clear" w:color="auto" w:fill="auto"/>
            <w:vAlign w:val="center"/>
            <w:hideMark/>
          </w:tcPr>
          <w:p w14:paraId="0D3E7686" w14:textId="36F8E39A" w:rsidR="004071F1" w:rsidRPr="00D92E20" w:rsidRDefault="004071F1" w:rsidP="004071F1">
            <w:pPr>
              <w:spacing w:after="0" w:line="240" w:lineRule="auto"/>
              <w:jc w:val="right"/>
              <w:rPr>
                <w:rFonts w:cs="Arial"/>
                <w:color w:val="000000"/>
                <w:sz w:val="16"/>
                <w:szCs w:val="16"/>
              </w:rPr>
            </w:pPr>
            <w:r>
              <w:rPr>
                <w:rFonts w:cs="Arial"/>
                <w:sz w:val="16"/>
                <w:szCs w:val="16"/>
              </w:rPr>
              <w:t>350,6</w:t>
            </w:r>
          </w:p>
        </w:tc>
        <w:tc>
          <w:tcPr>
            <w:tcW w:w="707" w:type="dxa"/>
            <w:tcBorders>
              <w:top w:val="nil"/>
              <w:left w:val="nil"/>
              <w:bottom w:val="nil"/>
              <w:right w:val="nil"/>
            </w:tcBorders>
            <w:shd w:val="clear" w:color="auto" w:fill="auto"/>
            <w:vAlign w:val="center"/>
            <w:hideMark/>
          </w:tcPr>
          <w:p w14:paraId="3055B07F" w14:textId="138C7781" w:rsidR="004071F1" w:rsidRPr="00D92E20" w:rsidRDefault="004071F1" w:rsidP="004071F1">
            <w:pPr>
              <w:spacing w:after="0" w:line="240" w:lineRule="auto"/>
              <w:jc w:val="right"/>
              <w:rPr>
                <w:rFonts w:cs="Arial"/>
                <w:color w:val="000000"/>
                <w:sz w:val="16"/>
                <w:szCs w:val="16"/>
              </w:rPr>
            </w:pPr>
            <w:r>
              <w:rPr>
                <w:rFonts w:cs="Arial"/>
                <w:sz w:val="16"/>
                <w:szCs w:val="16"/>
              </w:rPr>
              <w:t>579,3</w:t>
            </w:r>
          </w:p>
        </w:tc>
        <w:tc>
          <w:tcPr>
            <w:tcW w:w="704" w:type="dxa"/>
            <w:tcBorders>
              <w:top w:val="nil"/>
              <w:left w:val="nil"/>
              <w:bottom w:val="nil"/>
              <w:right w:val="nil"/>
            </w:tcBorders>
            <w:shd w:val="clear" w:color="auto" w:fill="auto"/>
            <w:vAlign w:val="center"/>
            <w:hideMark/>
          </w:tcPr>
          <w:p w14:paraId="6260CC5B" w14:textId="0D3F3036" w:rsidR="004071F1" w:rsidRPr="00D92E20" w:rsidRDefault="004071F1" w:rsidP="004071F1">
            <w:pPr>
              <w:spacing w:after="0" w:line="240" w:lineRule="auto"/>
              <w:jc w:val="right"/>
              <w:rPr>
                <w:rFonts w:cs="Arial"/>
                <w:color w:val="000000"/>
                <w:sz w:val="16"/>
                <w:szCs w:val="16"/>
              </w:rPr>
            </w:pPr>
            <w:r>
              <w:rPr>
                <w:rFonts w:cs="Arial"/>
                <w:sz w:val="16"/>
                <w:szCs w:val="16"/>
              </w:rPr>
              <w:t>256,8</w:t>
            </w:r>
          </w:p>
        </w:tc>
        <w:tc>
          <w:tcPr>
            <w:tcW w:w="704" w:type="dxa"/>
            <w:tcBorders>
              <w:top w:val="nil"/>
              <w:left w:val="nil"/>
              <w:bottom w:val="nil"/>
              <w:right w:val="nil"/>
            </w:tcBorders>
            <w:shd w:val="clear" w:color="auto" w:fill="auto"/>
            <w:vAlign w:val="center"/>
            <w:hideMark/>
          </w:tcPr>
          <w:p w14:paraId="368C9F31" w14:textId="6659878B" w:rsidR="004071F1" w:rsidRPr="00D92E20" w:rsidRDefault="004071F1" w:rsidP="004071F1">
            <w:pPr>
              <w:spacing w:after="0" w:line="240" w:lineRule="auto"/>
              <w:jc w:val="right"/>
              <w:rPr>
                <w:rFonts w:cs="Arial"/>
                <w:color w:val="000000"/>
                <w:sz w:val="16"/>
                <w:szCs w:val="16"/>
              </w:rPr>
            </w:pPr>
            <w:r>
              <w:rPr>
                <w:rFonts w:cs="Arial"/>
                <w:sz w:val="16"/>
                <w:szCs w:val="16"/>
              </w:rPr>
              <w:t>322,4</w:t>
            </w:r>
          </w:p>
        </w:tc>
        <w:tc>
          <w:tcPr>
            <w:tcW w:w="754" w:type="dxa"/>
            <w:tcBorders>
              <w:top w:val="nil"/>
              <w:left w:val="single" w:sz="4" w:space="0" w:color="auto"/>
              <w:bottom w:val="nil"/>
              <w:right w:val="nil"/>
            </w:tcBorders>
            <w:shd w:val="clear" w:color="auto" w:fill="auto"/>
            <w:vAlign w:val="center"/>
            <w:hideMark/>
          </w:tcPr>
          <w:p w14:paraId="4BC3F65D" w14:textId="25115F0D" w:rsidR="004071F1" w:rsidRPr="00D92E20" w:rsidRDefault="004071F1" w:rsidP="004071F1">
            <w:pPr>
              <w:spacing w:after="0" w:line="240" w:lineRule="auto"/>
              <w:jc w:val="right"/>
              <w:rPr>
                <w:rFonts w:cs="Arial"/>
                <w:color w:val="000000"/>
                <w:sz w:val="16"/>
                <w:szCs w:val="16"/>
              </w:rPr>
            </w:pPr>
            <w:r>
              <w:rPr>
                <w:rFonts w:cs="Arial"/>
                <w:sz w:val="16"/>
                <w:szCs w:val="16"/>
              </w:rPr>
              <w:t>22,2</w:t>
            </w:r>
          </w:p>
        </w:tc>
        <w:tc>
          <w:tcPr>
            <w:tcW w:w="709" w:type="dxa"/>
            <w:tcBorders>
              <w:top w:val="nil"/>
              <w:left w:val="nil"/>
              <w:bottom w:val="nil"/>
              <w:right w:val="nil"/>
            </w:tcBorders>
            <w:shd w:val="clear" w:color="auto" w:fill="auto"/>
            <w:vAlign w:val="center"/>
            <w:hideMark/>
          </w:tcPr>
          <w:p w14:paraId="37CF2647" w14:textId="705D5B4F" w:rsidR="004071F1" w:rsidRPr="00D92E20" w:rsidRDefault="004071F1" w:rsidP="004071F1">
            <w:pPr>
              <w:spacing w:after="0" w:line="240" w:lineRule="auto"/>
              <w:jc w:val="right"/>
              <w:rPr>
                <w:rFonts w:cs="Arial"/>
                <w:color w:val="000000"/>
                <w:sz w:val="16"/>
                <w:szCs w:val="16"/>
              </w:rPr>
            </w:pPr>
            <w:r>
              <w:rPr>
                <w:rFonts w:cs="Arial"/>
                <w:sz w:val="16"/>
                <w:szCs w:val="16"/>
              </w:rPr>
              <w:t>15,6</w:t>
            </w:r>
          </w:p>
        </w:tc>
        <w:tc>
          <w:tcPr>
            <w:tcW w:w="709" w:type="dxa"/>
            <w:tcBorders>
              <w:top w:val="nil"/>
              <w:left w:val="nil"/>
              <w:bottom w:val="nil"/>
              <w:right w:val="single" w:sz="4" w:space="0" w:color="auto"/>
            </w:tcBorders>
            <w:shd w:val="clear" w:color="auto" w:fill="auto"/>
            <w:vAlign w:val="center"/>
            <w:hideMark/>
          </w:tcPr>
          <w:p w14:paraId="20FC3920" w14:textId="2D01A5D7" w:rsidR="004071F1" w:rsidRPr="00D92E20" w:rsidRDefault="004071F1" w:rsidP="004071F1">
            <w:pPr>
              <w:spacing w:after="0" w:line="240" w:lineRule="auto"/>
              <w:jc w:val="right"/>
              <w:rPr>
                <w:rFonts w:cs="Arial"/>
                <w:color w:val="000000"/>
                <w:sz w:val="16"/>
                <w:szCs w:val="16"/>
              </w:rPr>
            </w:pPr>
            <w:r>
              <w:rPr>
                <w:rFonts w:cs="Arial"/>
                <w:sz w:val="16"/>
                <w:szCs w:val="16"/>
              </w:rPr>
              <w:t>6,6</w:t>
            </w:r>
          </w:p>
        </w:tc>
        <w:tc>
          <w:tcPr>
            <w:tcW w:w="709" w:type="dxa"/>
            <w:tcBorders>
              <w:top w:val="nil"/>
              <w:left w:val="nil"/>
              <w:bottom w:val="nil"/>
              <w:right w:val="nil"/>
            </w:tcBorders>
            <w:shd w:val="clear" w:color="auto" w:fill="auto"/>
            <w:vAlign w:val="center"/>
            <w:hideMark/>
          </w:tcPr>
          <w:p w14:paraId="07285778" w14:textId="502112E4" w:rsidR="004071F1" w:rsidRPr="00D92E20" w:rsidRDefault="004071F1" w:rsidP="004071F1">
            <w:pPr>
              <w:spacing w:after="0" w:line="240" w:lineRule="auto"/>
              <w:jc w:val="right"/>
              <w:rPr>
                <w:rFonts w:cs="Arial"/>
                <w:color w:val="000000"/>
                <w:sz w:val="16"/>
                <w:szCs w:val="16"/>
              </w:rPr>
            </w:pPr>
            <w:r>
              <w:rPr>
                <w:rFonts w:cs="Arial"/>
                <w:sz w:val="16"/>
                <w:szCs w:val="16"/>
              </w:rPr>
              <w:t>62,6</w:t>
            </w:r>
          </w:p>
        </w:tc>
        <w:tc>
          <w:tcPr>
            <w:tcW w:w="709" w:type="dxa"/>
            <w:tcBorders>
              <w:top w:val="nil"/>
              <w:left w:val="nil"/>
              <w:bottom w:val="nil"/>
              <w:right w:val="nil"/>
            </w:tcBorders>
            <w:shd w:val="clear" w:color="auto" w:fill="auto"/>
            <w:vAlign w:val="center"/>
            <w:hideMark/>
          </w:tcPr>
          <w:p w14:paraId="31B05E14" w14:textId="39E2D2F9" w:rsidR="004071F1" w:rsidRPr="00D92E20" w:rsidRDefault="004071F1" w:rsidP="004071F1">
            <w:pPr>
              <w:spacing w:after="0" w:line="240" w:lineRule="auto"/>
              <w:jc w:val="right"/>
              <w:rPr>
                <w:rFonts w:cs="Arial"/>
                <w:color w:val="000000"/>
                <w:sz w:val="16"/>
                <w:szCs w:val="16"/>
              </w:rPr>
            </w:pPr>
            <w:r>
              <w:rPr>
                <w:rFonts w:cs="Arial"/>
                <w:sz w:val="16"/>
                <w:szCs w:val="16"/>
              </w:rPr>
              <w:t>41,1</w:t>
            </w:r>
          </w:p>
        </w:tc>
        <w:tc>
          <w:tcPr>
            <w:tcW w:w="709" w:type="dxa"/>
            <w:tcBorders>
              <w:top w:val="nil"/>
              <w:left w:val="nil"/>
              <w:bottom w:val="nil"/>
              <w:right w:val="nil"/>
            </w:tcBorders>
            <w:shd w:val="clear" w:color="auto" w:fill="auto"/>
            <w:vAlign w:val="center"/>
            <w:hideMark/>
          </w:tcPr>
          <w:p w14:paraId="5615E3AE" w14:textId="02EB0D97" w:rsidR="004071F1" w:rsidRPr="00D92E20" w:rsidRDefault="004071F1" w:rsidP="004071F1">
            <w:pPr>
              <w:spacing w:after="0" w:line="240" w:lineRule="auto"/>
              <w:jc w:val="right"/>
              <w:rPr>
                <w:rFonts w:cs="Arial"/>
                <w:color w:val="000000"/>
                <w:sz w:val="16"/>
                <w:szCs w:val="16"/>
              </w:rPr>
            </w:pPr>
            <w:r>
              <w:rPr>
                <w:rFonts w:cs="Arial"/>
                <w:sz w:val="16"/>
                <w:szCs w:val="16"/>
              </w:rPr>
              <w:t>21,6</w:t>
            </w:r>
          </w:p>
        </w:tc>
      </w:tr>
      <w:tr w:rsidR="004071F1" w:rsidRPr="00D92E20" w14:paraId="7AC694F2" w14:textId="77777777" w:rsidTr="00DF284E">
        <w:trPr>
          <w:trHeight w:val="300"/>
        </w:trPr>
        <w:tc>
          <w:tcPr>
            <w:tcW w:w="1020" w:type="dxa"/>
            <w:tcBorders>
              <w:top w:val="nil"/>
              <w:left w:val="nil"/>
              <w:bottom w:val="nil"/>
              <w:right w:val="nil"/>
            </w:tcBorders>
            <w:shd w:val="clear" w:color="auto" w:fill="auto"/>
            <w:vAlign w:val="center"/>
            <w:hideMark/>
          </w:tcPr>
          <w:p w14:paraId="5DEA6417" w14:textId="3AB5B141" w:rsidR="004071F1" w:rsidRPr="00D92E20" w:rsidRDefault="004071F1" w:rsidP="004071F1">
            <w:pPr>
              <w:spacing w:after="0" w:line="240" w:lineRule="auto"/>
              <w:jc w:val="center"/>
              <w:rPr>
                <w:rFonts w:cs="Arial"/>
                <w:color w:val="000000"/>
                <w:sz w:val="16"/>
                <w:szCs w:val="16"/>
              </w:rPr>
            </w:pPr>
            <w:r>
              <w:rPr>
                <w:rFonts w:cs="Arial"/>
                <w:sz w:val="16"/>
                <w:szCs w:val="16"/>
              </w:rPr>
              <w:t>1. pol. 2015</w:t>
            </w:r>
          </w:p>
        </w:tc>
        <w:tc>
          <w:tcPr>
            <w:tcW w:w="710" w:type="dxa"/>
            <w:tcBorders>
              <w:top w:val="nil"/>
              <w:left w:val="single" w:sz="4" w:space="0" w:color="auto"/>
              <w:bottom w:val="nil"/>
              <w:right w:val="nil"/>
            </w:tcBorders>
            <w:shd w:val="clear" w:color="auto" w:fill="auto"/>
            <w:vAlign w:val="center"/>
            <w:hideMark/>
          </w:tcPr>
          <w:p w14:paraId="040EA4EB" w14:textId="1606DF5A" w:rsidR="004071F1" w:rsidRPr="00D92E20" w:rsidRDefault="004071F1" w:rsidP="004071F1">
            <w:pPr>
              <w:spacing w:after="0" w:line="240" w:lineRule="auto"/>
              <w:jc w:val="right"/>
              <w:rPr>
                <w:rFonts w:cs="Arial"/>
                <w:color w:val="000000"/>
                <w:sz w:val="16"/>
                <w:szCs w:val="16"/>
              </w:rPr>
            </w:pPr>
            <w:r>
              <w:rPr>
                <w:rFonts w:cs="Arial"/>
                <w:sz w:val="16"/>
                <w:szCs w:val="16"/>
              </w:rPr>
              <w:t>873,9</w:t>
            </w:r>
          </w:p>
        </w:tc>
        <w:tc>
          <w:tcPr>
            <w:tcW w:w="704" w:type="dxa"/>
            <w:tcBorders>
              <w:top w:val="nil"/>
              <w:left w:val="nil"/>
              <w:bottom w:val="nil"/>
              <w:right w:val="nil"/>
            </w:tcBorders>
            <w:shd w:val="clear" w:color="auto" w:fill="auto"/>
            <w:vAlign w:val="center"/>
            <w:hideMark/>
          </w:tcPr>
          <w:p w14:paraId="40D987B0" w14:textId="18D84CF7" w:rsidR="004071F1" w:rsidRPr="00D92E20" w:rsidRDefault="004071F1" w:rsidP="004071F1">
            <w:pPr>
              <w:spacing w:after="0" w:line="240" w:lineRule="auto"/>
              <w:jc w:val="right"/>
              <w:rPr>
                <w:rFonts w:cs="Arial"/>
                <w:color w:val="000000"/>
                <w:sz w:val="16"/>
                <w:szCs w:val="16"/>
              </w:rPr>
            </w:pPr>
            <w:r>
              <w:rPr>
                <w:rFonts w:cs="Arial"/>
                <w:sz w:val="16"/>
                <w:szCs w:val="16"/>
              </w:rPr>
              <w:t>412,5</w:t>
            </w:r>
          </w:p>
        </w:tc>
        <w:tc>
          <w:tcPr>
            <w:tcW w:w="704" w:type="dxa"/>
            <w:tcBorders>
              <w:top w:val="nil"/>
              <w:left w:val="nil"/>
              <w:bottom w:val="nil"/>
              <w:right w:val="single" w:sz="4" w:space="0" w:color="auto"/>
            </w:tcBorders>
            <w:shd w:val="clear" w:color="auto" w:fill="auto"/>
            <w:vAlign w:val="center"/>
            <w:hideMark/>
          </w:tcPr>
          <w:p w14:paraId="74374D3E" w14:textId="4532136C" w:rsidR="004071F1" w:rsidRPr="00D92E20" w:rsidRDefault="004071F1" w:rsidP="004071F1">
            <w:pPr>
              <w:spacing w:after="0" w:line="240" w:lineRule="auto"/>
              <w:jc w:val="right"/>
              <w:rPr>
                <w:rFonts w:cs="Arial"/>
                <w:color w:val="000000"/>
                <w:sz w:val="16"/>
                <w:szCs w:val="16"/>
              </w:rPr>
            </w:pPr>
            <w:r>
              <w:rPr>
                <w:rFonts w:cs="Arial"/>
                <w:sz w:val="16"/>
                <w:szCs w:val="16"/>
              </w:rPr>
              <w:t>461,4</w:t>
            </w:r>
          </w:p>
        </w:tc>
        <w:tc>
          <w:tcPr>
            <w:tcW w:w="707" w:type="dxa"/>
            <w:tcBorders>
              <w:top w:val="nil"/>
              <w:left w:val="nil"/>
              <w:bottom w:val="nil"/>
              <w:right w:val="nil"/>
            </w:tcBorders>
            <w:shd w:val="clear" w:color="auto" w:fill="auto"/>
            <w:vAlign w:val="center"/>
            <w:hideMark/>
          </w:tcPr>
          <w:p w14:paraId="089B295B" w14:textId="3EFEC6EB" w:rsidR="004071F1" w:rsidRPr="00D92E20" w:rsidRDefault="004071F1" w:rsidP="004071F1">
            <w:pPr>
              <w:spacing w:after="0" w:line="240" w:lineRule="auto"/>
              <w:jc w:val="right"/>
              <w:rPr>
                <w:rFonts w:cs="Arial"/>
                <w:color w:val="000000"/>
                <w:sz w:val="16"/>
                <w:szCs w:val="16"/>
              </w:rPr>
            </w:pPr>
            <w:r>
              <w:rPr>
                <w:rFonts w:cs="Arial"/>
                <w:sz w:val="16"/>
                <w:szCs w:val="16"/>
              </w:rPr>
              <w:t>783,8</w:t>
            </w:r>
          </w:p>
        </w:tc>
        <w:tc>
          <w:tcPr>
            <w:tcW w:w="704" w:type="dxa"/>
            <w:tcBorders>
              <w:top w:val="nil"/>
              <w:left w:val="nil"/>
              <w:bottom w:val="nil"/>
              <w:right w:val="nil"/>
            </w:tcBorders>
            <w:shd w:val="clear" w:color="auto" w:fill="auto"/>
            <w:vAlign w:val="center"/>
            <w:hideMark/>
          </w:tcPr>
          <w:p w14:paraId="438E35D7" w14:textId="645462CA" w:rsidR="004071F1" w:rsidRPr="00D92E20" w:rsidRDefault="004071F1" w:rsidP="004071F1">
            <w:pPr>
              <w:spacing w:after="0" w:line="240" w:lineRule="auto"/>
              <w:jc w:val="right"/>
              <w:rPr>
                <w:rFonts w:cs="Arial"/>
                <w:color w:val="000000"/>
                <w:sz w:val="16"/>
                <w:szCs w:val="16"/>
              </w:rPr>
            </w:pPr>
            <w:r>
              <w:rPr>
                <w:rFonts w:cs="Arial"/>
                <w:sz w:val="16"/>
                <w:szCs w:val="16"/>
              </w:rPr>
              <w:t>353,4</w:t>
            </w:r>
          </w:p>
        </w:tc>
        <w:tc>
          <w:tcPr>
            <w:tcW w:w="704" w:type="dxa"/>
            <w:tcBorders>
              <w:top w:val="nil"/>
              <w:left w:val="nil"/>
              <w:bottom w:val="nil"/>
              <w:right w:val="nil"/>
            </w:tcBorders>
            <w:shd w:val="clear" w:color="auto" w:fill="auto"/>
            <w:vAlign w:val="center"/>
            <w:hideMark/>
          </w:tcPr>
          <w:p w14:paraId="41B45245" w14:textId="14DCE460" w:rsidR="004071F1" w:rsidRPr="00D92E20" w:rsidRDefault="004071F1" w:rsidP="004071F1">
            <w:pPr>
              <w:spacing w:after="0" w:line="240" w:lineRule="auto"/>
              <w:jc w:val="right"/>
              <w:rPr>
                <w:rFonts w:cs="Arial"/>
                <w:color w:val="000000"/>
                <w:sz w:val="16"/>
                <w:szCs w:val="16"/>
              </w:rPr>
            </w:pPr>
            <w:r>
              <w:rPr>
                <w:rFonts w:cs="Arial"/>
                <w:sz w:val="16"/>
                <w:szCs w:val="16"/>
              </w:rPr>
              <w:t>430,4</w:t>
            </w:r>
          </w:p>
        </w:tc>
        <w:tc>
          <w:tcPr>
            <w:tcW w:w="754" w:type="dxa"/>
            <w:tcBorders>
              <w:top w:val="nil"/>
              <w:left w:val="single" w:sz="4" w:space="0" w:color="auto"/>
              <w:bottom w:val="nil"/>
              <w:right w:val="nil"/>
            </w:tcBorders>
            <w:shd w:val="clear" w:color="auto" w:fill="auto"/>
            <w:vAlign w:val="center"/>
            <w:hideMark/>
          </w:tcPr>
          <w:p w14:paraId="3DC500C0" w14:textId="0E736848" w:rsidR="004071F1" w:rsidRPr="00D92E20" w:rsidRDefault="004071F1" w:rsidP="004071F1">
            <w:pPr>
              <w:spacing w:after="0" w:line="240" w:lineRule="auto"/>
              <w:jc w:val="right"/>
              <w:rPr>
                <w:rFonts w:cs="Arial"/>
                <w:color w:val="000000"/>
                <w:sz w:val="16"/>
                <w:szCs w:val="16"/>
              </w:rPr>
            </w:pPr>
            <w:r>
              <w:rPr>
                <w:rFonts w:cs="Arial"/>
                <w:sz w:val="16"/>
                <w:szCs w:val="16"/>
              </w:rPr>
              <w:t>23,5</w:t>
            </w:r>
          </w:p>
        </w:tc>
        <w:tc>
          <w:tcPr>
            <w:tcW w:w="709" w:type="dxa"/>
            <w:tcBorders>
              <w:top w:val="nil"/>
              <w:left w:val="nil"/>
              <w:bottom w:val="nil"/>
              <w:right w:val="nil"/>
            </w:tcBorders>
            <w:shd w:val="clear" w:color="auto" w:fill="auto"/>
            <w:vAlign w:val="center"/>
            <w:hideMark/>
          </w:tcPr>
          <w:p w14:paraId="49BA9DDE" w14:textId="11D43E38" w:rsidR="004071F1" w:rsidRPr="00D92E20" w:rsidRDefault="004071F1" w:rsidP="004071F1">
            <w:pPr>
              <w:spacing w:after="0" w:line="240" w:lineRule="auto"/>
              <w:jc w:val="right"/>
              <w:rPr>
                <w:rFonts w:cs="Arial"/>
                <w:color w:val="000000"/>
                <w:sz w:val="16"/>
                <w:szCs w:val="16"/>
              </w:rPr>
            </w:pPr>
            <w:r>
              <w:rPr>
                <w:rFonts w:cs="Arial"/>
                <w:sz w:val="16"/>
                <w:szCs w:val="16"/>
              </w:rPr>
              <w:t>16,1</w:t>
            </w:r>
          </w:p>
        </w:tc>
        <w:tc>
          <w:tcPr>
            <w:tcW w:w="709" w:type="dxa"/>
            <w:tcBorders>
              <w:top w:val="nil"/>
              <w:left w:val="nil"/>
              <w:bottom w:val="nil"/>
              <w:right w:val="single" w:sz="4" w:space="0" w:color="auto"/>
            </w:tcBorders>
            <w:shd w:val="clear" w:color="auto" w:fill="auto"/>
            <w:vAlign w:val="center"/>
            <w:hideMark/>
          </w:tcPr>
          <w:p w14:paraId="17471881" w14:textId="07B2C711" w:rsidR="004071F1" w:rsidRPr="00D92E20" w:rsidRDefault="004071F1" w:rsidP="004071F1">
            <w:pPr>
              <w:spacing w:after="0" w:line="240" w:lineRule="auto"/>
              <w:jc w:val="right"/>
              <w:rPr>
                <w:rFonts w:cs="Arial"/>
                <w:color w:val="000000"/>
                <w:sz w:val="16"/>
                <w:szCs w:val="16"/>
              </w:rPr>
            </w:pPr>
            <w:r>
              <w:rPr>
                <w:rFonts w:cs="Arial"/>
                <w:sz w:val="16"/>
                <w:szCs w:val="16"/>
              </w:rPr>
              <w:t>7,3</w:t>
            </w:r>
          </w:p>
        </w:tc>
        <w:tc>
          <w:tcPr>
            <w:tcW w:w="709" w:type="dxa"/>
            <w:tcBorders>
              <w:top w:val="nil"/>
              <w:left w:val="nil"/>
              <w:bottom w:val="nil"/>
              <w:right w:val="nil"/>
            </w:tcBorders>
            <w:shd w:val="clear" w:color="auto" w:fill="auto"/>
            <w:vAlign w:val="center"/>
            <w:hideMark/>
          </w:tcPr>
          <w:p w14:paraId="1D83D1F3" w14:textId="34EE335B" w:rsidR="004071F1" w:rsidRPr="00D92E20" w:rsidRDefault="004071F1" w:rsidP="004071F1">
            <w:pPr>
              <w:spacing w:after="0" w:line="240" w:lineRule="auto"/>
              <w:jc w:val="right"/>
              <w:rPr>
                <w:rFonts w:cs="Arial"/>
                <w:color w:val="000000"/>
                <w:sz w:val="16"/>
                <w:szCs w:val="16"/>
              </w:rPr>
            </w:pPr>
            <w:r>
              <w:rPr>
                <w:rFonts w:cs="Arial"/>
                <w:sz w:val="16"/>
                <w:szCs w:val="16"/>
              </w:rPr>
              <w:t>66,6</w:t>
            </w:r>
          </w:p>
        </w:tc>
        <w:tc>
          <w:tcPr>
            <w:tcW w:w="709" w:type="dxa"/>
            <w:tcBorders>
              <w:top w:val="nil"/>
              <w:left w:val="nil"/>
              <w:bottom w:val="nil"/>
              <w:right w:val="nil"/>
            </w:tcBorders>
            <w:shd w:val="clear" w:color="auto" w:fill="auto"/>
            <w:vAlign w:val="center"/>
            <w:hideMark/>
          </w:tcPr>
          <w:p w14:paraId="651A1CE2" w14:textId="5AF753CF" w:rsidR="004071F1" w:rsidRPr="00D92E20" w:rsidRDefault="004071F1" w:rsidP="004071F1">
            <w:pPr>
              <w:spacing w:after="0" w:line="240" w:lineRule="auto"/>
              <w:jc w:val="right"/>
              <w:rPr>
                <w:rFonts w:cs="Arial"/>
                <w:color w:val="000000"/>
                <w:sz w:val="16"/>
                <w:szCs w:val="16"/>
              </w:rPr>
            </w:pPr>
            <w:r>
              <w:rPr>
                <w:rFonts w:cs="Arial"/>
                <w:sz w:val="16"/>
                <w:szCs w:val="16"/>
              </w:rPr>
              <w:t>42,9</w:t>
            </w:r>
          </w:p>
        </w:tc>
        <w:tc>
          <w:tcPr>
            <w:tcW w:w="709" w:type="dxa"/>
            <w:tcBorders>
              <w:top w:val="nil"/>
              <w:left w:val="nil"/>
              <w:bottom w:val="nil"/>
              <w:right w:val="nil"/>
            </w:tcBorders>
            <w:shd w:val="clear" w:color="auto" w:fill="auto"/>
            <w:vAlign w:val="center"/>
            <w:hideMark/>
          </w:tcPr>
          <w:p w14:paraId="35D3007D" w14:textId="7272128E" w:rsidR="004071F1" w:rsidRPr="00D92E20" w:rsidRDefault="004071F1" w:rsidP="004071F1">
            <w:pPr>
              <w:spacing w:after="0" w:line="240" w:lineRule="auto"/>
              <w:jc w:val="right"/>
              <w:rPr>
                <w:rFonts w:cs="Arial"/>
                <w:color w:val="000000"/>
                <w:sz w:val="16"/>
                <w:szCs w:val="16"/>
              </w:rPr>
            </w:pPr>
            <w:r>
              <w:rPr>
                <w:rFonts w:cs="Arial"/>
                <w:sz w:val="16"/>
                <w:szCs w:val="16"/>
              </w:rPr>
              <w:t>23,7</w:t>
            </w:r>
          </w:p>
        </w:tc>
      </w:tr>
      <w:tr w:rsidR="004071F1" w:rsidRPr="00D92E20" w14:paraId="4F86AD5B" w14:textId="77777777" w:rsidTr="00DF284E">
        <w:trPr>
          <w:trHeight w:val="300"/>
        </w:trPr>
        <w:tc>
          <w:tcPr>
            <w:tcW w:w="1020" w:type="dxa"/>
            <w:tcBorders>
              <w:top w:val="nil"/>
              <w:left w:val="nil"/>
              <w:bottom w:val="nil"/>
              <w:right w:val="nil"/>
            </w:tcBorders>
            <w:shd w:val="clear" w:color="auto" w:fill="auto"/>
            <w:vAlign w:val="center"/>
            <w:hideMark/>
          </w:tcPr>
          <w:p w14:paraId="2F4D0A71" w14:textId="0CFA9008" w:rsidR="004071F1" w:rsidRPr="00D92E20" w:rsidRDefault="004071F1" w:rsidP="004071F1">
            <w:pPr>
              <w:spacing w:after="0" w:line="240" w:lineRule="auto"/>
              <w:jc w:val="center"/>
              <w:rPr>
                <w:rFonts w:cs="Arial"/>
                <w:color w:val="000000"/>
                <w:sz w:val="16"/>
                <w:szCs w:val="16"/>
              </w:rPr>
            </w:pPr>
            <w:r>
              <w:rPr>
                <w:rFonts w:cs="Arial"/>
                <w:sz w:val="16"/>
                <w:szCs w:val="16"/>
              </w:rPr>
              <w:t>1. pol. 2016</w:t>
            </w:r>
          </w:p>
        </w:tc>
        <w:tc>
          <w:tcPr>
            <w:tcW w:w="710" w:type="dxa"/>
            <w:tcBorders>
              <w:top w:val="nil"/>
              <w:left w:val="single" w:sz="4" w:space="0" w:color="auto"/>
              <w:bottom w:val="nil"/>
              <w:right w:val="nil"/>
            </w:tcBorders>
            <w:shd w:val="clear" w:color="auto" w:fill="auto"/>
            <w:vAlign w:val="center"/>
            <w:hideMark/>
          </w:tcPr>
          <w:p w14:paraId="399654B6" w14:textId="1CA4BBC9" w:rsidR="004071F1" w:rsidRPr="00D92E20" w:rsidRDefault="004071F1" w:rsidP="004071F1">
            <w:pPr>
              <w:spacing w:after="0" w:line="240" w:lineRule="auto"/>
              <w:jc w:val="right"/>
              <w:rPr>
                <w:rFonts w:cs="Arial"/>
                <w:color w:val="000000"/>
                <w:sz w:val="16"/>
                <w:szCs w:val="16"/>
              </w:rPr>
            </w:pPr>
            <w:r>
              <w:rPr>
                <w:rFonts w:cs="Arial"/>
                <w:sz w:val="16"/>
                <w:szCs w:val="16"/>
              </w:rPr>
              <w:t>876,5</w:t>
            </w:r>
          </w:p>
        </w:tc>
        <w:tc>
          <w:tcPr>
            <w:tcW w:w="704" w:type="dxa"/>
            <w:tcBorders>
              <w:top w:val="nil"/>
              <w:left w:val="nil"/>
              <w:bottom w:val="nil"/>
              <w:right w:val="nil"/>
            </w:tcBorders>
            <w:shd w:val="clear" w:color="auto" w:fill="auto"/>
            <w:vAlign w:val="center"/>
            <w:hideMark/>
          </w:tcPr>
          <w:p w14:paraId="573CA4C8" w14:textId="75C150FC" w:rsidR="004071F1" w:rsidRPr="00D92E20" w:rsidRDefault="004071F1" w:rsidP="004071F1">
            <w:pPr>
              <w:spacing w:after="0" w:line="240" w:lineRule="auto"/>
              <w:jc w:val="right"/>
              <w:rPr>
                <w:rFonts w:cs="Arial"/>
                <w:color w:val="000000"/>
                <w:sz w:val="16"/>
                <w:szCs w:val="16"/>
              </w:rPr>
            </w:pPr>
            <w:r>
              <w:rPr>
                <w:rFonts w:cs="Arial"/>
                <w:sz w:val="16"/>
                <w:szCs w:val="16"/>
              </w:rPr>
              <w:t>414,3</w:t>
            </w:r>
          </w:p>
        </w:tc>
        <w:tc>
          <w:tcPr>
            <w:tcW w:w="704" w:type="dxa"/>
            <w:tcBorders>
              <w:top w:val="nil"/>
              <w:left w:val="nil"/>
              <w:bottom w:val="nil"/>
              <w:right w:val="single" w:sz="4" w:space="0" w:color="auto"/>
            </w:tcBorders>
            <w:shd w:val="clear" w:color="auto" w:fill="auto"/>
            <w:vAlign w:val="center"/>
            <w:hideMark/>
          </w:tcPr>
          <w:p w14:paraId="4C8A5E41" w14:textId="634A3426" w:rsidR="004071F1" w:rsidRPr="00D92E20" w:rsidRDefault="004071F1" w:rsidP="004071F1">
            <w:pPr>
              <w:spacing w:after="0" w:line="240" w:lineRule="auto"/>
              <w:jc w:val="right"/>
              <w:rPr>
                <w:rFonts w:cs="Arial"/>
                <w:color w:val="000000"/>
                <w:sz w:val="16"/>
                <w:szCs w:val="16"/>
              </w:rPr>
            </w:pPr>
            <w:r>
              <w:rPr>
                <w:rFonts w:cs="Arial"/>
                <w:sz w:val="16"/>
                <w:szCs w:val="16"/>
              </w:rPr>
              <w:t>462,1</w:t>
            </w:r>
          </w:p>
        </w:tc>
        <w:tc>
          <w:tcPr>
            <w:tcW w:w="707" w:type="dxa"/>
            <w:tcBorders>
              <w:top w:val="nil"/>
              <w:left w:val="nil"/>
              <w:bottom w:val="nil"/>
              <w:right w:val="nil"/>
            </w:tcBorders>
            <w:shd w:val="clear" w:color="auto" w:fill="auto"/>
            <w:vAlign w:val="center"/>
            <w:hideMark/>
          </w:tcPr>
          <w:p w14:paraId="734EB608" w14:textId="3E7AD876" w:rsidR="004071F1" w:rsidRPr="00D92E20" w:rsidRDefault="004071F1" w:rsidP="004071F1">
            <w:pPr>
              <w:spacing w:after="0" w:line="240" w:lineRule="auto"/>
              <w:jc w:val="right"/>
              <w:rPr>
                <w:rFonts w:cs="Arial"/>
                <w:color w:val="000000"/>
                <w:sz w:val="16"/>
                <w:szCs w:val="16"/>
              </w:rPr>
            </w:pPr>
            <w:r>
              <w:rPr>
                <w:rFonts w:cs="Arial"/>
                <w:sz w:val="16"/>
                <w:szCs w:val="16"/>
              </w:rPr>
              <w:t>777,1</w:t>
            </w:r>
          </w:p>
        </w:tc>
        <w:tc>
          <w:tcPr>
            <w:tcW w:w="704" w:type="dxa"/>
            <w:tcBorders>
              <w:top w:val="nil"/>
              <w:left w:val="nil"/>
              <w:bottom w:val="nil"/>
              <w:right w:val="nil"/>
            </w:tcBorders>
            <w:shd w:val="clear" w:color="auto" w:fill="auto"/>
            <w:vAlign w:val="center"/>
            <w:hideMark/>
          </w:tcPr>
          <w:p w14:paraId="2DAA499E" w14:textId="6712BDA3" w:rsidR="004071F1" w:rsidRPr="00D92E20" w:rsidRDefault="004071F1" w:rsidP="004071F1">
            <w:pPr>
              <w:spacing w:after="0" w:line="240" w:lineRule="auto"/>
              <w:jc w:val="right"/>
              <w:rPr>
                <w:rFonts w:cs="Arial"/>
                <w:color w:val="000000"/>
                <w:sz w:val="16"/>
                <w:szCs w:val="16"/>
              </w:rPr>
            </w:pPr>
            <w:r>
              <w:rPr>
                <w:rFonts w:cs="Arial"/>
                <w:sz w:val="16"/>
                <w:szCs w:val="16"/>
              </w:rPr>
              <w:t>349,5</w:t>
            </w:r>
          </w:p>
        </w:tc>
        <w:tc>
          <w:tcPr>
            <w:tcW w:w="704" w:type="dxa"/>
            <w:tcBorders>
              <w:top w:val="nil"/>
              <w:left w:val="nil"/>
              <w:bottom w:val="nil"/>
              <w:right w:val="nil"/>
            </w:tcBorders>
            <w:shd w:val="clear" w:color="auto" w:fill="auto"/>
            <w:vAlign w:val="center"/>
            <w:hideMark/>
          </w:tcPr>
          <w:p w14:paraId="78D6FDD9" w14:textId="49909629" w:rsidR="004071F1" w:rsidRPr="00D92E20" w:rsidRDefault="004071F1" w:rsidP="004071F1">
            <w:pPr>
              <w:spacing w:after="0" w:line="240" w:lineRule="auto"/>
              <w:jc w:val="right"/>
              <w:rPr>
                <w:rFonts w:cs="Arial"/>
                <w:color w:val="000000"/>
                <w:sz w:val="16"/>
                <w:szCs w:val="16"/>
              </w:rPr>
            </w:pPr>
            <w:r>
              <w:rPr>
                <w:rFonts w:cs="Arial"/>
                <w:sz w:val="16"/>
                <w:szCs w:val="16"/>
              </w:rPr>
              <w:t>427,5</w:t>
            </w:r>
          </w:p>
        </w:tc>
        <w:tc>
          <w:tcPr>
            <w:tcW w:w="754" w:type="dxa"/>
            <w:tcBorders>
              <w:top w:val="nil"/>
              <w:left w:val="single" w:sz="4" w:space="0" w:color="auto"/>
              <w:bottom w:val="nil"/>
              <w:right w:val="nil"/>
            </w:tcBorders>
            <w:shd w:val="clear" w:color="auto" w:fill="auto"/>
            <w:vAlign w:val="center"/>
            <w:hideMark/>
          </w:tcPr>
          <w:p w14:paraId="6AD56AA9" w14:textId="2BA88542" w:rsidR="004071F1" w:rsidRPr="00D92E20" w:rsidRDefault="004071F1" w:rsidP="004071F1">
            <w:pPr>
              <w:spacing w:after="0" w:line="240" w:lineRule="auto"/>
              <w:jc w:val="right"/>
              <w:rPr>
                <w:rFonts w:cs="Arial"/>
                <w:color w:val="000000"/>
                <w:sz w:val="16"/>
                <w:szCs w:val="16"/>
              </w:rPr>
            </w:pPr>
            <w:r>
              <w:rPr>
                <w:rFonts w:cs="Arial"/>
                <w:sz w:val="16"/>
                <w:szCs w:val="16"/>
              </w:rPr>
              <w:t>24,9</w:t>
            </w:r>
          </w:p>
        </w:tc>
        <w:tc>
          <w:tcPr>
            <w:tcW w:w="709" w:type="dxa"/>
            <w:tcBorders>
              <w:top w:val="nil"/>
              <w:left w:val="nil"/>
              <w:bottom w:val="nil"/>
              <w:right w:val="nil"/>
            </w:tcBorders>
            <w:shd w:val="clear" w:color="auto" w:fill="auto"/>
            <w:vAlign w:val="center"/>
            <w:hideMark/>
          </w:tcPr>
          <w:p w14:paraId="1869C6EA" w14:textId="3D01707D" w:rsidR="004071F1" w:rsidRPr="00D92E20" w:rsidRDefault="004071F1" w:rsidP="004071F1">
            <w:pPr>
              <w:spacing w:after="0" w:line="240" w:lineRule="auto"/>
              <w:jc w:val="right"/>
              <w:rPr>
                <w:rFonts w:cs="Arial"/>
                <w:color w:val="000000"/>
                <w:sz w:val="16"/>
                <w:szCs w:val="16"/>
              </w:rPr>
            </w:pPr>
            <w:r>
              <w:rPr>
                <w:rFonts w:cs="Arial"/>
                <w:sz w:val="16"/>
                <w:szCs w:val="16"/>
              </w:rPr>
              <w:t>17,1</w:t>
            </w:r>
          </w:p>
        </w:tc>
        <w:tc>
          <w:tcPr>
            <w:tcW w:w="709" w:type="dxa"/>
            <w:tcBorders>
              <w:top w:val="nil"/>
              <w:left w:val="nil"/>
              <w:bottom w:val="nil"/>
              <w:right w:val="single" w:sz="4" w:space="0" w:color="auto"/>
            </w:tcBorders>
            <w:shd w:val="clear" w:color="auto" w:fill="auto"/>
            <w:vAlign w:val="center"/>
            <w:hideMark/>
          </w:tcPr>
          <w:p w14:paraId="2D00B9AE" w14:textId="2B8439AA" w:rsidR="004071F1" w:rsidRPr="00D92E20" w:rsidRDefault="004071F1" w:rsidP="004071F1">
            <w:pPr>
              <w:spacing w:after="0" w:line="240" w:lineRule="auto"/>
              <w:jc w:val="right"/>
              <w:rPr>
                <w:rFonts w:cs="Arial"/>
                <w:color w:val="000000"/>
                <w:sz w:val="16"/>
                <w:szCs w:val="16"/>
              </w:rPr>
            </w:pPr>
            <w:r>
              <w:rPr>
                <w:rFonts w:cs="Arial"/>
                <w:sz w:val="16"/>
                <w:szCs w:val="16"/>
              </w:rPr>
              <w:t>7,8</w:t>
            </w:r>
          </w:p>
        </w:tc>
        <w:tc>
          <w:tcPr>
            <w:tcW w:w="709" w:type="dxa"/>
            <w:tcBorders>
              <w:top w:val="nil"/>
              <w:left w:val="nil"/>
              <w:bottom w:val="nil"/>
              <w:right w:val="nil"/>
            </w:tcBorders>
            <w:shd w:val="clear" w:color="auto" w:fill="auto"/>
            <w:vAlign w:val="center"/>
            <w:hideMark/>
          </w:tcPr>
          <w:p w14:paraId="0FE0044F" w14:textId="76FA3641" w:rsidR="004071F1" w:rsidRPr="00D92E20" w:rsidRDefault="004071F1" w:rsidP="004071F1">
            <w:pPr>
              <w:spacing w:after="0" w:line="240" w:lineRule="auto"/>
              <w:jc w:val="right"/>
              <w:rPr>
                <w:rFonts w:cs="Arial"/>
                <w:color w:val="000000"/>
                <w:sz w:val="16"/>
                <w:szCs w:val="16"/>
              </w:rPr>
            </w:pPr>
            <w:r>
              <w:rPr>
                <w:rFonts w:cs="Arial"/>
                <w:sz w:val="16"/>
                <w:szCs w:val="16"/>
              </w:rPr>
              <w:t>74,5</w:t>
            </w:r>
          </w:p>
        </w:tc>
        <w:tc>
          <w:tcPr>
            <w:tcW w:w="709" w:type="dxa"/>
            <w:tcBorders>
              <w:top w:val="nil"/>
              <w:left w:val="nil"/>
              <w:bottom w:val="nil"/>
              <w:right w:val="nil"/>
            </w:tcBorders>
            <w:shd w:val="clear" w:color="auto" w:fill="auto"/>
            <w:vAlign w:val="center"/>
            <w:hideMark/>
          </w:tcPr>
          <w:p w14:paraId="2011F1BD" w14:textId="3DA49725" w:rsidR="004071F1" w:rsidRPr="00D92E20" w:rsidRDefault="004071F1" w:rsidP="004071F1">
            <w:pPr>
              <w:spacing w:after="0" w:line="240" w:lineRule="auto"/>
              <w:jc w:val="right"/>
              <w:rPr>
                <w:rFonts w:cs="Arial"/>
                <w:color w:val="000000"/>
                <w:sz w:val="16"/>
                <w:szCs w:val="16"/>
              </w:rPr>
            </w:pPr>
            <w:r>
              <w:rPr>
                <w:rFonts w:cs="Arial"/>
                <w:sz w:val="16"/>
                <w:szCs w:val="16"/>
              </w:rPr>
              <w:t>47,7</w:t>
            </w:r>
          </w:p>
        </w:tc>
        <w:tc>
          <w:tcPr>
            <w:tcW w:w="709" w:type="dxa"/>
            <w:tcBorders>
              <w:top w:val="nil"/>
              <w:left w:val="nil"/>
              <w:bottom w:val="nil"/>
              <w:right w:val="nil"/>
            </w:tcBorders>
            <w:shd w:val="clear" w:color="auto" w:fill="auto"/>
            <w:vAlign w:val="center"/>
            <w:hideMark/>
          </w:tcPr>
          <w:p w14:paraId="6B73AB7C" w14:textId="3B663F44" w:rsidR="004071F1" w:rsidRPr="00D92E20" w:rsidRDefault="004071F1" w:rsidP="004071F1">
            <w:pPr>
              <w:spacing w:after="0" w:line="240" w:lineRule="auto"/>
              <w:jc w:val="right"/>
              <w:rPr>
                <w:rFonts w:cs="Arial"/>
                <w:color w:val="000000"/>
                <w:sz w:val="16"/>
                <w:szCs w:val="16"/>
              </w:rPr>
            </w:pPr>
            <w:r>
              <w:rPr>
                <w:rFonts w:cs="Arial"/>
                <w:sz w:val="16"/>
                <w:szCs w:val="16"/>
              </w:rPr>
              <w:t>26,8</w:t>
            </w:r>
          </w:p>
        </w:tc>
      </w:tr>
      <w:tr w:rsidR="004071F1" w:rsidRPr="00D92E20" w14:paraId="00941711" w14:textId="77777777" w:rsidTr="00DF284E">
        <w:trPr>
          <w:trHeight w:val="300"/>
        </w:trPr>
        <w:tc>
          <w:tcPr>
            <w:tcW w:w="1020" w:type="dxa"/>
            <w:tcBorders>
              <w:top w:val="nil"/>
              <w:left w:val="nil"/>
              <w:bottom w:val="nil"/>
              <w:right w:val="nil"/>
            </w:tcBorders>
            <w:shd w:val="clear" w:color="auto" w:fill="auto"/>
            <w:vAlign w:val="center"/>
            <w:hideMark/>
          </w:tcPr>
          <w:p w14:paraId="7CB558E4" w14:textId="7B73E572" w:rsidR="004071F1" w:rsidRPr="00D92E20" w:rsidRDefault="004071F1" w:rsidP="004071F1">
            <w:pPr>
              <w:spacing w:after="0" w:line="240" w:lineRule="auto"/>
              <w:jc w:val="center"/>
              <w:rPr>
                <w:rFonts w:cs="Arial"/>
                <w:color w:val="000000"/>
                <w:sz w:val="16"/>
                <w:szCs w:val="16"/>
              </w:rPr>
            </w:pPr>
            <w:r>
              <w:rPr>
                <w:rFonts w:cs="Arial"/>
                <w:sz w:val="16"/>
                <w:szCs w:val="16"/>
              </w:rPr>
              <w:t>1. pol. 2017</w:t>
            </w:r>
          </w:p>
        </w:tc>
        <w:tc>
          <w:tcPr>
            <w:tcW w:w="710" w:type="dxa"/>
            <w:tcBorders>
              <w:top w:val="nil"/>
              <w:left w:val="single" w:sz="4" w:space="0" w:color="auto"/>
              <w:bottom w:val="nil"/>
              <w:right w:val="nil"/>
            </w:tcBorders>
            <w:shd w:val="clear" w:color="auto" w:fill="auto"/>
            <w:vAlign w:val="center"/>
            <w:hideMark/>
          </w:tcPr>
          <w:p w14:paraId="5420250D" w14:textId="4403BB5F" w:rsidR="004071F1" w:rsidRPr="00D92E20" w:rsidRDefault="004071F1" w:rsidP="004071F1">
            <w:pPr>
              <w:spacing w:after="0" w:line="240" w:lineRule="auto"/>
              <w:jc w:val="right"/>
              <w:rPr>
                <w:rFonts w:cs="Arial"/>
                <w:color w:val="000000"/>
                <w:sz w:val="16"/>
                <w:szCs w:val="16"/>
              </w:rPr>
            </w:pPr>
            <w:r>
              <w:rPr>
                <w:rFonts w:cs="Arial"/>
                <w:sz w:val="16"/>
                <w:szCs w:val="16"/>
              </w:rPr>
              <w:t>944,7</w:t>
            </w:r>
          </w:p>
        </w:tc>
        <w:tc>
          <w:tcPr>
            <w:tcW w:w="704" w:type="dxa"/>
            <w:tcBorders>
              <w:top w:val="nil"/>
              <w:left w:val="nil"/>
              <w:bottom w:val="nil"/>
              <w:right w:val="nil"/>
            </w:tcBorders>
            <w:shd w:val="clear" w:color="auto" w:fill="auto"/>
            <w:vAlign w:val="center"/>
            <w:hideMark/>
          </w:tcPr>
          <w:p w14:paraId="703A583C" w14:textId="261E0046" w:rsidR="004071F1" w:rsidRPr="00D92E20" w:rsidRDefault="004071F1" w:rsidP="004071F1">
            <w:pPr>
              <w:spacing w:after="0" w:line="240" w:lineRule="auto"/>
              <w:jc w:val="right"/>
              <w:rPr>
                <w:rFonts w:cs="Arial"/>
                <w:color w:val="000000"/>
                <w:sz w:val="16"/>
                <w:szCs w:val="16"/>
              </w:rPr>
            </w:pPr>
            <w:r>
              <w:rPr>
                <w:rFonts w:cs="Arial"/>
                <w:sz w:val="16"/>
                <w:szCs w:val="16"/>
              </w:rPr>
              <w:t>444,1</w:t>
            </w:r>
          </w:p>
        </w:tc>
        <w:tc>
          <w:tcPr>
            <w:tcW w:w="704" w:type="dxa"/>
            <w:tcBorders>
              <w:top w:val="nil"/>
              <w:left w:val="nil"/>
              <w:bottom w:val="nil"/>
              <w:right w:val="single" w:sz="4" w:space="0" w:color="auto"/>
            </w:tcBorders>
            <w:shd w:val="clear" w:color="auto" w:fill="auto"/>
            <w:vAlign w:val="center"/>
            <w:hideMark/>
          </w:tcPr>
          <w:p w14:paraId="0957E0F3" w14:textId="7B8B74EF" w:rsidR="004071F1" w:rsidRPr="00D92E20" w:rsidRDefault="004071F1" w:rsidP="004071F1">
            <w:pPr>
              <w:spacing w:after="0" w:line="240" w:lineRule="auto"/>
              <w:jc w:val="right"/>
              <w:rPr>
                <w:rFonts w:cs="Arial"/>
                <w:color w:val="000000"/>
                <w:sz w:val="16"/>
                <w:szCs w:val="16"/>
              </w:rPr>
            </w:pPr>
            <w:r>
              <w:rPr>
                <w:rFonts w:cs="Arial"/>
                <w:sz w:val="16"/>
                <w:szCs w:val="16"/>
              </w:rPr>
              <w:t>500,6</w:t>
            </w:r>
          </w:p>
        </w:tc>
        <w:tc>
          <w:tcPr>
            <w:tcW w:w="707" w:type="dxa"/>
            <w:tcBorders>
              <w:top w:val="nil"/>
              <w:left w:val="nil"/>
              <w:bottom w:val="nil"/>
              <w:right w:val="nil"/>
            </w:tcBorders>
            <w:shd w:val="clear" w:color="auto" w:fill="auto"/>
            <w:vAlign w:val="center"/>
            <w:hideMark/>
          </w:tcPr>
          <w:p w14:paraId="0B5D742A" w14:textId="3D872CFB" w:rsidR="004071F1" w:rsidRPr="00D92E20" w:rsidRDefault="004071F1" w:rsidP="004071F1">
            <w:pPr>
              <w:spacing w:after="0" w:line="240" w:lineRule="auto"/>
              <w:jc w:val="right"/>
              <w:rPr>
                <w:rFonts w:cs="Arial"/>
                <w:color w:val="000000"/>
                <w:sz w:val="16"/>
                <w:szCs w:val="16"/>
              </w:rPr>
            </w:pPr>
            <w:r>
              <w:rPr>
                <w:rFonts w:cs="Arial"/>
                <w:sz w:val="16"/>
                <w:szCs w:val="16"/>
              </w:rPr>
              <w:t>841,6</w:t>
            </w:r>
          </w:p>
        </w:tc>
        <w:tc>
          <w:tcPr>
            <w:tcW w:w="704" w:type="dxa"/>
            <w:tcBorders>
              <w:top w:val="nil"/>
              <w:left w:val="nil"/>
              <w:bottom w:val="nil"/>
              <w:right w:val="nil"/>
            </w:tcBorders>
            <w:shd w:val="clear" w:color="auto" w:fill="auto"/>
            <w:vAlign w:val="center"/>
            <w:hideMark/>
          </w:tcPr>
          <w:p w14:paraId="1B3E3757" w14:textId="67C1A953" w:rsidR="004071F1" w:rsidRPr="00D92E20" w:rsidRDefault="004071F1" w:rsidP="004071F1">
            <w:pPr>
              <w:spacing w:after="0" w:line="240" w:lineRule="auto"/>
              <w:jc w:val="right"/>
              <w:rPr>
                <w:rFonts w:cs="Arial"/>
                <w:color w:val="000000"/>
                <w:sz w:val="16"/>
                <w:szCs w:val="16"/>
              </w:rPr>
            </w:pPr>
            <w:r>
              <w:rPr>
                <w:rFonts w:cs="Arial"/>
                <w:sz w:val="16"/>
                <w:szCs w:val="16"/>
              </w:rPr>
              <w:t>378,5</w:t>
            </w:r>
          </w:p>
        </w:tc>
        <w:tc>
          <w:tcPr>
            <w:tcW w:w="704" w:type="dxa"/>
            <w:tcBorders>
              <w:top w:val="nil"/>
              <w:left w:val="nil"/>
              <w:bottom w:val="nil"/>
              <w:right w:val="nil"/>
            </w:tcBorders>
            <w:shd w:val="clear" w:color="auto" w:fill="auto"/>
            <w:vAlign w:val="center"/>
            <w:hideMark/>
          </w:tcPr>
          <w:p w14:paraId="3CDDD468" w14:textId="4001CA4B" w:rsidR="004071F1" w:rsidRPr="00D92E20" w:rsidRDefault="004071F1" w:rsidP="004071F1">
            <w:pPr>
              <w:spacing w:after="0" w:line="240" w:lineRule="auto"/>
              <w:jc w:val="right"/>
              <w:rPr>
                <w:rFonts w:cs="Arial"/>
                <w:color w:val="000000"/>
                <w:sz w:val="16"/>
                <w:szCs w:val="16"/>
              </w:rPr>
            </w:pPr>
            <w:r>
              <w:rPr>
                <w:rFonts w:cs="Arial"/>
                <w:sz w:val="16"/>
                <w:szCs w:val="16"/>
              </w:rPr>
              <w:t>463,1</w:t>
            </w:r>
          </w:p>
        </w:tc>
        <w:tc>
          <w:tcPr>
            <w:tcW w:w="754" w:type="dxa"/>
            <w:tcBorders>
              <w:top w:val="nil"/>
              <w:left w:val="single" w:sz="4" w:space="0" w:color="auto"/>
              <w:bottom w:val="nil"/>
              <w:right w:val="nil"/>
            </w:tcBorders>
            <w:shd w:val="clear" w:color="auto" w:fill="auto"/>
            <w:vAlign w:val="center"/>
            <w:hideMark/>
          </w:tcPr>
          <w:p w14:paraId="252A5E6B" w14:textId="5028AE23" w:rsidR="004071F1" w:rsidRPr="00D92E20" w:rsidRDefault="004071F1" w:rsidP="004071F1">
            <w:pPr>
              <w:spacing w:after="0" w:line="240" w:lineRule="auto"/>
              <w:jc w:val="right"/>
              <w:rPr>
                <w:rFonts w:cs="Arial"/>
                <w:color w:val="000000"/>
                <w:sz w:val="16"/>
                <w:szCs w:val="16"/>
              </w:rPr>
            </w:pPr>
            <w:r>
              <w:rPr>
                <w:rFonts w:cs="Arial"/>
                <w:sz w:val="16"/>
                <w:szCs w:val="16"/>
              </w:rPr>
              <w:t>24,7</w:t>
            </w:r>
          </w:p>
        </w:tc>
        <w:tc>
          <w:tcPr>
            <w:tcW w:w="709" w:type="dxa"/>
            <w:tcBorders>
              <w:top w:val="nil"/>
              <w:left w:val="nil"/>
              <w:bottom w:val="nil"/>
              <w:right w:val="nil"/>
            </w:tcBorders>
            <w:shd w:val="clear" w:color="auto" w:fill="auto"/>
            <w:vAlign w:val="center"/>
            <w:hideMark/>
          </w:tcPr>
          <w:p w14:paraId="6574F108" w14:textId="6BFBC020" w:rsidR="004071F1" w:rsidRPr="00D92E20" w:rsidRDefault="004071F1" w:rsidP="004071F1">
            <w:pPr>
              <w:spacing w:after="0" w:line="240" w:lineRule="auto"/>
              <w:jc w:val="right"/>
              <w:rPr>
                <w:rFonts w:cs="Arial"/>
                <w:color w:val="000000"/>
                <w:sz w:val="16"/>
                <w:szCs w:val="16"/>
              </w:rPr>
            </w:pPr>
            <w:r>
              <w:rPr>
                <w:rFonts w:cs="Arial"/>
                <w:sz w:val="16"/>
                <w:szCs w:val="16"/>
              </w:rPr>
              <w:t>16,9</w:t>
            </w:r>
          </w:p>
        </w:tc>
        <w:tc>
          <w:tcPr>
            <w:tcW w:w="709" w:type="dxa"/>
            <w:tcBorders>
              <w:top w:val="nil"/>
              <w:left w:val="nil"/>
              <w:bottom w:val="nil"/>
              <w:right w:val="single" w:sz="4" w:space="0" w:color="auto"/>
            </w:tcBorders>
            <w:shd w:val="clear" w:color="auto" w:fill="auto"/>
            <w:vAlign w:val="center"/>
            <w:hideMark/>
          </w:tcPr>
          <w:p w14:paraId="524FA8A8" w14:textId="76D95C3E" w:rsidR="004071F1" w:rsidRPr="00D92E20" w:rsidRDefault="004071F1" w:rsidP="004071F1">
            <w:pPr>
              <w:spacing w:after="0" w:line="240" w:lineRule="auto"/>
              <w:jc w:val="right"/>
              <w:rPr>
                <w:rFonts w:cs="Arial"/>
                <w:color w:val="000000"/>
                <w:sz w:val="16"/>
                <w:szCs w:val="16"/>
              </w:rPr>
            </w:pPr>
            <w:r>
              <w:rPr>
                <w:rFonts w:cs="Arial"/>
                <w:sz w:val="16"/>
                <w:szCs w:val="16"/>
              </w:rPr>
              <w:t>7,8</w:t>
            </w:r>
          </w:p>
        </w:tc>
        <w:tc>
          <w:tcPr>
            <w:tcW w:w="709" w:type="dxa"/>
            <w:tcBorders>
              <w:top w:val="nil"/>
              <w:left w:val="nil"/>
              <w:bottom w:val="nil"/>
              <w:right w:val="nil"/>
            </w:tcBorders>
            <w:shd w:val="clear" w:color="auto" w:fill="auto"/>
            <w:vAlign w:val="center"/>
            <w:hideMark/>
          </w:tcPr>
          <w:p w14:paraId="55060C52" w14:textId="304B5E74" w:rsidR="004071F1" w:rsidRPr="00D92E20" w:rsidRDefault="004071F1" w:rsidP="004071F1">
            <w:pPr>
              <w:spacing w:after="0" w:line="240" w:lineRule="auto"/>
              <w:jc w:val="right"/>
              <w:rPr>
                <w:rFonts w:cs="Arial"/>
                <w:color w:val="000000"/>
                <w:sz w:val="16"/>
                <w:szCs w:val="16"/>
              </w:rPr>
            </w:pPr>
            <w:r>
              <w:rPr>
                <w:rFonts w:cs="Arial"/>
                <w:sz w:val="16"/>
                <w:szCs w:val="16"/>
              </w:rPr>
              <w:t>78,4</w:t>
            </w:r>
          </w:p>
        </w:tc>
        <w:tc>
          <w:tcPr>
            <w:tcW w:w="709" w:type="dxa"/>
            <w:tcBorders>
              <w:top w:val="nil"/>
              <w:left w:val="nil"/>
              <w:bottom w:val="nil"/>
              <w:right w:val="nil"/>
            </w:tcBorders>
            <w:shd w:val="clear" w:color="auto" w:fill="auto"/>
            <w:vAlign w:val="center"/>
            <w:hideMark/>
          </w:tcPr>
          <w:p w14:paraId="64139714" w14:textId="1F5DFB94" w:rsidR="004071F1" w:rsidRPr="00D92E20" w:rsidRDefault="004071F1" w:rsidP="004071F1">
            <w:pPr>
              <w:spacing w:after="0" w:line="240" w:lineRule="auto"/>
              <w:jc w:val="right"/>
              <w:rPr>
                <w:rFonts w:cs="Arial"/>
                <w:color w:val="000000"/>
                <w:sz w:val="16"/>
                <w:szCs w:val="16"/>
              </w:rPr>
            </w:pPr>
            <w:r>
              <w:rPr>
                <w:rFonts w:cs="Arial"/>
                <w:sz w:val="16"/>
                <w:szCs w:val="16"/>
              </w:rPr>
              <w:t>48,7</w:t>
            </w:r>
          </w:p>
        </w:tc>
        <w:tc>
          <w:tcPr>
            <w:tcW w:w="709" w:type="dxa"/>
            <w:tcBorders>
              <w:top w:val="nil"/>
              <w:left w:val="nil"/>
              <w:bottom w:val="nil"/>
              <w:right w:val="nil"/>
            </w:tcBorders>
            <w:shd w:val="clear" w:color="auto" w:fill="auto"/>
            <w:vAlign w:val="center"/>
            <w:hideMark/>
          </w:tcPr>
          <w:p w14:paraId="5E97CCAE" w14:textId="6FDBA2AE" w:rsidR="004071F1" w:rsidRPr="00D92E20" w:rsidRDefault="004071F1" w:rsidP="004071F1">
            <w:pPr>
              <w:spacing w:after="0" w:line="240" w:lineRule="auto"/>
              <w:jc w:val="right"/>
              <w:rPr>
                <w:rFonts w:cs="Arial"/>
                <w:color w:val="000000"/>
                <w:sz w:val="16"/>
                <w:szCs w:val="16"/>
              </w:rPr>
            </w:pPr>
            <w:r>
              <w:rPr>
                <w:rFonts w:cs="Arial"/>
                <w:sz w:val="16"/>
                <w:szCs w:val="16"/>
              </w:rPr>
              <w:t>29,7</w:t>
            </w:r>
          </w:p>
        </w:tc>
      </w:tr>
      <w:tr w:rsidR="004071F1" w:rsidRPr="00D92E20" w14:paraId="3BC1F510" w14:textId="77777777" w:rsidTr="00DF284E">
        <w:trPr>
          <w:trHeight w:val="300"/>
        </w:trPr>
        <w:tc>
          <w:tcPr>
            <w:tcW w:w="1020" w:type="dxa"/>
            <w:tcBorders>
              <w:top w:val="nil"/>
              <w:left w:val="nil"/>
              <w:bottom w:val="nil"/>
              <w:right w:val="nil"/>
            </w:tcBorders>
            <w:shd w:val="clear" w:color="auto" w:fill="auto"/>
            <w:vAlign w:val="center"/>
            <w:hideMark/>
          </w:tcPr>
          <w:p w14:paraId="4C459136" w14:textId="1A586DD9" w:rsidR="004071F1" w:rsidRPr="00D92E20" w:rsidRDefault="004071F1" w:rsidP="004071F1">
            <w:pPr>
              <w:spacing w:after="0" w:line="240" w:lineRule="auto"/>
              <w:jc w:val="center"/>
              <w:rPr>
                <w:rFonts w:cs="Arial"/>
                <w:color w:val="000000"/>
                <w:sz w:val="16"/>
                <w:szCs w:val="16"/>
              </w:rPr>
            </w:pPr>
            <w:r>
              <w:rPr>
                <w:rFonts w:cs="Arial"/>
                <w:sz w:val="16"/>
                <w:szCs w:val="16"/>
              </w:rPr>
              <w:t>1. pol. 2018</w:t>
            </w:r>
          </w:p>
        </w:tc>
        <w:tc>
          <w:tcPr>
            <w:tcW w:w="710" w:type="dxa"/>
            <w:tcBorders>
              <w:top w:val="nil"/>
              <w:left w:val="single" w:sz="4" w:space="0" w:color="auto"/>
              <w:bottom w:val="nil"/>
              <w:right w:val="nil"/>
            </w:tcBorders>
            <w:shd w:val="clear" w:color="auto" w:fill="auto"/>
            <w:vAlign w:val="center"/>
            <w:hideMark/>
          </w:tcPr>
          <w:p w14:paraId="23E09AA3" w14:textId="7D1E2576" w:rsidR="004071F1" w:rsidRPr="00D92E20" w:rsidRDefault="004071F1" w:rsidP="004071F1">
            <w:pPr>
              <w:spacing w:after="0" w:line="240" w:lineRule="auto"/>
              <w:jc w:val="right"/>
              <w:rPr>
                <w:rFonts w:cs="Arial"/>
                <w:color w:val="000000"/>
                <w:sz w:val="16"/>
                <w:szCs w:val="16"/>
              </w:rPr>
            </w:pPr>
            <w:r>
              <w:rPr>
                <w:rFonts w:cs="Arial"/>
                <w:sz w:val="16"/>
                <w:szCs w:val="16"/>
              </w:rPr>
              <w:t>1 040,2</w:t>
            </w:r>
          </w:p>
        </w:tc>
        <w:tc>
          <w:tcPr>
            <w:tcW w:w="704" w:type="dxa"/>
            <w:tcBorders>
              <w:top w:val="nil"/>
              <w:left w:val="nil"/>
              <w:bottom w:val="nil"/>
              <w:right w:val="nil"/>
            </w:tcBorders>
            <w:shd w:val="clear" w:color="auto" w:fill="auto"/>
            <w:vAlign w:val="center"/>
            <w:hideMark/>
          </w:tcPr>
          <w:p w14:paraId="7A99323B" w14:textId="1AE09316" w:rsidR="004071F1" w:rsidRPr="00D92E20" w:rsidRDefault="004071F1" w:rsidP="004071F1">
            <w:pPr>
              <w:spacing w:after="0" w:line="240" w:lineRule="auto"/>
              <w:jc w:val="right"/>
              <w:rPr>
                <w:rFonts w:cs="Arial"/>
                <w:color w:val="000000"/>
                <w:sz w:val="16"/>
                <w:szCs w:val="16"/>
              </w:rPr>
            </w:pPr>
            <w:r>
              <w:rPr>
                <w:rFonts w:cs="Arial"/>
                <w:sz w:val="16"/>
                <w:szCs w:val="16"/>
              </w:rPr>
              <w:t>484,2</w:t>
            </w:r>
          </w:p>
        </w:tc>
        <w:tc>
          <w:tcPr>
            <w:tcW w:w="704" w:type="dxa"/>
            <w:tcBorders>
              <w:top w:val="nil"/>
              <w:left w:val="nil"/>
              <w:bottom w:val="nil"/>
              <w:right w:val="single" w:sz="4" w:space="0" w:color="auto"/>
            </w:tcBorders>
            <w:shd w:val="clear" w:color="auto" w:fill="auto"/>
            <w:vAlign w:val="center"/>
            <w:hideMark/>
          </w:tcPr>
          <w:p w14:paraId="62290B86" w14:textId="6599E4A2" w:rsidR="004071F1" w:rsidRPr="00D92E20" w:rsidRDefault="004071F1" w:rsidP="004071F1">
            <w:pPr>
              <w:spacing w:after="0" w:line="240" w:lineRule="auto"/>
              <w:jc w:val="right"/>
              <w:rPr>
                <w:rFonts w:cs="Arial"/>
                <w:color w:val="000000"/>
                <w:sz w:val="16"/>
                <w:szCs w:val="16"/>
              </w:rPr>
            </w:pPr>
            <w:r>
              <w:rPr>
                <w:rFonts w:cs="Arial"/>
                <w:sz w:val="16"/>
                <w:szCs w:val="16"/>
              </w:rPr>
              <w:t>556,1</w:t>
            </w:r>
          </w:p>
        </w:tc>
        <w:tc>
          <w:tcPr>
            <w:tcW w:w="707" w:type="dxa"/>
            <w:tcBorders>
              <w:top w:val="nil"/>
              <w:left w:val="nil"/>
              <w:bottom w:val="nil"/>
              <w:right w:val="nil"/>
            </w:tcBorders>
            <w:shd w:val="clear" w:color="auto" w:fill="auto"/>
            <w:vAlign w:val="center"/>
            <w:hideMark/>
          </w:tcPr>
          <w:p w14:paraId="5BAC0AE4" w14:textId="7AA2CF6D" w:rsidR="004071F1" w:rsidRPr="00D92E20" w:rsidRDefault="004071F1" w:rsidP="004071F1">
            <w:pPr>
              <w:spacing w:after="0" w:line="240" w:lineRule="auto"/>
              <w:jc w:val="right"/>
              <w:rPr>
                <w:rFonts w:cs="Arial"/>
                <w:color w:val="000000"/>
                <w:sz w:val="16"/>
                <w:szCs w:val="16"/>
              </w:rPr>
            </w:pPr>
            <w:r>
              <w:rPr>
                <w:rFonts w:cs="Arial"/>
                <w:sz w:val="16"/>
                <w:szCs w:val="16"/>
              </w:rPr>
              <w:t>937,8</w:t>
            </w:r>
          </w:p>
        </w:tc>
        <w:tc>
          <w:tcPr>
            <w:tcW w:w="704" w:type="dxa"/>
            <w:tcBorders>
              <w:top w:val="nil"/>
              <w:left w:val="nil"/>
              <w:bottom w:val="nil"/>
              <w:right w:val="nil"/>
            </w:tcBorders>
            <w:shd w:val="clear" w:color="auto" w:fill="auto"/>
            <w:vAlign w:val="center"/>
            <w:hideMark/>
          </w:tcPr>
          <w:p w14:paraId="722AA64A" w14:textId="3A9DAEE0" w:rsidR="004071F1" w:rsidRPr="00D92E20" w:rsidRDefault="004071F1" w:rsidP="004071F1">
            <w:pPr>
              <w:spacing w:after="0" w:line="240" w:lineRule="auto"/>
              <w:jc w:val="right"/>
              <w:rPr>
                <w:rFonts w:cs="Arial"/>
                <w:color w:val="000000"/>
                <w:sz w:val="16"/>
                <w:szCs w:val="16"/>
              </w:rPr>
            </w:pPr>
            <w:r>
              <w:rPr>
                <w:rFonts w:cs="Arial"/>
                <w:sz w:val="16"/>
                <w:szCs w:val="16"/>
              </w:rPr>
              <w:t>419,5</w:t>
            </w:r>
          </w:p>
        </w:tc>
        <w:tc>
          <w:tcPr>
            <w:tcW w:w="704" w:type="dxa"/>
            <w:tcBorders>
              <w:top w:val="nil"/>
              <w:left w:val="nil"/>
              <w:bottom w:val="nil"/>
              <w:right w:val="nil"/>
            </w:tcBorders>
            <w:shd w:val="clear" w:color="auto" w:fill="auto"/>
            <w:vAlign w:val="center"/>
            <w:hideMark/>
          </w:tcPr>
          <w:p w14:paraId="693A6070" w14:textId="209EA694" w:rsidR="004071F1" w:rsidRPr="00D92E20" w:rsidRDefault="004071F1" w:rsidP="004071F1">
            <w:pPr>
              <w:spacing w:after="0" w:line="240" w:lineRule="auto"/>
              <w:jc w:val="right"/>
              <w:rPr>
                <w:rFonts w:cs="Arial"/>
                <w:color w:val="000000"/>
                <w:sz w:val="16"/>
                <w:szCs w:val="16"/>
              </w:rPr>
            </w:pPr>
            <w:r>
              <w:rPr>
                <w:rFonts w:cs="Arial"/>
                <w:sz w:val="16"/>
                <w:szCs w:val="16"/>
              </w:rPr>
              <w:t>518,3</w:t>
            </w:r>
          </w:p>
        </w:tc>
        <w:tc>
          <w:tcPr>
            <w:tcW w:w="754" w:type="dxa"/>
            <w:tcBorders>
              <w:top w:val="nil"/>
              <w:left w:val="single" w:sz="4" w:space="0" w:color="auto"/>
              <w:bottom w:val="nil"/>
              <w:right w:val="nil"/>
            </w:tcBorders>
            <w:shd w:val="clear" w:color="auto" w:fill="auto"/>
            <w:vAlign w:val="center"/>
            <w:hideMark/>
          </w:tcPr>
          <w:p w14:paraId="7F9296C1" w14:textId="3AED1334" w:rsidR="004071F1" w:rsidRPr="00D92E20" w:rsidRDefault="004071F1" w:rsidP="004071F1">
            <w:pPr>
              <w:spacing w:after="0" w:line="240" w:lineRule="auto"/>
              <w:jc w:val="right"/>
              <w:rPr>
                <w:rFonts w:cs="Arial"/>
                <w:color w:val="000000"/>
                <w:sz w:val="16"/>
                <w:szCs w:val="16"/>
              </w:rPr>
            </w:pPr>
            <w:r>
              <w:rPr>
                <w:rFonts w:cs="Arial"/>
                <w:sz w:val="16"/>
                <w:szCs w:val="16"/>
              </w:rPr>
              <w:t>24,1</w:t>
            </w:r>
          </w:p>
        </w:tc>
        <w:tc>
          <w:tcPr>
            <w:tcW w:w="709" w:type="dxa"/>
            <w:tcBorders>
              <w:top w:val="nil"/>
              <w:left w:val="nil"/>
              <w:bottom w:val="nil"/>
              <w:right w:val="nil"/>
            </w:tcBorders>
            <w:shd w:val="clear" w:color="auto" w:fill="auto"/>
            <w:vAlign w:val="center"/>
            <w:hideMark/>
          </w:tcPr>
          <w:p w14:paraId="35AE63CC" w14:textId="7BFFECFC" w:rsidR="004071F1" w:rsidRPr="00D92E20" w:rsidRDefault="004071F1" w:rsidP="004071F1">
            <w:pPr>
              <w:spacing w:after="0" w:line="240" w:lineRule="auto"/>
              <w:jc w:val="right"/>
              <w:rPr>
                <w:rFonts w:cs="Arial"/>
                <w:color w:val="000000"/>
                <w:sz w:val="16"/>
                <w:szCs w:val="16"/>
              </w:rPr>
            </w:pPr>
            <w:r>
              <w:rPr>
                <w:rFonts w:cs="Arial"/>
                <w:sz w:val="16"/>
                <w:szCs w:val="16"/>
              </w:rPr>
              <w:t>16,2</w:t>
            </w:r>
          </w:p>
        </w:tc>
        <w:tc>
          <w:tcPr>
            <w:tcW w:w="709" w:type="dxa"/>
            <w:tcBorders>
              <w:top w:val="nil"/>
              <w:left w:val="nil"/>
              <w:bottom w:val="nil"/>
              <w:right w:val="single" w:sz="4" w:space="0" w:color="auto"/>
            </w:tcBorders>
            <w:shd w:val="clear" w:color="auto" w:fill="auto"/>
            <w:vAlign w:val="center"/>
            <w:hideMark/>
          </w:tcPr>
          <w:p w14:paraId="7E376258" w14:textId="684568A6" w:rsidR="004071F1" w:rsidRPr="00D92E20" w:rsidRDefault="004071F1" w:rsidP="004071F1">
            <w:pPr>
              <w:spacing w:after="0" w:line="240" w:lineRule="auto"/>
              <w:jc w:val="right"/>
              <w:rPr>
                <w:rFonts w:cs="Arial"/>
                <w:color w:val="000000"/>
                <w:sz w:val="16"/>
                <w:szCs w:val="16"/>
              </w:rPr>
            </w:pPr>
            <w:r>
              <w:rPr>
                <w:rFonts w:cs="Arial"/>
                <w:sz w:val="16"/>
                <w:szCs w:val="16"/>
              </w:rPr>
              <w:t>7,9</w:t>
            </w:r>
          </w:p>
        </w:tc>
        <w:tc>
          <w:tcPr>
            <w:tcW w:w="709" w:type="dxa"/>
            <w:tcBorders>
              <w:top w:val="nil"/>
              <w:left w:val="nil"/>
              <w:bottom w:val="nil"/>
              <w:right w:val="nil"/>
            </w:tcBorders>
            <w:shd w:val="clear" w:color="auto" w:fill="auto"/>
            <w:vAlign w:val="center"/>
            <w:hideMark/>
          </w:tcPr>
          <w:p w14:paraId="2DC4D6FC" w14:textId="47A66039" w:rsidR="004071F1" w:rsidRPr="00D92E20" w:rsidRDefault="004071F1" w:rsidP="004071F1">
            <w:pPr>
              <w:spacing w:after="0" w:line="240" w:lineRule="auto"/>
              <w:jc w:val="right"/>
              <w:rPr>
                <w:rFonts w:cs="Arial"/>
                <w:color w:val="000000"/>
                <w:sz w:val="16"/>
                <w:szCs w:val="16"/>
              </w:rPr>
            </w:pPr>
            <w:r>
              <w:rPr>
                <w:rFonts w:cs="Arial"/>
                <w:sz w:val="16"/>
                <w:szCs w:val="16"/>
              </w:rPr>
              <w:t>78,4</w:t>
            </w:r>
          </w:p>
        </w:tc>
        <w:tc>
          <w:tcPr>
            <w:tcW w:w="709" w:type="dxa"/>
            <w:tcBorders>
              <w:top w:val="nil"/>
              <w:left w:val="nil"/>
              <w:bottom w:val="nil"/>
              <w:right w:val="nil"/>
            </w:tcBorders>
            <w:shd w:val="clear" w:color="auto" w:fill="auto"/>
            <w:vAlign w:val="center"/>
            <w:hideMark/>
          </w:tcPr>
          <w:p w14:paraId="737855B0" w14:textId="551B2236" w:rsidR="004071F1" w:rsidRPr="00D92E20" w:rsidRDefault="004071F1" w:rsidP="004071F1">
            <w:pPr>
              <w:spacing w:after="0" w:line="240" w:lineRule="auto"/>
              <w:jc w:val="right"/>
              <w:rPr>
                <w:rFonts w:cs="Arial"/>
                <w:color w:val="000000"/>
                <w:sz w:val="16"/>
                <w:szCs w:val="16"/>
              </w:rPr>
            </w:pPr>
            <w:r>
              <w:rPr>
                <w:rFonts w:cs="Arial"/>
                <w:sz w:val="16"/>
                <w:szCs w:val="16"/>
              </w:rPr>
              <w:t>48,5</w:t>
            </w:r>
          </w:p>
        </w:tc>
        <w:tc>
          <w:tcPr>
            <w:tcW w:w="709" w:type="dxa"/>
            <w:tcBorders>
              <w:top w:val="nil"/>
              <w:left w:val="nil"/>
              <w:bottom w:val="nil"/>
              <w:right w:val="nil"/>
            </w:tcBorders>
            <w:shd w:val="clear" w:color="auto" w:fill="auto"/>
            <w:vAlign w:val="center"/>
            <w:hideMark/>
          </w:tcPr>
          <w:p w14:paraId="6A7C4077" w14:textId="481DDFB3" w:rsidR="004071F1" w:rsidRPr="00D92E20" w:rsidRDefault="004071F1" w:rsidP="004071F1">
            <w:pPr>
              <w:spacing w:after="0" w:line="240" w:lineRule="auto"/>
              <w:jc w:val="right"/>
              <w:rPr>
                <w:rFonts w:cs="Arial"/>
                <w:color w:val="000000"/>
                <w:sz w:val="16"/>
                <w:szCs w:val="16"/>
              </w:rPr>
            </w:pPr>
            <w:r>
              <w:rPr>
                <w:rFonts w:cs="Arial"/>
                <w:sz w:val="16"/>
                <w:szCs w:val="16"/>
              </w:rPr>
              <w:t>29,9</w:t>
            </w:r>
          </w:p>
        </w:tc>
      </w:tr>
      <w:tr w:rsidR="004071F1" w:rsidRPr="00D92E20" w14:paraId="612D87D6" w14:textId="77777777" w:rsidTr="00DF284E">
        <w:trPr>
          <w:trHeight w:val="300"/>
        </w:trPr>
        <w:tc>
          <w:tcPr>
            <w:tcW w:w="1020" w:type="dxa"/>
            <w:tcBorders>
              <w:top w:val="nil"/>
              <w:left w:val="nil"/>
              <w:bottom w:val="nil"/>
              <w:right w:val="nil"/>
            </w:tcBorders>
            <w:shd w:val="clear" w:color="auto" w:fill="auto"/>
            <w:vAlign w:val="center"/>
            <w:hideMark/>
          </w:tcPr>
          <w:p w14:paraId="1AE34CDE" w14:textId="6936D4D4" w:rsidR="004071F1" w:rsidRPr="00D92E20" w:rsidRDefault="004071F1" w:rsidP="004071F1">
            <w:pPr>
              <w:spacing w:after="0" w:line="240" w:lineRule="auto"/>
              <w:jc w:val="center"/>
              <w:rPr>
                <w:rFonts w:cs="Arial"/>
                <w:color w:val="000000"/>
                <w:sz w:val="16"/>
                <w:szCs w:val="16"/>
              </w:rPr>
            </w:pPr>
            <w:r>
              <w:rPr>
                <w:rFonts w:cs="Arial"/>
                <w:sz w:val="16"/>
                <w:szCs w:val="16"/>
              </w:rPr>
              <w:t>1. pol. 2019</w:t>
            </w:r>
          </w:p>
        </w:tc>
        <w:tc>
          <w:tcPr>
            <w:tcW w:w="710" w:type="dxa"/>
            <w:tcBorders>
              <w:top w:val="nil"/>
              <w:left w:val="single" w:sz="4" w:space="0" w:color="auto"/>
              <w:bottom w:val="nil"/>
              <w:right w:val="nil"/>
            </w:tcBorders>
            <w:shd w:val="clear" w:color="auto" w:fill="auto"/>
            <w:vAlign w:val="center"/>
            <w:hideMark/>
          </w:tcPr>
          <w:p w14:paraId="1D08A343" w14:textId="5F8F38E3" w:rsidR="004071F1" w:rsidRPr="00D92E20" w:rsidRDefault="004071F1" w:rsidP="004071F1">
            <w:pPr>
              <w:spacing w:after="0" w:line="240" w:lineRule="auto"/>
              <w:jc w:val="right"/>
              <w:rPr>
                <w:rFonts w:cs="Arial"/>
                <w:color w:val="000000"/>
                <w:sz w:val="16"/>
                <w:szCs w:val="16"/>
              </w:rPr>
            </w:pPr>
            <w:r>
              <w:rPr>
                <w:rFonts w:cs="Arial"/>
                <w:color w:val="000000"/>
                <w:sz w:val="16"/>
                <w:szCs w:val="16"/>
              </w:rPr>
              <w:t>975,0</w:t>
            </w:r>
          </w:p>
        </w:tc>
        <w:tc>
          <w:tcPr>
            <w:tcW w:w="704" w:type="dxa"/>
            <w:tcBorders>
              <w:top w:val="nil"/>
              <w:left w:val="nil"/>
              <w:bottom w:val="nil"/>
              <w:right w:val="nil"/>
            </w:tcBorders>
            <w:shd w:val="clear" w:color="auto" w:fill="auto"/>
            <w:vAlign w:val="center"/>
            <w:hideMark/>
          </w:tcPr>
          <w:p w14:paraId="6F6C072C" w14:textId="007E6ABB" w:rsidR="004071F1" w:rsidRPr="00D92E20" w:rsidRDefault="004071F1" w:rsidP="004071F1">
            <w:pPr>
              <w:spacing w:after="0" w:line="240" w:lineRule="auto"/>
              <w:jc w:val="right"/>
              <w:rPr>
                <w:rFonts w:cs="Arial"/>
                <w:color w:val="000000"/>
                <w:sz w:val="16"/>
                <w:szCs w:val="16"/>
              </w:rPr>
            </w:pPr>
            <w:r>
              <w:rPr>
                <w:rFonts w:cs="Arial"/>
                <w:color w:val="000000"/>
                <w:sz w:val="16"/>
                <w:szCs w:val="16"/>
              </w:rPr>
              <w:t>453,9</w:t>
            </w:r>
          </w:p>
        </w:tc>
        <w:tc>
          <w:tcPr>
            <w:tcW w:w="704" w:type="dxa"/>
            <w:tcBorders>
              <w:top w:val="nil"/>
              <w:left w:val="nil"/>
              <w:bottom w:val="nil"/>
              <w:right w:val="single" w:sz="4" w:space="0" w:color="auto"/>
            </w:tcBorders>
            <w:shd w:val="clear" w:color="auto" w:fill="auto"/>
            <w:vAlign w:val="center"/>
            <w:hideMark/>
          </w:tcPr>
          <w:p w14:paraId="1E5C07EA" w14:textId="50544EAA" w:rsidR="004071F1" w:rsidRPr="00D92E20" w:rsidRDefault="004071F1" w:rsidP="004071F1">
            <w:pPr>
              <w:spacing w:after="0" w:line="240" w:lineRule="auto"/>
              <w:jc w:val="right"/>
              <w:rPr>
                <w:rFonts w:cs="Arial"/>
                <w:color w:val="000000"/>
                <w:sz w:val="16"/>
                <w:szCs w:val="16"/>
              </w:rPr>
            </w:pPr>
            <w:r>
              <w:rPr>
                <w:rFonts w:cs="Arial"/>
                <w:color w:val="000000"/>
                <w:sz w:val="16"/>
                <w:szCs w:val="16"/>
              </w:rPr>
              <w:t>521,0</w:t>
            </w:r>
          </w:p>
        </w:tc>
        <w:tc>
          <w:tcPr>
            <w:tcW w:w="707" w:type="dxa"/>
            <w:tcBorders>
              <w:top w:val="nil"/>
              <w:left w:val="nil"/>
              <w:bottom w:val="nil"/>
              <w:right w:val="nil"/>
            </w:tcBorders>
            <w:shd w:val="clear" w:color="auto" w:fill="auto"/>
            <w:vAlign w:val="center"/>
            <w:hideMark/>
          </w:tcPr>
          <w:p w14:paraId="4BA86942" w14:textId="2ACE6CDB" w:rsidR="004071F1" w:rsidRPr="00D92E20" w:rsidRDefault="004071F1" w:rsidP="004071F1">
            <w:pPr>
              <w:spacing w:after="0" w:line="240" w:lineRule="auto"/>
              <w:jc w:val="right"/>
              <w:rPr>
                <w:rFonts w:cs="Arial"/>
                <w:color w:val="000000"/>
                <w:sz w:val="16"/>
                <w:szCs w:val="16"/>
              </w:rPr>
            </w:pPr>
            <w:r>
              <w:rPr>
                <w:rFonts w:cs="Arial"/>
                <w:color w:val="000000"/>
                <w:sz w:val="16"/>
                <w:szCs w:val="16"/>
              </w:rPr>
              <w:t>872,7</w:t>
            </w:r>
          </w:p>
        </w:tc>
        <w:tc>
          <w:tcPr>
            <w:tcW w:w="704" w:type="dxa"/>
            <w:tcBorders>
              <w:top w:val="nil"/>
              <w:left w:val="nil"/>
              <w:bottom w:val="nil"/>
              <w:right w:val="nil"/>
            </w:tcBorders>
            <w:shd w:val="clear" w:color="auto" w:fill="auto"/>
            <w:vAlign w:val="center"/>
            <w:hideMark/>
          </w:tcPr>
          <w:p w14:paraId="16DAED3C" w14:textId="57544C31" w:rsidR="004071F1" w:rsidRPr="00D92E20" w:rsidRDefault="004071F1" w:rsidP="004071F1">
            <w:pPr>
              <w:spacing w:after="0" w:line="240" w:lineRule="auto"/>
              <w:jc w:val="right"/>
              <w:rPr>
                <w:rFonts w:cs="Arial"/>
                <w:color w:val="000000"/>
                <w:sz w:val="16"/>
                <w:szCs w:val="16"/>
              </w:rPr>
            </w:pPr>
            <w:r>
              <w:rPr>
                <w:rFonts w:cs="Arial"/>
                <w:color w:val="000000"/>
                <w:sz w:val="16"/>
                <w:szCs w:val="16"/>
              </w:rPr>
              <w:t>389,8</w:t>
            </w:r>
          </w:p>
        </w:tc>
        <w:tc>
          <w:tcPr>
            <w:tcW w:w="704" w:type="dxa"/>
            <w:tcBorders>
              <w:top w:val="nil"/>
              <w:left w:val="nil"/>
              <w:bottom w:val="nil"/>
              <w:right w:val="nil"/>
            </w:tcBorders>
            <w:shd w:val="clear" w:color="auto" w:fill="auto"/>
            <w:vAlign w:val="center"/>
            <w:hideMark/>
          </w:tcPr>
          <w:p w14:paraId="67CBCB9F" w14:textId="741DC673" w:rsidR="004071F1" w:rsidRPr="00D92E20" w:rsidRDefault="004071F1" w:rsidP="004071F1">
            <w:pPr>
              <w:spacing w:after="0" w:line="240" w:lineRule="auto"/>
              <w:jc w:val="right"/>
              <w:rPr>
                <w:rFonts w:cs="Arial"/>
                <w:color w:val="000000"/>
                <w:sz w:val="16"/>
                <w:szCs w:val="16"/>
              </w:rPr>
            </w:pPr>
            <w:r>
              <w:rPr>
                <w:rFonts w:cs="Arial"/>
                <w:color w:val="000000"/>
                <w:sz w:val="16"/>
                <w:szCs w:val="16"/>
              </w:rPr>
              <w:t>483,0</w:t>
            </w:r>
          </w:p>
        </w:tc>
        <w:tc>
          <w:tcPr>
            <w:tcW w:w="754" w:type="dxa"/>
            <w:tcBorders>
              <w:top w:val="nil"/>
              <w:left w:val="single" w:sz="4" w:space="0" w:color="auto"/>
              <w:bottom w:val="nil"/>
              <w:right w:val="nil"/>
            </w:tcBorders>
            <w:shd w:val="clear" w:color="auto" w:fill="auto"/>
            <w:vAlign w:val="center"/>
            <w:hideMark/>
          </w:tcPr>
          <w:p w14:paraId="104F6EC7" w14:textId="53C60530" w:rsidR="004071F1" w:rsidRPr="00D92E20" w:rsidRDefault="004071F1" w:rsidP="004071F1">
            <w:pPr>
              <w:spacing w:after="0" w:line="240" w:lineRule="auto"/>
              <w:jc w:val="right"/>
              <w:rPr>
                <w:rFonts w:cs="Arial"/>
                <w:color w:val="000000"/>
                <w:sz w:val="16"/>
                <w:szCs w:val="16"/>
              </w:rPr>
            </w:pPr>
            <w:r>
              <w:rPr>
                <w:rFonts w:cs="Arial"/>
                <w:color w:val="000000"/>
                <w:sz w:val="16"/>
                <w:szCs w:val="16"/>
              </w:rPr>
              <w:t>23,2</w:t>
            </w:r>
          </w:p>
        </w:tc>
        <w:tc>
          <w:tcPr>
            <w:tcW w:w="709" w:type="dxa"/>
            <w:tcBorders>
              <w:top w:val="nil"/>
              <w:left w:val="nil"/>
              <w:bottom w:val="nil"/>
              <w:right w:val="nil"/>
            </w:tcBorders>
            <w:shd w:val="clear" w:color="auto" w:fill="auto"/>
            <w:vAlign w:val="center"/>
            <w:hideMark/>
          </w:tcPr>
          <w:p w14:paraId="52597DDE" w14:textId="1DBC4683" w:rsidR="004071F1" w:rsidRPr="00D92E20" w:rsidRDefault="004071F1" w:rsidP="004071F1">
            <w:pPr>
              <w:spacing w:after="0" w:line="240" w:lineRule="auto"/>
              <w:jc w:val="right"/>
              <w:rPr>
                <w:rFonts w:cs="Arial"/>
                <w:color w:val="000000"/>
                <w:sz w:val="16"/>
                <w:szCs w:val="16"/>
              </w:rPr>
            </w:pPr>
            <w:r>
              <w:rPr>
                <w:rFonts w:cs="Arial"/>
                <w:color w:val="000000"/>
                <w:sz w:val="16"/>
                <w:szCs w:val="16"/>
              </w:rPr>
              <w:t>15,6</w:t>
            </w:r>
          </w:p>
        </w:tc>
        <w:tc>
          <w:tcPr>
            <w:tcW w:w="709" w:type="dxa"/>
            <w:tcBorders>
              <w:top w:val="nil"/>
              <w:left w:val="nil"/>
              <w:bottom w:val="nil"/>
              <w:right w:val="single" w:sz="4" w:space="0" w:color="auto"/>
            </w:tcBorders>
            <w:shd w:val="clear" w:color="auto" w:fill="auto"/>
            <w:vAlign w:val="center"/>
            <w:hideMark/>
          </w:tcPr>
          <w:p w14:paraId="4E3E829E" w14:textId="55F5A8F3" w:rsidR="004071F1" w:rsidRPr="00D92E20" w:rsidRDefault="004071F1" w:rsidP="004071F1">
            <w:pPr>
              <w:spacing w:after="0" w:line="240" w:lineRule="auto"/>
              <w:jc w:val="right"/>
              <w:rPr>
                <w:rFonts w:cs="Arial"/>
                <w:color w:val="000000"/>
                <w:sz w:val="16"/>
                <w:szCs w:val="16"/>
              </w:rPr>
            </w:pPr>
            <w:r>
              <w:rPr>
                <w:rFonts w:cs="Arial"/>
                <w:color w:val="000000"/>
                <w:sz w:val="16"/>
                <w:szCs w:val="16"/>
              </w:rPr>
              <w:t>7,6</w:t>
            </w:r>
          </w:p>
        </w:tc>
        <w:tc>
          <w:tcPr>
            <w:tcW w:w="709" w:type="dxa"/>
            <w:tcBorders>
              <w:top w:val="nil"/>
              <w:left w:val="nil"/>
              <w:bottom w:val="nil"/>
              <w:right w:val="nil"/>
            </w:tcBorders>
            <w:shd w:val="clear" w:color="auto" w:fill="auto"/>
            <w:vAlign w:val="center"/>
            <w:hideMark/>
          </w:tcPr>
          <w:p w14:paraId="4F25C07D" w14:textId="7F932595" w:rsidR="004071F1" w:rsidRPr="00D92E20" w:rsidRDefault="004071F1" w:rsidP="004071F1">
            <w:pPr>
              <w:spacing w:after="0" w:line="240" w:lineRule="auto"/>
              <w:jc w:val="right"/>
              <w:rPr>
                <w:rFonts w:cs="Arial"/>
                <w:color w:val="000000"/>
                <w:sz w:val="16"/>
                <w:szCs w:val="16"/>
              </w:rPr>
            </w:pPr>
            <w:r>
              <w:rPr>
                <w:rFonts w:cs="Arial"/>
                <w:color w:val="000000"/>
                <w:sz w:val="16"/>
                <w:szCs w:val="16"/>
              </w:rPr>
              <w:t>79,0</w:t>
            </w:r>
          </w:p>
        </w:tc>
        <w:tc>
          <w:tcPr>
            <w:tcW w:w="709" w:type="dxa"/>
            <w:tcBorders>
              <w:top w:val="nil"/>
              <w:left w:val="nil"/>
              <w:bottom w:val="nil"/>
              <w:right w:val="nil"/>
            </w:tcBorders>
            <w:shd w:val="clear" w:color="auto" w:fill="auto"/>
            <w:vAlign w:val="center"/>
            <w:hideMark/>
          </w:tcPr>
          <w:p w14:paraId="7656541F" w14:textId="1E541336" w:rsidR="004071F1" w:rsidRPr="00D92E20" w:rsidRDefault="004071F1" w:rsidP="004071F1">
            <w:pPr>
              <w:spacing w:after="0" w:line="240" w:lineRule="auto"/>
              <w:jc w:val="right"/>
              <w:rPr>
                <w:rFonts w:cs="Arial"/>
                <w:color w:val="000000"/>
                <w:sz w:val="16"/>
                <w:szCs w:val="16"/>
              </w:rPr>
            </w:pPr>
            <w:r>
              <w:rPr>
                <w:rFonts w:cs="Arial"/>
                <w:color w:val="000000"/>
                <w:sz w:val="16"/>
                <w:szCs w:val="16"/>
              </w:rPr>
              <w:t>48,6</w:t>
            </w:r>
          </w:p>
        </w:tc>
        <w:tc>
          <w:tcPr>
            <w:tcW w:w="709" w:type="dxa"/>
            <w:tcBorders>
              <w:top w:val="nil"/>
              <w:left w:val="nil"/>
              <w:bottom w:val="nil"/>
              <w:right w:val="nil"/>
            </w:tcBorders>
            <w:shd w:val="clear" w:color="auto" w:fill="auto"/>
            <w:vAlign w:val="center"/>
            <w:hideMark/>
          </w:tcPr>
          <w:p w14:paraId="68E62BDC" w14:textId="1BB7FB9E" w:rsidR="004071F1" w:rsidRPr="00D92E20" w:rsidRDefault="004071F1" w:rsidP="004071F1">
            <w:pPr>
              <w:spacing w:after="0" w:line="240" w:lineRule="auto"/>
              <w:jc w:val="right"/>
              <w:rPr>
                <w:rFonts w:cs="Arial"/>
                <w:color w:val="000000"/>
                <w:sz w:val="16"/>
                <w:szCs w:val="16"/>
              </w:rPr>
            </w:pPr>
            <w:r>
              <w:rPr>
                <w:rFonts w:cs="Arial"/>
                <w:color w:val="000000"/>
                <w:sz w:val="16"/>
                <w:szCs w:val="16"/>
              </w:rPr>
              <w:t>30,5</w:t>
            </w:r>
          </w:p>
        </w:tc>
      </w:tr>
      <w:tr w:rsidR="004071F1" w:rsidRPr="00D92E20" w14:paraId="1AE0213B" w14:textId="77777777" w:rsidTr="00DF284E">
        <w:trPr>
          <w:trHeight w:val="300"/>
        </w:trPr>
        <w:tc>
          <w:tcPr>
            <w:tcW w:w="1020" w:type="dxa"/>
            <w:tcBorders>
              <w:top w:val="nil"/>
              <w:left w:val="nil"/>
              <w:bottom w:val="nil"/>
              <w:right w:val="nil"/>
            </w:tcBorders>
            <w:shd w:val="clear" w:color="auto" w:fill="auto"/>
            <w:vAlign w:val="center"/>
            <w:hideMark/>
          </w:tcPr>
          <w:p w14:paraId="2AC112AE" w14:textId="3F2DFF15" w:rsidR="004071F1" w:rsidRPr="00D92E20" w:rsidRDefault="004071F1" w:rsidP="004071F1">
            <w:pPr>
              <w:spacing w:after="0" w:line="240" w:lineRule="auto"/>
              <w:jc w:val="center"/>
              <w:rPr>
                <w:rFonts w:cs="Arial"/>
                <w:color w:val="000000"/>
                <w:sz w:val="16"/>
                <w:szCs w:val="16"/>
              </w:rPr>
            </w:pPr>
            <w:r>
              <w:rPr>
                <w:rFonts w:cs="Arial"/>
                <w:sz w:val="16"/>
                <w:szCs w:val="16"/>
              </w:rPr>
              <w:t>1. pol. 2020</w:t>
            </w:r>
          </w:p>
        </w:tc>
        <w:tc>
          <w:tcPr>
            <w:tcW w:w="710" w:type="dxa"/>
            <w:tcBorders>
              <w:top w:val="nil"/>
              <w:left w:val="single" w:sz="4" w:space="0" w:color="auto"/>
              <w:bottom w:val="nil"/>
              <w:right w:val="nil"/>
            </w:tcBorders>
            <w:shd w:val="clear" w:color="auto" w:fill="auto"/>
            <w:vAlign w:val="center"/>
            <w:hideMark/>
          </w:tcPr>
          <w:p w14:paraId="4BF6734E" w14:textId="23171106" w:rsidR="004071F1" w:rsidRPr="00D92E20" w:rsidRDefault="004071F1" w:rsidP="004071F1">
            <w:pPr>
              <w:spacing w:after="0" w:line="240" w:lineRule="auto"/>
              <w:jc w:val="right"/>
              <w:rPr>
                <w:rFonts w:cs="Arial"/>
                <w:color w:val="000000"/>
                <w:sz w:val="16"/>
                <w:szCs w:val="16"/>
              </w:rPr>
            </w:pPr>
            <w:r>
              <w:rPr>
                <w:rFonts w:cs="Arial"/>
                <w:color w:val="000000"/>
                <w:sz w:val="16"/>
                <w:szCs w:val="16"/>
              </w:rPr>
              <w:t>1 070,1</w:t>
            </w:r>
          </w:p>
        </w:tc>
        <w:tc>
          <w:tcPr>
            <w:tcW w:w="704" w:type="dxa"/>
            <w:tcBorders>
              <w:top w:val="nil"/>
              <w:left w:val="nil"/>
              <w:bottom w:val="nil"/>
              <w:right w:val="nil"/>
            </w:tcBorders>
            <w:shd w:val="clear" w:color="auto" w:fill="auto"/>
            <w:vAlign w:val="center"/>
            <w:hideMark/>
          </w:tcPr>
          <w:p w14:paraId="48B245DC" w14:textId="3A670AD2" w:rsidR="004071F1" w:rsidRPr="00D92E20" w:rsidRDefault="004071F1" w:rsidP="004071F1">
            <w:pPr>
              <w:spacing w:after="0" w:line="240" w:lineRule="auto"/>
              <w:jc w:val="right"/>
              <w:rPr>
                <w:rFonts w:cs="Arial"/>
                <w:color w:val="000000"/>
                <w:sz w:val="16"/>
                <w:szCs w:val="16"/>
              </w:rPr>
            </w:pPr>
            <w:r>
              <w:rPr>
                <w:rFonts w:cs="Arial"/>
                <w:color w:val="000000"/>
                <w:sz w:val="16"/>
                <w:szCs w:val="16"/>
              </w:rPr>
              <w:t>510,3</w:t>
            </w:r>
          </w:p>
        </w:tc>
        <w:tc>
          <w:tcPr>
            <w:tcW w:w="704" w:type="dxa"/>
            <w:tcBorders>
              <w:top w:val="nil"/>
              <w:left w:val="nil"/>
              <w:bottom w:val="nil"/>
              <w:right w:val="single" w:sz="4" w:space="0" w:color="auto"/>
            </w:tcBorders>
            <w:shd w:val="clear" w:color="auto" w:fill="auto"/>
            <w:vAlign w:val="center"/>
            <w:hideMark/>
          </w:tcPr>
          <w:p w14:paraId="7A2EF08B" w14:textId="70BA7201" w:rsidR="004071F1" w:rsidRPr="00D92E20" w:rsidRDefault="004071F1" w:rsidP="004071F1">
            <w:pPr>
              <w:spacing w:after="0" w:line="240" w:lineRule="auto"/>
              <w:jc w:val="right"/>
              <w:rPr>
                <w:rFonts w:cs="Arial"/>
                <w:color w:val="000000"/>
                <w:sz w:val="16"/>
                <w:szCs w:val="16"/>
              </w:rPr>
            </w:pPr>
            <w:r>
              <w:rPr>
                <w:rFonts w:cs="Arial"/>
                <w:color w:val="000000"/>
                <w:sz w:val="16"/>
                <w:szCs w:val="16"/>
              </w:rPr>
              <w:t>559,8</w:t>
            </w:r>
          </w:p>
        </w:tc>
        <w:tc>
          <w:tcPr>
            <w:tcW w:w="707" w:type="dxa"/>
            <w:tcBorders>
              <w:top w:val="nil"/>
              <w:left w:val="nil"/>
              <w:bottom w:val="nil"/>
              <w:right w:val="nil"/>
            </w:tcBorders>
            <w:shd w:val="clear" w:color="auto" w:fill="auto"/>
            <w:vAlign w:val="center"/>
            <w:hideMark/>
          </w:tcPr>
          <w:p w14:paraId="75CF0CB6" w14:textId="16B3B81A" w:rsidR="004071F1" w:rsidRPr="00D92E20" w:rsidRDefault="004071F1" w:rsidP="004071F1">
            <w:pPr>
              <w:spacing w:after="0" w:line="240" w:lineRule="auto"/>
              <w:jc w:val="right"/>
              <w:rPr>
                <w:rFonts w:cs="Arial"/>
                <w:color w:val="000000"/>
                <w:sz w:val="16"/>
                <w:szCs w:val="16"/>
              </w:rPr>
            </w:pPr>
            <w:r>
              <w:rPr>
                <w:rFonts w:cs="Arial"/>
                <w:color w:val="000000"/>
                <w:sz w:val="16"/>
                <w:szCs w:val="16"/>
              </w:rPr>
              <w:t>976,9</w:t>
            </w:r>
          </w:p>
        </w:tc>
        <w:tc>
          <w:tcPr>
            <w:tcW w:w="704" w:type="dxa"/>
            <w:tcBorders>
              <w:top w:val="nil"/>
              <w:left w:val="nil"/>
              <w:bottom w:val="nil"/>
              <w:right w:val="nil"/>
            </w:tcBorders>
            <w:shd w:val="clear" w:color="auto" w:fill="auto"/>
            <w:vAlign w:val="center"/>
            <w:hideMark/>
          </w:tcPr>
          <w:p w14:paraId="2327AB03" w14:textId="31A3B4EF" w:rsidR="004071F1" w:rsidRPr="00D92E20" w:rsidRDefault="004071F1" w:rsidP="004071F1">
            <w:pPr>
              <w:spacing w:after="0" w:line="240" w:lineRule="auto"/>
              <w:jc w:val="right"/>
              <w:rPr>
                <w:rFonts w:cs="Arial"/>
                <w:color w:val="000000"/>
                <w:sz w:val="16"/>
                <w:szCs w:val="16"/>
              </w:rPr>
            </w:pPr>
            <w:r>
              <w:rPr>
                <w:rFonts w:cs="Arial"/>
                <w:color w:val="000000"/>
                <w:sz w:val="16"/>
                <w:szCs w:val="16"/>
              </w:rPr>
              <w:t>451,4</w:t>
            </w:r>
          </w:p>
        </w:tc>
        <w:tc>
          <w:tcPr>
            <w:tcW w:w="704" w:type="dxa"/>
            <w:tcBorders>
              <w:top w:val="nil"/>
              <w:left w:val="nil"/>
              <w:bottom w:val="nil"/>
              <w:right w:val="nil"/>
            </w:tcBorders>
            <w:shd w:val="clear" w:color="auto" w:fill="auto"/>
            <w:vAlign w:val="center"/>
            <w:hideMark/>
          </w:tcPr>
          <w:p w14:paraId="43D86689" w14:textId="526330A2" w:rsidR="004071F1" w:rsidRPr="00D92E20" w:rsidRDefault="004071F1" w:rsidP="004071F1">
            <w:pPr>
              <w:spacing w:after="0" w:line="240" w:lineRule="auto"/>
              <w:jc w:val="right"/>
              <w:rPr>
                <w:rFonts w:cs="Arial"/>
                <w:color w:val="000000"/>
                <w:sz w:val="16"/>
                <w:szCs w:val="16"/>
              </w:rPr>
            </w:pPr>
            <w:r>
              <w:rPr>
                <w:rFonts w:cs="Arial"/>
                <w:color w:val="000000"/>
                <w:sz w:val="16"/>
                <w:szCs w:val="16"/>
              </w:rPr>
              <w:t>525,5</w:t>
            </w:r>
          </w:p>
        </w:tc>
        <w:tc>
          <w:tcPr>
            <w:tcW w:w="754" w:type="dxa"/>
            <w:tcBorders>
              <w:top w:val="nil"/>
              <w:left w:val="single" w:sz="4" w:space="0" w:color="auto"/>
              <w:bottom w:val="nil"/>
              <w:right w:val="nil"/>
            </w:tcBorders>
            <w:shd w:val="clear" w:color="auto" w:fill="auto"/>
            <w:vAlign w:val="center"/>
            <w:hideMark/>
          </w:tcPr>
          <w:p w14:paraId="5FE26471" w14:textId="35D9DAC8" w:rsidR="004071F1" w:rsidRPr="00D92E20" w:rsidRDefault="004071F1" w:rsidP="004071F1">
            <w:pPr>
              <w:spacing w:after="0" w:line="240" w:lineRule="auto"/>
              <w:jc w:val="right"/>
              <w:rPr>
                <w:rFonts w:cs="Arial"/>
                <w:color w:val="000000"/>
                <w:sz w:val="16"/>
                <w:szCs w:val="16"/>
              </w:rPr>
            </w:pPr>
            <w:r>
              <w:rPr>
                <w:rFonts w:cs="Arial"/>
                <w:color w:val="000000"/>
                <w:sz w:val="16"/>
                <w:szCs w:val="16"/>
              </w:rPr>
              <w:t>20,5</w:t>
            </w:r>
          </w:p>
        </w:tc>
        <w:tc>
          <w:tcPr>
            <w:tcW w:w="709" w:type="dxa"/>
            <w:tcBorders>
              <w:top w:val="nil"/>
              <w:left w:val="nil"/>
              <w:bottom w:val="nil"/>
              <w:right w:val="nil"/>
            </w:tcBorders>
            <w:shd w:val="clear" w:color="auto" w:fill="auto"/>
            <w:vAlign w:val="center"/>
            <w:hideMark/>
          </w:tcPr>
          <w:p w14:paraId="0B34389E" w14:textId="19064BBE" w:rsidR="004071F1" w:rsidRPr="00D92E20" w:rsidRDefault="004071F1" w:rsidP="004071F1">
            <w:pPr>
              <w:spacing w:after="0" w:line="240" w:lineRule="auto"/>
              <w:jc w:val="right"/>
              <w:rPr>
                <w:rFonts w:cs="Arial"/>
                <w:color w:val="000000"/>
                <w:sz w:val="16"/>
                <w:szCs w:val="16"/>
              </w:rPr>
            </w:pPr>
            <w:r>
              <w:rPr>
                <w:rFonts w:cs="Arial"/>
                <w:color w:val="000000"/>
                <w:sz w:val="16"/>
                <w:szCs w:val="16"/>
              </w:rPr>
              <w:t>14,2</w:t>
            </w:r>
          </w:p>
        </w:tc>
        <w:tc>
          <w:tcPr>
            <w:tcW w:w="709" w:type="dxa"/>
            <w:tcBorders>
              <w:top w:val="nil"/>
              <w:left w:val="nil"/>
              <w:bottom w:val="nil"/>
              <w:right w:val="single" w:sz="4" w:space="0" w:color="auto"/>
            </w:tcBorders>
            <w:shd w:val="clear" w:color="auto" w:fill="auto"/>
            <w:vAlign w:val="center"/>
            <w:hideMark/>
          </w:tcPr>
          <w:p w14:paraId="6D6CB8A6" w14:textId="5779A454" w:rsidR="004071F1" w:rsidRPr="00D92E20" w:rsidRDefault="004071F1" w:rsidP="004071F1">
            <w:pPr>
              <w:spacing w:after="0" w:line="240" w:lineRule="auto"/>
              <w:jc w:val="right"/>
              <w:rPr>
                <w:rFonts w:cs="Arial"/>
                <w:color w:val="000000"/>
                <w:sz w:val="16"/>
                <w:szCs w:val="16"/>
              </w:rPr>
            </w:pPr>
            <w:r>
              <w:rPr>
                <w:rFonts w:cs="Arial"/>
                <w:color w:val="000000"/>
                <w:sz w:val="16"/>
                <w:szCs w:val="16"/>
              </w:rPr>
              <w:t>6,3</w:t>
            </w:r>
          </w:p>
        </w:tc>
        <w:tc>
          <w:tcPr>
            <w:tcW w:w="709" w:type="dxa"/>
            <w:tcBorders>
              <w:top w:val="nil"/>
              <w:left w:val="nil"/>
              <w:bottom w:val="nil"/>
              <w:right w:val="nil"/>
            </w:tcBorders>
            <w:shd w:val="clear" w:color="auto" w:fill="auto"/>
            <w:vAlign w:val="center"/>
            <w:hideMark/>
          </w:tcPr>
          <w:p w14:paraId="7EF49B6E" w14:textId="12238D85" w:rsidR="004071F1" w:rsidRPr="00D92E20" w:rsidRDefault="004071F1" w:rsidP="004071F1">
            <w:pPr>
              <w:spacing w:after="0" w:line="240" w:lineRule="auto"/>
              <w:jc w:val="right"/>
              <w:rPr>
                <w:rFonts w:cs="Arial"/>
                <w:color w:val="000000"/>
                <w:sz w:val="16"/>
                <w:szCs w:val="16"/>
              </w:rPr>
            </w:pPr>
            <w:r>
              <w:rPr>
                <w:rFonts w:cs="Arial"/>
                <w:color w:val="000000"/>
                <w:sz w:val="16"/>
                <w:szCs w:val="16"/>
              </w:rPr>
              <w:t>72,7</w:t>
            </w:r>
          </w:p>
        </w:tc>
        <w:tc>
          <w:tcPr>
            <w:tcW w:w="709" w:type="dxa"/>
            <w:tcBorders>
              <w:top w:val="nil"/>
              <w:left w:val="nil"/>
              <w:bottom w:val="nil"/>
              <w:right w:val="nil"/>
            </w:tcBorders>
            <w:shd w:val="clear" w:color="auto" w:fill="auto"/>
            <w:vAlign w:val="center"/>
            <w:hideMark/>
          </w:tcPr>
          <w:p w14:paraId="08FBD728" w14:textId="7DBAB1BE" w:rsidR="004071F1" w:rsidRPr="00D92E20" w:rsidRDefault="004071F1" w:rsidP="004071F1">
            <w:pPr>
              <w:spacing w:after="0" w:line="240" w:lineRule="auto"/>
              <w:jc w:val="right"/>
              <w:rPr>
                <w:rFonts w:cs="Arial"/>
                <w:color w:val="000000"/>
                <w:sz w:val="16"/>
                <w:szCs w:val="16"/>
              </w:rPr>
            </w:pPr>
            <w:r>
              <w:rPr>
                <w:rFonts w:cs="Arial"/>
                <w:color w:val="000000"/>
                <w:sz w:val="16"/>
                <w:szCs w:val="16"/>
              </w:rPr>
              <w:t>44,7</w:t>
            </w:r>
          </w:p>
        </w:tc>
        <w:tc>
          <w:tcPr>
            <w:tcW w:w="709" w:type="dxa"/>
            <w:tcBorders>
              <w:top w:val="nil"/>
              <w:left w:val="nil"/>
              <w:bottom w:val="nil"/>
              <w:right w:val="nil"/>
            </w:tcBorders>
            <w:shd w:val="clear" w:color="auto" w:fill="auto"/>
            <w:vAlign w:val="center"/>
            <w:hideMark/>
          </w:tcPr>
          <w:p w14:paraId="4079C750" w14:textId="3BEB75FE" w:rsidR="004071F1" w:rsidRPr="00D92E20" w:rsidRDefault="004071F1" w:rsidP="004071F1">
            <w:pPr>
              <w:spacing w:after="0" w:line="240" w:lineRule="auto"/>
              <w:jc w:val="right"/>
              <w:rPr>
                <w:rFonts w:cs="Arial"/>
                <w:color w:val="000000"/>
                <w:sz w:val="16"/>
                <w:szCs w:val="16"/>
              </w:rPr>
            </w:pPr>
            <w:r>
              <w:rPr>
                <w:rFonts w:cs="Arial"/>
                <w:color w:val="000000"/>
                <w:sz w:val="16"/>
                <w:szCs w:val="16"/>
              </w:rPr>
              <w:t>28,0</w:t>
            </w:r>
          </w:p>
        </w:tc>
      </w:tr>
      <w:tr w:rsidR="004071F1" w:rsidRPr="00D92E20" w14:paraId="4EB26A17" w14:textId="77777777" w:rsidTr="00DF284E">
        <w:trPr>
          <w:trHeight w:val="300"/>
        </w:trPr>
        <w:tc>
          <w:tcPr>
            <w:tcW w:w="1020" w:type="dxa"/>
            <w:tcBorders>
              <w:top w:val="nil"/>
              <w:left w:val="nil"/>
              <w:bottom w:val="nil"/>
              <w:right w:val="nil"/>
            </w:tcBorders>
            <w:shd w:val="clear" w:color="auto" w:fill="auto"/>
            <w:vAlign w:val="center"/>
            <w:hideMark/>
          </w:tcPr>
          <w:p w14:paraId="23678DC1" w14:textId="347E2C62" w:rsidR="004071F1" w:rsidRPr="00D92E20" w:rsidRDefault="004071F1" w:rsidP="004071F1">
            <w:pPr>
              <w:spacing w:after="0" w:line="240" w:lineRule="auto"/>
              <w:jc w:val="center"/>
              <w:rPr>
                <w:rFonts w:cs="Arial"/>
                <w:color w:val="000000"/>
                <w:sz w:val="16"/>
                <w:szCs w:val="16"/>
              </w:rPr>
            </w:pPr>
            <w:r>
              <w:rPr>
                <w:rFonts w:cs="Arial"/>
                <w:sz w:val="16"/>
                <w:szCs w:val="16"/>
              </w:rPr>
              <w:t>1. pol. 2021</w:t>
            </w:r>
          </w:p>
        </w:tc>
        <w:tc>
          <w:tcPr>
            <w:tcW w:w="710" w:type="dxa"/>
            <w:tcBorders>
              <w:top w:val="nil"/>
              <w:left w:val="single" w:sz="4" w:space="0" w:color="auto"/>
              <w:bottom w:val="nil"/>
              <w:right w:val="nil"/>
            </w:tcBorders>
            <w:shd w:val="clear" w:color="auto" w:fill="auto"/>
            <w:vAlign w:val="center"/>
            <w:hideMark/>
          </w:tcPr>
          <w:p w14:paraId="56B5FD3A" w14:textId="3D31C404" w:rsidR="004071F1" w:rsidRPr="00D92E20" w:rsidRDefault="004071F1" w:rsidP="004071F1">
            <w:pPr>
              <w:spacing w:after="0" w:line="240" w:lineRule="auto"/>
              <w:jc w:val="right"/>
              <w:rPr>
                <w:rFonts w:cs="Arial"/>
                <w:color w:val="000000"/>
                <w:sz w:val="16"/>
                <w:szCs w:val="16"/>
              </w:rPr>
            </w:pPr>
            <w:r>
              <w:rPr>
                <w:rFonts w:cs="Arial"/>
                <w:color w:val="000000"/>
                <w:sz w:val="16"/>
                <w:szCs w:val="16"/>
              </w:rPr>
              <w:t>1 399,4</w:t>
            </w:r>
          </w:p>
        </w:tc>
        <w:tc>
          <w:tcPr>
            <w:tcW w:w="704" w:type="dxa"/>
            <w:tcBorders>
              <w:top w:val="nil"/>
              <w:left w:val="nil"/>
              <w:bottom w:val="nil"/>
              <w:right w:val="nil"/>
            </w:tcBorders>
            <w:shd w:val="clear" w:color="auto" w:fill="auto"/>
            <w:vAlign w:val="center"/>
            <w:hideMark/>
          </w:tcPr>
          <w:p w14:paraId="1EC08B4A" w14:textId="7189544C" w:rsidR="004071F1" w:rsidRPr="00D92E20" w:rsidRDefault="004071F1" w:rsidP="004071F1">
            <w:pPr>
              <w:spacing w:after="0" w:line="240" w:lineRule="auto"/>
              <w:jc w:val="right"/>
              <w:rPr>
                <w:rFonts w:cs="Arial"/>
                <w:color w:val="000000"/>
                <w:sz w:val="16"/>
                <w:szCs w:val="16"/>
              </w:rPr>
            </w:pPr>
            <w:r>
              <w:rPr>
                <w:rFonts w:cs="Arial"/>
                <w:color w:val="000000"/>
                <w:sz w:val="16"/>
                <w:szCs w:val="16"/>
              </w:rPr>
              <w:t>700,9</w:t>
            </w:r>
          </w:p>
        </w:tc>
        <w:tc>
          <w:tcPr>
            <w:tcW w:w="704" w:type="dxa"/>
            <w:tcBorders>
              <w:top w:val="nil"/>
              <w:left w:val="nil"/>
              <w:bottom w:val="nil"/>
              <w:right w:val="single" w:sz="4" w:space="0" w:color="auto"/>
            </w:tcBorders>
            <w:shd w:val="clear" w:color="auto" w:fill="auto"/>
            <w:vAlign w:val="center"/>
            <w:hideMark/>
          </w:tcPr>
          <w:p w14:paraId="5BAC5AF7" w14:textId="45012EC7" w:rsidR="004071F1" w:rsidRPr="00D92E20" w:rsidRDefault="004071F1" w:rsidP="004071F1">
            <w:pPr>
              <w:spacing w:after="0" w:line="240" w:lineRule="auto"/>
              <w:jc w:val="right"/>
              <w:rPr>
                <w:rFonts w:cs="Arial"/>
                <w:color w:val="000000"/>
                <w:sz w:val="16"/>
                <w:szCs w:val="16"/>
              </w:rPr>
            </w:pPr>
            <w:r>
              <w:rPr>
                <w:rFonts w:cs="Arial"/>
                <w:color w:val="000000"/>
                <w:sz w:val="16"/>
                <w:szCs w:val="16"/>
              </w:rPr>
              <w:t>698,6</w:t>
            </w:r>
          </w:p>
        </w:tc>
        <w:tc>
          <w:tcPr>
            <w:tcW w:w="707" w:type="dxa"/>
            <w:tcBorders>
              <w:top w:val="nil"/>
              <w:left w:val="nil"/>
              <w:bottom w:val="nil"/>
              <w:right w:val="nil"/>
            </w:tcBorders>
            <w:shd w:val="clear" w:color="auto" w:fill="auto"/>
            <w:vAlign w:val="center"/>
            <w:hideMark/>
          </w:tcPr>
          <w:p w14:paraId="7E2AA1B3" w14:textId="2B5A026B" w:rsidR="004071F1" w:rsidRPr="00D92E20" w:rsidRDefault="004071F1" w:rsidP="004071F1">
            <w:pPr>
              <w:spacing w:after="0" w:line="240" w:lineRule="auto"/>
              <w:jc w:val="right"/>
              <w:rPr>
                <w:rFonts w:cs="Arial"/>
                <w:color w:val="000000"/>
                <w:sz w:val="16"/>
                <w:szCs w:val="16"/>
              </w:rPr>
            </w:pPr>
            <w:r>
              <w:rPr>
                <w:rFonts w:cs="Arial"/>
                <w:color w:val="000000"/>
                <w:sz w:val="16"/>
                <w:szCs w:val="16"/>
              </w:rPr>
              <w:t>1 300,2</w:t>
            </w:r>
          </w:p>
        </w:tc>
        <w:tc>
          <w:tcPr>
            <w:tcW w:w="704" w:type="dxa"/>
            <w:tcBorders>
              <w:top w:val="nil"/>
              <w:left w:val="nil"/>
              <w:bottom w:val="nil"/>
              <w:right w:val="nil"/>
            </w:tcBorders>
            <w:shd w:val="clear" w:color="auto" w:fill="auto"/>
            <w:vAlign w:val="center"/>
            <w:hideMark/>
          </w:tcPr>
          <w:p w14:paraId="448A466A" w14:textId="34EE169D" w:rsidR="004071F1" w:rsidRPr="00D92E20" w:rsidRDefault="004071F1" w:rsidP="004071F1">
            <w:pPr>
              <w:spacing w:after="0" w:line="240" w:lineRule="auto"/>
              <w:jc w:val="right"/>
              <w:rPr>
                <w:rFonts w:cs="Arial"/>
                <w:color w:val="000000"/>
                <w:sz w:val="16"/>
                <w:szCs w:val="16"/>
              </w:rPr>
            </w:pPr>
            <w:r>
              <w:rPr>
                <w:rFonts w:cs="Arial"/>
                <w:color w:val="000000"/>
                <w:sz w:val="16"/>
                <w:szCs w:val="16"/>
              </w:rPr>
              <w:t>638,9</w:t>
            </w:r>
          </w:p>
        </w:tc>
        <w:tc>
          <w:tcPr>
            <w:tcW w:w="704" w:type="dxa"/>
            <w:tcBorders>
              <w:top w:val="nil"/>
              <w:left w:val="nil"/>
              <w:bottom w:val="nil"/>
              <w:right w:val="nil"/>
            </w:tcBorders>
            <w:shd w:val="clear" w:color="auto" w:fill="auto"/>
            <w:vAlign w:val="center"/>
            <w:hideMark/>
          </w:tcPr>
          <w:p w14:paraId="07BC2A0D" w14:textId="1E005B78" w:rsidR="004071F1" w:rsidRPr="00D92E20" w:rsidRDefault="004071F1" w:rsidP="004071F1">
            <w:pPr>
              <w:spacing w:after="0" w:line="240" w:lineRule="auto"/>
              <w:jc w:val="right"/>
              <w:rPr>
                <w:rFonts w:cs="Arial"/>
                <w:color w:val="000000"/>
                <w:sz w:val="16"/>
                <w:szCs w:val="16"/>
              </w:rPr>
            </w:pPr>
            <w:r>
              <w:rPr>
                <w:rFonts w:cs="Arial"/>
                <w:color w:val="000000"/>
                <w:sz w:val="16"/>
                <w:szCs w:val="16"/>
              </w:rPr>
              <w:t>661,3</w:t>
            </w:r>
          </w:p>
        </w:tc>
        <w:tc>
          <w:tcPr>
            <w:tcW w:w="754" w:type="dxa"/>
            <w:tcBorders>
              <w:top w:val="nil"/>
              <w:left w:val="single" w:sz="4" w:space="0" w:color="auto"/>
              <w:bottom w:val="nil"/>
              <w:right w:val="nil"/>
            </w:tcBorders>
            <w:shd w:val="clear" w:color="auto" w:fill="auto"/>
            <w:vAlign w:val="center"/>
            <w:hideMark/>
          </w:tcPr>
          <w:p w14:paraId="58A5EA85" w14:textId="3DB8FB44" w:rsidR="004071F1" w:rsidRPr="00D92E20" w:rsidRDefault="004071F1" w:rsidP="004071F1">
            <w:pPr>
              <w:spacing w:after="0" w:line="240" w:lineRule="auto"/>
              <w:jc w:val="right"/>
              <w:rPr>
                <w:rFonts w:cs="Arial"/>
                <w:color w:val="000000"/>
                <w:sz w:val="16"/>
                <w:szCs w:val="16"/>
              </w:rPr>
            </w:pPr>
            <w:r>
              <w:rPr>
                <w:rFonts w:cs="Arial"/>
                <w:color w:val="000000"/>
                <w:sz w:val="16"/>
                <w:szCs w:val="16"/>
              </w:rPr>
              <w:t>23,3</w:t>
            </w:r>
          </w:p>
        </w:tc>
        <w:tc>
          <w:tcPr>
            <w:tcW w:w="709" w:type="dxa"/>
            <w:tcBorders>
              <w:top w:val="nil"/>
              <w:left w:val="nil"/>
              <w:bottom w:val="nil"/>
              <w:right w:val="nil"/>
            </w:tcBorders>
            <w:shd w:val="clear" w:color="auto" w:fill="auto"/>
            <w:vAlign w:val="center"/>
            <w:hideMark/>
          </w:tcPr>
          <w:p w14:paraId="7022DA30" w14:textId="2A7FBB8F" w:rsidR="004071F1" w:rsidRPr="00D92E20" w:rsidRDefault="004071F1" w:rsidP="004071F1">
            <w:pPr>
              <w:spacing w:after="0" w:line="240" w:lineRule="auto"/>
              <w:jc w:val="right"/>
              <w:rPr>
                <w:rFonts w:cs="Arial"/>
                <w:color w:val="000000"/>
                <w:sz w:val="16"/>
                <w:szCs w:val="16"/>
              </w:rPr>
            </w:pPr>
            <w:r>
              <w:rPr>
                <w:rFonts w:cs="Arial"/>
                <w:color w:val="000000"/>
                <w:sz w:val="16"/>
                <w:szCs w:val="16"/>
              </w:rPr>
              <w:t>16,2</w:t>
            </w:r>
          </w:p>
        </w:tc>
        <w:tc>
          <w:tcPr>
            <w:tcW w:w="709" w:type="dxa"/>
            <w:tcBorders>
              <w:top w:val="nil"/>
              <w:left w:val="nil"/>
              <w:bottom w:val="nil"/>
              <w:right w:val="single" w:sz="4" w:space="0" w:color="auto"/>
            </w:tcBorders>
            <w:shd w:val="clear" w:color="auto" w:fill="auto"/>
            <w:vAlign w:val="center"/>
            <w:hideMark/>
          </w:tcPr>
          <w:p w14:paraId="04195688" w14:textId="398DE294" w:rsidR="004071F1" w:rsidRPr="00D92E20" w:rsidRDefault="004071F1" w:rsidP="004071F1">
            <w:pPr>
              <w:spacing w:after="0" w:line="240" w:lineRule="auto"/>
              <w:jc w:val="right"/>
              <w:rPr>
                <w:rFonts w:cs="Arial"/>
                <w:color w:val="000000"/>
                <w:sz w:val="16"/>
                <w:szCs w:val="16"/>
              </w:rPr>
            </w:pPr>
            <w:r>
              <w:rPr>
                <w:rFonts w:cs="Arial"/>
                <w:color w:val="000000"/>
                <w:sz w:val="16"/>
                <w:szCs w:val="16"/>
              </w:rPr>
              <w:t>7,1</w:t>
            </w:r>
          </w:p>
        </w:tc>
        <w:tc>
          <w:tcPr>
            <w:tcW w:w="709" w:type="dxa"/>
            <w:tcBorders>
              <w:top w:val="nil"/>
              <w:left w:val="nil"/>
              <w:bottom w:val="nil"/>
              <w:right w:val="nil"/>
            </w:tcBorders>
            <w:shd w:val="clear" w:color="auto" w:fill="auto"/>
            <w:vAlign w:val="center"/>
            <w:hideMark/>
          </w:tcPr>
          <w:p w14:paraId="5B1952E1" w14:textId="3702E1A3" w:rsidR="004071F1" w:rsidRPr="00D92E20" w:rsidRDefault="004071F1" w:rsidP="004071F1">
            <w:pPr>
              <w:spacing w:after="0" w:line="240" w:lineRule="auto"/>
              <w:jc w:val="right"/>
              <w:rPr>
                <w:rFonts w:cs="Arial"/>
                <w:color w:val="000000"/>
                <w:sz w:val="16"/>
                <w:szCs w:val="16"/>
              </w:rPr>
            </w:pPr>
            <w:r>
              <w:rPr>
                <w:rFonts w:cs="Arial"/>
                <w:color w:val="000000"/>
                <w:sz w:val="16"/>
                <w:szCs w:val="16"/>
              </w:rPr>
              <w:t>75,9</w:t>
            </w:r>
          </w:p>
        </w:tc>
        <w:tc>
          <w:tcPr>
            <w:tcW w:w="709" w:type="dxa"/>
            <w:tcBorders>
              <w:top w:val="nil"/>
              <w:left w:val="nil"/>
              <w:bottom w:val="nil"/>
              <w:right w:val="nil"/>
            </w:tcBorders>
            <w:shd w:val="clear" w:color="auto" w:fill="auto"/>
            <w:vAlign w:val="center"/>
            <w:hideMark/>
          </w:tcPr>
          <w:p w14:paraId="758D79C5" w14:textId="2EFF5038" w:rsidR="004071F1" w:rsidRPr="00D92E20" w:rsidRDefault="004071F1" w:rsidP="004071F1">
            <w:pPr>
              <w:spacing w:after="0" w:line="240" w:lineRule="auto"/>
              <w:jc w:val="right"/>
              <w:rPr>
                <w:rFonts w:cs="Arial"/>
                <w:color w:val="000000"/>
                <w:sz w:val="16"/>
                <w:szCs w:val="16"/>
              </w:rPr>
            </w:pPr>
            <w:r>
              <w:rPr>
                <w:rFonts w:cs="Arial"/>
                <w:color w:val="000000"/>
                <w:sz w:val="16"/>
                <w:szCs w:val="16"/>
              </w:rPr>
              <w:t>45,8</w:t>
            </w:r>
          </w:p>
        </w:tc>
        <w:tc>
          <w:tcPr>
            <w:tcW w:w="709" w:type="dxa"/>
            <w:tcBorders>
              <w:top w:val="nil"/>
              <w:left w:val="nil"/>
              <w:bottom w:val="nil"/>
              <w:right w:val="nil"/>
            </w:tcBorders>
            <w:shd w:val="clear" w:color="auto" w:fill="auto"/>
            <w:vAlign w:val="center"/>
            <w:hideMark/>
          </w:tcPr>
          <w:p w14:paraId="4F857A52" w14:textId="2A96F480" w:rsidR="004071F1" w:rsidRPr="00D92E20" w:rsidRDefault="004071F1" w:rsidP="004071F1">
            <w:pPr>
              <w:spacing w:after="0" w:line="240" w:lineRule="auto"/>
              <w:jc w:val="right"/>
              <w:rPr>
                <w:rFonts w:cs="Arial"/>
                <w:color w:val="000000"/>
                <w:sz w:val="16"/>
                <w:szCs w:val="16"/>
              </w:rPr>
            </w:pPr>
            <w:r>
              <w:rPr>
                <w:rFonts w:cs="Arial"/>
                <w:color w:val="000000"/>
                <w:sz w:val="16"/>
                <w:szCs w:val="16"/>
              </w:rPr>
              <w:t>30,1</w:t>
            </w:r>
          </w:p>
        </w:tc>
      </w:tr>
      <w:tr w:rsidR="004071F1" w:rsidRPr="00D92E20" w14:paraId="6DC356AE" w14:textId="77777777" w:rsidTr="00DF284E">
        <w:trPr>
          <w:trHeight w:val="300"/>
        </w:trPr>
        <w:tc>
          <w:tcPr>
            <w:tcW w:w="1020" w:type="dxa"/>
            <w:tcBorders>
              <w:top w:val="nil"/>
              <w:left w:val="nil"/>
              <w:bottom w:val="nil"/>
              <w:right w:val="single" w:sz="4" w:space="0" w:color="auto"/>
            </w:tcBorders>
            <w:shd w:val="clear" w:color="auto" w:fill="auto"/>
            <w:vAlign w:val="center"/>
            <w:hideMark/>
          </w:tcPr>
          <w:p w14:paraId="2D9CC714" w14:textId="25BBB599" w:rsidR="004071F1" w:rsidRPr="00D92E20" w:rsidRDefault="004071F1" w:rsidP="004071F1">
            <w:pPr>
              <w:spacing w:after="0" w:line="240" w:lineRule="auto"/>
              <w:jc w:val="center"/>
              <w:rPr>
                <w:rFonts w:cs="Arial"/>
                <w:color w:val="000000"/>
                <w:sz w:val="16"/>
                <w:szCs w:val="16"/>
              </w:rPr>
            </w:pPr>
            <w:r>
              <w:rPr>
                <w:rFonts w:cs="Arial"/>
                <w:sz w:val="16"/>
                <w:szCs w:val="16"/>
              </w:rPr>
              <w:t>1. pol. 2022</w:t>
            </w:r>
          </w:p>
        </w:tc>
        <w:tc>
          <w:tcPr>
            <w:tcW w:w="710" w:type="dxa"/>
            <w:tcBorders>
              <w:top w:val="nil"/>
              <w:left w:val="nil"/>
              <w:bottom w:val="nil"/>
              <w:right w:val="nil"/>
            </w:tcBorders>
            <w:shd w:val="clear" w:color="auto" w:fill="auto"/>
            <w:vAlign w:val="center"/>
            <w:hideMark/>
          </w:tcPr>
          <w:p w14:paraId="728E121E" w14:textId="045283CF" w:rsidR="004071F1" w:rsidRPr="00D92E20" w:rsidRDefault="004071F1" w:rsidP="004071F1">
            <w:pPr>
              <w:spacing w:after="0" w:line="240" w:lineRule="auto"/>
              <w:jc w:val="right"/>
              <w:rPr>
                <w:rFonts w:cs="Arial"/>
                <w:color w:val="000000"/>
                <w:sz w:val="16"/>
                <w:szCs w:val="16"/>
              </w:rPr>
            </w:pPr>
            <w:r>
              <w:rPr>
                <w:rFonts w:cs="Arial"/>
                <w:color w:val="000000"/>
                <w:sz w:val="16"/>
                <w:szCs w:val="16"/>
              </w:rPr>
              <w:t>2 053,9</w:t>
            </w:r>
          </w:p>
        </w:tc>
        <w:tc>
          <w:tcPr>
            <w:tcW w:w="704" w:type="dxa"/>
            <w:tcBorders>
              <w:top w:val="nil"/>
              <w:left w:val="nil"/>
              <w:bottom w:val="nil"/>
              <w:right w:val="nil"/>
            </w:tcBorders>
            <w:shd w:val="clear" w:color="auto" w:fill="auto"/>
            <w:vAlign w:val="center"/>
            <w:hideMark/>
          </w:tcPr>
          <w:p w14:paraId="4F5A1085" w14:textId="05C11B8A" w:rsidR="004071F1" w:rsidRPr="00D92E20" w:rsidRDefault="004071F1" w:rsidP="004071F1">
            <w:pPr>
              <w:spacing w:after="0" w:line="240" w:lineRule="auto"/>
              <w:jc w:val="right"/>
              <w:rPr>
                <w:rFonts w:cs="Arial"/>
                <w:color w:val="000000"/>
                <w:sz w:val="16"/>
                <w:szCs w:val="16"/>
              </w:rPr>
            </w:pPr>
            <w:r>
              <w:rPr>
                <w:rFonts w:cs="Arial"/>
                <w:color w:val="000000"/>
                <w:sz w:val="16"/>
                <w:szCs w:val="16"/>
              </w:rPr>
              <w:t>946,0</w:t>
            </w:r>
          </w:p>
        </w:tc>
        <w:tc>
          <w:tcPr>
            <w:tcW w:w="704" w:type="dxa"/>
            <w:tcBorders>
              <w:top w:val="nil"/>
              <w:left w:val="nil"/>
              <w:bottom w:val="nil"/>
              <w:right w:val="single" w:sz="4" w:space="0" w:color="auto"/>
            </w:tcBorders>
            <w:shd w:val="clear" w:color="auto" w:fill="auto"/>
            <w:vAlign w:val="center"/>
            <w:hideMark/>
          </w:tcPr>
          <w:p w14:paraId="4D388F77" w14:textId="23A53474" w:rsidR="004071F1" w:rsidRPr="00D92E20" w:rsidRDefault="004071F1" w:rsidP="004071F1">
            <w:pPr>
              <w:spacing w:after="0" w:line="240" w:lineRule="auto"/>
              <w:jc w:val="right"/>
              <w:rPr>
                <w:rFonts w:cs="Arial"/>
                <w:color w:val="000000"/>
                <w:sz w:val="16"/>
                <w:szCs w:val="16"/>
              </w:rPr>
            </w:pPr>
            <w:r>
              <w:rPr>
                <w:rFonts w:cs="Arial"/>
                <w:color w:val="000000"/>
                <w:sz w:val="16"/>
                <w:szCs w:val="16"/>
              </w:rPr>
              <w:t>1 107,9</w:t>
            </w:r>
          </w:p>
        </w:tc>
        <w:tc>
          <w:tcPr>
            <w:tcW w:w="707" w:type="dxa"/>
            <w:tcBorders>
              <w:top w:val="nil"/>
              <w:left w:val="nil"/>
              <w:bottom w:val="nil"/>
              <w:right w:val="nil"/>
            </w:tcBorders>
            <w:shd w:val="clear" w:color="auto" w:fill="auto"/>
            <w:vAlign w:val="center"/>
            <w:hideMark/>
          </w:tcPr>
          <w:p w14:paraId="0DE49735" w14:textId="2C723243" w:rsidR="004071F1" w:rsidRPr="00D92E20" w:rsidRDefault="004071F1" w:rsidP="004071F1">
            <w:pPr>
              <w:spacing w:after="0" w:line="240" w:lineRule="auto"/>
              <w:jc w:val="right"/>
              <w:rPr>
                <w:rFonts w:cs="Arial"/>
                <w:color w:val="000000"/>
                <w:sz w:val="16"/>
                <w:szCs w:val="16"/>
              </w:rPr>
            </w:pPr>
            <w:r>
              <w:rPr>
                <w:rFonts w:cs="Arial"/>
                <w:color w:val="000000"/>
                <w:sz w:val="16"/>
                <w:szCs w:val="16"/>
              </w:rPr>
              <w:t>1 942,4</w:t>
            </w:r>
          </w:p>
        </w:tc>
        <w:tc>
          <w:tcPr>
            <w:tcW w:w="704" w:type="dxa"/>
            <w:tcBorders>
              <w:top w:val="nil"/>
              <w:left w:val="nil"/>
              <w:bottom w:val="nil"/>
              <w:right w:val="nil"/>
            </w:tcBorders>
            <w:shd w:val="clear" w:color="auto" w:fill="auto"/>
            <w:vAlign w:val="center"/>
            <w:hideMark/>
          </w:tcPr>
          <w:p w14:paraId="158990F7" w14:textId="57D8EE86" w:rsidR="004071F1" w:rsidRPr="00D92E20" w:rsidRDefault="004071F1" w:rsidP="004071F1">
            <w:pPr>
              <w:spacing w:after="0" w:line="240" w:lineRule="auto"/>
              <w:jc w:val="right"/>
              <w:rPr>
                <w:rFonts w:cs="Arial"/>
                <w:color w:val="000000"/>
                <w:sz w:val="16"/>
                <w:szCs w:val="16"/>
              </w:rPr>
            </w:pPr>
            <w:r>
              <w:rPr>
                <w:rFonts w:cs="Arial"/>
                <w:color w:val="000000"/>
                <w:sz w:val="16"/>
                <w:szCs w:val="16"/>
              </w:rPr>
              <w:t>876,6</w:t>
            </w:r>
          </w:p>
        </w:tc>
        <w:tc>
          <w:tcPr>
            <w:tcW w:w="704" w:type="dxa"/>
            <w:tcBorders>
              <w:top w:val="nil"/>
              <w:left w:val="nil"/>
              <w:bottom w:val="nil"/>
              <w:right w:val="nil"/>
            </w:tcBorders>
            <w:shd w:val="clear" w:color="auto" w:fill="auto"/>
            <w:vAlign w:val="center"/>
            <w:hideMark/>
          </w:tcPr>
          <w:p w14:paraId="598B1CDC" w14:textId="0E73BCF9" w:rsidR="004071F1" w:rsidRPr="00D92E20" w:rsidRDefault="004071F1" w:rsidP="004071F1">
            <w:pPr>
              <w:spacing w:after="0" w:line="240" w:lineRule="auto"/>
              <w:jc w:val="right"/>
              <w:rPr>
                <w:rFonts w:cs="Arial"/>
                <w:color w:val="000000"/>
                <w:sz w:val="16"/>
                <w:szCs w:val="16"/>
              </w:rPr>
            </w:pPr>
            <w:r>
              <w:rPr>
                <w:rFonts w:cs="Arial"/>
                <w:color w:val="000000"/>
                <w:sz w:val="16"/>
                <w:szCs w:val="16"/>
              </w:rPr>
              <w:t>1 065,8</w:t>
            </w:r>
          </w:p>
        </w:tc>
        <w:tc>
          <w:tcPr>
            <w:tcW w:w="754" w:type="dxa"/>
            <w:tcBorders>
              <w:top w:val="nil"/>
              <w:left w:val="single" w:sz="4" w:space="0" w:color="auto"/>
              <w:bottom w:val="nil"/>
              <w:right w:val="nil"/>
            </w:tcBorders>
            <w:shd w:val="clear" w:color="auto" w:fill="auto"/>
            <w:vAlign w:val="center"/>
            <w:hideMark/>
          </w:tcPr>
          <w:p w14:paraId="48DF088D" w14:textId="76B4DE4A" w:rsidR="004071F1" w:rsidRPr="00D92E20" w:rsidRDefault="004071F1" w:rsidP="004071F1">
            <w:pPr>
              <w:spacing w:after="0" w:line="240" w:lineRule="auto"/>
              <w:jc w:val="right"/>
              <w:rPr>
                <w:rFonts w:cs="Arial"/>
                <w:color w:val="000000"/>
                <w:sz w:val="16"/>
                <w:szCs w:val="16"/>
              </w:rPr>
            </w:pPr>
            <w:r>
              <w:rPr>
                <w:rFonts w:cs="Arial"/>
                <w:color w:val="000000"/>
                <w:sz w:val="16"/>
                <w:szCs w:val="16"/>
              </w:rPr>
              <w:t>23,3</w:t>
            </w:r>
          </w:p>
        </w:tc>
        <w:tc>
          <w:tcPr>
            <w:tcW w:w="709" w:type="dxa"/>
            <w:tcBorders>
              <w:top w:val="nil"/>
              <w:left w:val="nil"/>
              <w:bottom w:val="nil"/>
              <w:right w:val="nil"/>
            </w:tcBorders>
            <w:shd w:val="clear" w:color="auto" w:fill="auto"/>
            <w:vAlign w:val="center"/>
            <w:hideMark/>
          </w:tcPr>
          <w:p w14:paraId="2F57E0E4" w14:textId="6012358E" w:rsidR="004071F1" w:rsidRPr="00D92E20" w:rsidRDefault="004071F1" w:rsidP="004071F1">
            <w:pPr>
              <w:spacing w:after="0" w:line="240" w:lineRule="auto"/>
              <w:jc w:val="right"/>
              <w:rPr>
                <w:rFonts w:cs="Arial"/>
                <w:color w:val="000000"/>
                <w:sz w:val="16"/>
                <w:szCs w:val="16"/>
              </w:rPr>
            </w:pPr>
            <w:r>
              <w:rPr>
                <w:rFonts w:cs="Arial"/>
                <w:color w:val="000000"/>
                <w:sz w:val="16"/>
                <w:szCs w:val="16"/>
              </w:rPr>
              <w:t>15,6</w:t>
            </w:r>
          </w:p>
        </w:tc>
        <w:tc>
          <w:tcPr>
            <w:tcW w:w="709" w:type="dxa"/>
            <w:tcBorders>
              <w:top w:val="nil"/>
              <w:left w:val="nil"/>
              <w:bottom w:val="nil"/>
              <w:right w:val="single" w:sz="4" w:space="0" w:color="auto"/>
            </w:tcBorders>
            <w:shd w:val="clear" w:color="auto" w:fill="auto"/>
            <w:vAlign w:val="center"/>
            <w:hideMark/>
          </w:tcPr>
          <w:p w14:paraId="595B523C" w14:textId="72291D84" w:rsidR="004071F1" w:rsidRPr="00D92E20" w:rsidRDefault="004071F1" w:rsidP="004071F1">
            <w:pPr>
              <w:spacing w:after="0" w:line="240" w:lineRule="auto"/>
              <w:jc w:val="right"/>
              <w:rPr>
                <w:rFonts w:cs="Arial"/>
                <w:color w:val="000000"/>
                <w:sz w:val="16"/>
                <w:szCs w:val="16"/>
              </w:rPr>
            </w:pPr>
            <w:r>
              <w:rPr>
                <w:rFonts w:cs="Arial"/>
                <w:color w:val="000000"/>
                <w:sz w:val="16"/>
                <w:szCs w:val="16"/>
              </w:rPr>
              <w:t>7,7</w:t>
            </w:r>
          </w:p>
        </w:tc>
        <w:tc>
          <w:tcPr>
            <w:tcW w:w="709" w:type="dxa"/>
            <w:tcBorders>
              <w:top w:val="nil"/>
              <w:left w:val="nil"/>
              <w:bottom w:val="nil"/>
              <w:right w:val="nil"/>
            </w:tcBorders>
            <w:shd w:val="clear" w:color="auto" w:fill="auto"/>
            <w:vAlign w:val="center"/>
            <w:hideMark/>
          </w:tcPr>
          <w:p w14:paraId="1F6EA59C" w14:textId="72A165C2" w:rsidR="004071F1" w:rsidRPr="00D92E20" w:rsidRDefault="004071F1" w:rsidP="004071F1">
            <w:pPr>
              <w:spacing w:after="0" w:line="240" w:lineRule="auto"/>
              <w:jc w:val="right"/>
              <w:rPr>
                <w:rFonts w:cs="Arial"/>
                <w:color w:val="000000"/>
                <w:sz w:val="16"/>
                <w:szCs w:val="16"/>
              </w:rPr>
            </w:pPr>
            <w:r>
              <w:rPr>
                <w:rFonts w:cs="Arial"/>
                <w:color w:val="000000"/>
                <w:sz w:val="16"/>
                <w:szCs w:val="16"/>
              </w:rPr>
              <w:t>88,2</w:t>
            </w:r>
          </w:p>
        </w:tc>
        <w:tc>
          <w:tcPr>
            <w:tcW w:w="709" w:type="dxa"/>
            <w:tcBorders>
              <w:top w:val="nil"/>
              <w:left w:val="nil"/>
              <w:bottom w:val="nil"/>
              <w:right w:val="nil"/>
            </w:tcBorders>
            <w:shd w:val="clear" w:color="auto" w:fill="auto"/>
            <w:vAlign w:val="center"/>
            <w:hideMark/>
          </w:tcPr>
          <w:p w14:paraId="72D41508" w14:textId="37908822" w:rsidR="004071F1" w:rsidRPr="00D92E20" w:rsidRDefault="004071F1" w:rsidP="004071F1">
            <w:pPr>
              <w:spacing w:after="0" w:line="240" w:lineRule="auto"/>
              <w:jc w:val="right"/>
              <w:rPr>
                <w:rFonts w:cs="Arial"/>
                <w:color w:val="000000"/>
                <w:sz w:val="16"/>
                <w:szCs w:val="16"/>
              </w:rPr>
            </w:pPr>
            <w:r>
              <w:rPr>
                <w:rFonts w:cs="Arial"/>
                <w:color w:val="000000"/>
                <w:sz w:val="16"/>
                <w:szCs w:val="16"/>
              </w:rPr>
              <w:t>53,8</w:t>
            </w:r>
          </w:p>
        </w:tc>
        <w:tc>
          <w:tcPr>
            <w:tcW w:w="709" w:type="dxa"/>
            <w:tcBorders>
              <w:top w:val="nil"/>
              <w:left w:val="nil"/>
              <w:bottom w:val="nil"/>
              <w:right w:val="nil"/>
            </w:tcBorders>
            <w:shd w:val="clear" w:color="auto" w:fill="auto"/>
            <w:vAlign w:val="center"/>
            <w:hideMark/>
          </w:tcPr>
          <w:p w14:paraId="4D37B90F" w14:textId="674DFCA2" w:rsidR="004071F1" w:rsidRPr="00D92E20" w:rsidRDefault="004071F1" w:rsidP="004071F1">
            <w:pPr>
              <w:spacing w:after="0" w:line="240" w:lineRule="auto"/>
              <w:jc w:val="right"/>
              <w:rPr>
                <w:rFonts w:cs="Arial"/>
                <w:color w:val="000000"/>
                <w:sz w:val="16"/>
                <w:szCs w:val="16"/>
              </w:rPr>
            </w:pPr>
            <w:r>
              <w:rPr>
                <w:rFonts w:cs="Arial"/>
                <w:color w:val="000000"/>
                <w:sz w:val="16"/>
                <w:szCs w:val="16"/>
              </w:rPr>
              <w:t>34,4</w:t>
            </w:r>
          </w:p>
        </w:tc>
      </w:tr>
    </w:tbl>
    <w:p w14:paraId="79E13011" w14:textId="77777777" w:rsidR="00C44482" w:rsidRPr="00D92E20" w:rsidRDefault="00C44482" w:rsidP="00C44482">
      <w:pPr>
        <w:spacing w:before="120" w:after="120" w:line="240" w:lineRule="auto"/>
        <w:jc w:val="both"/>
        <w:rPr>
          <w:rFonts w:cs="Arial"/>
          <w:color w:val="000000"/>
          <w:sz w:val="16"/>
          <w:szCs w:val="16"/>
        </w:rPr>
      </w:pPr>
      <w:r w:rsidRPr="00D92E20">
        <w:rPr>
          <w:rFonts w:cs="Arial"/>
          <w:color w:val="000000"/>
          <w:sz w:val="16"/>
          <w:szCs w:val="16"/>
        </w:rPr>
        <w:t>Zdroj: ČSÚ</w:t>
      </w:r>
    </w:p>
    <w:p w14:paraId="5B1B8D28" w14:textId="6D9F1314" w:rsidR="00265606" w:rsidRDefault="00265606" w:rsidP="00265606">
      <w:pPr>
        <w:spacing w:before="120" w:after="120"/>
        <w:jc w:val="both"/>
      </w:pPr>
      <w:r>
        <w:t xml:space="preserve">Loňské 1. pololetí, kdy </w:t>
      </w:r>
      <w:r w:rsidR="002E4CAA" w:rsidRPr="00D92E20">
        <w:t xml:space="preserve">do pracovní neschopnosti </w:t>
      </w:r>
      <w:r>
        <w:t xml:space="preserve">nepatrně </w:t>
      </w:r>
      <w:r w:rsidR="00DF284E">
        <w:t>častěji</w:t>
      </w:r>
      <w:r w:rsidR="002E4CAA" w:rsidRPr="00D92E20">
        <w:t xml:space="preserve"> </w:t>
      </w:r>
      <w:r w:rsidRPr="00D92E20">
        <w:t>nastupoval</w:t>
      </w:r>
      <w:r>
        <w:t>i muži, představovalo výjimku. V 1. pol. 2022</w:t>
      </w:r>
      <w:r w:rsidR="00DF284E" w:rsidRPr="00265606">
        <w:rPr>
          <w:b/>
        </w:rPr>
        <w:t xml:space="preserve"> </w:t>
      </w:r>
      <w:r w:rsidR="00794B90" w:rsidRPr="00265606">
        <w:rPr>
          <w:b/>
        </w:rPr>
        <w:t xml:space="preserve">v počtu neschopenek </w:t>
      </w:r>
      <w:r>
        <w:rPr>
          <w:b/>
        </w:rPr>
        <w:t xml:space="preserve">opět </w:t>
      </w:r>
      <w:r w:rsidR="00DF284E" w:rsidRPr="00265606">
        <w:rPr>
          <w:b/>
        </w:rPr>
        <w:t>převládal</w:t>
      </w:r>
      <w:r w:rsidR="007872B7">
        <w:rPr>
          <w:b/>
        </w:rPr>
        <w:t>y</w:t>
      </w:r>
      <w:r w:rsidR="00DF284E" w:rsidRPr="00265606">
        <w:rPr>
          <w:b/>
        </w:rPr>
        <w:t xml:space="preserve"> </w:t>
      </w:r>
      <w:r w:rsidR="007872B7">
        <w:rPr>
          <w:b/>
        </w:rPr>
        <w:t>ženy</w:t>
      </w:r>
      <w:r w:rsidR="002E4CAA" w:rsidRPr="00D92E20">
        <w:t xml:space="preserve">. </w:t>
      </w:r>
      <w:r w:rsidR="007872B7">
        <w:t>Muži n</w:t>
      </w:r>
      <w:r w:rsidR="002E4CAA" w:rsidRPr="00D92E20">
        <w:t>ahlásil</w:t>
      </w:r>
      <w:r w:rsidR="005E16DB">
        <w:t>i</w:t>
      </w:r>
      <w:r w:rsidR="002E4CAA" w:rsidRPr="00D92E20">
        <w:t xml:space="preserve"> </w:t>
      </w:r>
      <w:r w:rsidR="005E16DB">
        <w:t xml:space="preserve">celkem </w:t>
      </w:r>
      <w:r>
        <w:t>946</w:t>
      </w:r>
      <w:r w:rsidR="00794B90">
        <w:t xml:space="preserve"> tis. případů, zatímco </w:t>
      </w:r>
      <w:r w:rsidR="00794B90">
        <w:lastRenderedPageBreak/>
        <w:t xml:space="preserve">ženy </w:t>
      </w:r>
      <w:r w:rsidR="00315DF2">
        <w:t xml:space="preserve">1 108 tis. případů (tj. </w:t>
      </w:r>
      <w:r w:rsidR="00794B90">
        <w:t xml:space="preserve">o </w:t>
      </w:r>
      <w:r>
        <w:t>nebývalých 162 tis.</w:t>
      </w:r>
      <w:r w:rsidR="00794B90">
        <w:t xml:space="preserve"> </w:t>
      </w:r>
      <w:r w:rsidR="005E16DB">
        <w:t xml:space="preserve">neschopností </w:t>
      </w:r>
      <w:r>
        <w:t>více</w:t>
      </w:r>
      <w:r w:rsidR="00315DF2">
        <w:t>)</w:t>
      </w:r>
      <w:r w:rsidR="00794B90">
        <w:t xml:space="preserve">. </w:t>
      </w:r>
      <w:r>
        <w:t xml:space="preserve">Procentuálně tak </w:t>
      </w:r>
      <w:r w:rsidR="00315DF2">
        <w:t xml:space="preserve">ženy </w:t>
      </w:r>
      <w:r>
        <w:t>zaujímaly 54 % všech neschopenek.</w:t>
      </w:r>
    </w:p>
    <w:p w14:paraId="4EFDFAE1" w14:textId="1C3B8A41" w:rsidR="002E4CAA" w:rsidRPr="00B75B87" w:rsidRDefault="005E16DB" w:rsidP="00265606">
      <w:pPr>
        <w:spacing w:before="120" w:after="120"/>
        <w:jc w:val="both"/>
      </w:pPr>
      <w:r>
        <w:t xml:space="preserve">Pokud se zaměříme na </w:t>
      </w:r>
      <w:r w:rsidR="002E4CAA" w:rsidRPr="00D92E20">
        <w:t xml:space="preserve">dočasné pracovní neschopnosti </w:t>
      </w:r>
      <w:r w:rsidR="002E4CAA" w:rsidRPr="00265606">
        <w:rPr>
          <w:b/>
        </w:rPr>
        <w:t>pro nemoc</w:t>
      </w:r>
      <w:r w:rsidRPr="005E16DB">
        <w:t xml:space="preserve">, </w:t>
      </w:r>
      <w:r w:rsidR="00265606">
        <w:t>je rozdíl ještě větší. Ženy vykázaly 1</w:t>
      </w:r>
      <w:r w:rsidR="00923F2E">
        <w:t> </w:t>
      </w:r>
      <w:r w:rsidR="00265606">
        <w:t>066</w:t>
      </w:r>
      <w:r w:rsidR="00923F2E">
        <w:t> </w:t>
      </w:r>
      <w:r w:rsidR="00265606">
        <w:t>tis. případů, což je o 189 tis. více než muži.</w:t>
      </w:r>
      <w:r w:rsidR="00B75B87">
        <w:t xml:space="preserve"> Srovnáme-li současný stav s obdobím před pandemií (tedy s</w:t>
      </w:r>
      <w:r w:rsidR="00EC684E">
        <w:t> </w:t>
      </w:r>
      <w:r w:rsidR="00B75B87">
        <w:t>1.</w:t>
      </w:r>
      <w:r w:rsidR="00EC684E">
        <w:t> </w:t>
      </w:r>
      <w:r w:rsidR="00B75B87">
        <w:t xml:space="preserve">pol. 2019), počet neschopenek pro nemoc </w:t>
      </w:r>
      <w:r w:rsidR="00EC684E">
        <w:t>se více než zdvojnásobil. U</w:t>
      </w:r>
      <w:r w:rsidR="00B75B87">
        <w:t xml:space="preserve"> mužů vzrostl </w:t>
      </w:r>
      <w:r w:rsidR="00EC684E">
        <w:t>o 125</w:t>
      </w:r>
      <w:r w:rsidR="00B75B87">
        <w:t xml:space="preserve"> % (+</w:t>
      </w:r>
      <w:r w:rsidR="00EC684E">
        <w:t>487</w:t>
      </w:r>
      <w:r w:rsidR="00B75B87">
        <w:t xml:space="preserve"> tis.), zatímco u žen o </w:t>
      </w:r>
      <w:r w:rsidR="00E85509">
        <w:t>1</w:t>
      </w:r>
      <w:r w:rsidR="00EC684E">
        <w:t>21</w:t>
      </w:r>
      <w:r w:rsidR="00B75B87">
        <w:t xml:space="preserve"> % (+</w:t>
      </w:r>
      <w:r w:rsidR="00EC684E">
        <w:t>583</w:t>
      </w:r>
      <w:r w:rsidR="00B75B87">
        <w:t xml:space="preserve"> tis.).</w:t>
      </w:r>
    </w:p>
    <w:p w14:paraId="008E6993" w14:textId="476D2DB1" w:rsidR="002E4CAA" w:rsidRPr="00D92E20" w:rsidRDefault="002E4CAA" w:rsidP="00BA6B4E">
      <w:pPr>
        <w:spacing w:before="120" w:after="120"/>
        <w:jc w:val="both"/>
        <w:rPr>
          <w:bCs/>
        </w:rPr>
      </w:pPr>
      <w:r w:rsidRPr="00D92E20">
        <w:rPr>
          <w:bCs/>
        </w:rPr>
        <w:t xml:space="preserve">Z celkového počtu nově hlášených případů PN (pracovní neschopnosti) pro </w:t>
      </w:r>
      <w:r w:rsidRPr="00D92E20">
        <w:rPr>
          <w:b/>
          <w:bCs/>
        </w:rPr>
        <w:t>pracovní úrazy</w:t>
      </w:r>
      <w:r w:rsidRPr="00D92E20">
        <w:rPr>
          <w:bCs/>
        </w:rPr>
        <w:t xml:space="preserve"> připadala v</w:t>
      </w:r>
      <w:r w:rsidR="00511B87">
        <w:rPr>
          <w:bCs/>
        </w:rPr>
        <w:t> 1.</w:t>
      </w:r>
      <w:r w:rsidR="00CD63E8">
        <w:rPr>
          <w:bCs/>
        </w:rPr>
        <w:t> </w:t>
      </w:r>
      <w:r w:rsidR="00511B87">
        <w:rPr>
          <w:bCs/>
        </w:rPr>
        <w:t>pol.</w:t>
      </w:r>
      <w:r w:rsidR="00CD63E8">
        <w:rPr>
          <w:bCs/>
        </w:rPr>
        <w:t> </w:t>
      </w:r>
      <w:r w:rsidR="00511B87">
        <w:rPr>
          <w:bCs/>
        </w:rPr>
        <w:t>202</w:t>
      </w:r>
      <w:r w:rsidR="00EC684E">
        <w:rPr>
          <w:bCs/>
        </w:rPr>
        <w:t>2</w:t>
      </w:r>
      <w:r w:rsidRPr="00D92E20">
        <w:rPr>
          <w:bCs/>
        </w:rPr>
        <w:t xml:space="preserve"> na ženy třetina z nich. Tato skutečnost je dána i odlišnou odvětvovou strukturou zaměstnanosti žen a mužů. Odvětví, kde převládají muži a vyskytují se zvýšená rizika pracovního úrazu, jsou např. Těžba a dobývání, Zpracovatelský průmysl, Stavebnictví, Doprava a skladování či Zemědělství, lesnictví, rybářství. Naopak odvětvové sekce, kde převažují v zaměstnání ženy a rizika pracovních úrazů bývají méně častá, jsou Peněžnictví a pojišťovnictví, Veřejná správa, Vzdělávání nebo Zdravotní a sociální péče.</w:t>
      </w:r>
    </w:p>
    <w:p w14:paraId="7274EC17" w14:textId="04D438C5" w:rsidR="00192BCA" w:rsidRPr="00D92E20" w:rsidRDefault="00511B87" w:rsidP="00BA6B4E">
      <w:pPr>
        <w:spacing w:before="120" w:after="120"/>
        <w:jc w:val="both"/>
        <w:rPr>
          <w:bCs/>
        </w:rPr>
      </w:pPr>
      <w:r>
        <w:rPr>
          <w:bCs/>
        </w:rPr>
        <w:t>Až do 1. pol. 2020 byl</w:t>
      </w:r>
      <w:r w:rsidR="00192BCA" w:rsidRPr="00D92E20">
        <w:rPr>
          <w:bCs/>
        </w:rPr>
        <w:t xml:space="preserve"> </w:t>
      </w:r>
      <w:r w:rsidR="009A1D80">
        <w:rPr>
          <w:bCs/>
        </w:rPr>
        <w:t xml:space="preserve">u </w:t>
      </w:r>
      <w:r w:rsidR="00192BCA" w:rsidRPr="00D92E20">
        <w:rPr>
          <w:bCs/>
        </w:rPr>
        <w:t xml:space="preserve">pracovních neschopností </w:t>
      </w:r>
      <w:r w:rsidR="009A1D80" w:rsidRPr="009F305A">
        <w:rPr>
          <w:b/>
          <w:bCs/>
        </w:rPr>
        <w:t>z důvodu nemoci</w:t>
      </w:r>
      <w:r w:rsidR="00192BCA" w:rsidRPr="00D92E20">
        <w:rPr>
          <w:bCs/>
        </w:rPr>
        <w:t xml:space="preserve"> podíl </w:t>
      </w:r>
      <w:r w:rsidR="00192BCA" w:rsidRPr="00D92E20">
        <w:rPr>
          <w:b/>
          <w:bCs/>
        </w:rPr>
        <w:t xml:space="preserve">podle pohlaví </w:t>
      </w:r>
      <w:r w:rsidR="00192BCA" w:rsidRPr="00D92E20">
        <w:rPr>
          <w:bCs/>
        </w:rPr>
        <w:t>dlouhodobě relativně konstantní</w:t>
      </w:r>
      <w:r w:rsidR="009A1D80">
        <w:rPr>
          <w:bCs/>
        </w:rPr>
        <w:t>. Neschopenky mužů činily maximálně 46 %. V 1. pol. 2021 se podíl zvýšil na 49 %</w:t>
      </w:r>
      <w:r w:rsidR="00EC684E">
        <w:rPr>
          <w:bCs/>
        </w:rPr>
        <w:t xml:space="preserve"> a o rok později opět poklesl na 45 %. </w:t>
      </w:r>
      <w:r w:rsidR="009A1D80">
        <w:rPr>
          <w:bCs/>
        </w:rPr>
        <w:t>U</w:t>
      </w:r>
      <w:r w:rsidR="00192BCA" w:rsidRPr="00D92E20">
        <w:rPr>
          <w:bCs/>
        </w:rPr>
        <w:t xml:space="preserve"> pracovních neschopností zapříčiněných úrazem podíl žen v čase roste. Toto je zřejmé zejména u jiných než pracovních úrazů, kdy v</w:t>
      </w:r>
      <w:r w:rsidR="009A1D80">
        <w:rPr>
          <w:bCs/>
        </w:rPr>
        <w:t> 1. pol. 201</w:t>
      </w:r>
      <w:r w:rsidR="00EC684E">
        <w:rPr>
          <w:bCs/>
        </w:rPr>
        <w:t>2</w:t>
      </w:r>
      <w:r w:rsidR="00192BCA" w:rsidRPr="00D92E20">
        <w:rPr>
          <w:bCs/>
        </w:rPr>
        <w:t xml:space="preserve"> </w:t>
      </w:r>
      <w:r w:rsidR="009A1D80" w:rsidRPr="00D92E20">
        <w:rPr>
          <w:bCs/>
        </w:rPr>
        <w:t xml:space="preserve">ženy </w:t>
      </w:r>
      <w:r w:rsidR="00192BCA" w:rsidRPr="00D92E20">
        <w:rPr>
          <w:bCs/>
        </w:rPr>
        <w:t xml:space="preserve">nahlásily </w:t>
      </w:r>
      <w:r w:rsidR="009A1D80">
        <w:rPr>
          <w:bCs/>
        </w:rPr>
        <w:t>1</w:t>
      </w:r>
      <w:r w:rsidR="00EC684E">
        <w:rPr>
          <w:bCs/>
        </w:rPr>
        <w:t>9</w:t>
      </w:r>
      <w:r w:rsidR="00192BCA" w:rsidRPr="00D92E20">
        <w:rPr>
          <w:bCs/>
        </w:rPr>
        <w:t xml:space="preserve"> tis. případů, </w:t>
      </w:r>
      <w:r w:rsidR="009A1D80">
        <w:rPr>
          <w:bCs/>
        </w:rPr>
        <w:t>kdežto za 1. pol. 202</w:t>
      </w:r>
      <w:r w:rsidR="00EC684E">
        <w:rPr>
          <w:bCs/>
        </w:rPr>
        <w:t>2</w:t>
      </w:r>
      <w:r w:rsidR="00192BCA" w:rsidRPr="00D92E20">
        <w:rPr>
          <w:bCs/>
        </w:rPr>
        <w:t xml:space="preserve"> to byl</w:t>
      </w:r>
      <w:r w:rsidR="009A1D80">
        <w:rPr>
          <w:bCs/>
        </w:rPr>
        <w:t>o více než 3</w:t>
      </w:r>
      <w:r w:rsidR="00EC684E">
        <w:rPr>
          <w:bCs/>
        </w:rPr>
        <w:t>4</w:t>
      </w:r>
      <w:r w:rsidR="009A1D80">
        <w:rPr>
          <w:bCs/>
        </w:rPr>
        <w:t xml:space="preserve"> tis. úrazů.</w:t>
      </w:r>
      <w:r w:rsidR="00192BCA" w:rsidRPr="00D92E20">
        <w:rPr>
          <w:bCs/>
        </w:rPr>
        <w:t xml:space="preserve"> </w:t>
      </w:r>
      <w:r w:rsidR="009A1D80">
        <w:rPr>
          <w:bCs/>
        </w:rPr>
        <w:t>Absolutní n</w:t>
      </w:r>
      <w:r w:rsidR="00192BCA" w:rsidRPr="00D92E20">
        <w:rPr>
          <w:bCs/>
        </w:rPr>
        <w:t xml:space="preserve">árůst je však patrný i u mužů, počet nově hlášených případů pracovní neschopnosti z důvodu </w:t>
      </w:r>
      <w:r w:rsidR="00192BCA" w:rsidRPr="00D92E20">
        <w:rPr>
          <w:b/>
          <w:bCs/>
        </w:rPr>
        <w:t>nepracovních (ostatních) úrazů</w:t>
      </w:r>
      <w:r w:rsidR="00192BCA" w:rsidRPr="00D92E20">
        <w:rPr>
          <w:bCs/>
        </w:rPr>
        <w:t xml:space="preserve"> v</w:t>
      </w:r>
      <w:r w:rsidR="009A1D80">
        <w:rPr>
          <w:bCs/>
        </w:rPr>
        <w:t> 1. pol. 201</w:t>
      </w:r>
      <w:r w:rsidR="00EC684E">
        <w:rPr>
          <w:bCs/>
        </w:rPr>
        <w:t>2</w:t>
      </w:r>
      <w:r w:rsidR="00192BCA" w:rsidRPr="00D92E20">
        <w:rPr>
          <w:bCs/>
        </w:rPr>
        <w:t xml:space="preserve"> </w:t>
      </w:r>
      <w:r w:rsidR="009A1D80" w:rsidRPr="00D92E20">
        <w:rPr>
          <w:bCs/>
        </w:rPr>
        <w:t xml:space="preserve">činil </w:t>
      </w:r>
      <w:r w:rsidR="00EC684E">
        <w:rPr>
          <w:bCs/>
        </w:rPr>
        <w:t>35</w:t>
      </w:r>
      <w:r w:rsidR="009A1D80">
        <w:rPr>
          <w:bCs/>
        </w:rPr>
        <w:t xml:space="preserve"> tis., za 1. pol.</w:t>
      </w:r>
      <w:r w:rsidR="002A1CEC" w:rsidRPr="00D92E20">
        <w:rPr>
          <w:bCs/>
        </w:rPr>
        <w:t xml:space="preserve"> 202</w:t>
      </w:r>
      <w:r w:rsidR="00EC684E">
        <w:rPr>
          <w:bCs/>
        </w:rPr>
        <w:t>2</w:t>
      </w:r>
      <w:r w:rsidR="00192BCA" w:rsidRPr="00D92E20">
        <w:rPr>
          <w:bCs/>
        </w:rPr>
        <w:t xml:space="preserve"> se blíž</w:t>
      </w:r>
      <w:r w:rsidR="002A1CEC" w:rsidRPr="00D92E20">
        <w:rPr>
          <w:bCs/>
        </w:rPr>
        <w:t>il</w:t>
      </w:r>
      <w:r w:rsidR="00192BCA" w:rsidRPr="00D92E20">
        <w:rPr>
          <w:bCs/>
        </w:rPr>
        <w:t xml:space="preserve"> </w:t>
      </w:r>
      <w:r w:rsidR="00EC684E">
        <w:rPr>
          <w:bCs/>
        </w:rPr>
        <w:t>54</w:t>
      </w:r>
      <w:r w:rsidR="00192BCA" w:rsidRPr="00D92E20">
        <w:rPr>
          <w:bCs/>
        </w:rPr>
        <w:t xml:space="preserve"> tis.</w:t>
      </w:r>
    </w:p>
    <w:p w14:paraId="599810FF" w14:textId="585FB3F5" w:rsidR="009A1D80" w:rsidRDefault="00192BCA" w:rsidP="00BA6B4E">
      <w:pPr>
        <w:spacing w:before="120" w:after="120"/>
        <w:jc w:val="both"/>
        <w:rPr>
          <w:bCs/>
        </w:rPr>
      </w:pPr>
      <w:r w:rsidRPr="007941AC">
        <w:rPr>
          <w:rFonts w:cs="Arial"/>
          <w:b/>
          <w:bCs/>
        </w:rPr>
        <w:t>Meziroční</w:t>
      </w:r>
      <w:r w:rsidRPr="00D92E20">
        <w:rPr>
          <w:rFonts w:cs="Arial"/>
        </w:rPr>
        <w:t xml:space="preserve"> nárůst pracovní neschopnosti </w:t>
      </w:r>
      <w:r w:rsidR="00EC684E">
        <w:rPr>
          <w:rFonts w:cs="Arial"/>
          <w:b/>
        </w:rPr>
        <w:t>žen</w:t>
      </w:r>
      <w:r w:rsidRPr="00D92E20">
        <w:rPr>
          <w:rFonts w:cs="Arial"/>
        </w:rPr>
        <w:t xml:space="preserve"> byl vyšší než u </w:t>
      </w:r>
      <w:r w:rsidR="00EC684E">
        <w:rPr>
          <w:rFonts w:cs="Arial"/>
        </w:rPr>
        <w:t>mužů</w:t>
      </w:r>
      <w:r w:rsidRPr="00D92E20">
        <w:rPr>
          <w:rFonts w:cs="Arial"/>
        </w:rPr>
        <w:t xml:space="preserve">. Absolutní počet nově hlášených případů pracovní neschopnosti </w:t>
      </w:r>
      <w:r w:rsidR="00EC684E">
        <w:rPr>
          <w:rFonts w:cs="Arial"/>
        </w:rPr>
        <w:t>žen</w:t>
      </w:r>
      <w:r w:rsidRPr="00D92E20">
        <w:rPr>
          <w:rFonts w:cs="Arial"/>
        </w:rPr>
        <w:t xml:space="preserve"> se meziročně zvýšil z </w:t>
      </w:r>
      <w:r w:rsidR="00EC684E">
        <w:rPr>
          <w:rFonts w:cs="Arial"/>
        </w:rPr>
        <w:t>699</w:t>
      </w:r>
      <w:r w:rsidRPr="00D92E20">
        <w:rPr>
          <w:rFonts w:cs="Arial"/>
        </w:rPr>
        <w:t xml:space="preserve"> tis. případů (</w:t>
      </w:r>
      <w:r w:rsidR="000675AD" w:rsidRPr="00D92E20">
        <w:rPr>
          <w:rFonts w:cs="Arial"/>
        </w:rPr>
        <w:t xml:space="preserve">u </w:t>
      </w:r>
      <w:r w:rsidR="00EC684E">
        <w:rPr>
          <w:rFonts w:cs="Arial"/>
        </w:rPr>
        <w:t>mužů</w:t>
      </w:r>
      <w:r w:rsidRPr="00D92E20">
        <w:rPr>
          <w:rFonts w:cs="Arial"/>
        </w:rPr>
        <w:t xml:space="preserve"> </w:t>
      </w:r>
      <w:r w:rsidR="000675AD" w:rsidRPr="00D92E20">
        <w:rPr>
          <w:rFonts w:cs="Arial"/>
        </w:rPr>
        <w:t>z</w:t>
      </w:r>
      <w:r w:rsidR="00EC684E">
        <w:rPr>
          <w:rFonts w:cs="Arial"/>
        </w:rPr>
        <w:t>e</w:t>
      </w:r>
      <w:r w:rsidR="000675AD" w:rsidRPr="00D92E20">
        <w:rPr>
          <w:rFonts w:cs="Arial"/>
        </w:rPr>
        <w:t xml:space="preserve"> </w:t>
      </w:r>
      <w:r w:rsidR="00EC684E">
        <w:rPr>
          <w:rFonts w:cs="Arial"/>
        </w:rPr>
        <w:t>701</w:t>
      </w:r>
      <w:r w:rsidRPr="00D92E20">
        <w:rPr>
          <w:rFonts w:cs="Arial"/>
        </w:rPr>
        <w:t xml:space="preserve"> tis. případů) v</w:t>
      </w:r>
      <w:r w:rsidR="009A1D80">
        <w:rPr>
          <w:rFonts w:cs="Arial"/>
        </w:rPr>
        <w:t> 1. pol. 202</w:t>
      </w:r>
      <w:r w:rsidR="00EC684E">
        <w:rPr>
          <w:rFonts w:cs="Arial"/>
        </w:rPr>
        <w:t>1</w:t>
      </w:r>
      <w:r w:rsidRPr="00D92E20">
        <w:rPr>
          <w:rFonts w:cs="Arial"/>
        </w:rPr>
        <w:t xml:space="preserve"> na </w:t>
      </w:r>
      <w:r w:rsidR="00EC684E">
        <w:rPr>
          <w:rFonts w:cs="Arial"/>
        </w:rPr>
        <w:t>1 108</w:t>
      </w:r>
      <w:r w:rsidRPr="00D92E20">
        <w:rPr>
          <w:rFonts w:cs="Arial"/>
        </w:rPr>
        <w:t xml:space="preserve"> tis. případů (</w:t>
      </w:r>
      <w:r w:rsidR="000675AD" w:rsidRPr="00D92E20">
        <w:rPr>
          <w:rFonts w:cs="Arial"/>
        </w:rPr>
        <w:t xml:space="preserve">u </w:t>
      </w:r>
      <w:r w:rsidR="00EC684E">
        <w:rPr>
          <w:rFonts w:cs="Arial"/>
        </w:rPr>
        <w:t>mužů</w:t>
      </w:r>
      <w:r w:rsidR="000675AD" w:rsidRPr="00D92E20">
        <w:rPr>
          <w:rFonts w:cs="Arial"/>
        </w:rPr>
        <w:t xml:space="preserve"> na</w:t>
      </w:r>
      <w:r w:rsidRPr="00D92E20">
        <w:rPr>
          <w:rFonts w:cs="Arial"/>
        </w:rPr>
        <w:t xml:space="preserve"> </w:t>
      </w:r>
      <w:r w:rsidR="00EC684E">
        <w:rPr>
          <w:rFonts w:cs="Arial"/>
        </w:rPr>
        <w:t>946</w:t>
      </w:r>
      <w:r w:rsidRPr="00D92E20">
        <w:rPr>
          <w:rFonts w:cs="Arial"/>
        </w:rPr>
        <w:t xml:space="preserve"> tis. případů) v</w:t>
      </w:r>
      <w:r w:rsidR="009A1D80">
        <w:rPr>
          <w:rFonts w:cs="Arial"/>
        </w:rPr>
        <w:t> 1. pol. 202</w:t>
      </w:r>
      <w:r w:rsidR="00EC684E">
        <w:rPr>
          <w:rFonts w:cs="Arial"/>
        </w:rPr>
        <w:t>2</w:t>
      </w:r>
      <w:r w:rsidR="00D872A2">
        <w:rPr>
          <w:rFonts w:cs="Arial"/>
        </w:rPr>
        <w:t>.</w:t>
      </w:r>
      <w:r w:rsidRPr="00D92E20">
        <w:rPr>
          <w:rFonts w:cs="Arial"/>
        </w:rPr>
        <w:t xml:space="preserve"> </w:t>
      </w:r>
      <w:r w:rsidR="00D872A2">
        <w:rPr>
          <w:rFonts w:cs="Arial"/>
        </w:rPr>
        <w:t>V</w:t>
      </w:r>
      <w:r w:rsidRPr="00D92E20">
        <w:rPr>
          <w:rFonts w:cs="Arial"/>
        </w:rPr>
        <w:t xml:space="preserve">zrostl </w:t>
      </w:r>
      <w:r w:rsidR="00D872A2">
        <w:rPr>
          <w:rFonts w:cs="Arial"/>
        </w:rPr>
        <w:t xml:space="preserve">tak </w:t>
      </w:r>
      <w:r w:rsidRPr="00D92E20">
        <w:rPr>
          <w:rFonts w:cs="Arial"/>
        </w:rPr>
        <w:t xml:space="preserve">o </w:t>
      </w:r>
      <w:r w:rsidR="00EC684E">
        <w:rPr>
          <w:rFonts w:cs="Arial"/>
        </w:rPr>
        <w:t>59</w:t>
      </w:r>
      <w:r w:rsidRPr="00D92E20">
        <w:rPr>
          <w:rFonts w:cs="Arial"/>
        </w:rPr>
        <w:t xml:space="preserve"> </w:t>
      </w:r>
      <w:r w:rsidRPr="00D92E20">
        <w:rPr>
          <w:rFonts w:cs="Arial"/>
          <w:lang w:val="en-US"/>
        </w:rPr>
        <w:t xml:space="preserve">% </w:t>
      </w:r>
      <w:r w:rsidRPr="00D92E20">
        <w:rPr>
          <w:rFonts w:cs="Arial"/>
        </w:rPr>
        <w:t>(o </w:t>
      </w:r>
      <w:r w:rsidR="00EC684E">
        <w:rPr>
          <w:rFonts w:cs="Arial"/>
        </w:rPr>
        <w:t>35</w:t>
      </w:r>
      <w:r w:rsidRPr="00D92E20">
        <w:rPr>
          <w:rFonts w:cs="Arial"/>
        </w:rPr>
        <w:t xml:space="preserve"> </w:t>
      </w:r>
      <w:r w:rsidRPr="00D92E20">
        <w:rPr>
          <w:rFonts w:cs="Arial"/>
          <w:lang w:val="en-US"/>
        </w:rPr>
        <w:t>%</w:t>
      </w:r>
      <w:r w:rsidRPr="00D92E20">
        <w:rPr>
          <w:rFonts w:cs="Arial"/>
        </w:rPr>
        <w:t xml:space="preserve"> u </w:t>
      </w:r>
      <w:r w:rsidR="00EC684E">
        <w:rPr>
          <w:rFonts w:cs="Arial"/>
        </w:rPr>
        <w:t>mužů</w:t>
      </w:r>
      <w:r w:rsidRPr="00D92E20">
        <w:rPr>
          <w:rFonts w:cs="Arial"/>
        </w:rPr>
        <w:t xml:space="preserve">). </w:t>
      </w:r>
      <w:r w:rsidR="002A1A8B" w:rsidRPr="00D92E20">
        <w:rPr>
          <w:rFonts w:cs="Arial"/>
        </w:rPr>
        <w:t xml:space="preserve">Co se týče neschopností </w:t>
      </w:r>
      <w:r w:rsidR="002A1A8B" w:rsidRPr="009A1D80">
        <w:rPr>
          <w:rFonts w:cs="Arial"/>
          <w:b/>
        </w:rPr>
        <w:t>pro nemoc</w:t>
      </w:r>
      <w:r w:rsidR="002A1A8B" w:rsidRPr="00D92E20">
        <w:rPr>
          <w:rFonts w:cs="Arial"/>
        </w:rPr>
        <w:t>, v</w:t>
      </w:r>
      <w:r w:rsidR="002A1A8B" w:rsidRPr="00D92E20">
        <w:rPr>
          <w:bCs/>
        </w:rPr>
        <w:t xml:space="preserve"> případě </w:t>
      </w:r>
      <w:r w:rsidR="00EC684E">
        <w:rPr>
          <w:bCs/>
        </w:rPr>
        <w:t>žen</w:t>
      </w:r>
      <w:r w:rsidR="002A1A8B" w:rsidRPr="00D92E20">
        <w:rPr>
          <w:bCs/>
        </w:rPr>
        <w:t xml:space="preserve"> </w:t>
      </w:r>
      <w:r w:rsidR="00B44634" w:rsidRPr="00D92E20">
        <w:rPr>
          <w:bCs/>
        </w:rPr>
        <w:t>jejich počet v</w:t>
      </w:r>
      <w:r w:rsidR="00EC684E">
        <w:rPr>
          <w:bCs/>
        </w:rPr>
        <w:t> 1. pol. 2022</w:t>
      </w:r>
      <w:r w:rsidR="00B44634" w:rsidRPr="00D92E20">
        <w:rPr>
          <w:bCs/>
        </w:rPr>
        <w:t xml:space="preserve"> meziročně </w:t>
      </w:r>
      <w:r w:rsidR="002A1A8B" w:rsidRPr="00D92E20">
        <w:rPr>
          <w:bCs/>
        </w:rPr>
        <w:t xml:space="preserve">vzrostl o </w:t>
      </w:r>
      <w:r w:rsidR="00EC684E">
        <w:rPr>
          <w:bCs/>
        </w:rPr>
        <w:t>61</w:t>
      </w:r>
      <w:r w:rsidR="009A1D80">
        <w:rPr>
          <w:bCs/>
        </w:rPr>
        <w:t xml:space="preserve"> %</w:t>
      </w:r>
      <w:r w:rsidR="002A1A8B" w:rsidRPr="00D92E20">
        <w:rPr>
          <w:bCs/>
        </w:rPr>
        <w:t xml:space="preserve"> (</w:t>
      </w:r>
      <w:r w:rsidR="00EC684E">
        <w:rPr>
          <w:bCs/>
        </w:rPr>
        <w:t>40</w:t>
      </w:r>
      <w:r w:rsidR="0035708E">
        <w:rPr>
          <w:bCs/>
        </w:rPr>
        <w:t>5</w:t>
      </w:r>
      <w:r w:rsidR="00B44634" w:rsidRPr="00D92E20">
        <w:rPr>
          <w:bCs/>
        </w:rPr>
        <w:t> </w:t>
      </w:r>
      <w:r w:rsidR="002A1A8B" w:rsidRPr="00D92E20">
        <w:rPr>
          <w:bCs/>
        </w:rPr>
        <w:t>tis.), u</w:t>
      </w:r>
      <w:r w:rsidR="00EC684E">
        <w:rPr>
          <w:bCs/>
        </w:rPr>
        <w:t> mužů</w:t>
      </w:r>
      <w:r w:rsidR="002A1A8B" w:rsidRPr="00D92E20">
        <w:rPr>
          <w:bCs/>
        </w:rPr>
        <w:t xml:space="preserve"> to bylo o </w:t>
      </w:r>
      <w:r w:rsidR="00EC684E">
        <w:rPr>
          <w:bCs/>
        </w:rPr>
        <w:t>37 %</w:t>
      </w:r>
      <w:r w:rsidR="009A1D80">
        <w:rPr>
          <w:bCs/>
        </w:rPr>
        <w:t xml:space="preserve"> (</w:t>
      </w:r>
      <w:r w:rsidR="00EC684E">
        <w:rPr>
          <w:bCs/>
        </w:rPr>
        <w:t>238</w:t>
      </w:r>
      <w:r w:rsidR="009A1D80">
        <w:rPr>
          <w:bCs/>
        </w:rPr>
        <w:t xml:space="preserve"> tis.)</w:t>
      </w:r>
      <w:r w:rsidR="002A1A8B" w:rsidRPr="00D92E20">
        <w:rPr>
          <w:bCs/>
        </w:rPr>
        <w:t xml:space="preserve">. </w:t>
      </w:r>
    </w:p>
    <w:p w14:paraId="0A921756" w14:textId="1E3A94C9" w:rsidR="00192BCA" w:rsidRPr="00D92E20" w:rsidRDefault="00192BCA" w:rsidP="00BA6B4E">
      <w:pPr>
        <w:spacing w:before="120" w:after="120"/>
        <w:jc w:val="both"/>
        <w:rPr>
          <w:rFonts w:cs="Arial"/>
          <w:lang w:val="en-US"/>
        </w:rPr>
      </w:pPr>
      <w:r w:rsidRPr="00D92E20">
        <w:rPr>
          <w:rFonts w:cs="Arial"/>
        </w:rPr>
        <w:t xml:space="preserve">Z hlediska příčin se </w:t>
      </w:r>
      <w:r w:rsidR="009342FC">
        <w:rPr>
          <w:rFonts w:cs="Arial"/>
        </w:rPr>
        <w:t>1 066</w:t>
      </w:r>
      <w:r w:rsidRPr="00D92E20">
        <w:rPr>
          <w:rFonts w:cs="Arial"/>
        </w:rPr>
        <w:t xml:space="preserve"> tis. (</w:t>
      </w:r>
      <w:r w:rsidR="000652B4" w:rsidRPr="00D92E20">
        <w:rPr>
          <w:rFonts w:cs="Arial"/>
        </w:rPr>
        <w:t>9</w:t>
      </w:r>
      <w:r w:rsidR="009342FC">
        <w:rPr>
          <w:rFonts w:cs="Arial"/>
        </w:rPr>
        <w:t>6</w:t>
      </w:r>
      <w:r w:rsidRPr="00D92E20">
        <w:rPr>
          <w:rFonts w:cs="Arial"/>
        </w:rPr>
        <w:t xml:space="preserve"> %) nově hlášených případů dočasné pracovní neschopnosti </w:t>
      </w:r>
      <w:r w:rsidR="009342FC" w:rsidRPr="007941AC">
        <w:rPr>
          <w:rFonts w:cs="Arial"/>
          <w:b/>
          <w:bCs/>
        </w:rPr>
        <w:t>žen</w:t>
      </w:r>
      <w:r w:rsidRPr="00D92E20">
        <w:rPr>
          <w:rFonts w:cs="Arial"/>
        </w:rPr>
        <w:t xml:space="preserve"> týkalo nemoci, </w:t>
      </w:r>
      <w:r w:rsidR="009342FC">
        <w:rPr>
          <w:rFonts w:cs="Arial"/>
        </w:rPr>
        <w:t>8</w:t>
      </w:r>
      <w:r w:rsidRPr="00D92E20">
        <w:rPr>
          <w:rFonts w:cs="Arial"/>
        </w:rPr>
        <w:t> tis. (</w:t>
      </w:r>
      <w:r w:rsidR="009342FC">
        <w:rPr>
          <w:rFonts w:cs="Arial"/>
        </w:rPr>
        <w:t>0,7</w:t>
      </w:r>
      <w:r w:rsidRPr="00D92E20">
        <w:rPr>
          <w:rFonts w:cs="Arial"/>
        </w:rPr>
        <w:t xml:space="preserve"> %) pracovních úrazů a</w:t>
      </w:r>
      <w:r w:rsidR="00B44634" w:rsidRPr="00D92E20">
        <w:rPr>
          <w:rFonts w:cs="Arial"/>
        </w:rPr>
        <w:t> </w:t>
      </w:r>
      <w:r w:rsidR="009342FC">
        <w:rPr>
          <w:rFonts w:cs="Arial"/>
        </w:rPr>
        <w:t>34</w:t>
      </w:r>
      <w:r w:rsidR="00B44634" w:rsidRPr="00D92E20">
        <w:rPr>
          <w:rFonts w:cs="Arial"/>
        </w:rPr>
        <w:t> </w:t>
      </w:r>
      <w:r w:rsidRPr="00D92E20">
        <w:rPr>
          <w:rFonts w:cs="Arial"/>
        </w:rPr>
        <w:t>tis.</w:t>
      </w:r>
      <w:r w:rsidR="00B44634" w:rsidRPr="00D92E20">
        <w:rPr>
          <w:rFonts w:cs="Arial"/>
        </w:rPr>
        <w:t> </w:t>
      </w:r>
      <w:r w:rsidRPr="00D92E20">
        <w:rPr>
          <w:rFonts w:cs="Arial"/>
        </w:rPr>
        <w:t>(</w:t>
      </w:r>
      <w:r w:rsidR="009342FC">
        <w:rPr>
          <w:rFonts w:cs="Arial"/>
        </w:rPr>
        <w:t>3</w:t>
      </w:r>
      <w:r w:rsidRPr="00D92E20">
        <w:rPr>
          <w:rFonts w:cs="Arial"/>
        </w:rPr>
        <w:t xml:space="preserve"> %) ostatních úrazů. </w:t>
      </w:r>
      <w:r w:rsidR="009342FC">
        <w:rPr>
          <w:rFonts w:cs="Arial"/>
          <w:b/>
        </w:rPr>
        <w:t>Muži</w:t>
      </w:r>
      <w:r w:rsidRPr="00D92E20">
        <w:rPr>
          <w:rFonts w:cs="Arial"/>
        </w:rPr>
        <w:t xml:space="preserve"> </w:t>
      </w:r>
      <w:r w:rsidR="000675AD" w:rsidRPr="00D92E20">
        <w:rPr>
          <w:rFonts w:cs="Arial"/>
        </w:rPr>
        <w:t>byl</w:t>
      </w:r>
      <w:r w:rsidR="009342FC">
        <w:rPr>
          <w:rFonts w:cs="Arial"/>
        </w:rPr>
        <w:t>i</w:t>
      </w:r>
      <w:r w:rsidR="000675AD" w:rsidRPr="00D92E20">
        <w:rPr>
          <w:rFonts w:cs="Arial"/>
        </w:rPr>
        <w:t xml:space="preserve"> v </w:t>
      </w:r>
      <w:r w:rsidRPr="00D92E20">
        <w:rPr>
          <w:rFonts w:cs="Arial"/>
        </w:rPr>
        <w:t>pracovní neschopnost</w:t>
      </w:r>
      <w:r w:rsidR="000675AD" w:rsidRPr="00D92E20">
        <w:rPr>
          <w:rFonts w:cs="Arial"/>
        </w:rPr>
        <w:t>i</w:t>
      </w:r>
      <w:r w:rsidRPr="00D92E20">
        <w:rPr>
          <w:rFonts w:cs="Arial"/>
        </w:rPr>
        <w:t xml:space="preserve"> z důvodu nemoci v</w:t>
      </w:r>
      <w:r w:rsidR="000652B4" w:rsidRPr="00D92E20">
        <w:rPr>
          <w:rFonts w:cs="Arial"/>
        </w:rPr>
        <w:t> </w:t>
      </w:r>
      <w:r w:rsidR="009342FC">
        <w:rPr>
          <w:rFonts w:cs="Arial"/>
        </w:rPr>
        <w:t>877</w:t>
      </w:r>
      <w:r w:rsidRPr="00D92E20">
        <w:rPr>
          <w:rFonts w:cs="Arial"/>
        </w:rPr>
        <w:t xml:space="preserve"> tis. případech (</w:t>
      </w:r>
      <w:r w:rsidR="009342FC">
        <w:rPr>
          <w:rFonts w:cs="Arial"/>
        </w:rPr>
        <w:t>93</w:t>
      </w:r>
      <w:r w:rsidRPr="00D92E20">
        <w:rPr>
          <w:rFonts w:cs="Arial"/>
        </w:rPr>
        <w:t xml:space="preserve"> %), </w:t>
      </w:r>
      <w:r w:rsidR="00CE1E85" w:rsidRPr="00D92E20">
        <w:rPr>
          <w:rFonts w:cs="Arial"/>
        </w:rPr>
        <w:t>kvůli</w:t>
      </w:r>
      <w:r w:rsidRPr="00D92E20">
        <w:rPr>
          <w:rFonts w:cs="Arial"/>
        </w:rPr>
        <w:t xml:space="preserve"> pracovní</w:t>
      </w:r>
      <w:r w:rsidR="00CE1E85" w:rsidRPr="00D92E20">
        <w:rPr>
          <w:rFonts w:cs="Arial"/>
        </w:rPr>
        <w:t>mu</w:t>
      </w:r>
      <w:r w:rsidRPr="00D92E20">
        <w:rPr>
          <w:rFonts w:cs="Arial"/>
        </w:rPr>
        <w:t xml:space="preserve"> úrazu v</w:t>
      </w:r>
      <w:r w:rsidR="00FD28D3">
        <w:rPr>
          <w:rFonts w:cs="Arial"/>
        </w:rPr>
        <w:t> </w:t>
      </w:r>
      <w:r w:rsidR="009342FC">
        <w:rPr>
          <w:rFonts w:cs="Arial"/>
        </w:rPr>
        <w:t>16</w:t>
      </w:r>
      <w:r w:rsidR="00FD28D3">
        <w:rPr>
          <w:rFonts w:cs="Arial"/>
        </w:rPr>
        <w:t xml:space="preserve"> </w:t>
      </w:r>
      <w:r w:rsidR="000652B4" w:rsidRPr="00D92E20">
        <w:rPr>
          <w:rFonts w:cs="Arial"/>
        </w:rPr>
        <w:t>tis. případech (1</w:t>
      </w:r>
      <w:r w:rsidR="009342FC">
        <w:rPr>
          <w:rFonts w:cs="Arial"/>
        </w:rPr>
        <w:t>,7</w:t>
      </w:r>
      <w:r w:rsidRPr="00D92E20">
        <w:rPr>
          <w:rFonts w:cs="Arial"/>
        </w:rPr>
        <w:t xml:space="preserve"> %) a z důvodu ostatních úrazů </w:t>
      </w:r>
      <w:r w:rsidR="000652B4" w:rsidRPr="00D92E20">
        <w:rPr>
          <w:rFonts w:cs="Arial"/>
        </w:rPr>
        <w:t>v </w:t>
      </w:r>
      <w:r w:rsidR="009342FC">
        <w:rPr>
          <w:rFonts w:cs="Arial"/>
        </w:rPr>
        <w:t>54</w:t>
      </w:r>
      <w:r w:rsidR="000652B4" w:rsidRPr="00D92E20">
        <w:rPr>
          <w:rFonts w:cs="Arial"/>
        </w:rPr>
        <w:t xml:space="preserve"> tis</w:t>
      </w:r>
      <w:r w:rsidRPr="00D92E20">
        <w:rPr>
          <w:rFonts w:cs="Arial"/>
        </w:rPr>
        <w:t>. případech (</w:t>
      </w:r>
      <w:r w:rsidR="009342FC">
        <w:rPr>
          <w:rFonts w:cs="Arial"/>
        </w:rPr>
        <w:t>6</w:t>
      </w:r>
      <w:r w:rsidRPr="00D92E20">
        <w:rPr>
          <w:rFonts w:cs="Arial"/>
        </w:rPr>
        <w:t xml:space="preserve"> %)</w:t>
      </w:r>
      <w:r w:rsidRPr="00D92E20">
        <w:rPr>
          <w:rFonts w:cs="Arial"/>
          <w:lang w:val="en-US"/>
        </w:rPr>
        <w:t>.</w:t>
      </w:r>
    </w:p>
    <w:p w14:paraId="2195E954" w14:textId="2AF2743F" w:rsidR="000652B4" w:rsidRPr="00D92E20" w:rsidRDefault="000652B4" w:rsidP="00BA6B4E">
      <w:pPr>
        <w:spacing w:before="120" w:after="120"/>
        <w:jc w:val="both"/>
        <w:rPr>
          <w:noProof/>
        </w:rPr>
      </w:pPr>
      <w:r w:rsidRPr="009342FC">
        <w:rPr>
          <w:noProof/>
        </w:rPr>
        <w:t xml:space="preserve">Za </w:t>
      </w:r>
      <w:r w:rsidRPr="009342FC">
        <w:rPr>
          <w:b/>
          <w:noProof/>
        </w:rPr>
        <w:t>posledních pět let</w:t>
      </w:r>
      <w:r w:rsidRPr="009342FC">
        <w:rPr>
          <w:noProof/>
        </w:rPr>
        <w:t xml:space="preserve"> počet nově hlášených případů pracovní neschopnosti výrazně vzrostl</w:t>
      </w:r>
      <w:r w:rsidR="00D872A2" w:rsidRPr="009342FC">
        <w:rPr>
          <w:noProof/>
        </w:rPr>
        <w:t xml:space="preserve">, </w:t>
      </w:r>
      <w:r w:rsidRPr="009342FC">
        <w:rPr>
          <w:noProof/>
        </w:rPr>
        <w:t>o </w:t>
      </w:r>
      <w:r w:rsidR="009342FC" w:rsidRPr="009342FC">
        <w:rPr>
          <w:noProof/>
        </w:rPr>
        <w:t>1</w:t>
      </w:r>
      <w:r w:rsidR="009342FC">
        <w:rPr>
          <w:noProof/>
        </w:rPr>
        <w:t> </w:t>
      </w:r>
      <w:r w:rsidR="009342FC" w:rsidRPr="009342FC">
        <w:rPr>
          <w:noProof/>
        </w:rPr>
        <w:t>109</w:t>
      </w:r>
      <w:r w:rsidRPr="009342FC">
        <w:rPr>
          <w:noProof/>
        </w:rPr>
        <w:t xml:space="preserve"> tis. případů (o </w:t>
      </w:r>
      <w:r w:rsidR="009342FC" w:rsidRPr="009342FC">
        <w:rPr>
          <w:noProof/>
        </w:rPr>
        <w:t>117</w:t>
      </w:r>
      <w:r w:rsidRPr="009342FC">
        <w:rPr>
          <w:noProof/>
        </w:rPr>
        <w:t xml:space="preserve"> %) z </w:t>
      </w:r>
      <w:r w:rsidR="009342FC" w:rsidRPr="009342FC">
        <w:rPr>
          <w:noProof/>
        </w:rPr>
        <w:t>945</w:t>
      </w:r>
      <w:r w:rsidRPr="009342FC">
        <w:rPr>
          <w:noProof/>
        </w:rPr>
        <w:t xml:space="preserve"> tis. případů v</w:t>
      </w:r>
      <w:r w:rsidR="00FD28D3" w:rsidRPr="009342FC">
        <w:rPr>
          <w:noProof/>
        </w:rPr>
        <w:t> 1. pol.</w:t>
      </w:r>
      <w:r w:rsidRPr="009342FC">
        <w:rPr>
          <w:noProof/>
        </w:rPr>
        <w:t xml:space="preserve"> 201</w:t>
      </w:r>
      <w:r w:rsidR="009342FC" w:rsidRPr="009342FC">
        <w:rPr>
          <w:noProof/>
        </w:rPr>
        <w:t>7</w:t>
      </w:r>
      <w:r w:rsidRPr="009342FC">
        <w:rPr>
          <w:noProof/>
        </w:rPr>
        <w:t xml:space="preserve"> na </w:t>
      </w:r>
      <w:r w:rsidR="009342FC" w:rsidRPr="009342FC">
        <w:rPr>
          <w:noProof/>
        </w:rPr>
        <w:t>2 054</w:t>
      </w:r>
      <w:r w:rsidRPr="009342FC">
        <w:rPr>
          <w:noProof/>
        </w:rPr>
        <w:t xml:space="preserve"> tis. v</w:t>
      </w:r>
      <w:r w:rsidR="009342FC" w:rsidRPr="009342FC">
        <w:rPr>
          <w:noProof/>
        </w:rPr>
        <w:t> 1. pol. 2022</w:t>
      </w:r>
      <w:r w:rsidRPr="009342FC">
        <w:rPr>
          <w:noProof/>
        </w:rPr>
        <w:t>. Na</w:t>
      </w:r>
      <w:r w:rsidR="009342FC" w:rsidRPr="009342FC">
        <w:rPr>
          <w:noProof/>
        </w:rPr>
        <w:t xml:space="preserve"> zvýšení se větší měrou podílely ženy</w:t>
      </w:r>
      <w:r w:rsidRPr="009342FC">
        <w:rPr>
          <w:noProof/>
        </w:rPr>
        <w:t xml:space="preserve"> (+</w:t>
      </w:r>
      <w:r w:rsidR="009342FC" w:rsidRPr="009342FC">
        <w:rPr>
          <w:noProof/>
        </w:rPr>
        <w:t>607</w:t>
      </w:r>
      <w:r w:rsidRPr="009342FC">
        <w:rPr>
          <w:noProof/>
        </w:rPr>
        <w:t xml:space="preserve"> tis. případů). </w:t>
      </w:r>
      <w:r w:rsidR="00FD28D3" w:rsidRPr="009342FC">
        <w:rPr>
          <w:noProof/>
        </w:rPr>
        <w:t>Téměř veškerý nárůst byl způsoben rostoucím počtem vydávaných neschopenek z důvodu nemoci.</w:t>
      </w:r>
      <w:r w:rsidRPr="00D92E20">
        <w:rPr>
          <w:noProof/>
        </w:rPr>
        <w:t xml:space="preserve"> </w:t>
      </w:r>
    </w:p>
    <w:p w14:paraId="0F250001" w14:textId="40680B7C" w:rsidR="000652B4" w:rsidRPr="00D92E20" w:rsidRDefault="009E2142" w:rsidP="00BA6B4E">
      <w:pPr>
        <w:spacing w:before="120" w:after="120"/>
        <w:jc w:val="both"/>
        <w:rPr>
          <w:rFonts w:cs="Arial"/>
          <w:b/>
          <w:lang w:val="en-US"/>
        </w:rPr>
      </w:pPr>
      <w:r>
        <w:rPr>
          <w:noProof/>
        </w:rPr>
        <w:drawing>
          <wp:anchor distT="0" distB="0" distL="114300" distR="114300" simplePos="0" relativeHeight="251668992" behindDoc="1" locked="0" layoutInCell="1" allowOverlap="1" wp14:anchorId="1D0A01F9" wp14:editId="1EF87694">
            <wp:simplePos x="0" y="0"/>
            <wp:positionH relativeFrom="column">
              <wp:posOffset>2546985</wp:posOffset>
            </wp:positionH>
            <wp:positionV relativeFrom="paragraph">
              <wp:posOffset>213995</wp:posOffset>
            </wp:positionV>
            <wp:extent cx="3467100" cy="2343150"/>
            <wp:effectExtent l="0" t="0" r="0" b="0"/>
            <wp:wrapTight wrapText="bothSides">
              <wp:wrapPolygon edited="0">
                <wp:start x="0" y="0"/>
                <wp:lineTo x="0" y="21424"/>
                <wp:lineTo x="21481" y="21424"/>
                <wp:lineTo x="21481" y="0"/>
                <wp:lineTo x="0" y="0"/>
              </wp:wrapPolygon>
            </wp:wrapTight>
            <wp:docPr id="38" name="Graf 38"/>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0016" behindDoc="1" locked="0" layoutInCell="1" allowOverlap="1" wp14:anchorId="60BEDE3F" wp14:editId="751CFADF">
            <wp:simplePos x="0" y="0"/>
            <wp:positionH relativeFrom="column">
              <wp:posOffset>3810</wp:posOffset>
            </wp:positionH>
            <wp:positionV relativeFrom="paragraph">
              <wp:posOffset>215900</wp:posOffset>
            </wp:positionV>
            <wp:extent cx="2847975" cy="2343150"/>
            <wp:effectExtent l="0" t="0" r="9525" b="0"/>
            <wp:wrapTight wrapText="bothSides">
              <wp:wrapPolygon edited="0">
                <wp:start x="0" y="0"/>
                <wp:lineTo x="0" y="21424"/>
                <wp:lineTo x="21528" y="21424"/>
                <wp:lineTo x="21528" y="0"/>
                <wp:lineTo x="0" y="0"/>
              </wp:wrapPolygon>
            </wp:wrapTight>
            <wp:docPr id="37" name="Graf 37"/>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14:sizeRelH relativeFrom="page">
              <wp14:pctWidth>0</wp14:pctWidth>
            </wp14:sizeRelH>
            <wp14:sizeRelV relativeFrom="page">
              <wp14:pctHeight>0</wp14:pctHeight>
            </wp14:sizeRelV>
          </wp:anchor>
        </w:drawing>
      </w:r>
      <w:r w:rsidR="000652B4" w:rsidRPr="00D92E20">
        <w:rPr>
          <w:rFonts w:cs="Arial"/>
          <w:b/>
          <w:lang w:val="en-US"/>
        </w:rPr>
        <w:t xml:space="preserve">Graf 2.1: </w:t>
      </w:r>
      <w:r w:rsidR="000652B4" w:rsidRPr="00D92E20">
        <w:rPr>
          <w:rFonts w:cs="Arial"/>
          <w:b/>
        </w:rPr>
        <w:t xml:space="preserve">Nově hlášené případy dočasné pracovní neschopnosti podle příčiny a pohlaví, </w:t>
      </w:r>
      <w:r w:rsidR="00FD28D3" w:rsidRPr="00FD28D3">
        <w:rPr>
          <w:rFonts w:cs="Arial"/>
          <w:b/>
          <w:lang w:val="en-US"/>
        </w:rPr>
        <w:t>1. pol. 202</w:t>
      </w:r>
      <w:r w:rsidR="009342FC">
        <w:rPr>
          <w:rFonts w:cs="Arial"/>
          <w:b/>
          <w:lang w:val="en-US"/>
        </w:rPr>
        <w:t>2</w:t>
      </w:r>
    </w:p>
    <w:p w14:paraId="197DDA97" w14:textId="2288F263" w:rsidR="00ED103E" w:rsidRPr="00D92E20" w:rsidRDefault="00253D4C" w:rsidP="00ED103E">
      <w:pPr>
        <w:jc w:val="both"/>
        <w:rPr>
          <w:bCs/>
          <w:sz w:val="16"/>
        </w:rPr>
      </w:pPr>
      <w:r w:rsidRPr="00D92E20">
        <w:rPr>
          <w:bCs/>
          <w:sz w:val="16"/>
        </w:rPr>
        <w:t>Zdroj: ČSÚ</w:t>
      </w:r>
      <w:r w:rsidR="00FD28D3" w:rsidRPr="00FD28D3">
        <w:rPr>
          <w:noProof/>
        </w:rPr>
        <w:t xml:space="preserve"> </w:t>
      </w:r>
    </w:p>
    <w:p w14:paraId="0C379D7D" w14:textId="673C4F7B" w:rsidR="00253D4C" w:rsidRPr="009E2142" w:rsidRDefault="00253D4C" w:rsidP="00BA6B4E">
      <w:pPr>
        <w:pStyle w:val="Seznam"/>
        <w:spacing w:before="120" w:after="120"/>
        <w:contextualSpacing w:val="0"/>
        <w:jc w:val="both"/>
      </w:pPr>
      <w:r w:rsidRPr="009E2142">
        <w:lastRenderedPageBreak/>
        <w:t xml:space="preserve">Dopad legislativních změn na </w:t>
      </w:r>
      <w:r w:rsidR="000675AD" w:rsidRPr="009E2142">
        <w:t>výskyt</w:t>
      </w:r>
      <w:r w:rsidRPr="009E2142">
        <w:t xml:space="preserve"> pracovní neschopnosti je zřejmý zejména na vývoji případů pracovní neschopnosti </w:t>
      </w:r>
      <w:r w:rsidRPr="009E2142">
        <w:rPr>
          <w:b/>
        </w:rPr>
        <w:t>pro nemoc</w:t>
      </w:r>
      <w:r w:rsidRPr="009E2142">
        <w:t>. Počty případů pracovní neschopnosti pro úrazy jsou těmito změnami ovlivněny méně. Legislativní úpravy ve vyplácení dávek nemocenského se nejvíce projevují v četnosti případů méně závažných a krátkodobých pracovních neschopností, např. u nemocí dýchacích cest (běžná nachlazení, záněty horních cest dýchacích).</w:t>
      </w:r>
    </w:p>
    <w:p w14:paraId="7185CE88" w14:textId="64BBCE3E" w:rsidR="006B6D44" w:rsidRDefault="006B6D44" w:rsidP="00246C9A">
      <w:pPr>
        <w:pStyle w:val="Seznam"/>
        <w:spacing w:before="120" w:after="120"/>
        <w:contextualSpacing w:val="0"/>
        <w:jc w:val="both"/>
      </w:pPr>
      <w:r w:rsidRPr="009E2142">
        <w:t xml:space="preserve">Do roku 2018 platil trend, že </w:t>
      </w:r>
      <w:r w:rsidRPr="009E2142">
        <w:rPr>
          <w:b/>
        </w:rPr>
        <w:t>v prvním půlroce</w:t>
      </w:r>
      <w:r w:rsidRPr="009E2142">
        <w:t xml:space="preserve"> je hlášeno značně více případů pracovní</w:t>
      </w:r>
      <w:r w:rsidR="00CE1E85" w:rsidRPr="009E2142">
        <w:t xml:space="preserve"> neschopnosti</w:t>
      </w:r>
      <w:r w:rsidRPr="009E2142">
        <w:t xml:space="preserve"> než v pololetí druhém. Možným vysvětlením mohou být jarní chřipkové epidemie. Naopak poklesu </w:t>
      </w:r>
      <w:r w:rsidR="00D2519A">
        <w:t xml:space="preserve">v druhém pololetí </w:t>
      </w:r>
      <w:r w:rsidRPr="009E2142">
        <w:t>nahrávají prázdniny, zejména letní, ale také podzimní a vánoční. Pokud se nejedná o onemocnění závažnějšího charakteru, může se pojištěnec během dovolené sám zotavit bez nutnosti návštěvy lékaře a</w:t>
      </w:r>
      <w:r w:rsidR="00923F2E">
        <w:t> </w:t>
      </w:r>
      <w:r w:rsidRPr="009E2142">
        <w:t xml:space="preserve">vystavení pracovní neschopnosti. Jak již bylo zmíněno výše, jedním z faktorů, které zapříčinily meziroční nárůst počtu nových případů pracovní neschopnosti </w:t>
      </w:r>
      <w:r w:rsidRPr="009E2142">
        <w:rPr>
          <w:b/>
        </w:rPr>
        <w:t>způsobených nemocí</w:t>
      </w:r>
      <w:r w:rsidRPr="009E2142">
        <w:t xml:space="preserve"> oproti 1. pol. 201</w:t>
      </w:r>
      <w:r w:rsidR="00CF0B5E" w:rsidRPr="009E2142">
        <w:t>9</w:t>
      </w:r>
      <w:r w:rsidRPr="009E2142">
        <w:t xml:space="preserve">, je patrně </w:t>
      </w:r>
      <w:r w:rsidRPr="009E2142">
        <w:rPr>
          <w:b/>
        </w:rPr>
        <w:t>zrušení karenční doby od 1. července 2019</w:t>
      </w:r>
      <w:r w:rsidRPr="009E2142">
        <w:t>, kdy je náhrada mzdy od zaměstnavatele zaměstnanci vyplácena již od prvního dne, a nikoliv až od čtvrtého. Rozdíl mezi prvním a druhým pol</w:t>
      </w:r>
      <w:r w:rsidR="00D56CD5" w:rsidRPr="009E2142">
        <w:t>oletím v roce 2019 již tedy nebyl</w:t>
      </w:r>
      <w:r w:rsidRPr="009E2142">
        <w:t xml:space="preserve"> tak markantní. V roce 2020 efekt </w:t>
      </w:r>
      <w:r w:rsidR="00D56CD5" w:rsidRPr="009E2142">
        <w:t xml:space="preserve">růstu počtu případů v druhé polovině roku </w:t>
      </w:r>
      <w:r w:rsidR="00844690" w:rsidRPr="009E2142">
        <w:t>posílila</w:t>
      </w:r>
      <w:r w:rsidR="00844690" w:rsidRPr="009E2142">
        <w:rPr>
          <w:b/>
        </w:rPr>
        <w:t xml:space="preserve"> </w:t>
      </w:r>
      <w:r w:rsidRPr="009E2142">
        <w:rPr>
          <w:b/>
        </w:rPr>
        <w:t>koronavirová pandemie</w:t>
      </w:r>
      <w:r w:rsidRPr="009E2142">
        <w:t>, kdy v druhém pololetí Česko zasáhla podzimní vlna onemocnění. Zatímco mezi prvními pololetími roku 2019 a 2020 došlo k nárůstu o 104 tis. (o 12 %) případů pracovní neschopnosti pro nemoc, mezi druhými pololetími se počet navýšil o 38</w:t>
      </w:r>
      <w:r w:rsidR="0037686D" w:rsidRPr="009E2142">
        <w:t>7</w:t>
      </w:r>
      <w:r w:rsidRPr="009E2142">
        <w:t xml:space="preserve"> tis. (o 46 %). </w:t>
      </w:r>
      <w:r w:rsidR="008D2F51" w:rsidRPr="009E2142">
        <w:t>Přestože se v 1. pol. 2021 začalo s očkováním proti onemocnění covid-19, poč</w:t>
      </w:r>
      <w:r w:rsidR="00246C9A" w:rsidRPr="009E2142">
        <w:t>e</w:t>
      </w:r>
      <w:r w:rsidR="008D2F51" w:rsidRPr="009E2142">
        <w:t xml:space="preserve">t neschopenek i z důvodu karantén byl </w:t>
      </w:r>
      <w:r w:rsidR="00246C9A" w:rsidRPr="009E2142">
        <w:t xml:space="preserve">i </w:t>
      </w:r>
      <w:r w:rsidR="008D2F51" w:rsidRPr="009E2142">
        <w:t xml:space="preserve">nadále mimořádný. Za </w:t>
      </w:r>
      <w:r w:rsidR="00246C9A" w:rsidRPr="009E2142">
        <w:t>1. pol. 2021</w:t>
      </w:r>
      <w:r w:rsidR="008D2F51" w:rsidRPr="009E2142">
        <w:t xml:space="preserve"> bylo nahlášeno </w:t>
      </w:r>
      <w:r w:rsidR="0088045B" w:rsidRPr="009E2142">
        <w:t xml:space="preserve">celkem </w:t>
      </w:r>
      <w:r w:rsidR="008D2F51" w:rsidRPr="009E2142">
        <w:t xml:space="preserve">1 300 </w:t>
      </w:r>
      <w:r w:rsidR="0088045B" w:rsidRPr="009E2142">
        <w:t>tis. případů dočasné pracovní neschopnosti</w:t>
      </w:r>
      <w:r w:rsidR="00CF0B5E" w:rsidRPr="009E2142">
        <w:t xml:space="preserve"> pro nemoc</w:t>
      </w:r>
      <w:r w:rsidR="0088045B" w:rsidRPr="009E2142">
        <w:t xml:space="preserve">, což je o 428 tis. (o polovinu) více než v 1. pol. 2019, </w:t>
      </w:r>
      <w:r w:rsidR="00D56CD5" w:rsidRPr="009E2142">
        <w:t>tedy v době před pandemií.</w:t>
      </w:r>
    </w:p>
    <w:p w14:paraId="2A71D252" w14:textId="39EDA10E" w:rsidR="009E2142" w:rsidRPr="00D92E20" w:rsidRDefault="009E2142" w:rsidP="00246C9A">
      <w:pPr>
        <w:pStyle w:val="Seznam"/>
        <w:spacing w:before="120" w:after="120"/>
        <w:contextualSpacing w:val="0"/>
        <w:jc w:val="both"/>
      </w:pPr>
      <w:r>
        <w:t>Během 1. pol. 2020 se počty nově hlášených případů pracovní neschopnosti pro nemoc blížily milionu. Dva roky nato už se</w:t>
      </w:r>
      <w:r w:rsidR="00E8019A">
        <w:t xml:space="preserve"> pravděpodobně vlivem vysoce infekční a na očkování nereagující variantě covidu-19 omikron</w:t>
      </w:r>
      <w:r>
        <w:t xml:space="preserve"> blíží dvěma milionům. Za prvních 6 </w:t>
      </w:r>
      <w:r w:rsidR="00DF6387">
        <w:t>měsíců roku 2022 bylo nahlášeno více případů než za celý rok 2019.</w:t>
      </w:r>
    </w:p>
    <w:p w14:paraId="690296D3" w14:textId="67FE25BE" w:rsidR="00253D4C" w:rsidRPr="00D92E20" w:rsidRDefault="00253D4C" w:rsidP="0088045B">
      <w:pPr>
        <w:spacing w:before="120" w:after="0"/>
        <w:jc w:val="both"/>
        <w:rPr>
          <w:bCs/>
        </w:rPr>
      </w:pPr>
      <w:r w:rsidRPr="00D92E20">
        <w:rPr>
          <w:b/>
          <w:bCs/>
        </w:rPr>
        <w:t>Graf 2.2: Nově hlášené případy dočasné pracov</w:t>
      </w:r>
      <w:r w:rsidR="0088045B">
        <w:rPr>
          <w:b/>
          <w:bCs/>
        </w:rPr>
        <w:t>ní neschopnosti pro nemoc, 201</w:t>
      </w:r>
      <w:r w:rsidR="009E2142">
        <w:rPr>
          <w:b/>
          <w:bCs/>
        </w:rPr>
        <w:t>7–1. pol. 2022</w:t>
      </w:r>
    </w:p>
    <w:p w14:paraId="2AB9CD57" w14:textId="36987079" w:rsidR="0088045B" w:rsidRDefault="009E2142" w:rsidP="00BA6B4E">
      <w:pPr>
        <w:spacing w:after="120"/>
        <w:rPr>
          <w:sz w:val="16"/>
        </w:rPr>
      </w:pPr>
      <w:r>
        <w:rPr>
          <w:noProof/>
        </w:rPr>
        <w:drawing>
          <wp:inline distT="0" distB="0" distL="0" distR="0" wp14:anchorId="111FA881" wp14:editId="18EC50FC">
            <wp:extent cx="6120130" cy="2968625"/>
            <wp:effectExtent l="0" t="0" r="13970" b="3175"/>
            <wp:docPr id="39" name="Graf 39"/>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236111EB" w14:textId="7E129A63" w:rsidR="00ED103E" w:rsidRPr="00D92E20" w:rsidRDefault="00253D4C" w:rsidP="00BA6B4E">
      <w:pPr>
        <w:spacing w:after="120"/>
        <w:rPr>
          <w:sz w:val="16"/>
        </w:rPr>
      </w:pPr>
      <w:r w:rsidRPr="00D92E20">
        <w:rPr>
          <w:sz w:val="16"/>
        </w:rPr>
        <w:t>Zdroj: ČSÚ</w:t>
      </w:r>
    </w:p>
    <w:p w14:paraId="399E7FC9" w14:textId="43C20157" w:rsidR="00D63625" w:rsidRDefault="00D63625" w:rsidP="00BA6B4E">
      <w:pPr>
        <w:pStyle w:val="Seznam"/>
        <w:spacing w:before="120" w:after="120"/>
        <w:contextualSpacing w:val="0"/>
        <w:jc w:val="both"/>
      </w:pPr>
      <w:r w:rsidRPr="005328D3">
        <w:t>V</w:t>
      </w:r>
      <w:r w:rsidR="000675AD" w:rsidRPr="005328D3">
        <w:t xml:space="preserve"> relativním </w:t>
      </w:r>
      <w:r w:rsidR="00B56D19">
        <w:t>přepočtu</w:t>
      </w:r>
      <w:r w:rsidR="000675AD" w:rsidRPr="005328D3">
        <w:t xml:space="preserve"> </w:t>
      </w:r>
      <w:r w:rsidR="003609B8" w:rsidRPr="005328D3">
        <w:t xml:space="preserve">na 100 pojištěnců </w:t>
      </w:r>
      <w:r w:rsidR="000675AD" w:rsidRPr="005328D3">
        <w:t>v</w:t>
      </w:r>
      <w:r w:rsidR="0088045B" w:rsidRPr="005328D3">
        <w:t> 1. pol. 202</w:t>
      </w:r>
      <w:r w:rsidR="00DF6387" w:rsidRPr="005328D3">
        <w:t>2</w:t>
      </w:r>
      <w:r w:rsidR="0088045B" w:rsidRPr="005328D3">
        <w:t xml:space="preserve"> </w:t>
      </w:r>
      <w:r w:rsidRPr="005328D3">
        <w:t xml:space="preserve">meziročně přibylo </w:t>
      </w:r>
      <w:r w:rsidR="005328D3" w:rsidRPr="005328D3">
        <w:t>téměř 14</w:t>
      </w:r>
      <w:r w:rsidRPr="005328D3">
        <w:t xml:space="preserve"> případ</w:t>
      </w:r>
      <w:r w:rsidR="0088045B" w:rsidRPr="005328D3">
        <w:t>ů</w:t>
      </w:r>
      <w:r w:rsidRPr="005328D3">
        <w:t xml:space="preserve"> </w:t>
      </w:r>
      <w:r w:rsidR="00CF0B5E" w:rsidRPr="005328D3">
        <w:t xml:space="preserve">pracovní neschopnosti bez ohledu na příčinu </w:t>
      </w:r>
      <w:r w:rsidRPr="005328D3">
        <w:t>a</w:t>
      </w:r>
      <w:r w:rsidR="00023479" w:rsidRPr="005328D3">
        <w:t xml:space="preserve"> hodnota tak</w:t>
      </w:r>
      <w:r w:rsidRPr="005328D3">
        <w:t xml:space="preserve"> činil</w:t>
      </w:r>
      <w:r w:rsidR="00023479" w:rsidRPr="005328D3">
        <w:t>a</w:t>
      </w:r>
      <w:r w:rsidRPr="005328D3">
        <w:t xml:space="preserve"> </w:t>
      </w:r>
      <w:r w:rsidR="005328D3" w:rsidRPr="005328D3">
        <w:t>43,5</w:t>
      </w:r>
      <w:r w:rsidR="000675AD" w:rsidRPr="005328D3">
        <w:t> </w:t>
      </w:r>
      <w:r w:rsidRPr="005328D3">
        <w:t xml:space="preserve">případů. Na 100 pojištěnců připadalo </w:t>
      </w:r>
      <w:r w:rsidR="005328D3" w:rsidRPr="005328D3">
        <w:t>41</w:t>
      </w:r>
      <w:r w:rsidRPr="005328D3">
        <w:t xml:space="preserve"> nově hlášených případů </w:t>
      </w:r>
      <w:r w:rsidR="0088045B" w:rsidRPr="005328D3">
        <w:t xml:space="preserve">dočasné </w:t>
      </w:r>
      <w:r w:rsidRPr="005328D3">
        <w:t xml:space="preserve">pracovní neschopnosti </w:t>
      </w:r>
      <w:r w:rsidRPr="005328D3">
        <w:rPr>
          <w:b/>
        </w:rPr>
        <w:t>pro nemoc</w:t>
      </w:r>
      <w:r w:rsidRPr="005328D3">
        <w:t xml:space="preserve">, což bylo </w:t>
      </w:r>
      <w:r w:rsidR="005328D3" w:rsidRPr="005328D3">
        <w:t>bezmála</w:t>
      </w:r>
      <w:r w:rsidR="0088045B" w:rsidRPr="005328D3">
        <w:t xml:space="preserve"> dvojnásobek </w:t>
      </w:r>
      <w:r w:rsidR="003609B8" w:rsidRPr="005328D3">
        <w:t>oproti</w:t>
      </w:r>
      <w:r w:rsidR="005328D3" w:rsidRPr="005328D3">
        <w:t> 1. pol. 2020</w:t>
      </w:r>
      <w:r w:rsidRPr="005328D3">
        <w:t>.</w:t>
      </w:r>
      <w:r w:rsidRPr="00302DD9">
        <w:t xml:space="preserve"> </w:t>
      </w:r>
    </w:p>
    <w:p w14:paraId="10F18BAF" w14:textId="77777777" w:rsidR="00473D4E" w:rsidRPr="00A979CA" w:rsidRDefault="00473D4E" w:rsidP="00473D4E">
      <w:pPr>
        <w:pStyle w:val="Seznam"/>
        <w:spacing w:before="120" w:after="120"/>
        <w:contextualSpacing w:val="0"/>
        <w:jc w:val="both"/>
      </w:pPr>
      <w:r w:rsidRPr="00A979CA">
        <w:t xml:space="preserve">Co se týče počtu neschopenek z důvodu </w:t>
      </w:r>
      <w:r w:rsidRPr="00A979CA">
        <w:rPr>
          <w:b/>
        </w:rPr>
        <w:t>úrazů</w:t>
      </w:r>
      <w:r w:rsidRPr="00A979CA">
        <w:t xml:space="preserve">, tak pokud pomineme 1. pol. 2020, kdy počet úrazů na 100 pojištěnců poklesl, panuje zde víceméně stagnace. Dá se předpokládat, že předloňský výkyv souvisel s vyhlášením nouzového stavu, celkovým omezením pohybu, uzavřením některých podniků a větší mírou </w:t>
      </w:r>
      <w:r w:rsidRPr="00A979CA">
        <w:lastRenderedPageBreak/>
        <w:t xml:space="preserve">práce z domova. </w:t>
      </w:r>
      <w:r>
        <w:t>Vyžadování dodržování</w:t>
      </w:r>
      <w:r w:rsidRPr="00A979CA">
        <w:t xml:space="preserve"> někter</w:t>
      </w:r>
      <w:r>
        <w:t>ých</w:t>
      </w:r>
      <w:r w:rsidRPr="00A979CA">
        <w:t xml:space="preserve"> bezpečnostní</w:t>
      </w:r>
      <w:r>
        <w:t>ch</w:t>
      </w:r>
      <w:r w:rsidRPr="00A979CA">
        <w:t xml:space="preserve"> opatření i nadále </w:t>
      </w:r>
      <w:r>
        <w:t>přetrvává</w:t>
      </w:r>
      <w:r w:rsidRPr="00A979CA">
        <w:t xml:space="preserve"> a využívání home office se v </w:t>
      </w:r>
      <w:r>
        <w:t>určitých</w:t>
      </w:r>
      <w:r w:rsidRPr="00A979CA">
        <w:t xml:space="preserve"> odvětvích uplatňuje ve větší míře než dříve. Zejména v manuálních profesích se však digitalizace a automatizace prosazují pomaleji a v 1. pol. 2021 se pracovní úrazovost vrátila na úroveň před pandemií.</w:t>
      </w:r>
      <w:r>
        <w:t xml:space="preserve"> V 1. pol. 2022 se hodnota nijak nezměnila a činila 0,5 případu na 100 nemocensky pojištěných.</w:t>
      </w:r>
    </w:p>
    <w:p w14:paraId="2C453009" w14:textId="2D301B84" w:rsidR="0088045B" w:rsidRDefault="00D63625" w:rsidP="0088045B">
      <w:pPr>
        <w:pStyle w:val="Seznam"/>
        <w:jc w:val="both"/>
        <w:rPr>
          <w:b/>
        </w:rPr>
      </w:pPr>
      <w:r w:rsidRPr="0088045B">
        <w:rPr>
          <w:b/>
        </w:rPr>
        <w:t xml:space="preserve">Graf 2.3: Nově hlášené případy dočasné pracovní neschopnosti na 100 pojištěnců </w:t>
      </w:r>
      <w:r w:rsidR="007941AC">
        <w:rPr>
          <w:b/>
        </w:rPr>
        <w:t xml:space="preserve">celkem a </w:t>
      </w:r>
      <w:r w:rsidRPr="0088045B">
        <w:rPr>
          <w:b/>
        </w:rPr>
        <w:t xml:space="preserve">podle příčiny, </w:t>
      </w:r>
      <w:r w:rsidR="009F34CD" w:rsidRPr="0050059C">
        <w:rPr>
          <w:b/>
          <w:spacing w:val="-2"/>
        </w:rPr>
        <w:t>1. pol. 201</w:t>
      </w:r>
      <w:r w:rsidR="009F34CD">
        <w:rPr>
          <w:b/>
          <w:spacing w:val="-2"/>
        </w:rPr>
        <w:t>2</w:t>
      </w:r>
      <w:r w:rsidR="009F34CD" w:rsidRPr="0050059C">
        <w:rPr>
          <w:b/>
          <w:spacing w:val="-2"/>
        </w:rPr>
        <w:t xml:space="preserve"> až 1. pol. 202</w:t>
      </w:r>
      <w:r w:rsidR="009F34CD">
        <w:rPr>
          <w:b/>
          <w:spacing w:val="-2"/>
        </w:rPr>
        <w:t>2</w:t>
      </w:r>
    </w:p>
    <w:p w14:paraId="10992647" w14:textId="5EF44E85" w:rsidR="00EB48F6" w:rsidRPr="00D92E20" w:rsidRDefault="007941AC" w:rsidP="0088045B">
      <w:pPr>
        <w:pStyle w:val="Seznam"/>
        <w:jc w:val="both"/>
      </w:pPr>
      <w:r>
        <w:rPr>
          <w:noProof/>
        </w:rPr>
        <w:drawing>
          <wp:inline distT="0" distB="0" distL="0" distR="0" wp14:anchorId="36BE024A" wp14:editId="79B245A5">
            <wp:extent cx="6467475" cy="2905125"/>
            <wp:effectExtent l="0" t="0" r="9525" b="9525"/>
            <wp:docPr id="45" name="Graf 45"/>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5E5E269E" w14:textId="483515C3" w:rsidR="00D63625" w:rsidRDefault="00D63625" w:rsidP="00D63625">
      <w:pPr>
        <w:rPr>
          <w:sz w:val="16"/>
        </w:rPr>
      </w:pPr>
      <w:r w:rsidRPr="00D92E20">
        <w:rPr>
          <w:sz w:val="16"/>
        </w:rPr>
        <w:t>Zdroj: ČSÚ</w:t>
      </w:r>
    </w:p>
    <w:p w14:paraId="6B4E72B3" w14:textId="77777777" w:rsidR="00473D4E" w:rsidRDefault="00A26AF3" w:rsidP="00BA6B4E">
      <w:pPr>
        <w:autoSpaceDE w:val="0"/>
        <w:autoSpaceDN w:val="0"/>
        <w:adjustRightInd w:val="0"/>
        <w:spacing w:before="120" w:after="120"/>
        <w:jc w:val="both"/>
        <w:rPr>
          <w:rFonts w:cs="Arial"/>
        </w:rPr>
      </w:pPr>
      <w:r w:rsidRPr="00A979CA">
        <w:rPr>
          <w:rFonts w:cs="Arial"/>
        </w:rPr>
        <w:t xml:space="preserve">Nejvíce nových případů dočasné pracovní neschopnosti </w:t>
      </w:r>
      <w:r w:rsidR="00302DD9" w:rsidRPr="00A979CA">
        <w:rPr>
          <w:rFonts w:cs="Arial"/>
        </w:rPr>
        <w:t>v 1. pol. 202</w:t>
      </w:r>
      <w:r w:rsidR="00A979CA" w:rsidRPr="00A979CA">
        <w:rPr>
          <w:rFonts w:cs="Arial"/>
        </w:rPr>
        <w:t>2</w:t>
      </w:r>
      <w:r w:rsidR="00302DD9" w:rsidRPr="00A979CA">
        <w:rPr>
          <w:rFonts w:cs="Arial"/>
        </w:rPr>
        <w:t xml:space="preserve"> </w:t>
      </w:r>
      <w:r w:rsidRPr="00A979CA">
        <w:rPr>
          <w:rFonts w:cs="Arial"/>
        </w:rPr>
        <w:t xml:space="preserve">bylo nahlášeno v subjektech, které dle převažující ekonomické činnosti spadají do </w:t>
      </w:r>
      <w:r w:rsidRPr="00A979CA">
        <w:rPr>
          <w:rFonts w:cs="Arial"/>
          <w:b/>
        </w:rPr>
        <w:t>odvětvové sekce</w:t>
      </w:r>
      <w:r w:rsidRPr="00A979CA">
        <w:rPr>
          <w:rFonts w:cs="Arial"/>
        </w:rPr>
        <w:t xml:space="preserve"> Zpracovatelský průmysl (</w:t>
      </w:r>
      <w:r w:rsidR="00A979CA" w:rsidRPr="00A979CA">
        <w:rPr>
          <w:rFonts w:cs="Arial"/>
        </w:rPr>
        <w:t>676</w:t>
      </w:r>
      <w:r w:rsidRPr="00A979CA">
        <w:rPr>
          <w:rFonts w:cs="Arial"/>
        </w:rPr>
        <w:t xml:space="preserve"> tis. případů) a Velkoobchod a maloobchod; opravy a údržba motorových vozidel (</w:t>
      </w:r>
      <w:r w:rsidR="00A979CA" w:rsidRPr="00A979CA">
        <w:rPr>
          <w:rFonts w:cs="Arial"/>
        </w:rPr>
        <w:t>266</w:t>
      </w:r>
      <w:r w:rsidRPr="00A979CA">
        <w:rPr>
          <w:rFonts w:cs="Arial"/>
        </w:rPr>
        <w:t xml:space="preserve"> tis.). </w:t>
      </w:r>
      <w:r w:rsidR="00315DF2">
        <w:rPr>
          <w:rFonts w:cs="Arial"/>
        </w:rPr>
        <w:t>To je dáno tím, že zde</w:t>
      </w:r>
      <w:r w:rsidRPr="00A979CA">
        <w:rPr>
          <w:rFonts w:cs="Arial"/>
        </w:rPr>
        <w:t xml:space="preserve"> pracuje nejvíce zaměstnaných osob, jak bylo uvedeno výše v kap. 4.1. Naopak nejméně případů bylo v absolutních číslech hlášeno v odvětvích Těžba a dobývání </w:t>
      </w:r>
      <w:r w:rsidR="00A979CA" w:rsidRPr="00A979CA">
        <w:rPr>
          <w:rFonts w:cs="Arial"/>
        </w:rPr>
        <w:t xml:space="preserve">(9 tis.) </w:t>
      </w:r>
      <w:r w:rsidRPr="00A979CA">
        <w:rPr>
          <w:rFonts w:cs="Arial"/>
        </w:rPr>
        <w:t>a Výroba a rozvod elektřiny, plynu, t</w:t>
      </w:r>
      <w:r w:rsidR="00302DD9" w:rsidRPr="00A979CA">
        <w:rPr>
          <w:rFonts w:cs="Arial"/>
        </w:rPr>
        <w:t>epla a klimatizovaného vzduchu (</w:t>
      </w:r>
      <w:r w:rsidR="00A979CA" w:rsidRPr="00A979CA">
        <w:rPr>
          <w:rFonts w:cs="Arial"/>
        </w:rPr>
        <w:t>12</w:t>
      </w:r>
      <w:r w:rsidR="00302DD9" w:rsidRPr="00A979CA">
        <w:rPr>
          <w:rFonts w:cs="Arial"/>
        </w:rPr>
        <w:t xml:space="preserve"> tis.</w:t>
      </w:r>
      <w:r w:rsidRPr="00A979CA">
        <w:rPr>
          <w:rFonts w:cs="Arial"/>
        </w:rPr>
        <w:t>).</w:t>
      </w:r>
    </w:p>
    <w:p w14:paraId="4959FCD6" w14:textId="2E09AA23" w:rsidR="00473D4E" w:rsidRPr="00A979CA" w:rsidRDefault="00473D4E" w:rsidP="00473D4E">
      <w:pPr>
        <w:autoSpaceDE w:val="0"/>
        <w:autoSpaceDN w:val="0"/>
        <w:adjustRightInd w:val="0"/>
        <w:spacing w:before="120" w:after="120"/>
        <w:jc w:val="both"/>
        <w:rPr>
          <w:rFonts w:cs="Arial"/>
        </w:rPr>
      </w:pPr>
      <w:r w:rsidRPr="00A979CA">
        <w:rPr>
          <w:rFonts w:cs="Arial"/>
        </w:rPr>
        <w:t>V 1. pol. 2022</w:t>
      </w:r>
      <w:r w:rsidRPr="00A979CA">
        <w:rPr>
          <w:rFonts w:cs="Arial"/>
          <w:b/>
        </w:rPr>
        <w:t xml:space="preserve"> meziročně</w:t>
      </w:r>
      <w:r w:rsidRPr="00A979CA">
        <w:rPr>
          <w:rFonts w:cs="Arial"/>
        </w:rPr>
        <w:t xml:space="preserve"> vzrostl počet případů dočasné pracovní neschopnosti procentuálně nejvíce v odvětvové sekci Vzdělávání, a to o 1</w:t>
      </w:r>
      <w:r>
        <w:rPr>
          <w:rFonts w:cs="Arial"/>
        </w:rPr>
        <w:t>46</w:t>
      </w:r>
      <w:r w:rsidRPr="00A979CA">
        <w:rPr>
          <w:rFonts w:cs="Arial"/>
        </w:rPr>
        <w:t xml:space="preserve"> % (o 137 tisíc). Absolutně nejvíce (o 170 tis.) </w:t>
      </w:r>
      <w:r w:rsidR="00B56D19">
        <w:rPr>
          <w:rFonts w:cs="Arial"/>
        </w:rPr>
        <w:t>se zvýšil</w:t>
      </w:r>
      <w:r w:rsidRPr="00A979CA">
        <w:rPr>
          <w:rFonts w:cs="Arial"/>
        </w:rPr>
        <w:t xml:space="preserve"> ve Zpracovatelském průmyslu. Meziročně </w:t>
      </w:r>
      <w:r w:rsidR="00B56D19">
        <w:rPr>
          <w:rFonts w:cs="Arial"/>
        </w:rPr>
        <w:t>došlo k nárůstu</w:t>
      </w:r>
      <w:r w:rsidRPr="00A979CA">
        <w:rPr>
          <w:rFonts w:cs="Arial"/>
        </w:rPr>
        <w:t xml:space="preserve"> počt</w:t>
      </w:r>
      <w:r w:rsidR="00B56D19">
        <w:rPr>
          <w:rFonts w:cs="Arial"/>
        </w:rPr>
        <w:t>u</w:t>
      </w:r>
      <w:r w:rsidRPr="00A979CA">
        <w:rPr>
          <w:rFonts w:cs="Arial"/>
        </w:rPr>
        <w:t xml:space="preserve"> nahlášených případů ve všech odvětvích. </w:t>
      </w:r>
    </w:p>
    <w:p w14:paraId="1C457A82" w14:textId="4A800F96" w:rsidR="00473D4E" w:rsidRDefault="00473D4E" w:rsidP="00473D4E">
      <w:pPr>
        <w:autoSpaceDE w:val="0"/>
        <w:autoSpaceDN w:val="0"/>
        <w:adjustRightInd w:val="0"/>
        <w:spacing w:before="120" w:after="120"/>
        <w:jc w:val="both"/>
        <w:rPr>
          <w:rFonts w:cs="Arial"/>
        </w:rPr>
      </w:pPr>
      <w:r w:rsidRPr="00A979CA">
        <w:rPr>
          <w:rFonts w:cs="Arial"/>
        </w:rPr>
        <w:t>Absolutní počty nově hlášených případů jsou ovlivněny odvětvovou strukturou národního hospodářství a zaměstnaností v jednotlivých odvětvích. Z toho důvodu má vyšší vypovídací schopnost již zmíněný ukazatel – počet nově hlášených případů na 100 pojištěnců v daném odvětví.</w:t>
      </w:r>
    </w:p>
    <w:p w14:paraId="2DE2CFCD" w14:textId="0E10580A" w:rsidR="00B56D19" w:rsidRDefault="00473D4E" w:rsidP="00473D4E">
      <w:pPr>
        <w:autoSpaceDE w:val="0"/>
        <w:autoSpaceDN w:val="0"/>
        <w:adjustRightInd w:val="0"/>
        <w:spacing w:before="120" w:after="120"/>
        <w:jc w:val="both"/>
        <w:rPr>
          <w:rFonts w:cs="Arial"/>
        </w:rPr>
      </w:pPr>
      <w:r w:rsidRPr="00321DDE">
        <w:rPr>
          <w:rFonts w:cs="Arial"/>
        </w:rPr>
        <w:t xml:space="preserve">V posledních zhruba pěti letech vévodil počtu nově hlášených případů pracovní neschopnosti </w:t>
      </w:r>
      <w:r w:rsidRPr="00321DDE">
        <w:rPr>
          <w:rFonts w:cs="Arial"/>
          <w:b/>
        </w:rPr>
        <w:t>na 100</w:t>
      </w:r>
      <w:r w:rsidR="00923F2E">
        <w:rPr>
          <w:rFonts w:cs="Arial"/>
          <w:b/>
        </w:rPr>
        <w:t> </w:t>
      </w:r>
      <w:r w:rsidRPr="00321DDE">
        <w:rPr>
          <w:rFonts w:cs="Arial"/>
          <w:b/>
        </w:rPr>
        <w:t>pojištěnců</w:t>
      </w:r>
      <w:r w:rsidRPr="00321DDE">
        <w:rPr>
          <w:rFonts w:cs="Arial"/>
        </w:rPr>
        <w:t xml:space="preserve"> Zpracovatelský průmysl. V 1. pol. 2022 ho vystřídala sekce Vzdělávání, kde na 100 pojištěnců připadalo 57 případů dočasné pracovní neschopnosti. </w:t>
      </w:r>
      <w:r>
        <w:t>Oproti období před pandemií (čili 1. pol. 2019) došlo k rekordnímu nárůstu o 37 případů.</w:t>
      </w:r>
      <w:r w:rsidRPr="00321DDE">
        <w:rPr>
          <w:rFonts w:cs="Arial"/>
        </w:rPr>
        <w:t xml:space="preserve"> Zpracovatelský průmysl byl v 1. pol. 2022 v těsném závěsu s 56 případy na 100 pojištěných. </w:t>
      </w:r>
      <w:r>
        <w:rPr>
          <w:rFonts w:cs="Arial"/>
        </w:rPr>
        <w:t xml:space="preserve">Až s odstupem 10 případů na 100 pojištěnců následovaly další odvětvové sekce. </w:t>
      </w:r>
      <w:r w:rsidRPr="00321DDE">
        <w:rPr>
          <w:rFonts w:cs="Arial"/>
        </w:rPr>
        <w:t>Nejnižší počet případů dočasné pracovní neschopnosti v přepočtu na 100 nemocensky pojištěných bylo evidováno v odvětví Činnosti v oblasti nemovitostí s 20 případy. Celorepublikový průměr bez ohledu na odvětví činil již zmíněných 43,5 případů na 100 pojištěnců.</w:t>
      </w:r>
    </w:p>
    <w:p w14:paraId="4754558B" w14:textId="77777777" w:rsidR="00B56D19" w:rsidRDefault="00B56D19">
      <w:pPr>
        <w:spacing w:after="0" w:line="240" w:lineRule="auto"/>
        <w:rPr>
          <w:rFonts w:cs="Arial"/>
        </w:rPr>
      </w:pPr>
      <w:r>
        <w:rPr>
          <w:rFonts w:cs="Arial"/>
        </w:rPr>
        <w:br w:type="page"/>
      </w:r>
    </w:p>
    <w:p w14:paraId="0486A50C" w14:textId="4E737D5E" w:rsidR="0061019A" w:rsidRDefault="0061019A" w:rsidP="0061019A">
      <w:pPr>
        <w:spacing w:after="0"/>
        <w:jc w:val="both"/>
        <w:rPr>
          <w:b/>
        </w:rPr>
      </w:pPr>
      <w:r w:rsidRPr="00711A3B">
        <w:rPr>
          <w:b/>
        </w:rPr>
        <w:lastRenderedPageBreak/>
        <w:t>Graf 2.4: Nově hlášené případy dočasné pracovní neschopnosti na 100 pojištěnců podle odvětví (sekce CZ-NACE), 1. pol. 2019 a 2022</w:t>
      </w:r>
    </w:p>
    <w:p w14:paraId="39FB84F1" w14:textId="434C6126" w:rsidR="0061019A" w:rsidRPr="00D92E20" w:rsidRDefault="0061019A" w:rsidP="0061019A">
      <w:pPr>
        <w:spacing w:after="0"/>
        <w:jc w:val="both"/>
        <w:rPr>
          <w:b/>
        </w:rPr>
      </w:pPr>
      <w:r>
        <w:rPr>
          <w:noProof/>
        </w:rPr>
        <w:drawing>
          <wp:inline distT="0" distB="0" distL="0" distR="0" wp14:anchorId="6437B5FC" wp14:editId="17641418">
            <wp:extent cx="6120130" cy="4253865"/>
            <wp:effectExtent l="0" t="0" r="13970" b="13335"/>
            <wp:docPr id="21" name="Graf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05175E35" w14:textId="77777777" w:rsidR="0061019A" w:rsidRPr="00D92E20" w:rsidRDefault="0061019A" w:rsidP="0061019A">
      <w:pPr>
        <w:spacing w:after="120"/>
        <w:rPr>
          <w:sz w:val="16"/>
        </w:rPr>
      </w:pPr>
      <w:r w:rsidRPr="00D92E20">
        <w:rPr>
          <w:sz w:val="16"/>
        </w:rPr>
        <w:t>Zdroj: ČSÚ</w:t>
      </w:r>
    </w:p>
    <w:p w14:paraId="34088217" w14:textId="2A9AC5D5" w:rsidR="00473D4E" w:rsidRPr="00321DDE" w:rsidRDefault="00473D4E" w:rsidP="00473D4E">
      <w:pPr>
        <w:spacing w:before="120" w:after="120"/>
        <w:jc w:val="both"/>
        <w:rPr>
          <w:rFonts w:cs="Arial"/>
        </w:rPr>
      </w:pPr>
      <w:r w:rsidRPr="00321DDE">
        <w:rPr>
          <w:rFonts w:cs="Arial"/>
          <w:color w:val="000000"/>
          <w:szCs w:val="16"/>
        </w:rPr>
        <w:t xml:space="preserve">Vývoj počtu případů pracovní neschopnosti na 100 pojištěnců v jednotlivých odvětvích je zřejmý z grafu 2.4, resp. z tabulky 2.2. Za 1. pol. 2022 bylo nahlášeno o 30 případů na 100 pojištěnců více než před deseti lety. Nejdynamičtější nárůst je patrný v již zmíněné sekci Vzdělávání (+45 případů, tj. 370 %), resp. Kulturní, zábavní a rekreační činnosti (+25 případů, tj. 258 %) či Zdravotní a sociální péče (+31 případů, tj. 257 %). </w:t>
      </w:r>
    </w:p>
    <w:p w14:paraId="45736A8C" w14:textId="40A0663F" w:rsidR="00473D4E" w:rsidRDefault="00473D4E" w:rsidP="00473D4E">
      <w:pPr>
        <w:spacing w:before="120" w:after="120"/>
        <w:jc w:val="both"/>
      </w:pPr>
      <w:r w:rsidRPr="00321DDE">
        <w:t xml:space="preserve">Odvětvím s největším </w:t>
      </w:r>
      <w:r w:rsidRPr="00321DDE">
        <w:rPr>
          <w:b/>
        </w:rPr>
        <w:t>meziročním nárůstem</w:t>
      </w:r>
      <w:r w:rsidRPr="00321DDE">
        <w:t xml:space="preserve"> počtu případů pracovní neschopnosti </w:t>
      </w:r>
      <w:r w:rsidRPr="00321DDE">
        <w:rPr>
          <w:b/>
        </w:rPr>
        <w:t>pro nemoc</w:t>
      </w:r>
      <w:r w:rsidRPr="00321DDE">
        <w:t xml:space="preserve"> na 100 pojištěnců v 1. pol. 2022 bylo </w:t>
      </w:r>
      <w:r w:rsidRPr="00321DDE">
        <w:rPr>
          <w:b/>
        </w:rPr>
        <w:t>Vzdělávání</w:t>
      </w:r>
      <w:r w:rsidRPr="00321DDE">
        <w:t xml:space="preserve"> s 33 případy. </w:t>
      </w:r>
      <w:r>
        <w:t xml:space="preserve">Enormní nárůst by mohl souviset s nelehkými výzvami, kterými si pracovníci ve školství za uplynulé 3 roky prošli. Od distanční výuky, přes opětovnou adaptaci na prezenční výuku, až po integraci ukrajinských dětí. </w:t>
      </w:r>
      <w:r w:rsidRPr="00321DDE">
        <w:t>Nárůsty přes 18 případů</w:t>
      </w:r>
      <w:r>
        <w:t xml:space="preserve"> pracovní neschopnosti na 100 pojištěnců</w:t>
      </w:r>
      <w:r w:rsidRPr="00321DDE">
        <w:t xml:space="preserve"> zaznamenaly i sekce Kulturní, zábavní a rekreační činnosti a Veřejná správa a obrana; povinné sociální zabezpečení.</w:t>
      </w:r>
    </w:p>
    <w:p w14:paraId="647F56C7" w14:textId="77777777" w:rsidR="00473D4E" w:rsidRDefault="00473D4E">
      <w:pPr>
        <w:spacing w:after="0" w:line="240" w:lineRule="auto"/>
      </w:pPr>
      <w:r>
        <w:br w:type="page"/>
      </w:r>
    </w:p>
    <w:p w14:paraId="24355540" w14:textId="1D5E1A7A" w:rsidR="00E73F0C" w:rsidRPr="00D92E20" w:rsidRDefault="00E73F0C" w:rsidP="00BA6B4E">
      <w:pPr>
        <w:spacing w:before="120" w:after="0"/>
        <w:jc w:val="both"/>
        <w:rPr>
          <w:rFonts w:cs="Arial"/>
          <w:b/>
          <w:color w:val="000000"/>
          <w:szCs w:val="16"/>
        </w:rPr>
      </w:pPr>
      <w:r w:rsidRPr="004C4C4A">
        <w:rPr>
          <w:rFonts w:cs="Arial"/>
          <w:b/>
          <w:color w:val="000000"/>
          <w:szCs w:val="16"/>
        </w:rPr>
        <w:lastRenderedPageBreak/>
        <w:t xml:space="preserve">Graf 2.5: Nově hlášené případy dočasné pracovní neschopnosti </w:t>
      </w:r>
      <w:r w:rsidR="00096B50" w:rsidRPr="004C4C4A">
        <w:rPr>
          <w:rFonts w:cs="Arial"/>
          <w:b/>
          <w:color w:val="000000"/>
          <w:szCs w:val="16"/>
        </w:rPr>
        <w:t>pro nemoc</w:t>
      </w:r>
      <w:r w:rsidRPr="004C4C4A">
        <w:rPr>
          <w:rFonts w:cs="Arial"/>
          <w:b/>
          <w:color w:val="000000"/>
          <w:szCs w:val="16"/>
        </w:rPr>
        <w:t xml:space="preserve"> na 100 pojištěnců podle odvětví (sekce CZ-NACE), </w:t>
      </w:r>
      <w:r w:rsidR="00670A6B" w:rsidRPr="004C4C4A">
        <w:rPr>
          <w:rFonts w:cs="Arial"/>
          <w:b/>
          <w:color w:val="000000"/>
          <w:szCs w:val="16"/>
        </w:rPr>
        <w:t>1. pol. 202</w:t>
      </w:r>
      <w:r w:rsidR="00321DDE" w:rsidRPr="004C4C4A">
        <w:rPr>
          <w:rFonts w:cs="Arial"/>
          <w:b/>
          <w:color w:val="000000"/>
          <w:szCs w:val="16"/>
        </w:rPr>
        <w:t>1 a 2022</w:t>
      </w:r>
    </w:p>
    <w:p w14:paraId="2D143D09" w14:textId="7096B07C" w:rsidR="00E73F0C" w:rsidRPr="00D92E20" w:rsidRDefault="00321DDE" w:rsidP="007E06C7">
      <w:pPr>
        <w:spacing w:before="120" w:after="120"/>
        <w:jc w:val="both"/>
        <w:rPr>
          <w:rFonts w:cs="Arial"/>
          <w:b/>
          <w:color w:val="000000"/>
          <w:szCs w:val="16"/>
        </w:rPr>
      </w:pPr>
      <w:r>
        <w:rPr>
          <w:noProof/>
        </w:rPr>
        <w:drawing>
          <wp:inline distT="0" distB="0" distL="0" distR="0" wp14:anchorId="5FFD895E" wp14:editId="55A55FD9">
            <wp:extent cx="6120130" cy="4467225"/>
            <wp:effectExtent l="0" t="0" r="13970" b="9525"/>
            <wp:docPr id="42" name="Graf 42"/>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7C76525D" w14:textId="4B33FABE" w:rsidR="00E73F0C" w:rsidRDefault="00E73F0C" w:rsidP="00E73F0C">
      <w:pPr>
        <w:rPr>
          <w:sz w:val="16"/>
        </w:rPr>
      </w:pPr>
      <w:r w:rsidRPr="00D92E20">
        <w:rPr>
          <w:sz w:val="16"/>
        </w:rPr>
        <w:t>Zdroj: ČSÚ</w:t>
      </w:r>
    </w:p>
    <w:p w14:paraId="6242C0A8" w14:textId="19B27F05" w:rsidR="00473D4E" w:rsidRDefault="00FB73B2" w:rsidP="00BA6B4E">
      <w:pPr>
        <w:spacing w:before="120" w:after="120"/>
        <w:jc w:val="both"/>
      </w:pPr>
      <w:r w:rsidRPr="001E3AB8">
        <w:t xml:space="preserve">Nejvíce případů dočasné pracovní neschopnosti na 100 pojištěnců </w:t>
      </w:r>
      <w:r w:rsidRPr="001E3AB8">
        <w:rPr>
          <w:b/>
        </w:rPr>
        <w:t>pro pracovní úraz</w:t>
      </w:r>
      <w:r w:rsidRPr="001E3AB8">
        <w:t>, což je možné chápat jako ukazatel vyjadřující „stupeň rizi</w:t>
      </w:r>
      <w:r w:rsidR="00670A6B" w:rsidRPr="001E3AB8">
        <w:t>kovosti“ daného odvětví, bylo za 1. pol. 202</w:t>
      </w:r>
      <w:r w:rsidR="00321DDE" w:rsidRPr="001E3AB8">
        <w:t>2</w:t>
      </w:r>
      <w:r w:rsidRPr="001E3AB8">
        <w:t xml:space="preserve"> evidováno u sekce Zemědělství, lesnictví a rybářství (</w:t>
      </w:r>
      <w:r w:rsidR="00670A6B" w:rsidRPr="001E3AB8">
        <w:t>1</w:t>
      </w:r>
      <w:r w:rsidRPr="001E3AB8">
        <w:t xml:space="preserve">,3), následované oblastmi </w:t>
      </w:r>
      <w:r w:rsidR="001E3AB8" w:rsidRPr="001E3AB8">
        <w:t xml:space="preserve">Těžba a dobývání a </w:t>
      </w:r>
      <w:r w:rsidRPr="001E3AB8">
        <w:t>Zásobování vodou; činnosti související s odpady a sanacemi (</w:t>
      </w:r>
      <w:r w:rsidR="001E3AB8" w:rsidRPr="001E3AB8">
        <w:t xml:space="preserve">obě sekce shodně </w:t>
      </w:r>
      <w:r w:rsidRPr="001E3AB8">
        <w:t>1,</w:t>
      </w:r>
      <w:r w:rsidR="00E83157" w:rsidRPr="001E3AB8">
        <w:t>0</w:t>
      </w:r>
      <w:r w:rsidRPr="001E3AB8">
        <w:t>). Naproti tomu nejméně pracovních úrazů bylo zaznamenáno v subjektech působících v odvětví Peněžnictví a pojišťovnictví a v oblasti Informační a komunikační činnost</w:t>
      </w:r>
      <w:r w:rsidR="00D042B7" w:rsidRPr="001E3AB8">
        <w:t>i</w:t>
      </w:r>
      <w:r w:rsidRPr="001E3AB8">
        <w:t xml:space="preserve"> (shodně 0,0</w:t>
      </w:r>
      <w:r w:rsidR="00E83157" w:rsidRPr="001E3AB8">
        <w:t>3 resp. 0,04</w:t>
      </w:r>
      <w:r w:rsidRPr="001E3AB8">
        <w:t xml:space="preserve">). </w:t>
      </w:r>
      <w:r w:rsidR="00DD6AF4">
        <w:t>Jak již bylo řečeno, p</w:t>
      </w:r>
      <w:r w:rsidRPr="001E3AB8">
        <w:t>růměrně za všechna odvětví připadalo na 100 pojištěnců</w:t>
      </w:r>
      <w:r w:rsidR="00DD6AF4">
        <w:t xml:space="preserve"> </w:t>
      </w:r>
      <w:r w:rsidRPr="001E3AB8">
        <w:t>0,</w:t>
      </w:r>
      <w:r w:rsidR="00E83157" w:rsidRPr="001E3AB8">
        <w:t>5</w:t>
      </w:r>
      <w:r w:rsidRPr="001E3AB8">
        <w:t xml:space="preserve"> případu pracovní neschopnosti pro pracovní úraz.</w:t>
      </w:r>
      <w:r w:rsidR="004C0F5E" w:rsidRPr="001E3AB8">
        <w:t xml:space="preserve"> Více o pracovních úrazech v kap. 4.5.</w:t>
      </w:r>
    </w:p>
    <w:p w14:paraId="031E03B5" w14:textId="469C4F7B" w:rsidR="00473D4E" w:rsidRDefault="00473D4E" w:rsidP="00473D4E">
      <w:pPr>
        <w:spacing w:before="120" w:after="120"/>
        <w:jc w:val="both"/>
      </w:pPr>
      <w:r w:rsidRPr="001E3AB8">
        <w:t xml:space="preserve">Z pohledu </w:t>
      </w:r>
      <w:r w:rsidRPr="001E3AB8">
        <w:rPr>
          <w:b/>
        </w:rPr>
        <w:t>územního členění</w:t>
      </w:r>
      <w:r w:rsidRPr="001E3AB8">
        <w:t xml:space="preserve"> bylo v 1. pol. 2022 nejvíce případů pracovní neschopnosti na 100 pojištěnců hlášeno v Libereckém (54), Plzeňském a Královéhradeckém kraji (oba shodně 50). Jak již bylo zmíněno výše, průměr za Českou republiku činil 43,5 případů, přičemž podprůměrné hodnoty vykazovaly následující 2 kraje: Hlavní město Praha (33) a Jihomoravský kraj (43). Rozdíl dvou extrémních krajů představoval 21 případů pracovní neschopnosti na 100 pojištěnců. </w:t>
      </w:r>
      <w:r>
        <w:t>V 1. pol. 2019</w:t>
      </w:r>
      <w:r w:rsidRPr="001E3AB8">
        <w:t xml:space="preserve"> rozdíl činil </w:t>
      </w:r>
      <w:r>
        <w:t>8,5</w:t>
      </w:r>
      <w:r w:rsidRPr="001E3AB8">
        <w:t xml:space="preserve"> neschopenek. Hodnoty tohoto sledovaného ukazatele oproti </w:t>
      </w:r>
      <w:r>
        <w:t>1. pol. 20</w:t>
      </w:r>
      <w:r w:rsidRPr="001E3AB8">
        <w:t>1</w:t>
      </w:r>
      <w:r>
        <w:t>9</w:t>
      </w:r>
      <w:r w:rsidRPr="001E3AB8">
        <w:t xml:space="preserve"> vzrostly ve všech krajích, což je patrné z grafu 2.6. Nejvíce v</w:t>
      </w:r>
      <w:r>
        <w:t xml:space="preserve"> Libereckém kraji (+29), </w:t>
      </w:r>
      <w:r w:rsidRPr="001E3AB8">
        <w:t>naopak nejnižší nárůst zaznamenal</w:t>
      </w:r>
      <w:r>
        <w:t>a Praha (+16</w:t>
      </w:r>
      <w:r w:rsidRPr="001E3AB8">
        <w:t>).</w:t>
      </w:r>
    </w:p>
    <w:p w14:paraId="6FBFA174" w14:textId="3B5A8F83" w:rsidR="00473D4E" w:rsidRDefault="00473D4E" w:rsidP="00BA6B4E">
      <w:pPr>
        <w:spacing w:before="120" w:after="120"/>
        <w:jc w:val="both"/>
      </w:pPr>
      <w:r w:rsidRPr="001E3AB8">
        <w:t xml:space="preserve">Počet případů dočasné pracovní neschopnosti dle územního členění je značně ovlivněn strukturou zaměstnanosti, charakterem převažující ekonomické činnosti a mírou nezaměstnanosti v daném regionu. Je nutno zohlednit též </w:t>
      </w:r>
      <w:r w:rsidRPr="001E3AB8">
        <w:rPr>
          <w:b/>
        </w:rPr>
        <w:t>metodiku zpracování dat, kdy rozlišení dle krajů a okresů vychází z údaje o sídle útvaru</w:t>
      </w:r>
      <w:r w:rsidRPr="001E3AB8">
        <w:t>, který vede evidenci mezd zaměstnavateli osoby, která je v pracovní neschopnosti.</w:t>
      </w:r>
    </w:p>
    <w:p w14:paraId="235EB425" w14:textId="77777777" w:rsidR="00473D4E" w:rsidRDefault="00473D4E">
      <w:pPr>
        <w:spacing w:after="0" w:line="240" w:lineRule="auto"/>
      </w:pPr>
      <w:r>
        <w:br w:type="page"/>
      </w:r>
    </w:p>
    <w:p w14:paraId="35E5C513" w14:textId="50E7069B" w:rsidR="00E404AC" w:rsidRPr="00D92E20" w:rsidRDefault="008126FD" w:rsidP="00BA6B4E">
      <w:pPr>
        <w:pStyle w:val="Seznam"/>
        <w:spacing w:after="0"/>
        <w:contextualSpacing w:val="0"/>
        <w:jc w:val="both"/>
      </w:pPr>
      <w:r w:rsidRPr="00D92E20">
        <w:rPr>
          <w:b/>
        </w:rPr>
        <w:lastRenderedPageBreak/>
        <w:t xml:space="preserve">Tab. 2.2: Nově hlášené případy dočasné pracovní neschopnosti na 100 pojištěnců podle odvětví (sekce CZ-NACE), </w:t>
      </w:r>
      <w:r w:rsidR="009F34CD" w:rsidRPr="0050059C">
        <w:rPr>
          <w:b/>
          <w:spacing w:val="-2"/>
        </w:rPr>
        <w:t>1. pol. 201</w:t>
      </w:r>
      <w:r w:rsidR="009F34CD">
        <w:rPr>
          <w:b/>
          <w:spacing w:val="-2"/>
        </w:rPr>
        <w:t>2</w:t>
      </w:r>
      <w:r w:rsidR="009F34CD" w:rsidRPr="0050059C">
        <w:rPr>
          <w:b/>
          <w:spacing w:val="-2"/>
        </w:rPr>
        <w:t xml:space="preserve"> až 1. pol. 202</w:t>
      </w:r>
      <w:r w:rsidR="009F34CD">
        <w:rPr>
          <w:b/>
          <w:spacing w:val="-2"/>
        </w:rPr>
        <w:t>2</w:t>
      </w:r>
    </w:p>
    <w:tbl>
      <w:tblPr>
        <w:tblW w:w="9691" w:type="dxa"/>
        <w:tblCellMar>
          <w:left w:w="70" w:type="dxa"/>
          <w:right w:w="70" w:type="dxa"/>
        </w:tblCellMar>
        <w:tblLook w:val="04A0" w:firstRow="1" w:lastRow="0" w:firstColumn="1" w:lastColumn="0" w:noHBand="0" w:noVBand="1"/>
      </w:tblPr>
      <w:tblGrid>
        <w:gridCol w:w="3146"/>
        <w:gridCol w:w="595"/>
        <w:gridCol w:w="595"/>
        <w:gridCol w:w="595"/>
        <w:gridCol w:w="595"/>
        <w:gridCol w:w="595"/>
        <w:gridCol w:w="595"/>
        <w:gridCol w:w="595"/>
        <w:gridCol w:w="595"/>
        <w:gridCol w:w="595"/>
        <w:gridCol w:w="595"/>
        <w:gridCol w:w="595"/>
      </w:tblGrid>
      <w:tr w:rsidR="001E3AB8" w:rsidRPr="00D92E20" w14:paraId="0ECE45FF" w14:textId="77777777" w:rsidTr="00E83157">
        <w:trPr>
          <w:trHeight w:val="300"/>
        </w:trPr>
        <w:tc>
          <w:tcPr>
            <w:tcW w:w="3146" w:type="dxa"/>
            <w:tcBorders>
              <w:top w:val="single" w:sz="4" w:space="0" w:color="auto"/>
              <w:left w:val="nil"/>
              <w:bottom w:val="single" w:sz="4" w:space="0" w:color="auto"/>
              <w:right w:val="single" w:sz="4" w:space="0" w:color="auto"/>
            </w:tcBorders>
            <w:shd w:val="clear" w:color="000000" w:fill="F5DADD"/>
            <w:noWrap/>
            <w:vAlign w:val="center"/>
            <w:hideMark/>
          </w:tcPr>
          <w:p w14:paraId="4AC62DC9" w14:textId="77777777" w:rsidR="001E3AB8" w:rsidRPr="00D92E20" w:rsidRDefault="001E3AB8" w:rsidP="001E3AB8">
            <w:pPr>
              <w:spacing w:after="0" w:line="240" w:lineRule="auto"/>
              <w:jc w:val="center"/>
              <w:rPr>
                <w:rFonts w:cs="Arial"/>
                <w:color w:val="000000"/>
                <w:sz w:val="16"/>
                <w:szCs w:val="16"/>
              </w:rPr>
            </w:pPr>
            <w:r w:rsidRPr="00D92E20">
              <w:rPr>
                <w:rFonts w:cs="Arial"/>
                <w:color w:val="000000"/>
                <w:sz w:val="16"/>
                <w:szCs w:val="16"/>
              </w:rPr>
              <w:t>Sekce CZ-NACE</w:t>
            </w:r>
          </w:p>
        </w:tc>
        <w:tc>
          <w:tcPr>
            <w:tcW w:w="595" w:type="dxa"/>
            <w:tcBorders>
              <w:top w:val="single" w:sz="4" w:space="0" w:color="auto"/>
              <w:left w:val="nil"/>
              <w:bottom w:val="single" w:sz="4" w:space="0" w:color="auto"/>
              <w:right w:val="nil"/>
            </w:tcBorders>
            <w:shd w:val="clear" w:color="000000" w:fill="F5DADD"/>
            <w:noWrap/>
            <w:vAlign w:val="center"/>
            <w:hideMark/>
          </w:tcPr>
          <w:p w14:paraId="2FD76797" w14:textId="2115CB42" w:rsidR="001E3AB8" w:rsidRPr="00D92E20" w:rsidRDefault="001E3AB8" w:rsidP="001E3AB8">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2012</w:t>
            </w:r>
          </w:p>
        </w:tc>
        <w:tc>
          <w:tcPr>
            <w:tcW w:w="595" w:type="dxa"/>
            <w:tcBorders>
              <w:top w:val="single" w:sz="4" w:space="0" w:color="auto"/>
              <w:left w:val="nil"/>
              <w:bottom w:val="single" w:sz="4" w:space="0" w:color="auto"/>
              <w:right w:val="nil"/>
            </w:tcBorders>
            <w:shd w:val="clear" w:color="000000" w:fill="F5DADD"/>
            <w:noWrap/>
            <w:vAlign w:val="center"/>
            <w:hideMark/>
          </w:tcPr>
          <w:p w14:paraId="75ADD116" w14:textId="57056048" w:rsidR="001E3AB8" w:rsidRPr="00D92E20" w:rsidRDefault="001E3AB8" w:rsidP="001E3AB8">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2013</w:t>
            </w:r>
          </w:p>
        </w:tc>
        <w:tc>
          <w:tcPr>
            <w:tcW w:w="595" w:type="dxa"/>
            <w:tcBorders>
              <w:top w:val="single" w:sz="4" w:space="0" w:color="auto"/>
              <w:left w:val="nil"/>
              <w:bottom w:val="single" w:sz="4" w:space="0" w:color="auto"/>
              <w:right w:val="nil"/>
            </w:tcBorders>
            <w:shd w:val="clear" w:color="000000" w:fill="F5DADD"/>
            <w:noWrap/>
            <w:vAlign w:val="center"/>
            <w:hideMark/>
          </w:tcPr>
          <w:p w14:paraId="283B32E7" w14:textId="5F308986" w:rsidR="001E3AB8" w:rsidRPr="00D92E20" w:rsidRDefault="001E3AB8" w:rsidP="001E3AB8">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2014</w:t>
            </w:r>
          </w:p>
        </w:tc>
        <w:tc>
          <w:tcPr>
            <w:tcW w:w="595" w:type="dxa"/>
            <w:tcBorders>
              <w:top w:val="single" w:sz="4" w:space="0" w:color="auto"/>
              <w:left w:val="nil"/>
              <w:bottom w:val="single" w:sz="4" w:space="0" w:color="auto"/>
              <w:right w:val="nil"/>
            </w:tcBorders>
            <w:shd w:val="clear" w:color="000000" w:fill="F5DADD"/>
            <w:noWrap/>
            <w:vAlign w:val="center"/>
            <w:hideMark/>
          </w:tcPr>
          <w:p w14:paraId="021C8FC7" w14:textId="25664790" w:rsidR="001E3AB8" w:rsidRPr="00D92E20" w:rsidRDefault="001E3AB8" w:rsidP="001E3AB8">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2015</w:t>
            </w:r>
          </w:p>
        </w:tc>
        <w:tc>
          <w:tcPr>
            <w:tcW w:w="595" w:type="dxa"/>
            <w:tcBorders>
              <w:top w:val="single" w:sz="4" w:space="0" w:color="auto"/>
              <w:left w:val="nil"/>
              <w:bottom w:val="single" w:sz="4" w:space="0" w:color="auto"/>
              <w:right w:val="nil"/>
            </w:tcBorders>
            <w:shd w:val="clear" w:color="000000" w:fill="F5DADD"/>
            <w:noWrap/>
            <w:vAlign w:val="center"/>
            <w:hideMark/>
          </w:tcPr>
          <w:p w14:paraId="1CC48030" w14:textId="6AF7C678" w:rsidR="001E3AB8" w:rsidRPr="00D92E20" w:rsidRDefault="001E3AB8" w:rsidP="001E3AB8">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2016</w:t>
            </w:r>
          </w:p>
        </w:tc>
        <w:tc>
          <w:tcPr>
            <w:tcW w:w="595" w:type="dxa"/>
            <w:tcBorders>
              <w:top w:val="single" w:sz="4" w:space="0" w:color="auto"/>
              <w:left w:val="nil"/>
              <w:bottom w:val="single" w:sz="4" w:space="0" w:color="auto"/>
              <w:right w:val="nil"/>
            </w:tcBorders>
            <w:shd w:val="clear" w:color="000000" w:fill="F5DADD"/>
            <w:noWrap/>
            <w:vAlign w:val="center"/>
            <w:hideMark/>
          </w:tcPr>
          <w:p w14:paraId="39768270" w14:textId="2E87558D" w:rsidR="001E3AB8" w:rsidRPr="00D92E20" w:rsidRDefault="001E3AB8" w:rsidP="001E3AB8">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2017</w:t>
            </w:r>
          </w:p>
        </w:tc>
        <w:tc>
          <w:tcPr>
            <w:tcW w:w="595" w:type="dxa"/>
            <w:tcBorders>
              <w:top w:val="single" w:sz="4" w:space="0" w:color="auto"/>
              <w:left w:val="nil"/>
              <w:bottom w:val="single" w:sz="4" w:space="0" w:color="auto"/>
              <w:right w:val="nil"/>
            </w:tcBorders>
            <w:shd w:val="clear" w:color="000000" w:fill="F5DADD"/>
            <w:noWrap/>
            <w:vAlign w:val="center"/>
            <w:hideMark/>
          </w:tcPr>
          <w:p w14:paraId="1276DABB" w14:textId="5B4AEA69" w:rsidR="001E3AB8" w:rsidRPr="00D92E20" w:rsidRDefault="001E3AB8" w:rsidP="001E3AB8">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2018</w:t>
            </w:r>
          </w:p>
        </w:tc>
        <w:tc>
          <w:tcPr>
            <w:tcW w:w="595" w:type="dxa"/>
            <w:tcBorders>
              <w:top w:val="single" w:sz="4" w:space="0" w:color="auto"/>
              <w:left w:val="nil"/>
              <w:bottom w:val="single" w:sz="4" w:space="0" w:color="auto"/>
              <w:right w:val="nil"/>
            </w:tcBorders>
            <w:shd w:val="clear" w:color="000000" w:fill="F5DADD"/>
            <w:noWrap/>
            <w:vAlign w:val="center"/>
            <w:hideMark/>
          </w:tcPr>
          <w:p w14:paraId="74B1FBD1" w14:textId="4720BAE1" w:rsidR="001E3AB8" w:rsidRPr="00D92E20" w:rsidRDefault="001E3AB8" w:rsidP="001E3AB8">
            <w:pPr>
              <w:spacing w:after="0" w:line="240" w:lineRule="auto"/>
              <w:jc w:val="center"/>
              <w:rPr>
                <w:rFonts w:cs="Arial"/>
                <w:color w:val="000000"/>
                <w:sz w:val="16"/>
                <w:szCs w:val="16"/>
              </w:rPr>
            </w:pPr>
            <w:r>
              <w:rPr>
                <w:rFonts w:cs="Arial"/>
                <w:sz w:val="16"/>
                <w:szCs w:val="16"/>
              </w:rPr>
              <w:t>1. pol. 2019</w:t>
            </w:r>
          </w:p>
        </w:tc>
        <w:tc>
          <w:tcPr>
            <w:tcW w:w="595" w:type="dxa"/>
            <w:tcBorders>
              <w:top w:val="single" w:sz="4" w:space="0" w:color="auto"/>
              <w:left w:val="nil"/>
              <w:bottom w:val="single" w:sz="4" w:space="0" w:color="auto"/>
              <w:right w:val="nil"/>
            </w:tcBorders>
            <w:shd w:val="clear" w:color="000000" w:fill="F5DADD"/>
            <w:noWrap/>
            <w:vAlign w:val="center"/>
            <w:hideMark/>
          </w:tcPr>
          <w:p w14:paraId="6B16707E" w14:textId="2E1BC4FB" w:rsidR="001E3AB8" w:rsidRPr="00D92E20" w:rsidRDefault="001E3AB8" w:rsidP="001E3AB8">
            <w:pPr>
              <w:spacing w:after="0" w:line="240" w:lineRule="auto"/>
              <w:jc w:val="center"/>
              <w:rPr>
                <w:rFonts w:cs="Arial"/>
                <w:color w:val="000000"/>
                <w:sz w:val="16"/>
                <w:szCs w:val="16"/>
              </w:rPr>
            </w:pPr>
            <w:r>
              <w:rPr>
                <w:rFonts w:cs="Arial"/>
                <w:sz w:val="16"/>
                <w:szCs w:val="16"/>
              </w:rPr>
              <w:t>1. pol. 2020</w:t>
            </w:r>
          </w:p>
        </w:tc>
        <w:tc>
          <w:tcPr>
            <w:tcW w:w="595" w:type="dxa"/>
            <w:tcBorders>
              <w:top w:val="single" w:sz="4" w:space="0" w:color="auto"/>
              <w:left w:val="nil"/>
              <w:bottom w:val="single" w:sz="4" w:space="0" w:color="auto"/>
              <w:right w:val="nil"/>
            </w:tcBorders>
            <w:shd w:val="clear" w:color="000000" w:fill="F5DADD"/>
            <w:noWrap/>
            <w:vAlign w:val="center"/>
            <w:hideMark/>
          </w:tcPr>
          <w:p w14:paraId="56E67D72" w14:textId="6699D8DD" w:rsidR="001E3AB8" w:rsidRPr="00D92E20" w:rsidRDefault="001E3AB8" w:rsidP="001E3AB8">
            <w:pPr>
              <w:spacing w:after="0" w:line="240" w:lineRule="auto"/>
              <w:jc w:val="center"/>
              <w:rPr>
                <w:rFonts w:cs="Arial"/>
                <w:color w:val="000000"/>
                <w:sz w:val="16"/>
                <w:szCs w:val="16"/>
              </w:rPr>
            </w:pPr>
            <w:r>
              <w:rPr>
                <w:rFonts w:cs="Arial"/>
                <w:sz w:val="16"/>
                <w:szCs w:val="16"/>
              </w:rPr>
              <w:t>1. pol. 2021</w:t>
            </w:r>
          </w:p>
        </w:tc>
        <w:tc>
          <w:tcPr>
            <w:tcW w:w="595" w:type="dxa"/>
            <w:tcBorders>
              <w:top w:val="single" w:sz="4" w:space="0" w:color="auto"/>
              <w:left w:val="nil"/>
              <w:bottom w:val="single" w:sz="4" w:space="0" w:color="auto"/>
              <w:right w:val="nil"/>
            </w:tcBorders>
            <w:shd w:val="clear" w:color="000000" w:fill="F5DADD"/>
            <w:noWrap/>
            <w:vAlign w:val="center"/>
            <w:hideMark/>
          </w:tcPr>
          <w:p w14:paraId="63675900" w14:textId="1A3BBD43" w:rsidR="001E3AB8" w:rsidRPr="00D92E20" w:rsidRDefault="001E3AB8" w:rsidP="001E3AB8">
            <w:pPr>
              <w:spacing w:after="0" w:line="240" w:lineRule="auto"/>
              <w:jc w:val="center"/>
              <w:rPr>
                <w:rFonts w:cs="Arial"/>
                <w:color w:val="000000"/>
                <w:sz w:val="16"/>
                <w:szCs w:val="16"/>
              </w:rPr>
            </w:pPr>
            <w:r>
              <w:rPr>
                <w:rFonts w:cs="Arial"/>
                <w:sz w:val="16"/>
                <w:szCs w:val="16"/>
              </w:rPr>
              <w:t>1. pol. 2022</w:t>
            </w:r>
          </w:p>
        </w:tc>
      </w:tr>
      <w:tr w:rsidR="001E3AB8" w:rsidRPr="00D92E20" w14:paraId="31536B95" w14:textId="77777777" w:rsidTr="00E83157">
        <w:trPr>
          <w:trHeight w:val="300"/>
        </w:trPr>
        <w:tc>
          <w:tcPr>
            <w:tcW w:w="3146" w:type="dxa"/>
            <w:tcBorders>
              <w:top w:val="nil"/>
              <w:left w:val="nil"/>
              <w:bottom w:val="nil"/>
              <w:right w:val="single" w:sz="4" w:space="0" w:color="auto"/>
            </w:tcBorders>
            <w:shd w:val="clear" w:color="auto" w:fill="auto"/>
            <w:vAlign w:val="center"/>
            <w:hideMark/>
          </w:tcPr>
          <w:p w14:paraId="1A5FF7D1" w14:textId="77777777" w:rsidR="001E3AB8" w:rsidRPr="00D92E20" w:rsidRDefault="001E3AB8" w:rsidP="001E3AB8">
            <w:pPr>
              <w:spacing w:after="0" w:line="240" w:lineRule="auto"/>
              <w:rPr>
                <w:rFonts w:cs="Arial"/>
                <w:b/>
                <w:bCs/>
                <w:color w:val="000000"/>
                <w:sz w:val="16"/>
                <w:szCs w:val="16"/>
              </w:rPr>
            </w:pPr>
            <w:r w:rsidRPr="00D92E20">
              <w:rPr>
                <w:rFonts w:cs="Arial"/>
                <w:b/>
                <w:bCs/>
                <w:color w:val="000000"/>
                <w:sz w:val="16"/>
                <w:szCs w:val="16"/>
              </w:rPr>
              <w:t xml:space="preserve">Celkem </w:t>
            </w:r>
          </w:p>
        </w:tc>
        <w:tc>
          <w:tcPr>
            <w:tcW w:w="595" w:type="dxa"/>
            <w:tcBorders>
              <w:top w:val="nil"/>
              <w:left w:val="nil"/>
              <w:bottom w:val="nil"/>
              <w:right w:val="nil"/>
            </w:tcBorders>
            <w:shd w:val="clear" w:color="auto" w:fill="auto"/>
            <w:noWrap/>
            <w:vAlign w:val="center"/>
            <w:hideMark/>
          </w:tcPr>
          <w:p w14:paraId="6EB2DEE5" w14:textId="0CC4455F" w:rsidR="001E3AB8" w:rsidRPr="00D92E20" w:rsidRDefault="001E3AB8" w:rsidP="001E3AB8">
            <w:pPr>
              <w:spacing w:after="0" w:line="240" w:lineRule="auto"/>
              <w:jc w:val="center"/>
              <w:rPr>
                <w:rFonts w:cs="Arial"/>
                <w:b/>
                <w:bCs/>
                <w:color w:val="000000"/>
                <w:sz w:val="16"/>
                <w:szCs w:val="16"/>
              </w:rPr>
            </w:pPr>
            <w:r>
              <w:rPr>
                <w:rFonts w:ascii="Arial CE" w:hAnsi="Arial CE" w:cs="Arial CE"/>
                <w:b/>
                <w:bCs/>
                <w:sz w:val="16"/>
                <w:szCs w:val="16"/>
              </w:rPr>
              <w:t>13,6</w:t>
            </w:r>
          </w:p>
        </w:tc>
        <w:tc>
          <w:tcPr>
            <w:tcW w:w="595" w:type="dxa"/>
            <w:tcBorders>
              <w:top w:val="nil"/>
              <w:left w:val="nil"/>
              <w:bottom w:val="nil"/>
              <w:right w:val="nil"/>
            </w:tcBorders>
            <w:shd w:val="clear" w:color="auto" w:fill="auto"/>
            <w:noWrap/>
            <w:vAlign w:val="center"/>
            <w:hideMark/>
          </w:tcPr>
          <w:p w14:paraId="5F1DEC74" w14:textId="5CF0B687" w:rsidR="001E3AB8" w:rsidRPr="00D92E20" w:rsidRDefault="001E3AB8" w:rsidP="001E3AB8">
            <w:pPr>
              <w:spacing w:after="0" w:line="240" w:lineRule="auto"/>
              <w:jc w:val="center"/>
              <w:rPr>
                <w:rFonts w:cs="Arial"/>
                <w:b/>
                <w:bCs/>
                <w:color w:val="000000"/>
                <w:sz w:val="16"/>
                <w:szCs w:val="16"/>
              </w:rPr>
            </w:pPr>
            <w:r>
              <w:rPr>
                <w:rFonts w:ascii="Arial CE" w:hAnsi="Arial CE" w:cs="Arial CE"/>
                <w:b/>
                <w:bCs/>
                <w:sz w:val="16"/>
                <w:szCs w:val="16"/>
              </w:rPr>
              <w:t>17,1</w:t>
            </w:r>
          </w:p>
        </w:tc>
        <w:tc>
          <w:tcPr>
            <w:tcW w:w="595" w:type="dxa"/>
            <w:tcBorders>
              <w:top w:val="nil"/>
              <w:left w:val="nil"/>
              <w:bottom w:val="nil"/>
              <w:right w:val="nil"/>
            </w:tcBorders>
            <w:shd w:val="clear" w:color="auto" w:fill="auto"/>
            <w:noWrap/>
            <w:vAlign w:val="center"/>
            <w:hideMark/>
          </w:tcPr>
          <w:p w14:paraId="1A050253" w14:textId="5C1710C7" w:rsidR="001E3AB8" w:rsidRPr="00D92E20" w:rsidRDefault="001E3AB8" w:rsidP="001E3AB8">
            <w:pPr>
              <w:spacing w:after="0" w:line="240" w:lineRule="auto"/>
              <w:jc w:val="center"/>
              <w:rPr>
                <w:rFonts w:cs="Arial"/>
                <w:b/>
                <w:bCs/>
                <w:color w:val="000000"/>
                <w:sz w:val="16"/>
                <w:szCs w:val="16"/>
              </w:rPr>
            </w:pPr>
            <w:r>
              <w:rPr>
                <w:rFonts w:ascii="Arial CE" w:hAnsi="Arial CE" w:cs="Arial CE"/>
                <w:b/>
                <w:bCs/>
                <w:sz w:val="16"/>
                <w:szCs w:val="16"/>
              </w:rPr>
              <w:t>15,1</w:t>
            </w:r>
          </w:p>
        </w:tc>
        <w:tc>
          <w:tcPr>
            <w:tcW w:w="595" w:type="dxa"/>
            <w:tcBorders>
              <w:top w:val="nil"/>
              <w:left w:val="nil"/>
              <w:bottom w:val="nil"/>
              <w:right w:val="nil"/>
            </w:tcBorders>
            <w:shd w:val="clear" w:color="auto" w:fill="auto"/>
            <w:noWrap/>
            <w:vAlign w:val="center"/>
            <w:hideMark/>
          </w:tcPr>
          <w:p w14:paraId="4D36D802" w14:textId="13A71A4B" w:rsidR="001E3AB8" w:rsidRPr="00D92E20" w:rsidRDefault="001E3AB8" w:rsidP="001E3AB8">
            <w:pPr>
              <w:spacing w:after="0" w:line="240" w:lineRule="auto"/>
              <w:jc w:val="center"/>
              <w:rPr>
                <w:rFonts w:cs="Arial"/>
                <w:b/>
                <w:bCs/>
                <w:color w:val="000000"/>
                <w:sz w:val="16"/>
                <w:szCs w:val="16"/>
              </w:rPr>
            </w:pPr>
            <w:r>
              <w:rPr>
                <w:rFonts w:ascii="Arial CE" w:hAnsi="Arial CE" w:cs="Arial CE"/>
                <w:b/>
                <w:bCs/>
                <w:sz w:val="16"/>
                <w:szCs w:val="16"/>
              </w:rPr>
              <w:t>19,5</w:t>
            </w:r>
          </w:p>
        </w:tc>
        <w:tc>
          <w:tcPr>
            <w:tcW w:w="595" w:type="dxa"/>
            <w:tcBorders>
              <w:top w:val="nil"/>
              <w:left w:val="nil"/>
              <w:bottom w:val="nil"/>
              <w:right w:val="nil"/>
            </w:tcBorders>
            <w:shd w:val="clear" w:color="auto" w:fill="auto"/>
            <w:noWrap/>
            <w:vAlign w:val="center"/>
            <w:hideMark/>
          </w:tcPr>
          <w:p w14:paraId="4C09A4DC" w14:textId="35F3C172" w:rsidR="001E3AB8" w:rsidRPr="00D92E20" w:rsidRDefault="001E3AB8" w:rsidP="001E3AB8">
            <w:pPr>
              <w:spacing w:after="0" w:line="240" w:lineRule="auto"/>
              <w:jc w:val="center"/>
              <w:rPr>
                <w:rFonts w:cs="Arial"/>
                <w:b/>
                <w:bCs/>
                <w:color w:val="000000"/>
                <w:sz w:val="16"/>
                <w:szCs w:val="16"/>
              </w:rPr>
            </w:pPr>
            <w:r>
              <w:rPr>
                <w:rFonts w:ascii="Arial CE" w:hAnsi="Arial CE" w:cs="Arial CE"/>
                <w:b/>
                <w:bCs/>
                <w:sz w:val="16"/>
                <w:szCs w:val="16"/>
              </w:rPr>
              <w:t>19,3</w:t>
            </w:r>
          </w:p>
        </w:tc>
        <w:tc>
          <w:tcPr>
            <w:tcW w:w="595" w:type="dxa"/>
            <w:tcBorders>
              <w:top w:val="nil"/>
              <w:left w:val="nil"/>
              <w:bottom w:val="nil"/>
              <w:right w:val="nil"/>
            </w:tcBorders>
            <w:shd w:val="clear" w:color="auto" w:fill="auto"/>
            <w:noWrap/>
            <w:vAlign w:val="center"/>
            <w:hideMark/>
          </w:tcPr>
          <w:p w14:paraId="2906677C" w14:textId="34C088C6" w:rsidR="001E3AB8" w:rsidRPr="00D92E20" w:rsidRDefault="001E3AB8" w:rsidP="001E3AB8">
            <w:pPr>
              <w:spacing w:after="0" w:line="240" w:lineRule="auto"/>
              <w:jc w:val="center"/>
              <w:rPr>
                <w:rFonts w:cs="Arial"/>
                <w:b/>
                <w:bCs/>
                <w:color w:val="000000"/>
                <w:sz w:val="16"/>
                <w:szCs w:val="16"/>
              </w:rPr>
            </w:pPr>
            <w:r>
              <w:rPr>
                <w:rFonts w:ascii="Arial CE" w:hAnsi="Arial CE" w:cs="Arial CE"/>
                <w:b/>
                <w:bCs/>
                <w:sz w:val="16"/>
                <w:szCs w:val="16"/>
              </w:rPr>
              <w:t>20,4</w:t>
            </w:r>
          </w:p>
        </w:tc>
        <w:tc>
          <w:tcPr>
            <w:tcW w:w="595" w:type="dxa"/>
            <w:tcBorders>
              <w:top w:val="nil"/>
              <w:left w:val="nil"/>
              <w:bottom w:val="nil"/>
              <w:right w:val="nil"/>
            </w:tcBorders>
            <w:shd w:val="clear" w:color="auto" w:fill="auto"/>
            <w:noWrap/>
            <w:vAlign w:val="center"/>
            <w:hideMark/>
          </w:tcPr>
          <w:p w14:paraId="75BCD889" w14:textId="4DF0D2A3" w:rsidR="001E3AB8" w:rsidRPr="00D92E20" w:rsidRDefault="001E3AB8" w:rsidP="001E3AB8">
            <w:pPr>
              <w:spacing w:after="0" w:line="240" w:lineRule="auto"/>
              <w:jc w:val="center"/>
              <w:rPr>
                <w:rFonts w:cs="Arial"/>
                <w:b/>
                <w:bCs/>
                <w:color w:val="000000"/>
                <w:sz w:val="16"/>
                <w:szCs w:val="16"/>
              </w:rPr>
            </w:pPr>
            <w:r>
              <w:rPr>
                <w:rFonts w:ascii="Arial CE" w:hAnsi="Arial CE" w:cs="Arial CE"/>
                <w:b/>
                <w:bCs/>
                <w:sz w:val="16"/>
                <w:szCs w:val="16"/>
              </w:rPr>
              <w:t>22,1</w:t>
            </w:r>
          </w:p>
        </w:tc>
        <w:tc>
          <w:tcPr>
            <w:tcW w:w="595" w:type="dxa"/>
            <w:tcBorders>
              <w:top w:val="nil"/>
              <w:left w:val="nil"/>
              <w:bottom w:val="nil"/>
              <w:right w:val="nil"/>
            </w:tcBorders>
            <w:shd w:val="clear" w:color="auto" w:fill="auto"/>
            <w:noWrap/>
            <w:vAlign w:val="center"/>
            <w:hideMark/>
          </w:tcPr>
          <w:p w14:paraId="68CBED76" w14:textId="2E7E7283" w:rsidR="001E3AB8" w:rsidRPr="00D92E20" w:rsidRDefault="001E3AB8" w:rsidP="001E3AB8">
            <w:pPr>
              <w:spacing w:after="0" w:line="240" w:lineRule="auto"/>
              <w:jc w:val="center"/>
              <w:rPr>
                <w:rFonts w:cs="Arial"/>
                <w:b/>
                <w:bCs/>
                <w:color w:val="000000"/>
                <w:sz w:val="16"/>
                <w:szCs w:val="16"/>
              </w:rPr>
            </w:pPr>
            <w:r>
              <w:rPr>
                <w:rFonts w:cs="Arial"/>
                <w:b/>
                <w:bCs/>
                <w:color w:val="000000"/>
                <w:sz w:val="16"/>
                <w:szCs w:val="16"/>
              </w:rPr>
              <w:t>20,6</w:t>
            </w:r>
          </w:p>
        </w:tc>
        <w:tc>
          <w:tcPr>
            <w:tcW w:w="595" w:type="dxa"/>
            <w:tcBorders>
              <w:top w:val="nil"/>
              <w:left w:val="nil"/>
              <w:bottom w:val="nil"/>
              <w:right w:val="nil"/>
            </w:tcBorders>
            <w:shd w:val="clear" w:color="auto" w:fill="auto"/>
            <w:noWrap/>
            <w:vAlign w:val="center"/>
            <w:hideMark/>
          </w:tcPr>
          <w:p w14:paraId="7261C512" w14:textId="31E83B46" w:rsidR="001E3AB8" w:rsidRPr="00D92E20" w:rsidRDefault="001E3AB8" w:rsidP="001E3AB8">
            <w:pPr>
              <w:spacing w:after="0" w:line="240" w:lineRule="auto"/>
              <w:jc w:val="center"/>
              <w:rPr>
                <w:rFonts w:cs="Arial"/>
                <w:b/>
                <w:bCs/>
                <w:color w:val="000000"/>
                <w:sz w:val="16"/>
                <w:szCs w:val="16"/>
              </w:rPr>
            </w:pPr>
            <w:r>
              <w:rPr>
                <w:rFonts w:cs="Arial"/>
                <w:b/>
                <w:bCs/>
                <w:color w:val="000000"/>
                <w:sz w:val="16"/>
                <w:szCs w:val="16"/>
              </w:rPr>
              <w:t>22,8</w:t>
            </w:r>
          </w:p>
        </w:tc>
        <w:tc>
          <w:tcPr>
            <w:tcW w:w="595" w:type="dxa"/>
            <w:tcBorders>
              <w:top w:val="nil"/>
              <w:left w:val="nil"/>
              <w:bottom w:val="nil"/>
              <w:right w:val="nil"/>
            </w:tcBorders>
            <w:shd w:val="clear" w:color="auto" w:fill="auto"/>
            <w:noWrap/>
            <w:vAlign w:val="center"/>
            <w:hideMark/>
          </w:tcPr>
          <w:p w14:paraId="2BD23163" w14:textId="0CC0CC06" w:rsidR="001E3AB8" w:rsidRPr="00D92E20" w:rsidRDefault="001E3AB8" w:rsidP="001E3AB8">
            <w:pPr>
              <w:spacing w:after="0" w:line="240" w:lineRule="auto"/>
              <w:jc w:val="center"/>
              <w:rPr>
                <w:rFonts w:cs="Arial"/>
                <w:b/>
                <w:bCs/>
                <w:color w:val="000000"/>
                <w:sz w:val="16"/>
                <w:szCs w:val="16"/>
              </w:rPr>
            </w:pPr>
            <w:r>
              <w:rPr>
                <w:rFonts w:cs="Arial"/>
                <w:b/>
                <w:bCs/>
                <w:color w:val="000000"/>
                <w:sz w:val="16"/>
                <w:szCs w:val="16"/>
              </w:rPr>
              <w:t>29,8</w:t>
            </w:r>
          </w:p>
        </w:tc>
        <w:tc>
          <w:tcPr>
            <w:tcW w:w="595" w:type="dxa"/>
            <w:tcBorders>
              <w:top w:val="nil"/>
              <w:left w:val="nil"/>
              <w:bottom w:val="nil"/>
              <w:right w:val="nil"/>
            </w:tcBorders>
            <w:shd w:val="clear" w:color="auto" w:fill="auto"/>
            <w:noWrap/>
            <w:vAlign w:val="center"/>
            <w:hideMark/>
          </w:tcPr>
          <w:p w14:paraId="39BD6188" w14:textId="0332EF69" w:rsidR="001E3AB8" w:rsidRPr="00D92E20" w:rsidRDefault="001E3AB8" w:rsidP="001E3AB8">
            <w:pPr>
              <w:spacing w:after="0" w:line="240" w:lineRule="auto"/>
              <w:jc w:val="center"/>
              <w:rPr>
                <w:rFonts w:cs="Arial"/>
                <w:b/>
                <w:bCs/>
                <w:color w:val="000000"/>
                <w:sz w:val="16"/>
                <w:szCs w:val="16"/>
              </w:rPr>
            </w:pPr>
            <w:r>
              <w:rPr>
                <w:rFonts w:cs="Arial"/>
                <w:b/>
                <w:bCs/>
                <w:color w:val="000000"/>
                <w:sz w:val="16"/>
                <w:szCs w:val="16"/>
              </w:rPr>
              <w:t>43,5</w:t>
            </w:r>
          </w:p>
        </w:tc>
      </w:tr>
      <w:tr w:rsidR="001E3AB8" w:rsidRPr="00D92E20" w14:paraId="64B19760" w14:textId="77777777" w:rsidTr="00E83157">
        <w:trPr>
          <w:trHeight w:val="300"/>
        </w:trPr>
        <w:tc>
          <w:tcPr>
            <w:tcW w:w="3146" w:type="dxa"/>
            <w:tcBorders>
              <w:top w:val="nil"/>
              <w:left w:val="nil"/>
              <w:bottom w:val="nil"/>
              <w:right w:val="single" w:sz="4" w:space="0" w:color="auto"/>
            </w:tcBorders>
            <w:shd w:val="clear" w:color="auto" w:fill="auto"/>
            <w:vAlign w:val="center"/>
            <w:hideMark/>
          </w:tcPr>
          <w:p w14:paraId="6853106A" w14:textId="44792313" w:rsidR="001E3AB8" w:rsidRPr="00D92E20" w:rsidRDefault="001E3AB8" w:rsidP="001E3AB8">
            <w:pPr>
              <w:spacing w:after="0" w:line="240" w:lineRule="auto"/>
              <w:ind w:firstLineChars="100" w:firstLine="160"/>
              <w:rPr>
                <w:rFonts w:cs="Arial"/>
                <w:color w:val="000000"/>
                <w:sz w:val="16"/>
                <w:szCs w:val="16"/>
              </w:rPr>
            </w:pPr>
            <w:r w:rsidRPr="00D92E20">
              <w:rPr>
                <w:rFonts w:cs="Arial"/>
                <w:color w:val="000000"/>
                <w:sz w:val="16"/>
                <w:szCs w:val="16"/>
              </w:rPr>
              <w:t>A – Zemědělství, lesnictví a rybářství</w:t>
            </w:r>
          </w:p>
        </w:tc>
        <w:tc>
          <w:tcPr>
            <w:tcW w:w="595" w:type="dxa"/>
            <w:tcBorders>
              <w:top w:val="nil"/>
              <w:left w:val="nil"/>
              <w:bottom w:val="nil"/>
              <w:right w:val="nil"/>
            </w:tcBorders>
            <w:shd w:val="clear" w:color="auto" w:fill="auto"/>
            <w:noWrap/>
            <w:vAlign w:val="center"/>
            <w:hideMark/>
          </w:tcPr>
          <w:p w14:paraId="55A991D1" w14:textId="1DFE816F"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13,0</w:t>
            </w:r>
          </w:p>
        </w:tc>
        <w:tc>
          <w:tcPr>
            <w:tcW w:w="595" w:type="dxa"/>
            <w:tcBorders>
              <w:top w:val="nil"/>
              <w:left w:val="nil"/>
              <w:bottom w:val="nil"/>
              <w:right w:val="nil"/>
            </w:tcBorders>
            <w:shd w:val="clear" w:color="auto" w:fill="auto"/>
            <w:noWrap/>
            <w:vAlign w:val="center"/>
            <w:hideMark/>
          </w:tcPr>
          <w:p w14:paraId="654BDA90" w14:textId="0455E80C"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15,7</w:t>
            </w:r>
          </w:p>
        </w:tc>
        <w:tc>
          <w:tcPr>
            <w:tcW w:w="595" w:type="dxa"/>
            <w:tcBorders>
              <w:top w:val="nil"/>
              <w:left w:val="nil"/>
              <w:bottom w:val="nil"/>
              <w:right w:val="nil"/>
            </w:tcBorders>
            <w:shd w:val="clear" w:color="auto" w:fill="auto"/>
            <w:noWrap/>
            <w:vAlign w:val="center"/>
            <w:hideMark/>
          </w:tcPr>
          <w:p w14:paraId="2A0CA5C6" w14:textId="041436C0"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13,9</w:t>
            </w:r>
          </w:p>
        </w:tc>
        <w:tc>
          <w:tcPr>
            <w:tcW w:w="595" w:type="dxa"/>
            <w:tcBorders>
              <w:top w:val="nil"/>
              <w:left w:val="nil"/>
              <w:bottom w:val="nil"/>
              <w:right w:val="nil"/>
            </w:tcBorders>
            <w:shd w:val="clear" w:color="auto" w:fill="auto"/>
            <w:noWrap/>
            <w:vAlign w:val="center"/>
            <w:hideMark/>
          </w:tcPr>
          <w:p w14:paraId="42406024" w14:textId="0CC187C3"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17,5</w:t>
            </w:r>
          </w:p>
        </w:tc>
        <w:tc>
          <w:tcPr>
            <w:tcW w:w="595" w:type="dxa"/>
            <w:tcBorders>
              <w:top w:val="nil"/>
              <w:left w:val="nil"/>
              <w:bottom w:val="nil"/>
              <w:right w:val="nil"/>
            </w:tcBorders>
            <w:shd w:val="clear" w:color="auto" w:fill="auto"/>
            <w:noWrap/>
            <w:vAlign w:val="center"/>
            <w:hideMark/>
          </w:tcPr>
          <w:p w14:paraId="3AB51C4C" w14:textId="4E674234"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16,9</w:t>
            </w:r>
          </w:p>
        </w:tc>
        <w:tc>
          <w:tcPr>
            <w:tcW w:w="595" w:type="dxa"/>
            <w:tcBorders>
              <w:top w:val="nil"/>
              <w:left w:val="nil"/>
              <w:bottom w:val="nil"/>
              <w:right w:val="nil"/>
            </w:tcBorders>
            <w:shd w:val="clear" w:color="auto" w:fill="auto"/>
            <w:noWrap/>
            <w:vAlign w:val="center"/>
            <w:hideMark/>
          </w:tcPr>
          <w:p w14:paraId="510B5392" w14:textId="0AFB3B8A"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18,3</w:t>
            </w:r>
          </w:p>
        </w:tc>
        <w:tc>
          <w:tcPr>
            <w:tcW w:w="595" w:type="dxa"/>
            <w:tcBorders>
              <w:top w:val="nil"/>
              <w:left w:val="nil"/>
              <w:bottom w:val="nil"/>
              <w:right w:val="nil"/>
            </w:tcBorders>
            <w:shd w:val="clear" w:color="auto" w:fill="auto"/>
            <w:noWrap/>
            <w:vAlign w:val="center"/>
            <w:hideMark/>
          </w:tcPr>
          <w:p w14:paraId="3A91D837" w14:textId="0B077080"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19,6</w:t>
            </w:r>
          </w:p>
        </w:tc>
        <w:tc>
          <w:tcPr>
            <w:tcW w:w="595" w:type="dxa"/>
            <w:tcBorders>
              <w:top w:val="nil"/>
              <w:left w:val="nil"/>
              <w:bottom w:val="nil"/>
              <w:right w:val="nil"/>
            </w:tcBorders>
            <w:shd w:val="clear" w:color="auto" w:fill="auto"/>
            <w:noWrap/>
            <w:vAlign w:val="center"/>
            <w:hideMark/>
          </w:tcPr>
          <w:p w14:paraId="08207719" w14:textId="68A56AA0"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18,1</w:t>
            </w:r>
          </w:p>
        </w:tc>
        <w:tc>
          <w:tcPr>
            <w:tcW w:w="595" w:type="dxa"/>
            <w:tcBorders>
              <w:top w:val="nil"/>
              <w:left w:val="nil"/>
              <w:bottom w:val="nil"/>
              <w:right w:val="nil"/>
            </w:tcBorders>
            <w:shd w:val="clear" w:color="auto" w:fill="auto"/>
            <w:noWrap/>
            <w:vAlign w:val="center"/>
            <w:hideMark/>
          </w:tcPr>
          <w:p w14:paraId="6085A7A3" w14:textId="5392B684"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18,8</w:t>
            </w:r>
          </w:p>
        </w:tc>
        <w:tc>
          <w:tcPr>
            <w:tcW w:w="595" w:type="dxa"/>
            <w:tcBorders>
              <w:top w:val="nil"/>
              <w:left w:val="nil"/>
              <w:bottom w:val="nil"/>
              <w:right w:val="nil"/>
            </w:tcBorders>
            <w:shd w:val="clear" w:color="auto" w:fill="auto"/>
            <w:noWrap/>
            <w:vAlign w:val="center"/>
            <w:hideMark/>
          </w:tcPr>
          <w:p w14:paraId="027D02D8" w14:textId="0607A598"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29,3</w:t>
            </w:r>
          </w:p>
        </w:tc>
        <w:tc>
          <w:tcPr>
            <w:tcW w:w="595" w:type="dxa"/>
            <w:tcBorders>
              <w:top w:val="nil"/>
              <w:left w:val="nil"/>
              <w:bottom w:val="nil"/>
              <w:right w:val="nil"/>
            </w:tcBorders>
            <w:shd w:val="clear" w:color="auto" w:fill="auto"/>
            <w:noWrap/>
            <w:vAlign w:val="center"/>
            <w:hideMark/>
          </w:tcPr>
          <w:p w14:paraId="10E2B7CB" w14:textId="389C0A75"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34,8</w:t>
            </w:r>
          </w:p>
        </w:tc>
      </w:tr>
      <w:tr w:rsidR="001E3AB8" w:rsidRPr="00D92E20" w14:paraId="3AB69168" w14:textId="77777777" w:rsidTr="00E83157">
        <w:trPr>
          <w:trHeight w:val="300"/>
        </w:trPr>
        <w:tc>
          <w:tcPr>
            <w:tcW w:w="3146" w:type="dxa"/>
            <w:tcBorders>
              <w:top w:val="nil"/>
              <w:left w:val="nil"/>
              <w:bottom w:val="nil"/>
              <w:right w:val="single" w:sz="4" w:space="0" w:color="auto"/>
            </w:tcBorders>
            <w:shd w:val="clear" w:color="auto" w:fill="auto"/>
            <w:vAlign w:val="center"/>
            <w:hideMark/>
          </w:tcPr>
          <w:p w14:paraId="0C092A4D" w14:textId="77777777" w:rsidR="001E3AB8" w:rsidRPr="00D92E20" w:rsidRDefault="001E3AB8" w:rsidP="001E3AB8">
            <w:pPr>
              <w:spacing w:after="0" w:line="240" w:lineRule="auto"/>
              <w:ind w:firstLineChars="100" w:firstLine="160"/>
              <w:rPr>
                <w:rFonts w:cs="Arial"/>
                <w:color w:val="000000"/>
                <w:sz w:val="16"/>
                <w:szCs w:val="16"/>
              </w:rPr>
            </w:pPr>
            <w:r w:rsidRPr="00D92E20">
              <w:rPr>
                <w:rFonts w:cs="Arial"/>
                <w:color w:val="000000"/>
                <w:sz w:val="16"/>
                <w:szCs w:val="16"/>
              </w:rPr>
              <w:t>B – Těžba a dobývání</w:t>
            </w:r>
          </w:p>
        </w:tc>
        <w:tc>
          <w:tcPr>
            <w:tcW w:w="595" w:type="dxa"/>
            <w:tcBorders>
              <w:top w:val="nil"/>
              <w:left w:val="nil"/>
              <w:bottom w:val="nil"/>
              <w:right w:val="nil"/>
            </w:tcBorders>
            <w:shd w:val="clear" w:color="auto" w:fill="auto"/>
            <w:noWrap/>
            <w:vAlign w:val="center"/>
            <w:hideMark/>
          </w:tcPr>
          <w:p w14:paraId="56A87914" w14:textId="0F9623AF"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18,1</w:t>
            </w:r>
          </w:p>
        </w:tc>
        <w:tc>
          <w:tcPr>
            <w:tcW w:w="595" w:type="dxa"/>
            <w:tcBorders>
              <w:top w:val="nil"/>
              <w:left w:val="nil"/>
              <w:bottom w:val="nil"/>
              <w:right w:val="nil"/>
            </w:tcBorders>
            <w:shd w:val="clear" w:color="auto" w:fill="auto"/>
            <w:noWrap/>
            <w:vAlign w:val="center"/>
            <w:hideMark/>
          </w:tcPr>
          <w:p w14:paraId="1839DB72" w14:textId="726C8922"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21,3</w:t>
            </w:r>
          </w:p>
        </w:tc>
        <w:tc>
          <w:tcPr>
            <w:tcW w:w="595" w:type="dxa"/>
            <w:tcBorders>
              <w:top w:val="nil"/>
              <w:left w:val="nil"/>
              <w:bottom w:val="nil"/>
              <w:right w:val="nil"/>
            </w:tcBorders>
            <w:shd w:val="clear" w:color="auto" w:fill="auto"/>
            <w:noWrap/>
            <w:vAlign w:val="center"/>
            <w:hideMark/>
          </w:tcPr>
          <w:p w14:paraId="7EA45C75" w14:textId="4BAD8FDB"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17,5</w:t>
            </w:r>
          </w:p>
        </w:tc>
        <w:tc>
          <w:tcPr>
            <w:tcW w:w="595" w:type="dxa"/>
            <w:tcBorders>
              <w:top w:val="nil"/>
              <w:left w:val="nil"/>
              <w:bottom w:val="nil"/>
              <w:right w:val="nil"/>
            </w:tcBorders>
            <w:shd w:val="clear" w:color="auto" w:fill="auto"/>
            <w:noWrap/>
            <w:vAlign w:val="center"/>
            <w:hideMark/>
          </w:tcPr>
          <w:p w14:paraId="027BEF9D" w14:textId="00D3A1E5"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21,0</w:t>
            </w:r>
          </w:p>
        </w:tc>
        <w:tc>
          <w:tcPr>
            <w:tcW w:w="595" w:type="dxa"/>
            <w:tcBorders>
              <w:top w:val="nil"/>
              <w:left w:val="nil"/>
              <w:bottom w:val="nil"/>
              <w:right w:val="nil"/>
            </w:tcBorders>
            <w:shd w:val="clear" w:color="auto" w:fill="auto"/>
            <w:noWrap/>
            <w:vAlign w:val="center"/>
            <w:hideMark/>
          </w:tcPr>
          <w:p w14:paraId="67A41E4B" w14:textId="789731C4"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20,4</w:t>
            </w:r>
          </w:p>
        </w:tc>
        <w:tc>
          <w:tcPr>
            <w:tcW w:w="595" w:type="dxa"/>
            <w:tcBorders>
              <w:top w:val="nil"/>
              <w:left w:val="nil"/>
              <w:bottom w:val="nil"/>
              <w:right w:val="nil"/>
            </w:tcBorders>
            <w:shd w:val="clear" w:color="auto" w:fill="auto"/>
            <w:noWrap/>
            <w:vAlign w:val="center"/>
            <w:hideMark/>
          </w:tcPr>
          <w:p w14:paraId="1E2B0F4C" w14:textId="1F18F391"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21,6</w:t>
            </w:r>
          </w:p>
        </w:tc>
        <w:tc>
          <w:tcPr>
            <w:tcW w:w="595" w:type="dxa"/>
            <w:tcBorders>
              <w:top w:val="nil"/>
              <w:left w:val="nil"/>
              <w:bottom w:val="nil"/>
              <w:right w:val="nil"/>
            </w:tcBorders>
            <w:shd w:val="clear" w:color="auto" w:fill="auto"/>
            <w:noWrap/>
            <w:vAlign w:val="center"/>
            <w:hideMark/>
          </w:tcPr>
          <w:p w14:paraId="74F69E3D" w14:textId="38B7EA61"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23,4</w:t>
            </w:r>
          </w:p>
        </w:tc>
        <w:tc>
          <w:tcPr>
            <w:tcW w:w="595" w:type="dxa"/>
            <w:tcBorders>
              <w:top w:val="nil"/>
              <w:left w:val="nil"/>
              <w:bottom w:val="nil"/>
              <w:right w:val="nil"/>
            </w:tcBorders>
            <w:shd w:val="clear" w:color="auto" w:fill="auto"/>
            <w:noWrap/>
            <w:vAlign w:val="center"/>
            <w:hideMark/>
          </w:tcPr>
          <w:p w14:paraId="34217CE0" w14:textId="6B02E041"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22,0</w:t>
            </w:r>
          </w:p>
        </w:tc>
        <w:tc>
          <w:tcPr>
            <w:tcW w:w="595" w:type="dxa"/>
            <w:tcBorders>
              <w:top w:val="nil"/>
              <w:left w:val="nil"/>
              <w:bottom w:val="nil"/>
              <w:right w:val="nil"/>
            </w:tcBorders>
            <w:shd w:val="clear" w:color="auto" w:fill="auto"/>
            <w:noWrap/>
            <w:vAlign w:val="center"/>
            <w:hideMark/>
          </w:tcPr>
          <w:p w14:paraId="03C07AD1" w14:textId="14C5FEB5"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33,0</w:t>
            </w:r>
          </w:p>
        </w:tc>
        <w:tc>
          <w:tcPr>
            <w:tcW w:w="595" w:type="dxa"/>
            <w:tcBorders>
              <w:top w:val="nil"/>
              <w:left w:val="nil"/>
              <w:bottom w:val="nil"/>
              <w:right w:val="nil"/>
            </w:tcBorders>
            <w:shd w:val="clear" w:color="auto" w:fill="auto"/>
            <w:noWrap/>
            <w:vAlign w:val="center"/>
            <w:hideMark/>
          </w:tcPr>
          <w:p w14:paraId="0A344473" w14:textId="621004A0"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40,6</w:t>
            </w:r>
          </w:p>
        </w:tc>
        <w:tc>
          <w:tcPr>
            <w:tcW w:w="595" w:type="dxa"/>
            <w:tcBorders>
              <w:top w:val="nil"/>
              <w:left w:val="nil"/>
              <w:bottom w:val="nil"/>
              <w:right w:val="nil"/>
            </w:tcBorders>
            <w:shd w:val="clear" w:color="auto" w:fill="auto"/>
            <w:noWrap/>
            <w:vAlign w:val="center"/>
            <w:hideMark/>
          </w:tcPr>
          <w:p w14:paraId="12329CD0" w14:textId="412B89B3"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45,7</w:t>
            </w:r>
          </w:p>
        </w:tc>
      </w:tr>
      <w:tr w:rsidR="001E3AB8" w:rsidRPr="00D92E20" w14:paraId="2FA85C73" w14:textId="77777777" w:rsidTr="00E83157">
        <w:trPr>
          <w:trHeight w:val="300"/>
        </w:trPr>
        <w:tc>
          <w:tcPr>
            <w:tcW w:w="3146" w:type="dxa"/>
            <w:tcBorders>
              <w:top w:val="nil"/>
              <w:left w:val="nil"/>
              <w:bottom w:val="nil"/>
              <w:right w:val="single" w:sz="4" w:space="0" w:color="auto"/>
            </w:tcBorders>
            <w:shd w:val="clear" w:color="auto" w:fill="auto"/>
            <w:vAlign w:val="center"/>
            <w:hideMark/>
          </w:tcPr>
          <w:p w14:paraId="08F52551" w14:textId="77777777" w:rsidR="001E3AB8" w:rsidRPr="00D92E20" w:rsidRDefault="001E3AB8" w:rsidP="001E3AB8">
            <w:pPr>
              <w:spacing w:after="0" w:line="240" w:lineRule="auto"/>
              <w:ind w:firstLineChars="100" w:firstLine="160"/>
              <w:rPr>
                <w:rFonts w:cs="Arial"/>
                <w:color w:val="000000"/>
                <w:sz w:val="16"/>
                <w:szCs w:val="16"/>
              </w:rPr>
            </w:pPr>
            <w:r w:rsidRPr="00D92E20">
              <w:rPr>
                <w:rFonts w:cs="Arial"/>
                <w:color w:val="000000"/>
                <w:sz w:val="16"/>
                <w:szCs w:val="16"/>
              </w:rPr>
              <w:t>C – Zpracovatelský průmysl</w:t>
            </w:r>
          </w:p>
        </w:tc>
        <w:tc>
          <w:tcPr>
            <w:tcW w:w="595" w:type="dxa"/>
            <w:tcBorders>
              <w:top w:val="nil"/>
              <w:left w:val="nil"/>
              <w:bottom w:val="nil"/>
              <w:right w:val="nil"/>
            </w:tcBorders>
            <w:shd w:val="clear" w:color="auto" w:fill="auto"/>
            <w:noWrap/>
            <w:vAlign w:val="center"/>
            <w:hideMark/>
          </w:tcPr>
          <w:p w14:paraId="3FA5426F" w14:textId="5FDB2131"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17,6</w:t>
            </w:r>
          </w:p>
        </w:tc>
        <w:tc>
          <w:tcPr>
            <w:tcW w:w="595" w:type="dxa"/>
            <w:tcBorders>
              <w:top w:val="nil"/>
              <w:left w:val="nil"/>
              <w:bottom w:val="nil"/>
              <w:right w:val="nil"/>
            </w:tcBorders>
            <w:shd w:val="clear" w:color="auto" w:fill="auto"/>
            <w:noWrap/>
            <w:vAlign w:val="center"/>
            <w:hideMark/>
          </w:tcPr>
          <w:p w14:paraId="41F26408" w14:textId="1EC88619"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21,2</w:t>
            </w:r>
          </w:p>
        </w:tc>
        <w:tc>
          <w:tcPr>
            <w:tcW w:w="595" w:type="dxa"/>
            <w:tcBorders>
              <w:top w:val="nil"/>
              <w:left w:val="nil"/>
              <w:bottom w:val="nil"/>
              <w:right w:val="nil"/>
            </w:tcBorders>
            <w:shd w:val="clear" w:color="auto" w:fill="auto"/>
            <w:noWrap/>
            <w:vAlign w:val="center"/>
            <w:hideMark/>
          </w:tcPr>
          <w:p w14:paraId="0AF45A3B" w14:textId="163AE804"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19,0</w:t>
            </w:r>
          </w:p>
        </w:tc>
        <w:tc>
          <w:tcPr>
            <w:tcW w:w="595" w:type="dxa"/>
            <w:tcBorders>
              <w:top w:val="nil"/>
              <w:left w:val="nil"/>
              <w:bottom w:val="nil"/>
              <w:right w:val="nil"/>
            </w:tcBorders>
            <w:shd w:val="clear" w:color="auto" w:fill="auto"/>
            <w:noWrap/>
            <w:vAlign w:val="center"/>
            <w:hideMark/>
          </w:tcPr>
          <w:p w14:paraId="5B363C4F" w14:textId="70AA4D94"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24,9</w:t>
            </w:r>
          </w:p>
        </w:tc>
        <w:tc>
          <w:tcPr>
            <w:tcW w:w="595" w:type="dxa"/>
            <w:tcBorders>
              <w:top w:val="nil"/>
              <w:left w:val="nil"/>
              <w:bottom w:val="nil"/>
              <w:right w:val="nil"/>
            </w:tcBorders>
            <w:shd w:val="clear" w:color="auto" w:fill="auto"/>
            <w:noWrap/>
            <w:vAlign w:val="center"/>
            <w:hideMark/>
          </w:tcPr>
          <w:p w14:paraId="4AB4895A" w14:textId="54283EFA"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25,3</w:t>
            </w:r>
          </w:p>
        </w:tc>
        <w:tc>
          <w:tcPr>
            <w:tcW w:w="595" w:type="dxa"/>
            <w:tcBorders>
              <w:top w:val="nil"/>
              <w:left w:val="nil"/>
              <w:bottom w:val="nil"/>
              <w:right w:val="nil"/>
            </w:tcBorders>
            <w:shd w:val="clear" w:color="auto" w:fill="auto"/>
            <w:noWrap/>
            <w:vAlign w:val="center"/>
            <w:hideMark/>
          </w:tcPr>
          <w:p w14:paraId="0B0615B2" w14:textId="0083795F"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26,5</w:t>
            </w:r>
          </w:p>
        </w:tc>
        <w:tc>
          <w:tcPr>
            <w:tcW w:w="595" w:type="dxa"/>
            <w:tcBorders>
              <w:top w:val="nil"/>
              <w:left w:val="nil"/>
              <w:bottom w:val="nil"/>
              <w:right w:val="nil"/>
            </w:tcBorders>
            <w:shd w:val="clear" w:color="auto" w:fill="auto"/>
            <w:noWrap/>
            <w:vAlign w:val="center"/>
            <w:hideMark/>
          </w:tcPr>
          <w:p w14:paraId="037AF288" w14:textId="319FF41C"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28,8</w:t>
            </w:r>
          </w:p>
        </w:tc>
        <w:tc>
          <w:tcPr>
            <w:tcW w:w="595" w:type="dxa"/>
            <w:tcBorders>
              <w:top w:val="nil"/>
              <w:left w:val="nil"/>
              <w:bottom w:val="nil"/>
              <w:right w:val="nil"/>
            </w:tcBorders>
            <w:shd w:val="clear" w:color="auto" w:fill="auto"/>
            <w:noWrap/>
            <w:vAlign w:val="center"/>
            <w:hideMark/>
          </w:tcPr>
          <w:p w14:paraId="1EB70CF9" w14:textId="120631A9"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27,0</w:t>
            </w:r>
          </w:p>
        </w:tc>
        <w:tc>
          <w:tcPr>
            <w:tcW w:w="595" w:type="dxa"/>
            <w:tcBorders>
              <w:top w:val="nil"/>
              <w:left w:val="nil"/>
              <w:bottom w:val="nil"/>
              <w:right w:val="nil"/>
            </w:tcBorders>
            <w:shd w:val="clear" w:color="auto" w:fill="auto"/>
            <w:noWrap/>
            <w:vAlign w:val="center"/>
            <w:hideMark/>
          </w:tcPr>
          <w:p w14:paraId="6F795D75" w14:textId="67478886"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30,2</w:t>
            </w:r>
          </w:p>
        </w:tc>
        <w:tc>
          <w:tcPr>
            <w:tcW w:w="595" w:type="dxa"/>
            <w:tcBorders>
              <w:top w:val="nil"/>
              <w:left w:val="nil"/>
              <w:bottom w:val="nil"/>
              <w:right w:val="nil"/>
            </w:tcBorders>
            <w:shd w:val="clear" w:color="auto" w:fill="auto"/>
            <w:noWrap/>
            <w:vAlign w:val="center"/>
            <w:hideMark/>
          </w:tcPr>
          <w:p w14:paraId="1E0349C4" w14:textId="3A75618A"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42,4</w:t>
            </w:r>
          </w:p>
        </w:tc>
        <w:tc>
          <w:tcPr>
            <w:tcW w:w="595" w:type="dxa"/>
            <w:tcBorders>
              <w:top w:val="nil"/>
              <w:left w:val="nil"/>
              <w:bottom w:val="nil"/>
              <w:right w:val="nil"/>
            </w:tcBorders>
            <w:shd w:val="clear" w:color="auto" w:fill="auto"/>
            <w:noWrap/>
            <w:vAlign w:val="center"/>
            <w:hideMark/>
          </w:tcPr>
          <w:p w14:paraId="7F31AC35" w14:textId="5A7BC0CE"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56,4</w:t>
            </w:r>
          </w:p>
        </w:tc>
      </w:tr>
      <w:tr w:rsidR="001E3AB8" w:rsidRPr="00D92E20" w14:paraId="1C61382B" w14:textId="77777777" w:rsidTr="00E83157">
        <w:trPr>
          <w:trHeight w:val="480"/>
        </w:trPr>
        <w:tc>
          <w:tcPr>
            <w:tcW w:w="3146" w:type="dxa"/>
            <w:tcBorders>
              <w:top w:val="nil"/>
              <w:left w:val="nil"/>
              <w:bottom w:val="nil"/>
              <w:right w:val="single" w:sz="4" w:space="0" w:color="auto"/>
            </w:tcBorders>
            <w:shd w:val="clear" w:color="auto" w:fill="auto"/>
            <w:vAlign w:val="center"/>
            <w:hideMark/>
          </w:tcPr>
          <w:p w14:paraId="19F9A673" w14:textId="77777777" w:rsidR="001E3AB8" w:rsidRDefault="001E3AB8" w:rsidP="001E3AB8">
            <w:pPr>
              <w:spacing w:after="0" w:line="240" w:lineRule="auto"/>
              <w:ind w:firstLineChars="100" w:firstLine="160"/>
              <w:rPr>
                <w:rFonts w:cs="Arial"/>
                <w:color w:val="000000"/>
                <w:sz w:val="16"/>
                <w:szCs w:val="16"/>
              </w:rPr>
            </w:pPr>
            <w:r w:rsidRPr="00D92E20">
              <w:rPr>
                <w:rFonts w:cs="Arial"/>
                <w:color w:val="000000"/>
                <w:sz w:val="16"/>
                <w:szCs w:val="16"/>
              </w:rPr>
              <w:t>D – Výroba a rozvod ele</w:t>
            </w:r>
            <w:r>
              <w:rPr>
                <w:rFonts w:cs="Arial"/>
                <w:color w:val="000000"/>
                <w:sz w:val="16"/>
                <w:szCs w:val="16"/>
              </w:rPr>
              <w:t xml:space="preserve">ktřiny, </w:t>
            </w:r>
            <w:r w:rsidRPr="00D92E20">
              <w:rPr>
                <w:rFonts w:cs="Arial"/>
                <w:color w:val="000000"/>
                <w:sz w:val="16"/>
                <w:szCs w:val="16"/>
              </w:rPr>
              <w:t xml:space="preserve">plynu, </w:t>
            </w:r>
            <w:r>
              <w:rPr>
                <w:rFonts w:cs="Arial"/>
                <w:color w:val="000000"/>
                <w:sz w:val="16"/>
                <w:szCs w:val="16"/>
              </w:rPr>
              <w:t xml:space="preserve"> </w:t>
            </w:r>
          </w:p>
          <w:p w14:paraId="68EF7088" w14:textId="4464EFFF" w:rsidR="001E3AB8" w:rsidRPr="00D92E20" w:rsidRDefault="001E3AB8" w:rsidP="001E3AB8">
            <w:pPr>
              <w:spacing w:after="0" w:line="240" w:lineRule="auto"/>
              <w:ind w:firstLineChars="100" w:firstLine="160"/>
              <w:rPr>
                <w:rFonts w:cs="Arial"/>
                <w:color w:val="000000"/>
                <w:sz w:val="16"/>
                <w:szCs w:val="16"/>
              </w:rPr>
            </w:pPr>
            <w:r>
              <w:rPr>
                <w:rFonts w:cs="Arial"/>
                <w:color w:val="000000"/>
                <w:sz w:val="16"/>
                <w:szCs w:val="16"/>
              </w:rPr>
              <w:t xml:space="preserve">       tepla a klimatizovaného </w:t>
            </w:r>
            <w:r w:rsidRPr="00D92E20">
              <w:rPr>
                <w:rFonts w:cs="Arial"/>
                <w:color w:val="000000"/>
                <w:sz w:val="16"/>
                <w:szCs w:val="16"/>
              </w:rPr>
              <w:t>vzduchu</w:t>
            </w:r>
          </w:p>
        </w:tc>
        <w:tc>
          <w:tcPr>
            <w:tcW w:w="595" w:type="dxa"/>
            <w:tcBorders>
              <w:top w:val="nil"/>
              <w:left w:val="nil"/>
              <w:bottom w:val="nil"/>
              <w:right w:val="nil"/>
            </w:tcBorders>
            <w:shd w:val="clear" w:color="auto" w:fill="auto"/>
            <w:noWrap/>
            <w:vAlign w:val="center"/>
            <w:hideMark/>
          </w:tcPr>
          <w:p w14:paraId="44BCF98E" w14:textId="21C6398D"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8,9</w:t>
            </w:r>
          </w:p>
        </w:tc>
        <w:tc>
          <w:tcPr>
            <w:tcW w:w="595" w:type="dxa"/>
            <w:tcBorders>
              <w:top w:val="nil"/>
              <w:left w:val="nil"/>
              <w:bottom w:val="nil"/>
              <w:right w:val="nil"/>
            </w:tcBorders>
            <w:shd w:val="clear" w:color="auto" w:fill="auto"/>
            <w:noWrap/>
            <w:vAlign w:val="center"/>
            <w:hideMark/>
          </w:tcPr>
          <w:p w14:paraId="20BEA8DC" w14:textId="64F3EC66"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11,7</w:t>
            </w:r>
          </w:p>
        </w:tc>
        <w:tc>
          <w:tcPr>
            <w:tcW w:w="595" w:type="dxa"/>
            <w:tcBorders>
              <w:top w:val="nil"/>
              <w:left w:val="nil"/>
              <w:bottom w:val="nil"/>
              <w:right w:val="nil"/>
            </w:tcBorders>
            <w:shd w:val="clear" w:color="auto" w:fill="auto"/>
            <w:noWrap/>
            <w:vAlign w:val="center"/>
            <w:hideMark/>
          </w:tcPr>
          <w:p w14:paraId="4D60C574" w14:textId="0E9B4436"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9,8</w:t>
            </w:r>
          </w:p>
        </w:tc>
        <w:tc>
          <w:tcPr>
            <w:tcW w:w="595" w:type="dxa"/>
            <w:tcBorders>
              <w:top w:val="nil"/>
              <w:left w:val="nil"/>
              <w:bottom w:val="nil"/>
              <w:right w:val="nil"/>
            </w:tcBorders>
            <w:shd w:val="clear" w:color="auto" w:fill="auto"/>
            <w:noWrap/>
            <w:vAlign w:val="center"/>
            <w:hideMark/>
          </w:tcPr>
          <w:p w14:paraId="1483E290" w14:textId="5D94851D"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13,3</w:t>
            </w:r>
          </w:p>
        </w:tc>
        <w:tc>
          <w:tcPr>
            <w:tcW w:w="595" w:type="dxa"/>
            <w:tcBorders>
              <w:top w:val="nil"/>
              <w:left w:val="nil"/>
              <w:bottom w:val="nil"/>
              <w:right w:val="nil"/>
            </w:tcBorders>
            <w:shd w:val="clear" w:color="auto" w:fill="auto"/>
            <w:noWrap/>
            <w:vAlign w:val="center"/>
            <w:hideMark/>
          </w:tcPr>
          <w:p w14:paraId="2297659D" w14:textId="594043C9"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12,3</w:t>
            </w:r>
          </w:p>
        </w:tc>
        <w:tc>
          <w:tcPr>
            <w:tcW w:w="595" w:type="dxa"/>
            <w:tcBorders>
              <w:top w:val="nil"/>
              <w:left w:val="nil"/>
              <w:bottom w:val="nil"/>
              <w:right w:val="nil"/>
            </w:tcBorders>
            <w:shd w:val="clear" w:color="auto" w:fill="auto"/>
            <w:noWrap/>
            <w:vAlign w:val="center"/>
            <w:hideMark/>
          </w:tcPr>
          <w:p w14:paraId="2521ED76" w14:textId="5FA498A4"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14,2</w:t>
            </w:r>
          </w:p>
        </w:tc>
        <w:tc>
          <w:tcPr>
            <w:tcW w:w="595" w:type="dxa"/>
            <w:tcBorders>
              <w:top w:val="nil"/>
              <w:left w:val="nil"/>
              <w:bottom w:val="nil"/>
              <w:right w:val="nil"/>
            </w:tcBorders>
            <w:shd w:val="clear" w:color="auto" w:fill="auto"/>
            <w:noWrap/>
            <w:vAlign w:val="center"/>
            <w:hideMark/>
          </w:tcPr>
          <w:p w14:paraId="219F8EE7" w14:textId="0B0EC345"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16,4</w:t>
            </w:r>
          </w:p>
        </w:tc>
        <w:tc>
          <w:tcPr>
            <w:tcW w:w="595" w:type="dxa"/>
            <w:tcBorders>
              <w:top w:val="nil"/>
              <w:left w:val="nil"/>
              <w:bottom w:val="nil"/>
              <w:right w:val="nil"/>
            </w:tcBorders>
            <w:shd w:val="clear" w:color="auto" w:fill="auto"/>
            <w:noWrap/>
            <w:vAlign w:val="center"/>
            <w:hideMark/>
          </w:tcPr>
          <w:p w14:paraId="0139EEE4" w14:textId="70311BAA"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15,7</w:t>
            </w:r>
          </w:p>
        </w:tc>
        <w:tc>
          <w:tcPr>
            <w:tcW w:w="595" w:type="dxa"/>
            <w:tcBorders>
              <w:top w:val="nil"/>
              <w:left w:val="nil"/>
              <w:bottom w:val="nil"/>
              <w:right w:val="nil"/>
            </w:tcBorders>
            <w:shd w:val="clear" w:color="auto" w:fill="auto"/>
            <w:noWrap/>
            <w:vAlign w:val="center"/>
            <w:hideMark/>
          </w:tcPr>
          <w:p w14:paraId="268E526F" w14:textId="293A6727"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14,7</w:t>
            </w:r>
          </w:p>
        </w:tc>
        <w:tc>
          <w:tcPr>
            <w:tcW w:w="595" w:type="dxa"/>
            <w:tcBorders>
              <w:top w:val="nil"/>
              <w:left w:val="nil"/>
              <w:bottom w:val="nil"/>
              <w:right w:val="nil"/>
            </w:tcBorders>
            <w:shd w:val="clear" w:color="auto" w:fill="auto"/>
            <w:noWrap/>
            <w:vAlign w:val="center"/>
            <w:hideMark/>
          </w:tcPr>
          <w:p w14:paraId="3CFD293E" w14:textId="0A3B6928"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21,9</w:t>
            </w:r>
          </w:p>
        </w:tc>
        <w:tc>
          <w:tcPr>
            <w:tcW w:w="595" w:type="dxa"/>
            <w:tcBorders>
              <w:top w:val="nil"/>
              <w:left w:val="nil"/>
              <w:bottom w:val="nil"/>
              <w:right w:val="nil"/>
            </w:tcBorders>
            <w:shd w:val="clear" w:color="auto" w:fill="auto"/>
            <w:noWrap/>
            <w:vAlign w:val="center"/>
            <w:hideMark/>
          </w:tcPr>
          <w:p w14:paraId="5724085A" w14:textId="739397B7"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30,3</w:t>
            </w:r>
          </w:p>
        </w:tc>
      </w:tr>
      <w:tr w:rsidR="001E3AB8" w:rsidRPr="00D92E20" w14:paraId="1A05504C" w14:textId="77777777" w:rsidTr="00E83157">
        <w:trPr>
          <w:trHeight w:val="480"/>
        </w:trPr>
        <w:tc>
          <w:tcPr>
            <w:tcW w:w="3146" w:type="dxa"/>
            <w:tcBorders>
              <w:top w:val="nil"/>
              <w:left w:val="nil"/>
              <w:bottom w:val="nil"/>
              <w:right w:val="single" w:sz="4" w:space="0" w:color="auto"/>
            </w:tcBorders>
            <w:shd w:val="clear" w:color="auto" w:fill="auto"/>
            <w:vAlign w:val="center"/>
            <w:hideMark/>
          </w:tcPr>
          <w:p w14:paraId="58B48A6F" w14:textId="77777777" w:rsidR="001E3AB8" w:rsidRPr="00D92E20" w:rsidRDefault="001E3AB8" w:rsidP="001E3AB8">
            <w:pPr>
              <w:spacing w:after="0" w:line="240" w:lineRule="auto"/>
              <w:ind w:firstLineChars="100" w:firstLine="160"/>
              <w:rPr>
                <w:rFonts w:cs="Arial"/>
                <w:color w:val="000000"/>
                <w:sz w:val="16"/>
                <w:szCs w:val="16"/>
              </w:rPr>
            </w:pPr>
            <w:r w:rsidRPr="00D92E20">
              <w:rPr>
                <w:rFonts w:cs="Arial"/>
                <w:color w:val="000000"/>
                <w:sz w:val="16"/>
                <w:szCs w:val="16"/>
              </w:rPr>
              <w:t xml:space="preserve">E – Zásobování vodou; činnosti </w:t>
            </w:r>
            <w:r w:rsidRPr="00D92E20">
              <w:rPr>
                <w:rFonts w:cs="Arial"/>
                <w:color w:val="000000"/>
                <w:sz w:val="16"/>
                <w:szCs w:val="16"/>
              </w:rPr>
              <w:br/>
              <w:t xml:space="preserve">          související s odpady a sanacemi</w:t>
            </w:r>
          </w:p>
        </w:tc>
        <w:tc>
          <w:tcPr>
            <w:tcW w:w="595" w:type="dxa"/>
            <w:tcBorders>
              <w:top w:val="nil"/>
              <w:left w:val="nil"/>
              <w:bottom w:val="nil"/>
              <w:right w:val="nil"/>
            </w:tcBorders>
            <w:shd w:val="clear" w:color="auto" w:fill="auto"/>
            <w:noWrap/>
            <w:vAlign w:val="center"/>
            <w:hideMark/>
          </w:tcPr>
          <w:p w14:paraId="212FA2BC" w14:textId="54E2116D"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13,3</w:t>
            </w:r>
          </w:p>
        </w:tc>
        <w:tc>
          <w:tcPr>
            <w:tcW w:w="595" w:type="dxa"/>
            <w:tcBorders>
              <w:top w:val="nil"/>
              <w:left w:val="nil"/>
              <w:bottom w:val="nil"/>
              <w:right w:val="nil"/>
            </w:tcBorders>
            <w:shd w:val="clear" w:color="auto" w:fill="auto"/>
            <w:noWrap/>
            <w:vAlign w:val="center"/>
            <w:hideMark/>
          </w:tcPr>
          <w:p w14:paraId="3B82DB0B" w14:textId="039BC1D0"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16,5</w:t>
            </w:r>
          </w:p>
        </w:tc>
        <w:tc>
          <w:tcPr>
            <w:tcW w:w="595" w:type="dxa"/>
            <w:tcBorders>
              <w:top w:val="nil"/>
              <w:left w:val="nil"/>
              <w:bottom w:val="nil"/>
              <w:right w:val="nil"/>
            </w:tcBorders>
            <w:shd w:val="clear" w:color="auto" w:fill="auto"/>
            <w:noWrap/>
            <w:vAlign w:val="center"/>
            <w:hideMark/>
          </w:tcPr>
          <w:p w14:paraId="2619F92F" w14:textId="4D3C3030"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14,9</w:t>
            </w:r>
          </w:p>
        </w:tc>
        <w:tc>
          <w:tcPr>
            <w:tcW w:w="595" w:type="dxa"/>
            <w:tcBorders>
              <w:top w:val="nil"/>
              <w:left w:val="nil"/>
              <w:bottom w:val="nil"/>
              <w:right w:val="nil"/>
            </w:tcBorders>
            <w:shd w:val="clear" w:color="auto" w:fill="auto"/>
            <w:noWrap/>
            <w:vAlign w:val="center"/>
            <w:hideMark/>
          </w:tcPr>
          <w:p w14:paraId="4D793ECA" w14:textId="4CD03A31"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19,0</w:t>
            </w:r>
          </w:p>
        </w:tc>
        <w:tc>
          <w:tcPr>
            <w:tcW w:w="595" w:type="dxa"/>
            <w:tcBorders>
              <w:top w:val="nil"/>
              <w:left w:val="nil"/>
              <w:bottom w:val="nil"/>
              <w:right w:val="nil"/>
            </w:tcBorders>
            <w:shd w:val="clear" w:color="auto" w:fill="auto"/>
            <w:noWrap/>
            <w:vAlign w:val="center"/>
            <w:hideMark/>
          </w:tcPr>
          <w:p w14:paraId="3F6AA67F" w14:textId="414479EC"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19,0</w:t>
            </w:r>
          </w:p>
        </w:tc>
        <w:tc>
          <w:tcPr>
            <w:tcW w:w="595" w:type="dxa"/>
            <w:tcBorders>
              <w:top w:val="nil"/>
              <w:left w:val="nil"/>
              <w:bottom w:val="nil"/>
              <w:right w:val="nil"/>
            </w:tcBorders>
            <w:shd w:val="clear" w:color="auto" w:fill="auto"/>
            <w:noWrap/>
            <w:vAlign w:val="center"/>
            <w:hideMark/>
          </w:tcPr>
          <w:p w14:paraId="79822B2D" w14:textId="37395174"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20,8</w:t>
            </w:r>
          </w:p>
        </w:tc>
        <w:tc>
          <w:tcPr>
            <w:tcW w:w="595" w:type="dxa"/>
            <w:tcBorders>
              <w:top w:val="nil"/>
              <w:left w:val="nil"/>
              <w:bottom w:val="nil"/>
              <w:right w:val="nil"/>
            </w:tcBorders>
            <w:shd w:val="clear" w:color="auto" w:fill="auto"/>
            <w:noWrap/>
            <w:vAlign w:val="center"/>
            <w:hideMark/>
          </w:tcPr>
          <w:p w14:paraId="11BF63C6" w14:textId="0DA677E5"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22,7</w:t>
            </w:r>
          </w:p>
        </w:tc>
        <w:tc>
          <w:tcPr>
            <w:tcW w:w="595" w:type="dxa"/>
            <w:tcBorders>
              <w:top w:val="nil"/>
              <w:left w:val="nil"/>
              <w:bottom w:val="nil"/>
              <w:right w:val="nil"/>
            </w:tcBorders>
            <w:shd w:val="clear" w:color="auto" w:fill="auto"/>
            <w:noWrap/>
            <w:vAlign w:val="center"/>
            <w:hideMark/>
          </w:tcPr>
          <w:p w14:paraId="7663514F" w14:textId="5B811EE1"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21,3</w:t>
            </w:r>
          </w:p>
        </w:tc>
        <w:tc>
          <w:tcPr>
            <w:tcW w:w="595" w:type="dxa"/>
            <w:tcBorders>
              <w:top w:val="nil"/>
              <w:left w:val="nil"/>
              <w:bottom w:val="nil"/>
              <w:right w:val="nil"/>
            </w:tcBorders>
            <w:shd w:val="clear" w:color="auto" w:fill="auto"/>
            <w:noWrap/>
            <w:vAlign w:val="center"/>
            <w:hideMark/>
          </w:tcPr>
          <w:p w14:paraId="5B332E3F" w14:textId="7436A21F"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22,4</w:t>
            </w:r>
          </w:p>
        </w:tc>
        <w:tc>
          <w:tcPr>
            <w:tcW w:w="595" w:type="dxa"/>
            <w:tcBorders>
              <w:top w:val="nil"/>
              <w:left w:val="nil"/>
              <w:bottom w:val="nil"/>
              <w:right w:val="nil"/>
            </w:tcBorders>
            <w:shd w:val="clear" w:color="auto" w:fill="auto"/>
            <w:noWrap/>
            <w:vAlign w:val="center"/>
            <w:hideMark/>
          </w:tcPr>
          <w:p w14:paraId="55820C1D" w14:textId="005417B1"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34,7</w:t>
            </w:r>
          </w:p>
        </w:tc>
        <w:tc>
          <w:tcPr>
            <w:tcW w:w="595" w:type="dxa"/>
            <w:tcBorders>
              <w:top w:val="nil"/>
              <w:left w:val="nil"/>
              <w:bottom w:val="nil"/>
              <w:right w:val="nil"/>
            </w:tcBorders>
            <w:shd w:val="clear" w:color="auto" w:fill="auto"/>
            <w:noWrap/>
            <w:vAlign w:val="center"/>
            <w:hideMark/>
          </w:tcPr>
          <w:p w14:paraId="79179D95" w14:textId="4857C532"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44,2</w:t>
            </w:r>
          </w:p>
        </w:tc>
      </w:tr>
      <w:tr w:rsidR="001E3AB8" w:rsidRPr="00D92E20" w14:paraId="5982085F" w14:textId="77777777" w:rsidTr="00E83157">
        <w:trPr>
          <w:trHeight w:val="300"/>
        </w:trPr>
        <w:tc>
          <w:tcPr>
            <w:tcW w:w="3146" w:type="dxa"/>
            <w:tcBorders>
              <w:top w:val="nil"/>
              <w:left w:val="nil"/>
              <w:bottom w:val="nil"/>
              <w:right w:val="single" w:sz="4" w:space="0" w:color="auto"/>
            </w:tcBorders>
            <w:shd w:val="clear" w:color="auto" w:fill="auto"/>
            <w:vAlign w:val="center"/>
            <w:hideMark/>
          </w:tcPr>
          <w:p w14:paraId="58E62E21" w14:textId="77777777" w:rsidR="001E3AB8" w:rsidRPr="00D92E20" w:rsidRDefault="001E3AB8" w:rsidP="001E3AB8">
            <w:pPr>
              <w:spacing w:after="0" w:line="240" w:lineRule="auto"/>
              <w:ind w:firstLineChars="100" w:firstLine="160"/>
              <w:rPr>
                <w:rFonts w:cs="Arial"/>
                <w:color w:val="000000"/>
                <w:sz w:val="16"/>
                <w:szCs w:val="16"/>
              </w:rPr>
            </w:pPr>
            <w:r w:rsidRPr="00D92E20">
              <w:rPr>
                <w:rFonts w:cs="Arial"/>
                <w:color w:val="000000"/>
                <w:sz w:val="16"/>
                <w:szCs w:val="16"/>
              </w:rPr>
              <w:t>F – Stavebnictví</w:t>
            </w:r>
          </w:p>
        </w:tc>
        <w:tc>
          <w:tcPr>
            <w:tcW w:w="595" w:type="dxa"/>
            <w:tcBorders>
              <w:top w:val="nil"/>
              <w:left w:val="nil"/>
              <w:bottom w:val="nil"/>
              <w:right w:val="nil"/>
            </w:tcBorders>
            <w:shd w:val="clear" w:color="auto" w:fill="auto"/>
            <w:noWrap/>
            <w:vAlign w:val="center"/>
            <w:hideMark/>
          </w:tcPr>
          <w:p w14:paraId="11847C83" w14:textId="08CAB4D6"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13,8</w:t>
            </w:r>
          </w:p>
        </w:tc>
        <w:tc>
          <w:tcPr>
            <w:tcW w:w="595" w:type="dxa"/>
            <w:tcBorders>
              <w:top w:val="nil"/>
              <w:left w:val="nil"/>
              <w:bottom w:val="nil"/>
              <w:right w:val="nil"/>
            </w:tcBorders>
            <w:shd w:val="clear" w:color="auto" w:fill="auto"/>
            <w:noWrap/>
            <w:vAlign w:val="center"/>
            <w:hideMark/>
          </w:tcPr>
          <w:p w14:paraId="22A95CDF" w14:textId="7837EB4F"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16,3</w:t>
            </w:r>
          </w:p>
        </w:tc>
        <w:tc>
          <w:tcPr>
            <w:tcW w:w="595" w:type="dxa"/>
            <w:tcBorders>
              <w:top w:val="nil"/>
              <w:left w:val="nil"/>
              <w:bottom w:val="nil"/>
              <w:right w:val="nil"/>
            </w:tcBorders>
            <w:shd w:val="clear" w:color="auto" w:fill="auto"/>
            <w:noWrap/>
            <w:vAlign w:val="center"/>
            <w:hideMark/>
          </w:tcPr>
          <w:p w14:paraId="565CA217" w14:textId="21A25039"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13,8</w:t>
            </w:r>
          </w:p>
        </w:tc>
        <w:tc>
          <w:tcPr>
            <w:tcW w:w="595" w:type="dxa"/>
            <w:tcBorders>
              <w:top w:val="nil"/>
              <w:left w:val="nil"/>
              <w:bottom w:val="nil"/>
              <w:right w:val="nil"/>
            </w:tcBorders>
            <w:shd w:val="clear" w:color="auto" w:fill="auto"/>
            <w:noWrap/>
            <w:vAlign w:val="center"/>
            <w:hideMark/>
          </w:tcPr>
          <w:p w14:paraId="3AC32658" w14:textId="08B0B988"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17,2</w:t>
            </w:r>
          </w:p>
        </w:tc>
        <w:tc>
          <w:tcPr>
            <w:tcW w:w="595" w:type="dxa"/>
            <w:tcBorders>
              <w:top w:val="nil"/>
              <w:left w:val="nil"/>
              <w:bottom w:val="nil"/>
              <w:right w:val="nil"/>
            </w:tcBorders>
            <w:shd w:val="clear" w:color="auto" w:fill="auto"/>
            <w:noWrap/>
            <w:vAlign w:val="center"/>
            <w:hideMark/>
          </w:tcPr>
          <w:p w14:paraId="6BA2DD93" w14:textId="31C071EE"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16,6</w:t>
            </w:r>
          </w:p>
        </w:tc>
        <w:tc>
          <w:tcPr>
            <w:tcW w:w="595" w:type="dxa"/>
            <w:tcBorders>
              <w:top w:val="nil"/>
              <w:left w:val="nil"/>
              <w:bottom w:val="nil"/>
              <w:right w:val="nil"/>
            </w:tcBorders>
            <w:shd w:val="clear" w:color="auto" w:fill="auto"/>
            <w:noWrap/>
            <w:vAlign w:val="center"/>
            <w:hideMark/>
          </w:tcPr>
          <w:p w14:paraId="621B47E9" w14:textId="1FAE217A"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17,5</w:t>
            </w:r>
          </w:p>
        </w:tc>
        <w:tc>
          <w:tcPr>
            <w:tcW w:w="595" w:type="dxa"/>
            <w:tcBorders>
              <w:top w:val="nil"/>
              <w:left w:val="nil"/>
              <w:bottom w:val="nil"/>
              <w:right w:val="nil"/>
            </w:tcBorders>
            <w:shd w:val="clear" w:color="auto" w:fill="auto"/>
            <w:noWrap/>
            <w:vAlign w:val="center"/>
            <w:hideMark/>
          </w:tcPr>
          <w:p w14:paraId="4BA2AB0F" w14:textId="1F4A132D"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18,2</w:t>
            </w:r>
          </w:p>
        </w:tc>
        <w:tc>
          <w:tcPr>
            <w:tcW w:w="595" w:type="dxa"/>
            <w:tcBorders>
              <w:top w:val="nil"/>
              <w:left w:val="nil"/>
              <w:bottom w:val="nil"/>
              <w:right w:val="nil"/>
            </w:tcBorders>
            <w:shd w:val="clear" w:color="auto" w:fill="auto"/>
            <w:noWrap/>
            <w:vAlign w:val="center"/>
            <w:hideMark/>
          </w:tcPr>
          <w:p w14:paraId="3A892A21" w14:textId="43ADD741"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17,2</w:t>
            </w:r>
          </w:p>
        </w:tc>
        <w:tc>
          <w:tcPr>
            <w:tcW w:w="595" w:type="dxa"/>
            <w:tcBorders>
              <w:top w:val="nil"/>
              <w:left w:val="nil"/>
              <w:bottom w:val="nil"/>
              <w:right w:val="nil"/>
            </w:tcBorders>
            <w:shd w:val="clear" w:color="auto" w:fill="auto"/>
            <w:noWrap/>
            <w:vAlign w:val="center"/>
            <w:hideMark/>
          </w:tcPr>
          <w:p w14:paraId="3B21F8FF" w14:textId="2FE1EA3B"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19,8</w:t>
            </w:r>
          </w:p>
        </w:tc>
        <w:tc>
          <w:tcPr>
            <w:tcW w:w="595" w:type="dxa"/>
            <w:tcBorders>
              <w:top w:val="nil"/>
              <w:left w:val="nil"/>
              <w:bottom w:val="nil"/>
              <w:right w:val="nil"/>
            </w:tcBorders>
            <w:shd w:val="clear" w:color="auto" w:fill="auto"/>
            <w:noWrap/>
            <w:vAlign w:val="center"/>
            <w:hideMark/>
          </w:tcPr>
          <w:p w14:paraId="215A33A4" w14:textId="1E620425"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28,2</w:t>
            </w:r>
          </w:p>
        </w:tc>
        <w:tc>
          <w:tcPr>
            <w:tcW w:w="595" w:type="dxa"/>
            <w:tcBorders>
              <w:top w:val="nil"/>
              <w:left w:val="nil"/>
              <w:bottom w:val="nil"/>
              <w:right w:val="nil"/>
            </w:tcBorders>
            <w:shd w:val="clear" w:color="auto" w:fill="auto"/>
            <w:noWrap/>
            <w:vAlign w:val="center"/>
            <w:hideMark/>
          </w:tcPr>
          <w:p w14:paraId="1C7BEEBA" w14:textId="5B40E3C8"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33,0</w:t>
            </w:r>
          </w:p>
        </w:tc>
      </w:tr>
      <w:tr w:rsidR="001E3AB8" w:rsidRPr="00D92E20" w14:paraId="6070CB32" w14:textId="77777777" w:rsidTr="00E83157">
        <w:trPr>
          <w:trHeight w:val="480"/>
        </w:trPr>
        <w:tc>
          <w:tcPr>
            <w:tcW w:w="3146" w:type="dxa"/>
            <w:tcBorders>
              <w:top w:val="nil"/>
              <w:left w:val="nil"/>
              <w:bottom w:val="nil"/>
              <w:right w:val="single" w:sz="4" w:space="0" w:color="auto"/>
            </w:tcBorders>
            <w:shd w:val="clear" w:color="auto" w:fill="auto"/>
            <w:vAlign w:val="center"/>
            <w:hideMark/>
          </w:tcPr>
          <w:p w14:paraId="6C880431" w14:textId="7660A262" w:rsidR="001E3AB8" w:rsidRPr="00D92E20" w:rsidRDefault="001E3AB8" w:rsidP="001E3AB8">
            <w:pPr>
              <w:spacing w:after="0" w:line="240" w:lineRule="auto"/>
              <w:ind w:firstLineChars="100" w:firstLine="160"/>
              <w:rPr>
                <w:rFonts w:cs="Arial"/>
                <w:color w:val="000000"/>
                <w:sz w:val="16"/>
                <w:szCs w:val="16"/>
              </w:rPr>
            </w:pPr>
            <w:r w:rsidRPr="00D92E20">
              <w:rPr>
                <w:rFonts w:cs="Arial"/>
                <w:color w:val="000000"/>
                <w:sz w:val="16"/>
                <w:szCs w:val="16"/>
              </w:rPr>
              <w:t>G – Velko</w:t>
            </w:r>
            <w:r>
              <w:rPr>
                <w:rFonts w:cs="Arial"/>
                <w:color w:val="000000"/>
                <w:sz w:val="16"/>
                <w:szCs w:val="16"/>
              </w:rPr>
              <w:t xml:space="preserve">obchod a maloobchod; </w:t>
            </w:r>
            <w:r>
              <w:rPr>
                <w:rFonts w:cs="Arial"/>
                <w:color w:val="000000"/>
                <w:sz w:val="16"/>
                <w:szCs w:val="16"/>
              </w:rPr>
              <w:br/>
              <w:t xml:space="preserve">          </w:t>
            </w:r>
            <w:r w:rsidRPr="00D92E20">
              <w:rPr>
                <w:rFonts w:cs="Arial"/>
                <w:color w:val="000000"/>
                <w:sz w:val="16"/>
                <w:szCs w:val="16"/>
              </w:rPr>
              <w:t xml:space="preserve">opravy a údržba motorových </w:t>
            </w:r>
            <w:r>
              <w:rPr>
                <w:rFonts w:cs="Arial"/>
                <w:color w:val="000000"/>
                <w:sz w:val="16"/>
                <w:szCs w:val="16"/>
              </w:rPr>
              <w:t>v</w:t>
            </w:r>
            <w:r w:rsidRPr="00D92E20">
              <w:rPr>
                <w:rFonts w:cs="Arial"/>
                <w:color w:val="000000"/>
                <w:sz w:val="16"/>
                <w:szCs w:val="16"/>
              </w:rPr>
              <w:t>ozidel</w:t>
            </w:r>
          </w:p>
        </w:tc>
        <w:tc>
          <w:tcPr>
            <w:tcW w:w="595" w:type="dxa"/>
            <w:tcBorders>
              <w:top w:val="nil"/>
              <w:left w:val="nil"/>
              <w:bottom w:val="nil"/>
              <w:right w:val="nil"/>
            </w:tcBorders>
            <w:shd w:val="clear" w:color="auto" w:fill="auto"/>
            <w:noWrap/>
            <w:vAlign w:val="center"/>
            <w:hideMark/>
          </w:tcPr>
          <w:p w14:paraId="3915CA48" w14:textId="412F4A1E"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12,4</w:t>
            </w:r>
          </w:p>
        </w:tc>
        <w:tc>
          <w:tcPr>
            <w:tcW w:w="595" w:type="dxa"/>
            <w:tcBorders>
              <w:top w:val="nil"/>
              <w:left w:val="nil"/>
              <w:bottom w:val="nil"/>
              <w:right w:val="nil"/>
            </w:tcBorders>
            <w:shd w:val="clear" w:color="auto" w:fill="auto"/>
            <w:noWrap/>
            <w:vAlign w:val="center"/>
            <w:hideMark/>
          </w:tcPr>
          <w:p w14:paraId="13FDF703" w14:textId="50240386"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15,0</w:t>
            </w:r>
          </w:p>
        </w:tc>
        <w:tc>
          <w:tcPr>
            <w:tcW w:w="595" w:type="dxa"/>
            <w:tcBorders>
              <w:top w:val="nil"/>
              <w:left w:val="nil"/>
              <w:bottom w:val="nil"/>
              <w:right w:val="nil"/>
            </w:tcBorders>
            <w:shd w:val="clear" w:color="auto" w:fill="auto"/>
            <w:noWrap/>
            <w:vAlign w:val="center"/>
            <w:hideMark/>
          </w:tcPr>
          <w:p w14:paraId="10F9F32D" w14:textId="1898149D"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13,4</w:t>
            </w:r>
          </w:p>
        </w:tc>
        <w:tc>
          <w:tcPr>
            <w:tcW w:w="595" w:type="dxa"/>
            <w:tcBorders>
              <w:top w:val="nil"/>
              <w:left w:val="nil"/>
              <w:bottom w:val="nil"/>
              <w:right w:val="nil"/>
            </w:tcBorders>
            <w:shd w:val="clear" w:color="auto" w:fill="auto"/>
            <w:noWrap/>
            <w:vAlign w:val="center"/>
            <w:hideMark/>
          </w:tcPr>
          <w:p w14:paraId="5FF2CAF4" w14:textId="5A0B7985"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16,9</w:t>
            </w:r>
          </w:p>
        </w:tc>
        <w:tc>
          <w:tcPr>
            <w:tcW w:w="595" w:type="dxa"/>
            <w:tcBorders>
              <w:top w:val="nil"/>
              <w:left w:val="nil"/>
              <w:bottom w:val="nil"/>
              <w:right w:val="nil"/>
            </w:tcBorders>
            <w:shd w:val="clear" w:color="auto" w:fill="auto"/>
            <w:noWrap/>
            <w:vAlign w:val="center"/>
            <w:hideMark/>
          </w:tcPr>
          <w:p w14:paraId="0060E908" w14:textId="472D6BC1"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18,1</w:t>
            </w:r>
          </w:p>
        </w:tc>
        <w:tc>
          <w:tcPr>
            <w:tcW w:w="595" w:type="dxa"/>
            <w:tcBorders>
              <w:top w:val="nil"/>
              <w:left w:val="nil"/>
              <w:bottom w:val="nil"/>
              <w:right w:val="nil"/>
            </w:tcBorders>
            <w:shd w:val="clear" w:color="auto" w:fill="auto"/>
            <w:noWrap/>
            <w:vAlign w:val="center"/>
            <w:hideMark/>
          </w:tcPr>
          <w:p w14:paraId="20D88B16" w14:textId="6B35C277"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19,2</w:t>
            </w:r>
          </w:p>
        </w:tc>
        <w:tc>
          <w:tcPr>
            <w:tcW w:w="595" w:type="dxa"/>
            <w:tcBorders>
              <w:top w:val="nil"/>
              <w:left w:val="nil"/>
              <w:bottom w:val="nil"/>
              <w:right w:val="nil"/>
            </w:tcBorders>
            <w:shd w:val="clear" w:color="auto" w:fill="auto"/>
            <w:noWrap/>
            <w:vAlign w:val="center"/>
            <w:hideMark/>
          </w:tcPr>
          <w:p w14:paraId="2E5C80CB" w14:textId="24DCA162"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21,0</w:t>
            </w:r>
          </w:p>
        </w:tc>
        <w:tc>
          <w:tcPr>
            <w:tcW w:w="595" w:type="dxa"/>
            <w:tcBorders>
              <w:top w:val="nil"/>
              <w:left w:val="nil"/>
              <w:bottom w:val="nil"/>
              <w:right w:val="nil"/>
            </w:tcBorders>
            <w:shd w:val="clear" w:color="auto" w:fill="auto"/>
            <w:noWrap/>
            <w:vAlign w:val="center"/>
            <w:hideMark/>
          </w:tcPr>
          <w:p w14:paraId="2DC5BDA5" w14:textId="7A58B394"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20,4</w:t>
            </w:r>
          </w:p>
        </w:tc>
        <w:tc>
          <w:tcPr>
            <w:tcW w:w="595" w:type="dxa"/>
            <w:tcBorders>
              <w:top w:val="nil"/>
              <w:left w:val="nil"/>
              <w:bottom w:val="nil"/>
              <w:right w:val="nil"/>
            </w:tcBorders>
            <w:shd w:val="clear" w:color="auto" w:fill="auto"/>
            <w:noWrap/>
            <w:vAlign w:val="center"/>
            <w:hideMark/>
          </w:tcPr>
          <w:p w14:paraId="16092AE0" w14:textId="462B5A05"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23,1</w:t>
            </w:r>
          </w:p>
        </w:tc>
        <w:tc>
          <w:tcPr>
            <w:tcW w:w="595" w:type="dxa"/>
            <w:tcBorders>
              <w:top w:val="nil"/>
              <w:left w:val="nil"/>
              <w:bottom w:val="nil"/>
              <w:right w:val="nil"/>
            </w:tcBorders>
            <w:shd w:val="clear" w:color="auto" w:fill="auto"/>
            <w:noWrap/>
            <w:vAlign w:val="center"/>
            <w:hideMark/>
          </w:tcPr>
          <w:p w14:paraId="78BE953C" w14:textId="321A6B49"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28,6</w:t>
            </w:r>
          </w:p>
        </w:tc>
        <w:tc>
          <w:tcPr>
            <w:tcW w:w="595" w:type="dxa"/>
            <w:tcBorders>
              <w:top w:val="nil"/>
              <w:left w:val="nil"/>
              <w:bottom w:val="nil"/>
              <w:right w:val="nil"/>
            </w:tcBorders>
            <w:shd w:val="clear" w:color="auto" w:fill="auto"/>
            <w:noWrap/>
            <w:vAlign w:val="center"/>
            <w:hideMark/>
          </w:tcPr>
          <w:p w14:paraId="42701209" w14:textId="23421098"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42,3</w:t>
            </w:r>
          </w:p>
        </w:tc>
      </w:tr>
      <w:tr w:rsidR="001E3AB8" w:rsidRPr="00D92E20" w14:paraId="12EAC8D4" w14:textId="77777777" w:rsidTr="00E83157">
        <w:trPr>
          <w:trHeight w:val="300"/>
        </w:trPr>
        <w:tc>
          <w:tcPr>
            <w:tcW w:w="3146" w:type="dxa"/>
            <w:tcBorders>
              <w:top w:val="nil"/>
              <w:left w:val="nil"/>
              <w:bottom w:val="nil"/>
              <w:right w:val="single" w:sz="4" w:space="0" w:color="auto"/>
            </w:tcBorders>
            <w:shd w:val="clear" w:color="auto" w:fill="auto"/>
            <w:vAlign w:val="center"/>
            <w:hideMark/>
          </w:tcPr>
          <w:p w14:paraId="62301487" w14:textId="77777777" w:rsidR="001E3AB8" w:rsidRPr="00D92E20" w:rsidRDefault="001E3AB8" w:rsidP="001E3AB8">
            <w:pPr>
              <w:spacing w:after="0" w:line="240" w:lineRule="auto"/>
              <w:ind w:firstLineChars="100" w:firstLine="160"/>
              <w:rPr>
                <w:rFonts w:cs="Arial"/>
                <w:color w:val="000000"/>
                <w:sz w:val="16"/>
                <w:szCs w:val="16"/>
              </w:rPr>
            </w:pPr>
            <w:r w:rsidRPr="00D92E20">
              <w:rPr>
                <w:rFonts w:cs="Arial"/>
                <w:color w:val="000000"/>
                <w:sz w:val="16"/>
                <w:szCs w:val="16"/>
              </w:rPr>
              <w:t>H – Doprava a skladování</w:t>
            </w:r>
          </w:p>
        </w:tc>
        <w:tc>
          <w:tcPr>
            <w:tcW w:w="595" w:type="dxa"/>
            <w:tcBorders>
              <w:top w:val="nil"/>
              <w:left w:val="nil"/>
              <w:bottom w:val="nil"/>
              <w:right w:val="nil"/>
            </w:tcBorders>
            <w:shd w:val="clear" w:color="auto" w:fill="auto"/>
            <w:noWrap/>
            <w:vAlign w:val="center"/>
            <w:hideMark/>
          </w:tcPr>
          <w:p w14:paraId="6990774D" w14:textId="2164EE5D"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12,6</w:t>
            </w:r>
          </w:p>
        </w:tc>
        <w:tc>
          <w:tcPr>
            <w:tcW w:w="595" w:type="dxa"/>
            <w:tcBorders>
              <w:top w:val="nil"/>
              <w:left w:val="nil"/>
              <w:bottom w:val="nil"/>
              <w:right w:val="nil"/>
            </w:tcBorders>
            <w:shd w:val="clear" w:color="auto" w:fill="auto"/>
            <w:noWrap/>
            <w:vAlign w:val="center"/>
            <w:hideMark/>
          </w:tcPr>
          <w:p w14:paraId="663DB344" w14:textId="363E4D43"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15,5</w:t>
            </w:r>
          </w:p>
        </w:tc>
        <w:tc>
          <w:tcPr>
            <w:tcW w:w="595" w:type="dxa"/>
            <w:tcBorders>
              <w:top w:val="nil"/>
              <w:left w:val="nil"/>
              <w:bottom w:val="nil"/>
              <w:right w:val="nil"/>
            </w:tcBorders>
            <w:shd w:val="clear" w:color="auto" w:fill="auto"/>
            <w:noWrap/>
            <w:vAlign w:val="center"/>
            <w:hideMark/>
          </w:tcPr>
          <w:p w14:paraId="68131FED" w14:textId="604527CA"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13,7</w:t>
            </w:r>
          </w:p>
        </w:tc>
        <w:tc>
          <w:tcPr>
            <w:tcW w:w="595" w:type="dxa"/>
            <w:tcBorders>
              <w:top w:val="nil"/>
              <w:left w:val="nil"/>
              <w:bottom w:val="nil"/>
              <w:right w:val="nil"/>
            </w:tcBorders>
            <w:shd w:val="clear" w:color="auto" w:fill="auto"/>
            <w:noWrap/>
            <w:vAlign w:val="center"/>
            <w:hideMark/>
          </w:tcPr>
          <w:p w14:paraId="40BCBA56" w14:textId="1D452052"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17,9</w:t>
            </w:r>
          </w:p>
        </w:tc>
        <w:tc>
          <w:tcPr>
            <w:tcW w:w="595" w:type="dxa"/>
            <w:tcBorders>
              <w:top w:val="nil"/>
              <w:left w:val="nil"/>
              <w:bottom w:val="nil"/>
              <w:right w:val="nil"/>
            </w:tcBorders>
            <w:shd w:val="clear" w:color="auto" w:fill="auto"/>
            <w:noWrap/>
            <w:vAlign w:val="center"/>
            <w:hideMark/>
          </w:tcPr>
          <w:p w14:paraId="23455D05" w14:textId="101183AD"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17,6</w:t>
            </w:r>
          </w:p>
        </w:tc>
        <w:tc>
          <w:tcPr>
            <w:tcW w:w="595" w:type="dxa"/>
            <w:tcBorders>
              <w:top w:val="nil"/>
              <w:left w:val="nil"/>
              <w:bottom w:val="nil"/>
              <w:right w:val="nil"/>
            </w:tcBorders>
            <w:shd w:val="clear" w:color="auto" w:fill="auto"/>
            <w:noWrap/>
            <w:vAlign w:val="center"/>
            <w:hideMark/>
          </w:tcPr>
          <w:p w14:paraId="370E523F" w14:textId="7C697C0B"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19,5</w:t>
            </w:r>
          </w:p>
        </w:tc>
        <w:tc>
          <w:tcPr>
            <w:tcW w:w="595" w:type="dxa"/>
            <w:tcBorders>
              <w:top w:val="nil"/>
              <w:left w:val="nil"/>
              <w:bottom w:val="nil"/>
              <w:right w:val="nil"/>
            </w:tcBorders>
            <w:shd w:val="clear" w:color="auto" w:fill="auto"/>
            <w:noWrap/>
            <w:vAlign w:val="center"/>
            <w:hideMark/>
          </w:tcPr>
          <w:p w14:paraId="3B761507" w14:textId="31630984"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22,0</w:t>
            </w:r>
          </w:p>
        </w:tc>
        <w:tc>
          <w:tcPr>
            <w:tcW w:w="595" w:type="dxa"/>
            <w:tcBorders>
              <w:top w:val="nil"/>
              <w:left w:val="nil"/>
              <w:bottom w:val="nil"/>
              <w:right w:val="nil"/>
            </w:tcBorders>
            <w:shd w:val="clear" w:color="auto" w:fill="auto"/>
            <w:noWrap/>
            <w:vAlign w:val="center"/>
            <w:hideMark/>
          </w:tcPr>
          <w:p w14:paraId="3C1174BA" w14:textId="6519FC0B"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20,2</w:t>
            </w:r>
          </w:p>
        </w:tc>
        <w:tc>
          <w:tcPr>
            <w:tcW w:w="595" w:type="dxa"/>
            <w:tcBorders>
              <w:top w:val="nil"/>
              <w:left w:val="nil"/>
              <w:bottom w:val="nil"/>
              <w:right w:val="nil"/>
            </w:tcBorders>
            <w:shd w:val="clear" w:color="auto" w:fill="auto"/>
            <w:noWrap/>
            <w:vAlign w:val="center"/>
            <w:hideMark/>
          </w:tcPr>
          <w:p w14:paraId="04B7CC7B" w14:textId="2CEB8954"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23,1</w:t>
            </w:r>
          </w:p>
        </w:tc>
        <w:tc>
          <w:tcPr>
            <w:tcW w:w="595" w:type="dxa"/>
            <w:tcBorders>
              <w:top w:val="nil"/>
              <w:left w:val="nil"/>
              <w:bottom w:val="nil"/>
              <w:right w:val="nil"/>
            </w:tcBorders>
            <w:shd w:val="clear" w:color="auto" w:fill="auto"/>
            <w:noWrap/>
            <w:vAlign w:val="center"/>
            <w:hideMark/>
          </w:tcPr>
          <w:p w14:paraId="1A2C340C" w14:textId="15266E1F"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32,0</w:t>
            </w:r>
          </w:p>
        </w:tc>
        <w:tc>
          <w:tcPr>
            <w:tcW w:w="595" w:type="dxa"/>
            <w:tcBorders>
              <w:top w:val="nil"/>
              <w:left w:val="nil"/>
              <w:bottom w:val="nil"/>
              <w:right w:val="nil"/>
            </w:tcBorders>
            <w:shd w:val="clear" w:color="auto" w:fill="auto"/>
            <w:noWrap/>
            <w:vAlign w:val="center"/>
            <w:hideMark/>
          </w:tcPr>
          <w:p w14:paraId="2CD56E07" w14:textId="0EE5C5FA"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40,2</w:t>
            </w:r>
          </w:p>
        </w:tc>
      </w:tr>
      <w:tr w:rsidR="001E3AB8" w:rsidRPr="00D92E20" w14:paraId="587A321D" w14:textId="77777777" w:rsidTr="00E83157">
        <w:trPr>
          <w:trHeight w:val="300"/>
        </w:trPr>
        <w:tc>
          <w:tcPr>
            <w:tcW w:w="3146" w:type="dxa"/>
            <w:tcBorders>
              <w:top w:val="nil"/>
              <w:left w:val="nil"/>
              <w:bottom w:val="nil"/>
              <w:right w:val="single" w:sz="4" w:space="0" w:color="auto"/>
            </w:tcBorders>
            <w:shd w:val="clear" w:color="auto" w:fill="auto"/>
            <w:vAlign w:val="center"/>
            <w:hideMark/>
          </w:tcPr>
          <w:p w14:paraId="54272F07" w14:textId="28347C46" w:rsidR="001E3AB8" w:rsidRPr="00D92E20" w:rsidRDefault="001E3AB8" w:rsidP="001E3AB8">
            <w:pPr>
              <w:spacing w:after="0" w:line="240" w:lineRule="auto"/>
              <w:ind w:firstLineChars="100" w:firstLine="160"/>
              <w:rPr>
                <w:rFonts w:cs="Arial"/>
                <w:color w:val="000000"/>
                <w:sz w:val="16"/>
                <w:szCs w:val="16"/>
              </w:rPr>
            </w:pPr>
            <w:r w:rsidRPr="00D92E20">
              <w:rPr>
                <w:rFonts w:cs="Arial"/>
                <w:color w:val="000000"/>
                <w:sz w:val="16"/>
                <w:szCs w:val="16"/>
              </w:rPr>
              <w:t>I – Ubytování, stravování a pohostinství</w:t>
            </w:r>
          </w:p>
        </w:tc>
        <w:tc>
          <w:tcPr>
            <w:tcW w:w="595" w:type="dxa"/>
            <w:tcBorders>
              <w:top w:val="nil"/>
              <w:left w:val="nil"/>
              <w:bottom w:val="nil"/>
              <w:right w:val="nil"/>
            </w:tcBorders>
            <w:shd w:val="clear" w:color="auto" w:fill="auto"/>
            <w:noWrap/>
            <w:vAlign w:val="center"/>
            <w:hideMark/>
          </w:tcPr>
          <w:p w14:paraId="7E43FA5A" w14:textId="3C6C3B0B"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11,4</w:t>
            </w:r>
          </w:p>
        </w:tc>
        <w:tc>
          <w:tcPr>
            <w:tcW w:w="595" w:type="dxa"/>
            <w:tcBorders>
              <w:top w:val="nil"/>
              <w:left w:val="nil"/>
              <w:bottom w:val="nil"/>
              <w:right w:val="nil"/>
            </w:tcBorders>
            <w:shd w:val="clear" w:color="auto" w:fill="auto"/>
            <w:noWrap/>
            <w:vAlign w:val="center"/>
            <w:hideMark/>
          </w:tcPr>
          <w:p w14:paraId="10E85498" w14:textId="73392065"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12,9</w:t>
            </w:r>
          </w:p>
        </w:tc>
        <w:tc>
          <w:tcPr>
            <w:tcW w:w="595" w:type="dxa"/>
            <w:tcBorders>
              <w:top w:val="nil"/>
              <w:left w:val="nil"/>
              <w:bottom w:val="nil"/>
              <w:right w:val="nil"/>
            </w:tcBorders>
            <w:shd w:val="clear" w:color="auto" w:fill="auto"/>
            <w:noWrap/>
            <w:vAlign w:val="center"/>
            <w:hideMark/>
          </w:tcPr>
          <w:p w14:paraId="3C021579" w14:textId="24B72AE8"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12,1</w:t>
            </w:r>
          </w:p>
        </w:tc>
        <w:tc>
          <w:tcPr>
            <w:tcW w:w="595" w:type="dxa"/>
            <w:tcBorders>
              <w:top w:val="nil"/>
              <w:left w:val="nil"/>
              <w:bottom w:val="nil"/>
              <w:right w:val="nil"/>
            </w:tcBorders>
            <w:shd w:val="clear" w:color="auto" w:fill="auto"/>
            <w:noWrap/>
            <w:vAlign w:val="center"/>
            <w:hideMark/>
          </w:tcPr>
          <w:p w14:paraId="36FE9D06" w14:textId="6F5665EF"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14,6</w:t>
            </w:r>
          </w:p>
        </w:tc>
        <w:tc>
          <w:tcPr>
            <w:tcW w:w="595" w:type="dxa"/>
            <w:tcBorders>
              <w:top w:val="nil"/>
              <w:left w:val="nil"/>
              <w:bottom w:val="nil"/>
              <w:right w:val="nil"/>
            </w:tcBorders>
            <w:shd w:val="clear" w:color="auto" w:fill="auto"/>
            <w:noWrap/>
            <w:vAlign w:val="center"/>
            <w:hideMark/>
          </w:tcPr>
          <w:p w14:paraId="60DAAF64" w14:textId="460B7CC2"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14,7</w:t>
            </w:r>
          </w:p>
        </w:tc>
        <w:tc>
          <w:tcPr>
            <w:tcW w:w="595" w:type="dxa"/>
            <w:tcBorders>
              <w:top w:val="nil"/>
              <w:left w:val="nil"/>
              <w:bottom w:val="nil"/>
              <w:right w:val="nil"/>
            </w:tcBorders>
            <w:shd w:val="clear" w:color="auto" w:fill="auto"/>
            <w:noWrap/>
            <w:vAlign w:val="center"/>
            <w:hideMark/>
          </w:tcPr>
          <w:p w14:paraId="408782B8" w14:textId="32954E73"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15,1</w:t>
            </w:r>
          </w:p>
        </w:tc>
        <w:tc>
          <w:tcPr>
            <w:tcW w:w="595" w:type="dxa"/>
            <w:tcBorders>
              <w:top w:val="nil"/>
              <w:left w:val="nil"/>
              <w:bottom w:val="nil"/>
              <w:right w:val="nil"/>
            </w:tcBorders>
            <w:shd w:val="clear" w:color="auto" w:fill="auto"/>
            <w:noWrap/>
            <w:vAlign w:val="center"/>
            <w:hideMark/>
          </w:tcPr>
          <w:p w14:paraId="29AE9C32" w14:textId="0D4B9D3E"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16,4</w:t>
            </w:r>
          </w:p>
        </w:tc>
        <w:tc>
          <w:tcPr>
            <w:tcW w:w="595" w:type="dxa"/>
            <w:tcBorders>
              <w:top w:val="nil"/>
              <w:left w:val="nil"/>
              <w:bottom w:val="nil"/>
              <w:right w:val="nil"/>
            </w:tcBorders>
            <w:shd w:val="clear" w:color="auto" w:fill="auto"/>
            <w:noWrap/>
            <w:vAlign w:val="center"/>
            <w:hideMark/>
          </w:tcPr>
          <w:p w14:paraId="2AAAEB5A" w14:textId="1B5044D2"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15,8</w:t>
            </w:r>
          </w:p>
        </w:tc>
        <w:tc>
          <w:tcPr>
            <w:tcW w:w="595" w:type="dxa"/>
            <w:tcBorders>
              <w:top w:val="nil"/>
              <w:left w:val="nil"/>
              <w:bottom w:val="nil"/>
              <w:right w:val="nil"/>
            </w:tcBorders>
            <w:shd w:val="clear" w:color="auto" w:fill="auto"/>
            <w:noWrap/>
            <w:vAlign w:val="center"/>
            <w:hideMark/>
          </w:tcPr>
          <w:p w14:paraId="7A13B695" w14:textId="7D29A1D3"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21,6</w:t>
            </w:r>
          </w:p>
        </w:tc>
        <w:tc>
          <w:tcPr>
            <w:tcW w:w="595" w:type="dxa"/>
            <w:tcBorders>
              <w:top w:val="nil"/>
              <w:left w:val="nil"/>
              <w:bottom w:val="nil"/>
              <w:right w:val="nil"/>
            </w:tcBorders>
            <w:shd w:val="clear" w:color="auto" w:fill="auto"/>
            <w:noWrap/>
            <w:vAlign w:val="center"/>
            <w:hideMark/>
          </w:tcPr>
          <w:p w14:paraId="615058A1" w14:textId="370AD8D8"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16,8</w:t>
            </w:r>
          </w:p>
        </w:tc>
        <w:tc>
          <w:tcPr>
            <w:tcW w:w="595" w:type="dxa"/>
            <w:tcBorders>
              <w:top w:val="nil"/>
              <w:left w:val="nil"/>
              <w:bottom w:val="nil"/>
              <w:right w:val="nil"/>
            </w:tcBorders>
            <w:shd w:val="clear" w:color="auto" w:fill="auto"/>
            <w:noWrap/>
            <w:vAlign w:val="center"/>
            <w:hideMark/>
          </w:tcPr>
          <w:p w14:paraId="626504E8" w14:textId="12DCEC59"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30,6</w:t>
            </w:r>
          </w:p>
        </w:tc>
      </w:tr>
      <w:tr w:rsidR="001E3AB8" w:rsidRPr="00D92E20" w14:paraId="3B9A1697" w14:textId="77777777" w:rsidTr="00E83157">
        <w:trPr>
          <w:trHeight w:val="300"/>
        </w:trPr>
        <w:tc>
          <w:tcPr>
            <w:tcW w:w="3146" w:type="dxa"/>
            <w:tcBorders>
              <w:top w:val="nil"/>
              <w:left w:val="nil"/>
              <w:bottom w:val="nil"/>
              <w:right w:val="single" w:sz="4" w:space="0" w:color="auto"/>
            </w:tcBorders>
            <w:shd w:val="clear" w:color="auto" w:fill="auto"/>
            <w:vAlign w:val="center"/>
            <w:hideMark/>
          </w:tcPr>
          <w:p w14:paraId="62E169B6" w14:textId="77777777" w:rsidR="001E3AB8" w:rsidRPr="00D92E20" w:rsidRDefault="001E3AB8" w:rsidP="001E3AB8">
            <w:pPr>
              <w:spacing w:after="0" w:line="240" w:lineRule="auto"/>
              <w:ind w:firstLineChars="100" w:firstLine="160"/>
              <w:rPr>
                <w:rFonts w:cs="Arial"/>
                <w:color w:val="000000"/>
                <w:sz w:val="16"/>
                <w:szCs w:val="16"/>
              </w:rPr>
            </w:pPr>
            <w:r w:rsidRPr="00D92E20">
              <w:rPr>
                <w:rFonts w:cs="Arial"/>
                <w:color w:val="000000"/>
                <w:sz w:val="16"/>
                <w:szCs w:val="16"/>
              </w:rPr>
              <w:t>J – Informační a komunikační činnosti</w:t>
            </w:r>
          </w:p>
        </w:tc>
        <w:tc>
          <w:tcPr>
            <w:tcW w:w="595" w:type="dxa"/>
            <w:tcBorders>
              <w:top w:val="nil"/>
              <w:left w:val="nil"/>
              <w:bottom w:val="nil"/>
              <w:right w:val="nil"/>
            </w:tcBorders>
            <w:shd w:val="clear" w:color="auto" w:fill="auto"/>
            <w:noWrap/>
            <w:vAlign w:val="center"/>
            <w:hideMark/>
          </w:tcPr>
          <w:p w14:paraId="7CA14986" w14:textId="4EA58800"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10,8</w:t>
            </w:r>
          </w:p>
        </w:tc>
        <w:tc>
          <w:tcPr>
            <w:tcW w:w="595" w:type="dxa"/>
            <w:tcBorders>
              <w:top w:val="nil"/>
              <w:left w:val="nil"/>
              <w:bottom w:val="nil"/>
              <w:right w:val="nil"/>
            </w:tcBorders>
            <w:shd w:val="clear" w:color="auto" w:fill="auto"/>
            <w:noWrap/>
            <w:vAlign w:val="center"/>
            <w:hideMark/>
          </w:tcPr>
          <w:p w14:paraId="528E94C9" w14:textId="44FA8071"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13,1</w:t>
            </w:r>
          </w:p>
        </w:tc>
        <w:tc>
          <w:tcPr>
            <w:tcW w:w="595" w:type="dxa"/>
            <w:tcBorders>
              <w:top w:val="nil"/>
              <w:left w:val="nil"/>
              <w:bottom w:val="nil"/>
              <w:right w:val="nil"/>
            </w:tcBorders>
            <w:shd w:val="clear" w:color="auto" w:fill="auto"/>
            <w:noWrap/>
            <w:vAlign w:val="center"/>
            <w:hideMark/>
          </w:tcPr>
          <w:p w14:paraId="42EECDA5" w14:textId="7849D6BB"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11,1</w:t>
            </w:r>
          </w:p>
        </w:tc>
        <w:tc>
          <w:tcPr>
            <w:tcW w:w="595" w:type="dxa"/>
            <w:tcBorders>
              <w:top w:val="nil"/>
              <w:left w:val="nil"/>
              <w:bottom w:val="nil"/>
              <w:right w:val="nil"/>
            </w:tcBorders>
            <w:shd w:val="clear" w:color="auto" w:fill="auto"/>
            <w:noWrap/>
            <w:vAlign w:val="center"/>
            <w:hideMark/>
          </w:tcPr>
          <w:p w14:paraId="5E53F8A0" w14:textId="2F9A9B77"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13,4</w:t>
            </w:r>
          </w:p>
        </w:tc>
        <w:tc>
          <w:tcPr>
            <w:tcW w:w="595" w:type="dxa"/>
            <w:tcBorders>
              <w:top w:val="nil"/>
              <w:left w:val="nil"/>
              <w:bottom w:val="nil"/>
              <w:right w:val="nil"/>
            </w:tcBorders>
            <w:shd w:val="clear" w:color="auto" w:fill="auto"/>
            <w:noWrap/>
            <w:vAlign w:val="center"/>
            <w:hideMark/>
          </w:tcPr>
          <w:p w14:paraId="5675E91E" w14:textId="2A920647"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12,7</w:t>
            </w:r>
          </w:p>
        </w:tc>
        <w:tc>
          <w:tcPr>
            <w:tcW w:w="595" w:type="dxa"/>
            <w:tcBorders>
              <w:top w:val="nil"/>
              <w:left w:val="nil"/>
              <w:bottom w:val="nil"/>
              <w:right w:val="nil"/>
            </w:tcBorders>
            <w:shd w:val="clear" w:color="auto" w:fill="auto"/>
            <w:noWrap/>
            <w:vAlign w:val="center"/>
            <w:hideMark/>
          </w:tcPr>
          <w:p w14:paraId="047CF952" w14:textId="204845F4"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13,5</w:t>
            </w:r>
          </w:p>
        </w:tc>
        <w:tc>
          <w:tcPr>
            <w:tcW w:w="595" w:type="dxa"/>
            <w:tcBorders>
              <w:top w:val="nil"/>
              <w:left w:val="nil"/>
              <w:bottom w:val="nil"/>
              <w:right w:val="nil"/>
            </w:tcBorders>
            <w:shd w:val="clear" w:color="auto" w:fill="auto"/>
            <w:noWrap/>
            <w:vAlign w:val="center"/>
            <w:hideMark/>
          </w:tcPr>
          <w:p w14:paraId="497574F6" w14:textId="7DEBACF8"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14,4</w:t>
            </w:r>
          </w:p>
        </w:tc>
        <w:tc>
          <w:tcPr>
            <w:tcW w:w="595" w:type="dxa"/>
            <w:tcBorders>
              <w:top w:val="nil"/>
              <w:left w:val="nil"/>
              <w:bottom w:val="nil"/>
              <w:right w:val="nil"/>
            </w:tcBorders>
            <w:shd w:val="clear" w:color="auto" w:fill="auto"/>
            <w:noWrap/>
            <w:vAlign w:val="center"/>
            <w:hideMark/>
          </w:tcPr>
          <w:p w14:paraId="3A14E7B8" w14:textId="1C34FE92"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13,5</w:t>
            </w:r>
          </w:p>
        </w:tc>
        <w:tc>
          <w:tcPr>
            <w:tcW w:w="595" w:type="dxa"/>
            <w:tcBorders>
              <w:top w:val="nil"/>
              <w:left w:val="nil"/>
              <w:bottom w:val="nil"/>
              <w:right w:val="nil"/>
            </w:tcBorders>
            <w:shd w:val="clear" w:color="auto" w:fill="auto"/>
            <w:noWrap/>
            <w:vAlign w:val="center"/>
            <w:hideMark/>
          </w:tcPr>
          <w:p w14:paraId="4F0A5C54" w14:textId="638CC04D"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12,9</w:t>
            </w:r>
          </w:p>
        </w:tc>
        <w:tc>
          <w:tcPr>
            <w:tcW w:w="595" w:type="dxa"/>
            <w:tcBorders>
              <w:top w:val="nil"/>
              <w:left w:val="nil"/>
              <w:bottom w:val="nil"/>
              <w:right w:val="nil"/>
            </w:tcBorders>
            <w:shd w:val="clear" w:color="auto" w:fill="auto"/>
            <w:noWrap/>
            <w:vAlign w:val="center"/>
            <w:hideMark/>
          </w:tcPr>
          <w:p w14:paraId="5B84DE3A" w14:textId="64FF941A"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13,2</w:t>
            </w:r>
          </w:p>
        </w:tc>
        <w:tc>
          <w:tcPr>
            <w:tcW w:w="595" w:type="dxa"/>
            <w:tcBorders>
              <w:top w:val="nil"/>
              <w:left w:val="nil"/>
              <w:bottom w:val="nil"/>
              <w:right w:val="nil"/>
            </w:tcBorders>
            <w:shd w:val="clear" w:color="auto" w:fill="auto"/>
            <w:noWrap/>
            <w:vAlign w:val="center"/>
            <w:hideMark/>
          </w:tcPr>
          <w:p w14:paraId="134E3D80" w14:textId="5A86BEDD"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21,4</w:t>
            </w:r>
          </w:p>
        </w:tc>
      </w:tr>
      <w:tr w:rsidR="001E3AB8" w:rsidRPr="00D92E20" w14:paraId="5C3D5480" w14:textId="77777777" w:rsidTr="00E83157">
        <w:trPr>
          <w:trHeight w:val="300"/>
        </w:trPr>
        <w:tc>
          <w:tcPr>
            <w:tcW w:w="3146" w:type="dxa"/>
            <w:tcBorders>
              <w:top w:val="nil"/>
              <w:left w:val="nil"/>
              <w:bottom w:val="nil"/>
              <w:right w:val="single" w:sz="4" w:space="0" w:color="auto"/>
            </w:tcBorders>
            <w:shd w:val="clear" w:color="auto" w:fill="auto"/>
            <w:vAlign w:val="center"/>
            <w:hideMark/>
          </w:tcPr>
          <w:p w14:paraId="21617673" w14:textId="77777777" w:rsidR="001E3AB8" w:rsidRPr="00D92E20" w:rsidRDefault="001E3AB8" w:rsidP="001E3AB8">
            <w:pPr>
              <w:spacing w:after="0" w:line="240" w:lineRule="auto"/>
              <w:ind w:firstLineChars="100" w:firstLine="160"/>
              <w:rPr>
                <w:rFonts w:cs="Arial"/>
                <w:color w:val="000000"/>
                <w:sz w:val="16"/>
                <w:szCs w:val="16"/>
              </w:rPr>
            </w:pPr>
            <w:r w:rsidRPr="00D92E20">
              <w:rPr>
                <w:rFonts w:cs="Arial"/>
                <w:color w:val="000000"/>
                <w:sz w:val="16"/>
                <w:szCs w:val="16"/>
              </w:rPr>
              <w:t>K – Peněžnictví a pojišťovnictví</w:t>
            </w:r>
          </w:p>
        </w:tc>
        <w:tc>
          <w:tcPr>
            <w:tcW w:w="595" w:type="dxa"/>
            <w:tcBorders>
              <w:top w:val="nil"/>
              <w:left w:val="nil"/>
              <w:bottom w:val="nil"/>
              <w:right w:val="nil"/>
            </w:tcBorders>
            <w:shd w:val="clear" w:color="auto" w:fill="auto"/>
            <w:noWrap/>
            <w:vAlign w:val="center"/>
            <w:hideMark/>
          </w:tcPr>
          <w:p w14:paraId="3309DA37" w14:textId="20C21F7A"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12,0</w:t>
            </w:r>
          </w:p>
        </w:tc>
        <w:tc>
          <w:tcPr>
            <w:tcW w:w="595" w:type="dxa"/>
            <w:tcBorders>
              <w:top w:val="nil"/>
              <w:left w:val="nil"/>
              <w:bottom w:val="nil"/>
              <w:right w:val="nil"/>
            </w:tcBorders>
            <w:shd w:val="clear" w:color="auto" w:fill="auto"/>
            <w:noWrap/>
            <w:vAlign w:val="center"/>
            <w:hideMark/>
          </w:tcPr>
          <w:p w14:paraId="1C0551EA" w14:textId="3A54DA43"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14,9</w:t>
            </w:r>
          </w:p>
        </w:tc>
        <w:tc>
          <w:tcPr>
            <w:tcW w:w="595" w:type="dxa"/>
            <w:tcBorders>
              <w:top w:val="nil"/>
              <w:left w:val="nil"/>
              <w:bottom w:val="nil"/>
              <w:right w:val="nil"/>
            </w:tcBorders>
            <w:shd w:val="clear" w:color="auto" w:fill="auto"/>
            <w:noWrap/>
            <w:vAlign w:val="center"/>
            <w:hideMark/>
          </w:tcPr>
          <w:p w14:paraId="132440FF" w14:textId="705D6DEA"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12,9</w:t>
            </w:r>
          </w:p>
        </w:tc>
        <w:tc>
          <w:tcPr>
            <w:tcW w:w="595" w:type="dxa"/>
            <w:tcBorders>
              <w:top w:val="nil"/>
              <w:left w:val="nil"/>
              <w:bottom w:val="nil"/>
              <w:right w:val="nil"/>
            </w:tcBorders>
            <w:shd w:val="clear" w:color="auto" w:fill="auto"/>
            <w:noWrap/>
            <w:vAlign w:val="center"/>
            <w:hideMark/>
          </w:tcPr>
          <w:p w14:paraId="70DE38F2" w14:textId="21B144B7"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16,1</w:t>
            </w:r>
          </w:p>
        </w:tc>
        <w:tc>
          <w:tcPr>
            <w:tcW w:w="595" w:type="dxa"/>
            <w:tcBorders>
              <w:top w:val="nil"/>
              <w:left w:val="nil"/>
              <w:bottom w:val="nil"/>
              <w:right w:val="nil"/>
            </w:tcBorders>
            <w:shd w:val="clear" w:color="auto" w:fill="auto"/>
            <w:noWrap/>
            <w:vAlign w:val="center"/>
            <w:hideMark/>
          </w:tcPr>
          <w:p w14:paraId="183B929A" w14:textId="7E0BC0CD"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14,7</w:t>
            </w:r>
          </w:p>
        </w:tc>
        <w:tc>
          <w:tcPr>
            <w:tcW w:w="595" w:type="dxa"/>
            <w:tcBorders>
              <w:top w:val="nil"/>
              <w:left w:val="nil"/>
              <w:bottom w:val="nil"/>
              <w:right w:val="nil"/>
            </w:tcBorders>
            <w:shd w:val="clear" w:color="auto" w:fill="auto"/>
            <w:noWrap/>
            <w:vAlign w:val="center"/>
            <w:hideMark/>
          </w:tcPr>
          <w:p w14:paraId="4073ECFF" w14:textId="5938CEB4"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15,1</w:t>
            </w:r>
          </w:p>
        </w:tc>
        <w:tc>
          <w:tcPr>
            <w:tcW w:w="595" w:type="dxa"/>
            <w:tcBorders>
              <w:top w:val="nil"/>
              <w:left w:val="nil"/>
              <w:bottom w:val="nil"/>
              <w:right w:val="nil"/>
            </w:tcBorders>
            <w:shd w:val="clear" w:color="auto" w:fill="auto"/>
            <w:noWrap/>
            <w:vAlign w:val="center"/>
            <w:hideMark/>
          </w:tcPr>
          <w:p w14:paraId="3A57BE51" w14:textId="11FF2911"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16,4</w:t>
            </w:r>
          </w:p>
        </w:tc>
        <w:tc>
          <w:tcPr>
            <w:tcW w:w="595" w:type="dxa"/>
            <w:tcBorders>
              <w:top w:val="nil"/>
              <w:left w:val="nil"/>
              <w:bottom w:val="nil"/>
              <w:right w:val="nil"/>
            </w:tcBorders>
            <w:shd w:val="clear" w:color="auto" w:fill="auto"/>
            <w:noWrap/>
            <w:vAlign w:val="center"/>
            <w:hideMark/>
          </w:tcPr>
          <w:p w14:paraId="532CEE6F" w14:textId="4B80B988"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15,0</w:t>
            </w:r>
          </w:p>
        </w:tc>
        <w:tc>
          <w:tcPr>
            <w:tcW w:w="595" w:type="dxa"/>
            <w:tcBorders>
              <w:top w:val="nil"/>
              <w:left w:val="nil"/>
              <w:bottom w:val="nil"/>
              <w:right w:val="nil"/>
            </w:tcBorders>
            <w:shd w:val="clear" w:color="auto" w:fill="auto"/>
            <w:noWrap/>
            <w:vAlign w:val="center"/>
            <w:hideMark/>
          </w:tcPr>
          <w:p w14:paraId="7DC3FD53" w14:textId="3C40762E"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14,7</w:t>
            </w:r>
          </w:p>
        </w:tc>
        <w:tc>
          <w:tcPr>
            <w:tcW w:w="595" w:type="dxa"/>
            <w:tcBorders>
              <w:top w:val="nil"/>
              <w:left w:val="nil"/>
              <w:bottom w:val="nil"/>
              <w:right w:val="nil"/>
            </w:tcBorders>
            <w:shd w:val="clear" w:color="auto" w:fill="auto"/>
            <w:noWrap/>
            <w:vAlign w:val="center"/>
            <w:hideMark/>
          </w:tcPr>
          <w:p w14:paraId="62DA53A9" w14:textId="4F36DF27"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14,9</w:t>
            </w:r>
          </w:p>
        </w:tc>
        <w:tc>
          <w:tcPr>
            <w:tcW w:w="595" w:type="dxa"/>
            <w:tcBorders>
              <w:top w:val="nil"/>
              <w:left w:val="nil"/>
              <w:bottom w:val="nil"/>
              <w:right w:val="nil"/>
            </w:tcBorders>
            <w:shd w:val="clear" w:color="auto" w:fill="auto"/>
            <w:noWrap/>
            <w:vAlign w:val="center"/>
            <w:hideMark/>
          </w:tcPr>
          <w:p w14:paraId="6CC853A2" w14:textId="4E26D1F3"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22,7</w:t>
            </w:r>
          </w:p>
        </w:tc>
      </w:tr>
      <w:tr w:rsidR="001E3AB8" w:rsidRPr="00D92E20" w14:paraId="5D27C71E" w14:textId="77777777" w:rsidTr="00E83157">
        <w:trPr>
          <w:trHeight w:val="300"/>
        </w:trPr>
        <w:tc>
          <w:tcPr>
            <w:tcW w:w="3146" w:type="dxa"/>
            <w:tcBorders>
              <w:top w:val="nil"/>
              <w:left w:val="nil"/>
              <w:bottom w:val="nil"/>
              <w:right w:val="single" w:sz="4" w:space="0" w:color="auto"/>
            </w:tcBorders>
            <w:shd w:val="clear" w:color="auto" w:fill="auto"/>
            <w:vAlign w:val="center"/>
            <w:hideMark/>
          </w:tcPr>
          <w:p w14:paraId="37DFAD02" w14:textId="77777777" w:rsidR="001E3AB8" w:rsidRPr="00D92E20" w:rsidRDefault="001E3AB8" w:rsidP="001E3AB8">
            <w:pPr>
              <w:spacing w:after="0" w:line="240" w:lineRule="auto"/>
              <w:ind w:firstLineChars="100" w:firstLine="160"/>
              <w:rPr>
                <w:rFonts w:cs="Arial"/>
                <w:color w:val="000000"/>
                <w:sz w:val="16"/>
                <w:szCs w:val="16"/>
              </w:rPr>
            </w:pPr>
            <w:r w:rsidRPr="00D92E20">
              <w:rPr>
                <w:rFonts w:cs="Arial"/>
                <w:color w:val="000000"/>
                <w:sz w:val="16"/>
                <w:szCs w:val="16"/>
              </w:rPr>
              <w:t>L – Činnosti v oblasti nemovitostí</w:t>
            </w:r>
          </w:p>
        </w:tc>
        <w:tc>
          <w:tcPr>
            <w:tcW w:w="595" w:type="dxa"/>
            <w:tcBorders>
              <w:top w:val="nil"/>
              <w:left w:val="nil"/>
              <w:bottom w:val="nil"/>
              <w:right w:val="nil"/>
            </w:tcBorders>
            <w:shd w:val="clear" w:color="auto" w:fill="auto"/>
            <w:noWrap/>
            <w:vAlign w:val="center"/>
            <w:hideMark/>
          </w:tcPr>
          <w:p w14:paraId="1AFCFEE5" w14:textId="3EC7E9BA"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7,4</w:t>
            </w:r>
          </w:p>
        </w:tc>
        <w:tc>
          <w:tcPr>
            <w:tcW w:w="595" w:type="dxa"/>
            <w:tcBorders>
              <w:top w:val="nil"/>
              <w:left w:val="nil"/>
              <w:bottom w:val="nil"/>
              <w:right w:val="nil"/>
            </w:tcBorders>
            <w:shd w:val="clear" w:color="auto" w:fill="auto"/>
            <w:noWrap/>
            <w:vAlign w:val="center"/>
            <w:hideMark/>
          </w:tcPr>
          <w:p w14:paraId="76CB5082" w14:textId="3DD72E20"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8,3</w:t>
            </w:r>
          </w:p>
        </w:tc>
        <w:tc>
          <w:tcPr>
            <w:tcW w:w="595" w:type="dxa"/>
            <w:tcBorders>
              <w:top w:val="nil"/>
              <w:left w:val="nil"/>
              <w:bottom w:val="nil"/>
              <w:right w:val="nil"/>
            </w:tcBorders>
            <w:shd w:val="clear" w:color="auto" w:fill="auto"/>
            <w:noWrap/>
            <w:vAlign w:val="center"/>
            <w:hideMark/>
          </w:tcPr>
          <w:p w14:paraId="70DC89B4" w14:textId="4D6FE492"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7,2</w:t>
            </w:r>
          </w:p>
        </w:tc>
        <w:tc>
          <w:tcPr>
            <w:tcW w:w="595" w:type="dxa"/>
            <w:tcBorders>
              <w:top w:val="nil"/>
              <w:left w:val="nil"/>
              <w:bottom w:val="nil"/>
              <w:right w:val="nil"/>
            </w:tcBorders>
            <w:shd w:val="clear" w:color="auto" w:fill="auto"/>
            <w:noWrap/>
            <w:vAlign w:val="center"/>
            <w:hideMark/>
          </w:tcPr>
          <w:p w14:paraId="579BAF9B" w14:textId="26000F1A"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9,1</w:t>
            </w:r>
          </w:p>
        </w:tc>
        <w:tc>
          <w:tcPr>
            <w:tcW w:w="595" w:type="dxa"/>
            <w:tcBorders>
              <w:top w:val="nil"/>
              <w:left w:val="nil"/>
              <w:bottom w:val="nil"/>
              <w:right w:val="nil"/>
            </w:tcBorders>
            <w:shd w:val="clear" w:color="auto" w:fill="auto"/>
            <w:noWrap/>
            <w:vAlign w:val="center"/>
            <w:hideMark/>
          </w:tcPr>
          <w:p w14:paraId="0AACB8D6" w14:textId="79730811"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8,6</w:t>
            </w:r>
          </w:p>
        </w:tc>
        <w:tc>
          <w:tcPr>
            <w:tcW w:w="595" w:type="dxa"/>
            <w:tcBorders>
              <w:top w:val="nil"/>
              <w:left w:val="nil"/>
              <w:bottom w:val="nil"/>
              <w:right w:val="nil"/>
            </w:tcBorders>
            <w:shd w:val="clear" w:color="auto" w:fill="auto"/>
            <w:noWrap/>
            <w:vAlign w:val="center"/>
            <w:hideMark/>
          </w:tcPr>
          <w:p w14:paraId="1F3B8FF5" w14:textId="7D301116"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8,5</w:t>
            </w:r>
          </w:p>
        </w:tc>
        <w:tc>
          <w:tcPr>
            <w:tcW w:w="595" w:type="dxa"/>
            <w:tcBorders>
              <w:top w:val="nil"/>
              <w:left w:val="nil"/>
              <w:bottom w:val="nil"/>
              <w:right w:val="nil"/>
            </w:tcBorders>
            <w:shd w:val="clear" w:color="auto" w:fill="auto"/>
            <w:noWrap/>
            <w:vAlign w:val="center"/>
            <w:hideMark/>
          </w:tcPr>
          <w:p w14:paraId="4B0E75E8" w14:textId="52C5D726"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9,6</w:t>
            </w:r>
          </w:p>
        </w:tc>
        <w:tc>
          <w:tcPr>
            <w:tcW w:w="595" w:type="dxa"/>
            <w:tcBorders>
              <w:top w:val="nil"/>
              <w:left w:val="nil"/>
              <w:bottom w:val="nil"/>
              <w:right w:val="nil"/>
            </w:tcBorders>
            <w:shd w:val="clear" w:color="auto" w:fill="auto"/>
            <w:noWrap/>
            <w:vAlign w:val="center"/>
            <w:hideMark/>
          </w:tcPr>
          <w:p w14:paraId="04CE1F33" w14:textId="26C3030E"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9,2</w:t>
            </w:r>
          </w:p>
        </w:tc>
        <w:tc>
          <w:tcPr>
            <w:tcW w:w="595" w:type="dxa"/>
            <w:tcBorders>
              <w:top w:val="nil"/>
              <w:left w:val="nil"/>
              <w:bottom w:val="nil"/>
              <w:right w:val="nil"/>
            </w:tcBorders>
            <w:shd w:val="clear" w:color="auto" w:fill="auto"/>
            <w:noWrap/>
            <w:vAlign w:val="center"/>
            <w:hideMark/>
          </w:tcPr>
          <w:p w14:paraId="728F99CD" w14:textId="4BE48605"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11,2</w:t>
            </w:r>
          </w:p>
        </w:tc>
        <w:tc>
          <w:tcPr>
            <w:tcW w:w="595" w:type="dxa"/>
            <w:tcBorders>
              <w:top w:val="nil"/>
              <w:left w:val="nil"/>
              <w:bottom w:val="nil"/>
              <w:right w:val="nil"/>
            </w:tcBorders>
            <w:shd w:val="clear" w:color="auto" w:fill="auto"/>
            <w:noWrap/>
            <w:vAlign w:val="center"/>
            <w:hideMark/>
          </w:tcPr>
          <w:p w14:paraId="0A0C491C" w14:textId="3D135397"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14,0</w:t>
            </w:r>
          </w:p>
        </w:tc>
        <w:tc>
          <w:tcPr>
            <w:tcW w:w="595" w:type="dxa"/>
            <w:tcBorders>
              <w:top w:val="nil"/>
              <w:left w:val="nil"/>
              <w:bottom w:val="nil"/>
              <w:right w:val="nil"/>
            </w:tcBorders>
            <w:shd w:val="clear" w:color="auto" w:fill="auto"/>
            <w:noWrap/>
            <w:vAlign w:val="center"/>
            <w:hideMark/>
          </w:tcPr>
          <w:p w14:paraId="145D5F90" w14:textId="5E69748E"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20,1</w:t>
            </w:r>
          </w:p>
        </w:tc>
      </w:tr>
      <w:tr w:rsidR="001E3AB8" w:rsidRPr="00D92E20" w14:paraId="46C3E7DC" w14:textId="77777777" w:rsidTr="00E83157">
        <w:trPr>
          <w:trHeight w:val="300"/>
        </w:trPr>
        <w:tc>
          <w:tcPr>
            <w:tcW w:w="3146" w:type="dxa"/>
            <w:tcBorders>
              <w:top w:val="nil"/>
              <w:left w:val="nil"/>
              <w:bottom w:val="nil"/>
              <w:right w:val="single" w:sz="4" w:space="0" w:color="auto"/>
            </w:tcBorders>
            <w:shd w:val="clear" w:color="auto" w:fill="auto"/>
            <w:vAlign w:val="center"/>
            <w:hideMark/>
          </w:tcPr>
          <w:p w14:paraId="311B2257" w14:textId="77777777" w:rsidR="001E3AB8" w:rsidRDefault="001E3AB8" w:rsidP="001E3AB8">
            <w:pPr>
              <w:spacing w:after="0" w:line="240" w:lineRule="auto"/>
              <w:ind w:firstLineChars="100" w:firstLine="160"/>
              <w:rPr>
                <w:rFonts w:cs="Arial"/>
                <w:color w:val="000000"/>
                <w:sz w:val="16"/>
                <w:szCs w:val="16"/>
              </w:rPr>
            </w:pPr>
            <w:r w:rsidRPr="00D92E20">
              <w:rPr>
                <w:rFonts w:cs="Arial"/>
                <w:color w:val="000000"/>
                <w:sz w:val="16"/>
                <w:szCs w:val="16"/>
              </w:rPr>
              <w:t xml:space="preserve">M – Profesní, vědecké a technické </w:t>
            </w:r>
            <w:r>
              <w:rPr>
                <w:rFonts w:cs="Arial"/>
                <w:color w:val="000000"/>
                <w:sz w:val="16"/>
                <w:szCs w:val="16"/>
              </w:rPr>
              <w:t xml:space="preserve"> </w:t>
            </w:r>
          </w:p>
          <w:p w14:paraId="5A0E9F64" w14:textId="0E489CC2" w:rsidR="001E3AB8" w:rsidRPr="00D92E20" w:rsidRDefault="001E3AB8" w:rsidP="001E3AB8">
            <w:pPr>
              <w:spacing w:after="0" w:line="240" w:lineRule="auto"/>
              <w:ind w:firstLineChars="100" w:firstLine="160"/>
              <w:rPr>
                <w:rFonts w:cs="Arial"/>
                <w:color w:val="000000"/>
                <w:sz w:val="16"/>
                <w:szCs w:val="16"/>
              </w:rPr>
            </w:pPr>
            <w:r>
              <w:rPr>
                <w:rFonts w:cs="Arial"/>
                <w:color w:val="000000"/>
                <w:sz w:val="16"/>
                <w:szCs w:val="16"/>
              </w:rPr>
              <w:t xml:space="preserve">       </w:t>
            </w:r>
            <w:r w:rsidRPr="00D92E20">
              <w:rPr>
                <w:rFonts w:cs="Arial"/>
                <w:color w:val="000000"/>
                <w:sz w:val="16"/>
                <w:szCs w:val="16"/>
              </w:rPr>
              <w:t>činnosti</w:t>
            </w:r>
          </w:p>
        </w:tc>
        <w:tc>
          <w:tcPr>
            <w:tcW w:w="595" w:type="dxa"/>
            <w:tcBorders>
              <w:top w:val="nil"/>
              <w:left w:val="nil"/>
              <w:bottom w:val="nil"/>
              <w:right w:val="nil"/>
            </w:tcBorders>
            <w:shd w:val="clear" w:color="auto" w:fill="auto"/>
            <w:noWrap/>
            <w:vAlign w:val="center"/>
            <w:hideMark/>
          </w:tcPr>
          <w:p w14:paraId="7E05A2D4" w14:textId="0E7A5C8A"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9,3</w:t>
            </w:r>
          </w:p>
        </w:tc>
        <w:tc>
          <w:tcPr>
            <w:tcW w:w="595" w:type="dxa"/>
            <w:tcBorders>
              <w:top w:val="nil"/>
              <w:left w:val="nil"/>
              <w:bottom w:val="nil"/>
              <w:right w:val="nil"/>
            </w:tcBorders>
            <w:shd w:val="clear" w:color="auto" w:fill="auto"/>
            <w:noWrap/>
            <w:vAlign w:val="center"/>
            <w:hideMark/>
          </w:tcPr>
          <w:p w14:paraId="3944A79C" w14:textId="45B9680A"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11,4</w:t>
            </w:r>
          </w:p>
        </w:tc>
        <w:tc>
          <w:tcPr>
            <w:tcW w:w="595" w:type="dxa"/>
            <w:tcBorders>
              <w:top w:val="nil"/>
              <w:left w:val="nil"/>
              <w:bottom w:val="nil"/>
              <w:right w:val="nil"/>
            </w:tcBorders>
            <w:shd w:val="clear" w:color="auto" w:fill="auto"/>
            <w:noWrap/>
            <w:vAlign w:val="center"/>
            <w:hideMark/>
          </w:tcPr>
          <w:p w14:paraId="19DEEA9C" w14:textId="46F4A701"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9,5</w:t>
            </w:r>
          </w:p>
        </w:tc>
        <w:tc>
          <w:tcPr>
            <w:tcW w:w="595" w:type="dxa"/>
            <w:tcBorders>
              <w:top w:val="nil"/>
              <w:left w:val="nil"/>
              <w:bottom w:val="nil"/>
              <w:right w:val="nil"/>
            </w:tcBorders>
            <w:shd w:val="clear" w:color="auto" w:fill="auto"/>
            <w:noWrap/>
            <w:vAlign w:val="center"/>
            <w:hideMark/>
          </w:tcPr>
          <w:p w14:paraId="17DB1B78" w14:textId="48BD17C1"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12,1</w:t>
            </w:r>
          </w:p>
        </w:tc>
        <w:tc>
          <w:tcPr>
            <w:tcW w:w="595" w:type="dxa"/>
            <w:tcBorders>
              <w:top w:val="nil"/>
              <w:left w:val="nil"/>
              <w:bottom w:val="nil"/>
              <w:right w:val="nil"/>
            </w:tcBorders>
            <w:shd w:val="clear" w:color="auto" w:fill="auto"/>
            <w:noWrap/>
            <w:vAlign w:val="center"/>
            <w:hideMark/>
          </w:tcPr>
          <w:p w14:paraId="4BB9984B" w14:textId="0E63E76B"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11,7</w:t>
            </w:r>
          </w:p>
        </w:tc>
        <w:tc>
          <w:tcPr>
            <w:tcW w:w="595" w:type="dxa"/>
            <w:tcBorders>
              <w:top w:val="nil"/>
              <w:left w:val="nil"/>
              <w:bottom w:val="nil"/>
              <w:right w:val="nil"/>
            </w:tcBorders>
            <w:shd w:val="clear" w:color="auto" w:fill="auto"/>
            <w:noWrap/>
            <w:vAlign w:val="center"/>
            <w:hideMark/>
          </w:tcPr>
          <w:p w14:paraId="2A145CF3" w14:textId="1D62AA8B"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12,2</w:t>
            </w:r>
          </w:p>
        </w:tc>
        <w:tc>
          <w:tcPr>
            <w:tcW w:w="595" w:type="dxa"/>
            <w:tcBorders>
              <w:top w:val="nil"/>
              <w:left w:val="nil"/>
              <w:bottom w:val="nil"/>
              <w:right w:val="nil"/>
            </w:tcBorders>
            <w:shd w:val="clear" w:color="auto" w:fill="auto"/>
            <w:noWrap/>
            <w:vAlign w:val="center"/>
            <w:hideMark/>
          </w:tcPr>
          <w:p w14:paraId="6A3E98BD" w14:textId="337D0370"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12,9</w:t>
            </w:r>
          </w:p>
        </w:tc>
        <w:tc>
          <w:tcPr>
            <w:tcW w:w="595" w:type="dxa"/>
            <w:tcBorders>
              <w:top w:val="nil"/>
              <w:left w:val="nil"/>
              <w:bottom w:val="nil"/>
              <w:right w:val="nil"/>
            </w:tcBorders>
            <w:shd w:val="clear" w:color="auto" w:fill="auto"/>
            <w:noWrap/>
            <w:vAlign w:val="center"/>
            <w:hideMark/>
          </w:tcPr>
          <w:p w14:paraId="7E7668EB" w14:textId="4C896D2B"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11,6</w:t>
            </w:r>
          </w:p>
        </w:tc>
        <w:tc>
          <w:tcPr>
            <w:tcW w:w="595" w:type="dxa"/>
            <w:tcBorders>
              <w:top w:val="nil"/>
              <w:left w:val="nil"/>
              <w:bottom w:val="nil"/>
              <w:right w:val="nil"/>
            </w:tcBorders>
            <w:shd w:val="clear" w:color="auto" w:fill="auto"/>
            <w:noWrap/>
            <w:vAlign w:val="center"/>
            <w:hideMark/>
          </w:tcPr>
          <w:p w14:paraId="1FA3EC8B" w14:textId="2F1B0F1C"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12,8</w:t>
            </w:r>
          </w:p>
        </w:tc>
        <w:tc>
          <w:tcPr>
            <w:tcW w:w="595" w:type="dxa"/>
            <w:tcBorders>
              <w:top w:val="nil"/>
              <w:left w:val="nil"/>
              <w:bottom w:val="nil"/>
              <w:right w:val="nil"/>
            </w:tcBorders>
            <w:shd w:val="clear" w:color="auto" w:fill="auto"/>
            <w:noWrap/>
            <w:vAlign w:val="center"/>
            <w:hideMark/>
          </w:tcPr>
          <w:p w14:paraId="6EB65CFF" w14:textId="1C560A6C"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15,3</w:t>
            </w:r>
          </w:p>
        </w:tc>
        <w:tc>
          <w:tcPr>
            <w:tcW w:w="595" w:type="dxa"/>
            <w:tcBorders>
              <w:top w:val="nil"/>
              <w:left w:val="nil"/>
              <w:bottom w:val="nil"/>
              <w:right w:val="nil"/>
            </w:tcBorders>
            <w:shd w:val="clear" w:color="auto" w:fill="auto"/>
            <w:noWrap/>
            <w:vAlign w:val="center"/>
            <w:hideMark/>
          </w:tcPr>
          <w:p w14:paraId="651A8DEF" w14:textId="7D9A1850"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23,4</w:t>
            </w:r>
          </w:p>
        </w:tc>
      </w:tr>
      <w:tr w:rsidR="001E3AB8" w:rsidRPr="00D92E20" w14:paraId="6A01A253" w14:textId="77777777" w:rsidTr="00E83157">
        <w:trPr>
          <w:trHeight w:val="300"/>
        </w:trPr>
        <w:tc>
          <w:tcPr>
            <w:tcW w:w="3146" w:type="dxa"/>
            <w:tcBorders>
              <w:top w:val="nil"/>
              <w:left w:val="nil"/>
              <w:bottom w:val="nil"/>
              <w:right w:val="single" w:sz="4" w:space="0" w:color="auto"/>
            </w:tcBorders>
            <w:shd w:val="clear" w:color="auto" w:fill="auto"/>
            <w:vAlign w:val="center"/>
            <w:hideMark/>
          </w:tcPr>
          <w:p w14:paraId="64A2BB2F" w14:textId="41D7D056" w:rsidR="001E3AB8" w:rsidRPr="00D92E20" w:rsidRDefault="001E3AB8" w:rsidP="001E3AB8">
            <w:pPr>
              <w:spacing w:after="0" w:line="240" w:lineRule="auto"/>
              <w:ind w:firstLineChars="100" w:firstLine="160"/>
              <w:rPr>
                <w:rFonts w:cs="Arial"/>
                <w:color w:val="000000"/>
                <w:sz w:val="16"/>
                <w:szCs w:val="16"/>
              </w:rPr>
            </w:pPr>
            <w:r w:rsidRPr="00D92E20">
              <w:rPr>
                <w:rFonts w:cs="Arial"/>
                <w:color w:val="000000"/>
                <w:sz w:val="16"/>
                <w:szCs w:val="16"/>
              </w:rPr>
              <w:t>N – Administrativní a podpůrné činnosti</w:t>
            </w:r>
          </w:p>
        </w:tc>
        <w:tc>
          <w:tcPr>
            <w:tcW w:w="595" w:type="dxa"/>
            <w:tcBorders>
              <w:top w:val="nil"/>
              <w:left w:val="nil"/>
              <w:bottom w:val="nil"/>
              <w:right w:val="nil"/>
            </w:tcBorders>
            <w:shd w:val="clear" w:color="auto" w:fill="auto"/>
            <w:noWrap/>
            <w:vAlign w:val="center"/>
            <w:hideMark/>
          </w:tcPr>
          <w:p w14:paraId="51F3F93A" w14:textId="73C6B3EE"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15,1</w:t>
            </w:r>
          </w:p>
        </w:tc>
        <w:tc>
          <w:tcPr>
            <w:tcW w:w="595" w:type="dxa"/>
            <w:tcBorders>
              <w:top w:val="nil"/>
              <w:left w:val="nil"/>
              <w:bottom w:val="nil"/>
              <w:right w:val="nil"/>
            </w:tcBorders>
            <w:shd w:val="clear" w:color="auto" w:fill="auto"/>
            <w:noWrap/>
            <w:vAlign w:val="center"/>
            <w:hideMark/>
          </w:tcPr>
          <w:p w14:paraId="17AD0947" w14:textId="5714E84D"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18,9</w:t>
            </w:r>
          </w:p>
        </w:tc>
        <w:tc>
          <w:tcPr>
            <w:tcW w:w="595" w:type="dxa"/>
            <w:tcBorders>
              <w:top w:val="nil"/>
              <w:left w:val="nil"/>
              <w:bottom w:val="nil"/>
              <w:right w:val="nil"/>
            </w:tcBorders>
            <w:shd w:val="clear" w:color="auto" w:fill="auto"/>
            <w:noWrap/>
            <w:vAlign w:val="center"/>
            <w:hideMark/>
          </w:tcPr>
          <w:p w14:paraId="6449AF26" w14:textId="785DBCE1"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19,4</w:t>
            </w:r>
          </w:p>
        </w:tc>
        <w:tc>
          <w:tcPr>
            <w:tcW w:w="595" w:type="dxa"/>
            <w:tcBorders>
              <w:top w:val="nil"/>
              <w:left w:val="nil"/>
              <w:bottom w:val="nil"/>
              <w:right w:val="nil"/>
            </w:tcBorders>
            <w:shd w:val="clear" w:color="auto" w:fill="auto"/>
            <w:noWrap/>
            <w:vAlign w:val="center"/>
            <w:hideMark/>
          </w:tcPr>
          <w:p w14:paraId="79D13425" w14:textId="60FD85A6"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25,6</w:t>
            </w:r>
          </w:p>
        </w:tc>
        <w:tc>
          <w:tcPr>
            <w:tcW w:w="595" w:type="dxa"/>
            <w:tcBorders>
              <w:top w:val="nil"/>
              <w:left w:val="nil"/>
              <w:bottom w:val="nil"/>
              <w:right w:val="nil"/>
            </w:tcBorders>
            <w:shd w:val="clear" w:color="auto" w:fill="auto"/>
            <w:noWrap/>
            <w:vAlign w:val="center"/>
            <w:hideMark/>
          </w:tcPr>
          <w:p w14:paraId="69CA6C7F" w14:textId="1F28760A"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26,1</w:t>
            </w:r>
          </w:p>
        </w:tc>
        <w:tc>
          <w:tcPr>
            <w:tcW w:w="595" w:type="dxa"/>
            <w:tcBorders>
              <w:top w:val="nil"/>
              <w:left w:val="nil"/>
              <w:bottom w:val="nil"/>
              <w:right w:val="nil"/>
            </w:tcBorders>
            <w:shd w:val="clear" w:color="auto" w:fill="auto"/>
            <w:noWrap/>
            <w:vAlign w:val="center"/>
            <w:hideMark/>
          </w:tcPr>
          <w:p w14:paraId="15B1241F" w14:textId="6A57F4B9"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26,2</w:t>
            </w:r>
          </w:p>
        </w:tc>
        <w:tc>
          <w:tcPr>
            <w:tcW w:w="595" w:type="dxa"/>
            <w:tcBorders>
              <w:top w:val="nil"/>
              <w:left w:val="nil"/>
              <w:bottom w:val="nil"/>
              <w:right w:val="nil"/>
            </w:tcBorders>
            <w:shd w:val="clear" w:color="auto" w:fill="auto"/>
            <w:noWrap/>
            <w:vAlign w:val="center"/>
            <w:hideMark/>
          </w:tcPr>
          <w:p w14:paraId="47C386E3" w14:textId="7A070B10"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26,2</w:t>
            </w:r>
          </w:p>
        </w:tc>
        <w:tc>
          <w:tcPr>
            <w:tcW w:w="595" w:type="dxa"/>
            <w:tcBorders>
              <w:top w:val="nil"/>
              <w:left w:val="nil"/>
              <w:bottom w:val="nil"/>
              <w:right w:val="nil"/>
            </w:tcBorders>
            <w:shd w:val="clear" w:color="auto" w:fill="auto"/>
            <w:noWrap/>
            <w:vAlign w:val="center"/>
            <w:hideMark/>
          </w:tcPr>
          <w:p w14:paraId="331A9333" w14:textId="6CE984CE"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23,5</w:t>
            </w:r>
          </w:p>
        </w:tc>
        <w:tc>
          <w:tcPr>
            <w:tcW w:w="595" w:type="dxa"/>
            <w:tcBorders>
              <w:top w:val="nil"/>
              <w:left w:val="nil"/>
              <w:bottom w:val="nil"/>
              <w:right w:val="nil"/>
            </w:tcBorders>
            <w:shd w:val="clear" w:color="auto" w:fill="auto"/>
            <w:noWrap/>
            <w:vAlign w:val="center"/>
            <w:hideMark/>
          </w:tcPr>
          <w:p w14:paraId="1D8DD21D" w14:textId="62553ED8"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26,8</w:t>
            </w:r>
          </w:p>
        </w:tc>
        <w:tc>
          <w:tcPr>
            <w:tcW w:w="595" w:type="dxa"/>
            <w:tcBorders>
              <w:top w:val="nil"/>
              <w:left w:val="nil"/>
              <w:bottom w:val="nil"/>
              <w:right w:val="nil"/>
            </w:tcBorders>
            <w:shd w:val="clear" w:color="auto" w:fill="auto"/>
            <w:noWrap/>
            <w:vAlign w:val="center"/>
            <w:hideMark/>
          </w:tcPr>
          <w:p w14:paraId="64C25A0E" w14:textId="19A5EA8D"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35,3</w:t>
            </w:r>
          </w:p>
        </w:tc>
        <w:tc>
          <w:tcPr>
            <w:tcW w:w="595" w:type="dxa"/>
            <w:tcBorders>
              <w:top w:val="nil"/>
              <w:left w:val="nil"/>
              <w:bottom w:val="nil"/>
              <w:right w:val="nil"/>
            </w:tcBorders>
            <w:shd w:val="clear" w:color="auto" w:fill="auto"/>
            <w:noWrap/>
            <w:vAlign w:val="center"/>
            <w:hideMark/>
          </w:tcPr>
          <w:p w14:paraId="0F05BBC8" w14:textId="3449532E"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39,7</w:t>
            </w:r>
          </w:p>
        </w:tc>
      </w:tr>
      <w:tr w:rsidR="001E3AB8" w:rsidRPr="00D92E20" w14:paraId="475E315D" w14:textId="77777777" w:rsidTr="00E83157">
        <w:trPr>
          <w:trHeight w:val="480"/>
        </w:trPr>
        <w:tc>
          <w:tcPr>
            <w:tcW w:w="3146" w:type="dxa"/>
            <w:tcBorders>
              <w:top w:val="nil"/>
              <w:left w:val="nil"/>
              <w:bottom w:val="nil"/>
              <w:right w:val="single" w:sz="4" w:space="0" w:color="auto"/>
            </w:tcBorders>
            <w:shd w:val="clear" w:color="auto" w:fill="auto"/>
            <w:vAlign w:val="center"/>
            <w:hideMark/>
          </w:tcPr>
          <w:p w14:paraId="5BBD2C9B" w14:textId="77777777" w:rsidR="001E3AB8" w:rsidRPr="00D92E20" w:rsidRDefault="001E3AB8" w:rsidP="001E3AB8">
            <w:pPr>
              <w:spacing w:after="0" w:line="240" w:lineRule="auto"/>
              <w:ind w:firstLineChars="100" w:firstLine="160"/>
              <w:rPr>
                <w:rFonts w:cs="Arial"/>
                <w:color w:val="000000"/>
                <w:sz w:val="16"/>
                <w:szCs w:val="16"/>
              </w:rPr>
            </w:pPr>
            <w:r w:rsidRPr="00D92E20">
              <w:rPr>
                <w:rFonts w:cs="Arial"/>
                <w:color w:val="000000"/>
                <w:sz w:val="16"/>
                <w:szCs w:val="16"/>
              </w:rPr>
              <w:t xml:space="preserve">O – Veřejná správa a obrana; </w:t>
            </w:r>
            <w:r w:rsidRPr="00D92E20">
              <w:rPr>
                <w:rFonts w:cs="Arial"/>
                <w:color w:val="000000"/>
                <w:sz w:val="16"/>
                <w:szCs w:val="16"/>
              </w:rPr>
              <w:br/>
              <w:t xml:space="preserve">          povinné sociální zabezpečení</w:t>
            </w:r>
          </w:p>
        </w:tc>
        <w:tc>
          <w:tcPr>
            <w:tcW w:w="595" w:type="dxa"/>
            <w:tcBorders>
              <w:top w:val="nil"/>
              <w:left w:val="nil"/>
              <w:bottom w:val="nil"/>
              <w:right w:val="nil"/>
            </w:tcBorders>
            <w:shd w:val="clear" w:color="auto" w:fill="auto"/>
            <w:noWrap/>
            <w:vAlign w:val="center"/>
            <w:hideMark/>
          </w:tcPr>
          <w:p w14:paraId="03652A14" w14:textId="7CEADD6D"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13,0</w:t>
            </w:r>
          </w:p>
        </w:tc>
        <w:tc>
          <w:tcPr>
            <w:tcW w:w="595" w:type="dxa"/>
            <w:tcBorders>
              <w:top w:val="nil"/>
              <w:left w:val="nil"/>
              <w:bottom w:val="nil"/>
              <w:right w:val="nil"/>
            </w:tcBorders>
            <w:shd w:val="clear" w:color="auto" w:fill="auto"/>
            <w:noWrap/>
            <w:vAlign w:val="center"/>
            <w:hideMark/>
          </w:tcPr>
          <w:p w14:paraId="5B0BE6BA" w14:textId="29CE8992"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16,5</w:t>
            </w:r>
          </w:p>
        </w:tc>
        <w:tc>
          <w:tcPr>
            <w:tcW w:w="595" w:type="dxa"/>
            <w:tcBorders>
              <w:top w:val="nil"/>
              <w:left w:val="nil"/>
              <w:bottom w:val="nil"/>
              <w:right w:val="nil"/>
            </w:tcBorders>
            <w:shd w:val="clear" w:color="auto" w:fill="auto"/>
            <w:noWrap/>
            <w:vAlign w:val="center"/>
            <w:hideMark/>
          </w:tcPr>
          <w:p w14:paraId="729F66E0" w14:textId="1F417FC1"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13,5</w:t>
            </w:r>
          </w:p>
        </w:tc>
        <w:tc>
          <w:tcPr>
            <w:tcW w:w="595" w:type="dxa"/>
            <w:tcBorders>
              <w:top w:val="nil"/>
              <w:left w:val="nil"/>
              <w:bottom w:val="nil"/>
              <w:right w:val="nil"/>
            </w:tcBorders>
            <w:shd w:val="clear" w:color="auto" w:fill="auto"/>
            <w:noWrap/>
            <w:vAlign w:val="center"/>
            <w:hideMark/>
          </w:tcPr>
          <w:p w14:paraId="683AA27F" w14:textId="50B5025E"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18,5</w:t>
            </w:r>
          </w:p>
        </w:tc>
        <w:tc>
          <w:tcPr>
            <w:tcW w:w="595" w:type="dxa"/>
            <w:tcBorders>
              <w:top w:val="nil"/>
              <w:left w:val="nil"/>
              <w:bottom w:val="nil"/>
              <w:right w:val="nil"/>
            </w:tcBorders>
            <w:shd w:val="clear" w:color="auto" w:fill="auto"/>
            <w:noWrap/>
            <w:vAlign w:val="center"/>
            <w:hideMark/>
          </w:tcPr>
          <w:p w14:paraId="2C78DD8C" w14:textId="71E022A6"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17,0</w:t>
            </w:r>
          </w:p>
        </w:tc>
        <w:tc>
          <w:tcPr>
            <w:tcW w:w="595" w:type="dxa"/>
            <w:tcBorders>
              <w:top w:val="nil"/>
              <w:left w:val="nil"/>
              <w:bottom w:val="nil"/>
              <w:right w:val="nil"/>
            </w:tcBorders>
            <w:shd w:val="clear" w:color="auto" w:fill="auto"/>
            <w:noWrap/>
            <w:vAlign w:val="center"/>
            <w:hideMark/>
          </w:tcPr>
          <w:p w14:paraId="33D7FD8E" w14:textId="5588325F"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17,9</w:t>
            </w:r>
          </w:p>
        </w:tc>
        <w:tc>
          <w:tcPr>
            <w:tcW w:w="595" w:type="dxa"/>
            <w:tcBorders>
              <w:top w:val="nil"/>
              <w:left w:val="nil"/>
              <w:bottom w:val="nil"/>
              <w:right w:val="nil"/>
            </w:tcBorders>
            <w:shd w:val="clear" w:color="auto" w:fill="auto"/>
            <w:noWrap/>
            <w:vAlign w:val="center"/>
            <w:hideMark/>
          </w:tcPr>
          <w:p w14:paraId="0027052F" w14:textId="7DAF5B9D"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19,9</w:t>
            </w:r>
          </w:p>
        </w:tc>
        <w:tc>
          <w:tcPr>
            <w:tcW w:w="595" w:type="dxa"/>
            <w:tcBorders>
              <w:top w:val="nil"/>
              <w:left w:val="nil"/>
              <w:bottom w:val="nil"/>
              <w:right w:val="nil"/>
            </w:tcBorders>
            <w:shd w:val="clear" w:color="auto" w:fill="auto"/>
            <w:noWrap/>
            <w:vAlign w:val="center"/>
            <w:hideMark/>
          </w:tcPr>
          <w:p w14:paraId="73FE9252" w14:textId="69E13AE8"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18,0</w:t>
            </w:r>
          </w:p>
        </w:tc>
        <w:tc>
          <w:tcPr>
            <w:tcW w:w="595" w:type="dxa"/>
            <w:tcBorders>
              <w:top w:val="nil"/>
              <w:left w:val="nil"/>
              <w:bottom w:val="nil"/>
              <w:right w:val="nil"/>
            </w:tcBorders>
            <w:shd w:val="clear" w:color="auto" w:fill="auto"/>
            <w:noWrap/>
            <w:vAlign w:val="center"/>
            <w:hideMark/>
          </w:tcPr>
          <w:p w14:paraId="0840411D" w14:textId="406B598A"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19,0</w:t>
            </w:r>
          </w:p>
        </w:tc>
        <w:tc>
          <w:tcPr>
            <w:tcW w:w="595" w:type="dxa"/>
            <w:tcBorders>
              <w:top w:val="nil"/>
              <w:left w:val="nil"/>
              <w:bottom w:val="nil"/>
              <w:right w:val="nil"/>
            </w:tcBorders>
            <w:shd w:val="clear" w:color="auto" w:fill="auto"/>
            <w:noWrap/>
            <w:vAlign w:val="center"/>
            <w:hideMark/>
          </w:tcPr>
          <w:p w14:paraId="240EB800" w14:textId="2E08E6D8"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27,3</w:t>
            </w:r>
          </w:p>
        </w:tc>
        <w:tc>
          <w:tcPr>
            <w:tcW w:w="595" w:type="dxa"/>
            <w:tcBorders>
              <w:top w:val="nil"/>
              <w:left w:val="nil"/>
              <w:bottom w:val="nil"/>
              <w:right w:val="nil"/>
            </w:tcBorders>
            <w:shd w:val="clear" w:color="auto" w:fill="auto"/>
            <w:noWrap/>
            <w:vAlign w:val="center"/>
            <w:hideMark/>
          </w:tcPr>
          <w:p w14:paraId="63B58FE5" w14:textId="7D0BCB22"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46,2</w:t>
            </w:r>
          </w:p>
        </w:tc>
      </w:tr>
      <w:tr w:rsidR="001E3AB8" w:rsidRPr="00D92E20" w14:paraId="3CF6C9D5" w14:textId="77777777" w:rsidTr="00E83157">
        <w:trPr>
          <w:trHeight w:val="300"/>
        </w:trPr>
        <w:tc>
          <w:tcPr>
            <w:tcW w:w="3146" w:type="dxa"/>
            <w:tcBorders>
              <w:top w:val="nil"/>
              <w:left w:val="nil"/>
              <w:bottom w:val="nil"/>
              <w:right w:val="single" w:sz="4" w:space="0" w:color="auto"/>
            </w:tcBorders>
            <w:shd w:val="clear" w:color="auto" w:fill="auto"/>
            <w:vAlign w:val="center"/>
            <w:hideMark/>
          </w:tcPr>
          <w:p w14:paraId="03988937" w14:textId="77777777" w:rsidR="001E3AB8" w:rsidRPr="00D92E20" w:rsidRDefault="001E3AB8" w:rsidP="001E3AB8">
            <w:pPr>
              <w:spacing w:after="0" w:line="240" w:lineRule="auto"/>
              <w:ind w:firstLineChars="100" w:firstLine="160"/>
              <w:rPr>
                <w:rFonts w:cs="Arial"/>
                <w:color w:val="000000"/>
                <w:sz w:val="16"/>
                <w:szCs w:val="16"/>
              </w:rPr>
            </w:pPr>
            <w:r w:rsidRPr="00D92E20">
              <w:rPr>
                <w:rFonts w:cs="Arial"/>
                <w:color w:val="000000"/>
                <w:sz w:val="16"/>
                <w:szCs w:val="16"/>
              </w:rPr>
              <w:t>P – Vzdělávání</w:t>
            </w:r>
          </w:p>
        </w:tc>
        <w:tc>
          <w:tcPr>
            <w:tcW w:w="595" w:type="dxa"/>
            <w:tcBorders>
              <w:top w:val="nil"/>
              <w:left w:val="nil"/>
              <w:bottom w:val="nil"/>
              <w:right w:val="nil"/>
            </w:tcBorders>
            <w:shd w:val="clear" w:color="auto" w:fill="auto"/>
            <w:noWrap/>
            <w:vAlign w:val="center"/>
            <w:hideMark/>
          </w:tcPr>
          <w:p w14:paraId="0DD4C0F3" w14:textId="7758007C"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12,1</w:t>
            </w:r>
          </w:p>
        </w:tc>
        <w:tc>
          <w:tcPr>
            <w:tcW w:w="595" w:type="dxa"/>
            <w:tcBorders>
              <w:top w:val="nil"/>
              <w:left w:val="nil"/>
              <w:bottom w:val="nil"/>
              <w:right w:val="nil"/>
            </w:tcBorders>
            <w:shd w:val="clear" w:color="auto" w:fill="auto"/>
            <w:noWrap/>
            <w:vAlign w:val="center"/>
            <w:hideMark/>
          </w:tcPr>
          <w:p w14:paraId="35FAE612" w14:textId="534F5834"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15,7</w:t>
            </w:r>
          </w:p>
        </w:tc>
        <w:tc>
          <w:tcPr>
            <w:tcW w:w="595" w:type="dxa"/>
            <w:tcBorders>
              <w:top w:val="nil"/>
              <w:left w:val="nil"/>
              <w:bottom w:val="nil"/>
              <w:right w:val="nil"/>
            </w:tcBorders>
            <w:shd w:val="clear" w:color="auto" w:fill="auto"/>
            <w:noWrap/>
            <w:vAlign w:val="center"/>
            <w:hideMark/>
          </w:tcPr>
          <w:p w14:paraId="7559186D" w14:textId="28D411A2"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13,2</w:t>
            </w:r>
          </w:p>
        </w:tc>
        <w:tc>
          <w:tcPr>
            <w:tcW w:w="595" w:type="dxa"/>
            <w:tcBorders>
              <w:top w:val="nil"/>
              <w:left w:val="nil"/>
              <w:bottom w:val="nil"/>
              <w:right w:val="nil"/>
            </w:tcBorders>
            <w:shd w:val="clear" w:color="auto" w:fill="auto"/>
            <w:noWrap/>
            <w:vAlign w:val="center"/>
            <w:hideMark/>
          </w:tcPr>
          <w:p w14:paraId="760B1045" w14:textId="4305EF70"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19,4</w:t>
            </w:r>
          </w:p>
        </w:tc>
        <w:tc>
          <w:tcPr>
            <w:tcW w:w="595" w:type="dxa"/>
            <w:tcBorders>
              <w:top w:val="nil"/>
              <w:left w:val="nil"/>
              <w:bottom w:val="nil"/>
              <w:right w:val="nil"/>
            </w:tcBorders>
            <w:shd w:val="clear" w:color="auto" w:fill="auto"/>
            <w:noWrap/>
            <w:vAlign w:val="center"/>
            <w:hideMark/>
          </w:tcPr>
          <w:p w14:paraId="217C1EE1" w14:textId="2C51B61F"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18,1</w:t>
            </w:r>
          </w:p>
        </w:tc>
        <w:tc>
          <w:tcPr>
            <w:tcW w:w="595" w:type="dxa"/>
            <w:tcBorders>
              <w:top w:val="nil"/>
              <w:left w:val="nil"/>
              <w:bottom w:val="nil"/>
              <w:right w:val="nil"/>
            </w:tcBorders>
            <w:shd w:val="clear" w:color="auto" w:fill="auto"/>
            <w:noWrap/>
            <w:vAlign w:val="center"/>
            <w:hideMark/>
          </w:tcPr>
          <w:p w14:paraId="31B9624D" w14:textId="72A0A20E"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20,3</w:t>
            </w:r>
          </w:p>
        </w:tc>
        <w:tc>
          <w:tcPr>
            <w:tcW w:w="595" w:type="dxa"/>
            <w:tcBorders>
              <w:top w:val="nil"/>
              <w:left w:val="nil"/>
              <w:bottom w:val="nil"/>
              <w:right w:val="nil"/>
            </w:tcBorders>
            <w:shd w:val="clear" w:color="auto" w:fill="auto"/>
            <w:noWrap/>
            <w:vAlign w:val="center"/>
            <w:hideMark/>
          </w:tcPr>
          <w:p w14:paraId="2FFCDF2B" w14:textId="20B5EA38"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22,6</w:t>
            </w:r>
          </w:p>
        </w:tc>
        <w:tc>
          <w:tcPr>
            <w:tcW w:w="595" w:type="dxa"/>
            <w:tcBorders>
              <w:top w:val="nil"/>
              <w:left w:val="nil"/>
              <w:bottom w:val="nil"/>
              <w:right w:val="nil"/>
            </w:tcBorders>
            <w:shd w:val="clear" w:color="auto" w:fill="auto"/>
            <w:noWrap/>
            <w:vAlign w:val="center"/>
            <w:hideMark/>
          </w:tcPr>
          <w:p w14:paraId="130A3B22" w14:textId="27FB6643"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20,3</w:t>
            </w:r>
          </w:p>
        </w:tc>
        <w:tc>
          <w:tcPr>
            <w:tcW w:w="595" w:type="dxa"/>
            <w:tcBorders>
              <w:top w:val="nil"/>
              <w:left w:val="nil"/>
              <w:bottom w:val="nil"/>
              <w:right w:val="nil"/>
            </w:tcBorders>
            <w:shd w:val="clear" w:color="auto" w:fill="auto"/>
            <w:noWrap/>
            <w:vAlign w:val="center"/>
            <w:hideMark/>
          </w:tcPr>
          <w:p w14:paraId="0A8B37E9" w14:textId="6DE5834C"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17,6</w:t>
            </w:r>
          </w:p>
        </w:tc>
        <w:tc>
          <w:tcPr>
            <w:tcW w:w="595" w:type="dxa"/>
            <w:tcBorders>
              <w:top w:val="nil"/>
              <w:left w:val="nil"/>
              <w:bottom w:val="nil"/>
              <w:right w:val="nil"/>
            </w:tcBorders>
            <w:shd w:val="clear" w:color="auto" w:fill="auto"/>
            <w:noWrap/>
            <w:vAlign w:val="center"/>
            <w:hideMark/>
          </w:tcPr>
          <w:p w14:paraId="19EC8DBC" w14:textId="09994FD5"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23,9</w:t>
            </w:r>
          </w:p>
        </w:tc>
        <w:tc>
          <w:tcPr>
            <w:tcW w:w="595" w:type="dxa"/>
            <w:tcBorders>
              <w:top w:val="nil"/>
              <w:left w:val="nil"/>
              <w:bottom w:val="nil"/>
              <w:right w:val="nil"/>
            </w:tcBorders>
            <w:shd w:val="clear" w:color="auto" w:fill="auto"/>
            <w:noWrap/>
            <w:vAlign w:val="center"/>
            <w:hideMark/>
          </w:tcPr>
          <w:p w14:paraId="23061F98" w14:textId="413BCABE"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56,9</w:t>
            </w:r>
          </w:p>
        </w:tc>
      </w:tr>
      <w:tr w:rsidR="001E3AB8" w:rsidRPr="00D92E20" w14:paraId="0A38C105" w14:textId="77777777" w:rsidTr="00E83157">
        <w:trPr>
          <w:trHeight w:val="300"/>
        </w:trPr>
        <w:tc>
          <w:tcPr>
            <w:tcW w:w="3146" w:type="dxa"/>
            <w:tcBorders>
              <w:top w:val="nil"/>
              <w:left w:val="nil"/>
              <w:bottom w:val="nil"/>
              <w:right w:val="single" w:sz="4" w:space="0" w:color="auto"/>
            </w:tcBorders>
            <w:shd w:val="clear" w:color="auto" w:fill="auto"/>
            <w:vAlign w:val="center"/>
            <w:hideMark/>
          </w:tcPr>
          <w:p w14:paraId="62A9D262" w14:textId="77777777" w:rsidR="001E3AB8" w:rsidRPr="00D92E20" w:rsidRDefault="001E3AB8" w:rsidP="001E3AB8">
            <w:pPr>
              <w:spacing w:after="0" w:line="240" w:lineRule="auto"/>
              <w:ind w:firstLineChars="100" w:firstLine="160"/>
              <w:rPr>
                <w:rFonts w:cs="Arial"/>
                <w:color w:val="000000"/>
                <w:sz w:val="16"/>
                <w:szCs w:val="16"/>
              </w:rPr>
            </w:pPr>
            <w:r w:rsidRPr="00D92E20">
              <w:rPr>
                <w:rFonts w:cs="Arial"/>
                <w:color w:val="000000"/>
                <w:sz w:val="16"/>
                <w:szCs w:val="16"/>
              </w:rPr>
              <w:t>Q – Zdravotní a sociální péče</w:t>
            </w:r>
          </w:p>
        </w:tc>
        <w:tc>
          <w:tcPr>
            <w:tcW w:w="595" w:type="dxa"/>
            <w:tcBorders>
              <w:top w:val="nil"/>
              <w:left w:val="nil"/>
              <w:bottom w:val="nil"/>
              <w:right w:val="nil"/>
            </w:tcBorders>
            <w:shd w:val="clear" w:color="auto" w:fill="auto"/>
            <w:noWrap/>
            <w:vAlign w:val="center"/>
            <w:hideMark/>
          </w:tcPr>
          <w:p w14:paraId="27F8E9EC" w14:textId="2D7EB350"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12,0</w:t>
            </w:r>
          </w:p>
        </w:tc>
        <w:tc>
          <w:tcPr>
            <w:tcW w:w="595" w:type="dxa"/>
            <w:tcBorders>
              <w:top w:val="nil"/>
              <w:left w:val="nil"/>
              <w:bottom w:val="nil"/>
              <w:right w:val="nil"/>
            </w:tcBorders>
            <w:shd w:val="clear" w:color="auto" w:fill="auto"/>
            <w:noWrap/>
            <w:vAlign w:val="center"/>
            <w:hideMark/>
          </w:tcPr>
          <w:p w14:paraId="1332C0EE" w14:textId="6F72FCEE"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14,9</w:t>
            </w:r>
          </w:p>
        </w:tc>
        <w:tc>
          <w:tcPr>
            <w:tcW w:w="595" w:type="dxa"/>
            <w:tcBorders>
              <w:top w:val="nil"/>
              <w:left w:val="nil"/>
              <w:bottom w:val="nil"/>
              <w:right w:val="nil"/>
            </w:tcBorders>
            <w:shd w:val="clear" w:color="auto" w:fill="auto"/>
            <w:noWrap/>
            <w:vAlign w:val="center"/>
            <w:hideMark/>
          </w:tcPr>
          <w:p w14:paraId="1D2014CC" w14:textId="19A6E015"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13,2</w:t>
            </w:r>
          </w:p>
        </w:tc>
        <w:tc>
          <w:tcPr>
            <w:tcW w:w="595" w:type="dxa"/>
            <w:tcBorders>
              <w:top w:val="nil"/>
              <w:left w:val="nil"/>
              <w:bottom w:val="nil"/>
              <w:right w:val="nil"/>
            </w:tcBorders>
            <w:shd w:val="clear" w:color="auto" w:fill="auto"/>
            <w:noWrap/>
            <w:vAlign w:val="center"/>
            <w:hideMark/>
          </w:tcPr>
          <w:p w14:paraId="72CAA1A2" w14:textId="4451513E"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17,3</w:t>
            </w:r>
          </w:p>
        </w:tc>
        <w:tc>
          <w:tcPr>
            <w:tcW w:w="595" w:type="dxa"/>
            <w:tcBorders>
              <w:top w:val="nil"/>
              <w:left w:val="nil"/>
              <w:bottom w:val="nil"/>
              <w:right w:val="nil"/>
            </w:tcBorders>
            <w:shd w:val="clear" w:color="auto" w:fill="auto"/>
            <w:noWrap/>
            <w:vAlign w:val="center"/>
            <w:hideMark/>
          </w:tcPr>
          <w:p w14:paraId="62A7C7A6" w14:textId="5953F53D"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16,8</w:t>
            </w:r>
          </w:p>
        </w:tc>
        <w:tc>
          <w:tcPr>
            <w:tcW w:w="595" w:type="dxa"/>
            <w:tcBorders>
              <w:top w:val="nil"/>
              <w:left w:val="nil"/>
              <w:bottom w:val="nil"/>
              <w:right w:val="nil"/>
            </w:tcBorders>
            <w:shd w:val="clear" w:color="auto" w:fill="auto"/>
            <w:noWrap/>
            <w:vAlign w:val="center"/>
            <w:hideMark/>
          </w:tcPr>
          <w:p w14:paraId="59A318A0" w14:textId="1FC9B1D4"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18,0</w:t>
            </w:r>
          </w:p>
        </w:tc>
        <w:tc>
          <w:tcPr>
            <w:tcW w:w="595" w:type="dxa"/>
            <w:tcBorders>
              <w:top w:val="nil"/>
              <w:left w:val="nil"/>
              <w:bottom w:val="nil"/>
              <w:right w:val="nil"/>
            </w:tcBorders>
            <w:shd w:val="clear" w:color="auto" w:fill="auto"/>
            <w:noWrap/>
            <w:vAlign w:val="center"/>
            <w:hideMark/>
          </w:tcPr>
          <w:p w14:paraId="60F48C7D" w14:textId="03B81B11"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19,7</w:t>
            </w:r>
          </w:p>
        </w:tc>
        <w:tc>
          <w:tcPr>
            <w:tcW w:w="595" w:type="dxa"/>
            <w:tcBorders>
              <w:top w:val="nil"/>
              <w:left w:val="nil"/>
              <w:bottom w:val="nil"/>
              <w:right w:val="nil"/>
            </w:tcBorders>
            <w:shd w:val="clear" w:color="auto" w:fill="auto"/>
            <w:noWrap/>
            <w:vAlign w:val="center"/>
            <w:hideMark/>
          </w:tcPr>
          <w:p w14:paraId="20BE7380" w14:textId="2D4CC7F3"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18,5</w:t>
            </w:r>
          </w:p>
        </w:tc>
        <w:tc>
          <w:tcPr>
            <w:tcW w:w="595" w:type="dxa"/>
            <w:tcBorders>
              <w:top w:val="nil"/>
              <w:left w:val="nil"/>
              <w:bottom w:val="nil"/>
              <w:right w:val="nil"/>
            </w:tcBorders>
            <w:shd w:val="clear" w:color="auto" w:fill="auto"/>
            <w:noWrap/>
            <w:vAlign w:val="center"/>
            <w:hideMark/>
          </w:tcPr>
          <w:p w14:paraId="4561B20B" w14:textId="00FDF4B8"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23,7</w:t>
            </w:r>
          </w:p>
        </w:tc>
        <w:tc>
          <w:tcPr>
            <w:tcW w:w="595" w:type="dxa"/>
            <w:tcBorders>
              <w:top w:val="nil"/>
              <w:left w:val="nil"/>
              <w:bottom w:val="nil"/>
              <w:right w:val="nil"/>
            </w:tcBorders>
            <w:shd w:val="clear" w:color="auto" w:fill="auto"/>
            <w:noWrap/>
            <w:vAlign w:val="center"/>
            <w:hideMark/>
          </w:tcPr>
          <w:p w14:paraId="4FF820D8" w14:textId="429329E1"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26,3</w:t>
            </w:r>
          </w:p>
        </w:tc>
        <w:tc>
          <w:tcPr>
            <w:tcW w:w="595" w:type="dxa"/>
            <w:tcBorders>
              <w:top w:val="nil"/>
              <w:left w:val="nil"/>
              <w:bottom w:val="nil"/>
              <w:right w:val="nil"/>
            </w:tcBorders>
            <w:shd w:val="clear" w:color="auto" w:fill="auto"/>
            <w:noWrap/>
            <w:vAlign w:val="center"/>
            <w:hideMark/>
          </w:tcPr>
          <w:p w14:paraId="7D10D7EE" w14:textId="641807EC"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42,7</w:t>
            </w:r>
          </w:p>
        </w:tc>
      </w:tr>
      <w:tr w:rsidR="001E3AB8" w:rsidRPr="00D92E20" w14:paraId="5806C05B" w14:textId="77777777" w:rsidTr="00E83157">
        <w:trPr>
          <w:trHeight w:val="300"/>
        </w:trPr>
        <w:tc>
          <w:tcPr>
            <w:tcW w:w="3146" w:type="dxa"/>
            <w:tcBorders>
              <w:top w:val="nil"/>
              <w:left w:val="nil"/>
              <w:bottom w:val="nil"/>
              <w:right w:val="single" w:sz="4" w:space="0" w:color="auto"/>
            </w:tcBorders>
            <w:shd w:val="clear" w:color="auto" w:fill="auto"/>
            <w:vAlign w:val="center"/>
            <w:hideMark/>
          </w:tcPr>
          <w:p w14:paraId="4264A433" w14:textId="77777777" w:rsidR="001E3AB8" w:rsidRDefault="001E3AB8" w:rsidP="001E3AB8">
            <w:pPr>
              <w:spacing w:after="0" w:line="240" w:lineRule="auto"/>
              <w:ind w:firstLineChars="100" w:firstLine="160"/>
              <w:rPr>
                <w:rFonts w:cs="Arial"/>
                <w:color w:val="000000"/>
                <w:sz w:val="16"/>
                <w:szCs w:val="16"/>
              </w:rPr>
            </w:pPr>
            <w:r w:rsidRPr="00D92E20">
              <w:rPr>
                <w:rFonts w:cs="Arial"/>
                <w:color w:val="000000"/>
                <w:sz w:val="16"/>
                <w:szCs w:val="16"/>
              </w:rPr>
              <w:t xml:space="preserve">R – Kulturní, zábavní a rekreační </w:t>
            </w:r>
          </w:p>
          <w:p w14:paraId="3E51A486" w14:textId="4F9985AF" w:rsidR="001E3AB8" w:rsidRPr="00D92E20" w:rsidRDefault="001E3AB8" w:rsidP="001E3AB8">
            <w:pPr>
              <w:spacing w:after="0" w:line="240" w:lineRule="auto"/>
              <w:ind w:firstLineChars="100" w:firstLine="160"/>
              <w:rPr>
                <w:rFonts w:cs="Arial"/>
                <w:color w:val="000000"/>
                <w:sz w:val="16"/>
                <w:szCs w:val="16"/>
              </w:rPr>
            </w:pPr>
            <w:r>
              <w:rPr>
                <w:rFonts w:cs="Arial"/>
                <w:color w:val="000000"/>
                <w:sz w:val="16"/>
                <w:szCs w:val="16"/>
              </w:rPr>
              <w:t xml:space="preserve">       </w:t>
            </w:r>
            <w:r w:rsidRPr="00D92E20">
              <w:rPr>
                <w:rFonts w:cs="Arial"/>
                <w:color w:val="000000"/>
                <w:sz w:val="16"/>
                <w:szCs w:val="16"/>
              </w:rPr>
              <w:t>činnosti</w:t>
            </w:r>
          </w:p>
        </w:tc>
        <w:tc>
          <w:tcPr>
            <w:tcW w:w="595" w:type="dxa"/>
            <w:tcBorders>
              <w:top w:val="nil"/>
              <w:left w:val="nil"/>
              <w:bottom w:val="nil"/>
              <w:right w:val="nil"/>
            </w:tcBorders>
            <w:shd w:val="clear" w:color="auto" w:fill="auto"/>
            <w:noWrap/>
            <w:vAlign w:val="center"/>
            <w:hideMark/>
          </w:tcPr>
          <w:p w14:paraId="5D217C00" w14:textId="311E4FF9"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9,6</w:t>
            </w:r>
          </w:p>
        </w:tc>
        <w:tc>
          <w:tcPr>
            <w:tcW w:w="595" w:type="dxa"/>
            <w:tcBorders>
              <w:top w:val="nil"/>
              <w:left w:val="nil"/>
              <w:bottom w:val="nil"/>
              <w:right w:val="nil"/>
            </w:tcBorders>
            <w:shd w:val="clear" w:color="auto" w:fill="auto"/>
            <w:noWrap/>
            <w:vAlign w:val="center"/>
            <w:hideMark/>
          </w:tcPr>
          <w:p w14:paraId="689EE53D" w14:textId="4D486556"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12,2</w:t>
            </w:r>
          </w:p>
        </w:tc>
        <w:tc>
          <w:tcPr>
            <w:tcW w:w="595" w:type="dxa"/>
            <w:tcBorders>
              <w:top w:val="nil"/>
              <w:left w:val="nil"/>
              <w:bottom w:val="nil"/>
              <w:right w:val="nil"/>
            </w:tcBorders>
            <w:shd w:val="clear" w:color="auto" w:fill="auto"/>
            <w:noWrap/>
            <w:vAlign w:val="center"/>
            <w:hideMark/>
          </w:tcPr>
          <w:p w14:paraId="32CD3BD0" w14:textId="435850D9"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10,5</w:t>
            </w:r>
          </w:p>
        </w:tc>
        <w:tc>
          <w:tcPr>
            <w:tcW w:w="595" w:type="dxa"/>
            <w:tcBorders>
              <w:top w:val="nil"/>
              <w:left w:val="nil"/>
              <w:bottom w:val="nil"/>
              <w:right w:val="nil"/>
            </w:tcBorders>
            <w:shd w:val="clear" w:color="auto" w:fill="auto"/>
            <w:noWrap/>
            <w:vAlign w:val="center"/>
            <w:hideMark/>
          </w:tcPr>
          <w:p w14:paraId="067C6E90" w14:textId="7C0D765B"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14,0</w:t>
            </w:r>
          </w:p>
        </w:tc>
        <w:tc>
          <w:tcPr>
            <w:tcW w:w="595" w:type="dxa"/>
            <w:tcBorders>
              <w:top w:val="nil"/>
              <w:left w:val="nil"/>
              <w:bottom w:val="nil"/>
              <w:right w:val="nil"/>
            </w:tcBorders>
            <w:shd w:val="clear" w:color="auto" w:fill="auto"/>
            <w:noWrap/>
            <w:vAlign w:val="center"/>
            <w:hideMark/>
          </w:tcPr>
          <w:p w14:paraId="6EAA2F2D" w14:textId="49ED6A58"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13,6</w:t>
            </w:r>
          </w:p>
        </w:tc>
        <w:tc>
          <w:tcPr>
            <w:tcW w:w="595" w:type="dxa"/>
            <w:tcBorders>
              <w:top w:val="nil"/>
              <w:left w:val="nil"/>
              <w:bottom w:val="nil"/>
              <w:right w:val="nil"/>
            </w:tcBorders>
            <w:shd w:val="clear" w:color="auto" w:fill="auto"/>
            <w:noWrap/>
            <w:vAlign w:val="center"/>
            <w:hideMark/>
          </w:tcPr>
          <w:p w14:paraId="11E0B947" w14:textId="39313AEA"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14,2</w:t>
            </w:r>
          </w:p>
        </w:tc>
        <w:tc>
          <w:tcPr>
            <w:tcW w:w="595" w:type="dxa"/>
            <w:tcBorders>
              <w:top w:val="nil"/>
              <w:left w:val="nil"/>
              <w:bottom w:val="nil"/>
              <w:right w:val="nil"/>
            </w:tcBorders>
            <w:shd w:val="clear" w:color="auto" w:fill="auto"/>
            <w:noWrap/>
            <w:vAlign w:val="center"/>
            <w:hideMark/>
          </w:tcPr>
          <w:p w14:paraId="753089DE" w14:textId="1ECF76BD"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15,5</w:t>
            </w:r>
          </w:p>
        </w:tc>
        <w:tc>
          <w:tcPr>
            <w:tcW w:w="595" w:type="dxa"/>
            <w:tcBorders>
              <w:top w:val="nil"/>
              <w:left w:val="nil"/>
              <w:bottom w:val="nil"/>
              <w:right w:val="nil"/>
            </w:tcBorders>
            <w:shd w:val="clear" w:color="auto" w:fill="auto"/>
            <w:noWrap/>
            <w:vAlign w:val="center"/>
            <w:hideMark/>
          </w:tcPr>
          <w:p w14:paraId="622608E0" w14:textId="7618364A"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14,7</w:t>
            </w:r>
          </w:p>
        </w:tc>
        <w:tc>
          <w:tcPr>
            <w:tcW w:w="595" w:type="dxa"/>
            <w:tcBorders>
              <w:top w:val="nil"/>
              <w:left w:val="nil"/>
              <w:bottom w:val="nil"/>
              <w:right w:val="nil"/>
            </w:tcBorders>
            <w:shd w:val="clear" w:color="auto" w:fill="auto"/>
            <w:noWrap/>
            <w:vAlign w:val="center"/>
            <w:hideMark/>
          </w:tcPr>
          <w:p w14:paraId="682F63B2" w14:textId="64F62E88"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16,1</w:t>
            </w:r>
          </w:p>
        </w:tc>
        <w:tc>
          <w:tcPr>
            <w:tcW w:w="595" w:type="dxa"/>
            <w:tcBorders>
              <w:top w:val="nil"/>
              <w:left w:val="nil"/>
              <w:bottom w:val="nil"/>
              <w:right w:val="nil"/>
            </w:tcBorders>
            <w:shd w:val="clear" w:color="auto" w:fill="auto"/>
            <w:noWrap/>
            <w:vAlign w:val="center"/>
            <w:hideMark/>
          </w:tcPr>
          <w:p w14:paraId="7D109A32" w14:textId="41DC2DFE"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15,9</w:t>
            </w:r>
          </w:p>
        </w:tc>
        <w:tc>
          <w:tcPr>
            <w:tcW w:w="595" w:type="dxa"/>
            <w:tcBorders>
              <w:top w:val="nil"/>
              <w:left w:val="nil"/>
              <w:bottom w:val="nil"/>
              <w:right w:val="nil"/>
            </w:tcBorders>
            <w:shd w:val="clear" w:color="auto" w:fill="auto"/>
            <w:noWrap/>
            <w:vAlign w:val="center"/>
            <w:hideMark/>
          </w:tcPr>
          <w:p w14:paraId="00F87E02" w14:textId="5EAA00A2"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34,5</w:t>
            </w:r>
          </w:p>
        </w:tc>
      </w:tr>
      <w:tr w:rsidR="001E3AB8" w:rsidRPr="00D92E20" w14:paraId="3EB67DA0" w14:textId="77777777" w:rsidTr="00E83157">
        <w:trPr>
          <w:trHeight w:val="300"/>
        </w:trPr>
        <w:tc>
          <w:tcPr>
            <w:tcW w:w="3146" w:type="dxa"/>
            <w:tcBorders>
              <w:top w:val="nil"/>
              <w:left w:val="nil"/>
              <w:bottom w:val="nil"/>
              <w:right w:val="single" w:sz="4" w:space="0" w:color="auto"/>
            </w:tcBorders>
            <w:shd w:val="clear" w:color="auto" w:fill="auto"/>
            <w:vAlign w:val="center"/>
            <w:hideMark/>
          </w:tcPr>
          <w:p w14:paraId="160E54A7" w14:textId="77777777" w:rsidR="001E3AB8" w:rsidRPr="00D92E20" w:rsidRDefault="001E3AB8" w:rsidP="001E3AB8">
            <w:pPr>
              <w:spacing w:after="0" w:line="240" w:lineRule="auto"/>
              <w:ind w:firstLineChars="100" w:firstLine="160"/>
              <w:rPr>
                <w:rFonts w:cs="Arial"/>
                <w:color w:val="000000"/>
                <w:sz w:val="16"/>
                <w:szCs w:val="16"/>
              </w:rPr>
            </w:pPr>
            <w:r w:rsidRPr="00D92E20">
              <w:rPr>
                <w:rFonts w:cs="Arial"/>
                <w:color w:val="000000"/>
                <w:sz w:val="16"/>
                <w:szCs w:val="16"/>
              </w:rPr>
              <w:t>S – Ostatní činnosti</w:t>
            </w:r>
          </w:p>
        </w:tc>
        <w:tc>
          <w:tcPr>
            <w:tcW w:w="595" w:type="dxa"/>
            <w:tcBorders>
              <w:top w:val="nil"/>
              <w:left w:val="nil"/>
              <w:bottom w:val="nil"/>
              <w:right w:val="nil"/>
            </w:tcBorders>
            <w:shd w:val="clear" w:color="auto" w:fill="auto"/>
            <w:noWrap/>
            <w:vAlign w:val="center"/>
            <w:hideMark/>
          </w:tcPr>
          <w:p w14:paraId="3ED257B2" w14:textId="506511E5"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11,1</w:t>
            </w:r>
          </w:p>
        </w:tc>
        <w:tc>
          <w:tcPr>
            <w:tcW w:w="595" w:type="dxa"/>
            <w:tcBorders>
              <w:top w:val="nil"/>
              <w:left w:val="nil"/>
              <w:bottom w:val="nil"/>
              <w:right w:val="nil"/>
            </w:tcBorders>
            <w:shd w:val="clear" w:color="auto" w:fill="auto"/>
            <w:noWrap/>
            <w:vAlign w:val="center"/>
            <w:hideMark/>
          </w:tcPr>
          <w:p w14:paraId="267B1704" w14:textId="6720E096"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13,5</w:t>
            </w:r>
          </w:p>
        </w:tc>
        <w:tc>
          <w:tcPr>
            <w:tcW w:w="595" w:type="dxa"/>
            <w:tcBorders>
              <w:top w:val="nil"/>
              <w:left w:val="nil"/>
              <w:bottom w:val="nil"/>
              <w:right w:val="nil"/>
            </w:tcBorders>
            <w:shd w:val="clear" w:color="auto" w:fill="auto"/>
            <w:noWrap/>
            <w:vAlign w:val="center"/>
            <w:hideMark/>
          </w:tcPr>
          <w:p w14:paraId="5B2EB5A4" w14:textId="156B7D79"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11,9</w:t>
            </w:r>
          </w:p>
        </w:tc>
        <w:tc>
          <w:tcPr>
            <w:tcW w:w="595" w:type="dxa"/>
            <w:tcBorders>
              <w:top w:val="nil"/>
              <w:left w:val="nil"/>
              <w:bottom w:val="nil"/>
              <w:right w:val="nil"/>
            </w:tcBorders>
            <w:shd w:val="clear" w:color="auto" w:fill="auto"/>
            <w:noWrap/>
            <w:vAlign w:val="center"/>
            <w:hideMark/>
          </w:tcPr>
          <w:p w14:paraId="29FB2F78" w14:textId="7B601A2E"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15,1</w:t>
            </w:r>
          </w:p>
        </w:tc>
        <w:tc>
          <w:tcPr>
            <w:tcW w:w="595" w:type="dxa"/>
            <w:tcBorders>
              <w:top w:val="nil"/>
              <w:left w:val="nil"/>
              <w:bottom w:val="nil"/>
              <w:right w:val="nil"/>
            </w:tcBorders>
            <w:shd w:val="clear" w:color="auto" w:fill="auto"/>
            <w:noWrap/>
            <w:vAlign w:val="center"/>
            <w:hideMark/>
          </w:tcPr>
          <w:p w14:paraId="2458CEBC" w14:textId="1A643DBA"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15,2</w:t>
            </w:r>
          </w:p>
        </w:tc>
        <w:tc>
          <w:tcPr>
            <w:tcW w:w="595" w:type="dxa"/>
            <w:tcBorders>
              <w:top w:val="nil"/>
              <w:left w:val="nil"/>
              <w:bottom w:val="nil"/>
              <w:right w:val="nil"/>
            </w:tcBorders>
            <w:shd w:val="clear" w:color="auto" w:fill="auto"/>
            <w:noWrap/>
            <w:vAlign w:val="center"/>
            <w:hideMark/>
          </w:tcPr>
          <w:p w14:paraId="7DFFC85A" w14:textId="3CB0FAA4"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15,5</w:t>
            </w:r>
          </w:p>
        </w:tc>
        <w:tc>
          <w:tcPr>
            <w:tcW w:w="595" w:type="dxa"/>
            <w:tcBorders>
              <w:top w:val="nil"/>
              <w:left w:val="nil"/>
              <w:bottom w:val="nil"/>
              <w:right w:val="nil"/>
            </w:tcBorders>
            <w:shd w:val="clear" w:color="auto" w:fill="auto"/>
            <w:noWrap/>
            <w:vAlign w:val="center"/>
            <w:hideMark/>
          </w:tcPr>
          <w:p w14:paraId="58B61E87" w14:textId="5C978FF6"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16,9</w:t>
            </w:r>
          </w:p>
        </w:tc>
        <w:tc>
          <w:tcPr>
            <w:tcW w:w="595" w:type="dxa"/>
            <w:tcBorders>
              <w:top w:val="nil"/>
              <w:left w:val="nil"/>
              <w:bottom w:val="nil"/>
              <w:right w:val="nil"/>
            </w:tcBorders>
            <w:shd w:val="clear" w:color="auto" w:fill="auto"/>
            <w:noWrap/>
            <w:vAlign w:val="center"/>
            <w:hideMark/>
          </w:tcPr>
          <w:p w14:paraId="5DBE085E" w14:textId="29F6D5DA"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16,2</w:t>
            </w:r>
          </w:p>
        </w:tc>
        <w:tc>
          <w:tcPr>
            <w:tcW w:w="595" w:type="dxa"/>
            <w:tcBorders>
              <w:top w:val="nil"/>
              <w:left w:val="nil"/>
              <w:bottom w:val="nil"/>
              <w:right w:val="nil"/>
            </w:tcBorders>
            <w:shd w:val="clear" w:color="auto" w:fill="auto"/>
            <w:noWrap/>
            <w:vAlign w:val="center"/>
            <w:hideMark/>
          </w:tcPr>
          <w:p w14:paraId="5E53EA7E" w14:textId="54BD0071"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18,6</w:t>
            </w:r>
          </w:p>
        </w:tc>
        <w:tc>
          <w:tcPr>
            <w:tcW w:w="595" w:type="dxa"/>
            <w:tcBorders>
              <w:top w:val="nil"/>
              <w:left w:val="nil"/>
              <w:bottom w:val="nil"/>
              <w:right w:val="nil"/>
            </w:tcBorders>
            <w:shd w:val="clear" w:color="auto" w:fill="auto"/>
            <w:noWrap/>
            <w:vAlign w:val="center"/>
            <w:hideMark/>
          </w:tcPr>
          <w:p w14:paraId="5457D6A3" w14:textId="73579603"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21,1</w:t>
            </w:r>
          </w:p>
        </w:tc>
        <w:tc>
          <w:tcPr>
            <w:tcW w:w="595" w:type="dxa"/>
            <w:tcBorders>
              <w:top w:val="nil"/>
              <w:left w:val="nil"/>
              <w:bottom w:val="nil"/>
              <w:right w:val="nil"/>
            </w:tcBorders>
            <w:shd w:val="clear" w:color="auto" w:fill="auto"/>
            <w:noWrap/>
            <w:vAlign w:val="center"/>
            <w:hideMark/>
          </w:tcPr>
          <w:p w14:paraId="48D21683" w14:textId="11561E95"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33,7</w:t>
            </w:r>
          </w:p>
        </w:tc>
      </w:tr>
    </w:tbl>
    <w:p w14:paraId="79FE3B63" w14:textId="77777777" w:rsidR="008126FD" w:rsidRPr="00D92E20" w:rsidRDefault="008126FD" w:rsidP="008126FD">
      <w:pPr>
        <w:spacing w:before="120"/>
        <w:rPr>
          <w:sz w:val="16"/>
        </w:rPr>
      </w:pPr>
      <w:r w:rsidRPr="00D92E20">
        <w:rPr>
          <w:sz w:val="16"/>
        </w:rPr>
        <w:t>Zdroj: ČSÚ</w:t>
      </w:r>
    </w:p>
    <w:p w14:paraId="34F167B6" w14:textId="1E5BA85D" w:rsidR="0061019A" w:rsidRDefault="0061019A" w:rsidP="0061019A">
      <w:pPr>
        <w:rPr>
          <w:b/>
        </w:rPr>
      </w:pPr>
      <w:r w:rsidRPr="004C4C4A">
        <w:rPr>
          <w:b/>
        </w:rPr>
        <w:t xml:space="preserve">Graf 2.6: Nově hlášené případy dočasné pracovní neschopnosti na 100 pojištěnců podle krajů ČR, </w:t>
      </w:r>
      <w:r w:rsidRPr="004C4C4A">
        <w:rPr>
          <w:b/>
        </w:rPr>
        <w:br/>
        <w:t>1. pol. 20</w:t>
      </w:r>
      <w:r w:rsidR="00670342" w:rsidRPr="004C4C4A">
        <w:rPr>
          <w:b/>
        </w:rPr>
        <w:t>1</w:t>
      </w:r>
      <w:r w:rsidRPr="004C4C4A">
        <w:rPr>
          <w:b/>
        </w:rPr>
        <w:t>9 a 2022</w:t>
      </w:r>
    </w:p>
    <w:p w14:paraId="03A9436E" w14:textId="5E874AFF" w:rsidR="0061019A" w:rsidRDefault="004524C4" w:rsidP="0061019A">
      <w:pPr>
        <w:rPr>
          <w:b/>
        </w:rPr>
      </w:pPr>
      <w:r>
        <w:rPr>
          <w:noProof/>
        </w:rPr>
        <w:drawing>
          <wp:inline distT="0" distB="0" distL="0" distR="0" wp14:anchorId="07551459" wp14:editId="38C5BFA3">
            <wp:extent cx="6115050" cy="2933700"/>
            <wp:effectExtent l="0" t="0" r="0" b="0"/>
            <wp:docPr id="56" name="Graf 56"/>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0B559082" w14:textId="08424CCF" w:rsidR="0061019A" w:rsidRPr="00D92E20" w:rsidRDefault="0061019A" w:rsidP="00BA6B4E">
      <w:pPr>
        <w:spacing w:before="120" w:after="120"/>
        <w:rPr>
          <w:sz w:val="16"/>
        </w:rPr>
      </w:pPr>
      <w:r w:rsidRPr="00D92E20">
        <w:rPr>
          <w:sz w:val="16"/>
        </w:rPr>
        <w:t>Zdroj: ČSÚ</w:t>
      </w:r>
    </w:p>
    <w:p w14:paraId="72E1A7AF" w14:textId="06477890" w:rsidR="004A31C1" w:rsidRPr="005F31CD" w:rsidRDefault="004A31C1" w:rsidP="004A31C1">
      <w:pPr>
        <w:spacing w:before="120" w:after="120"/>
        <w:jc w:val="both"/>
      </w:pPr>
      <w:r w:rsidRPr="005F31CD">
        <w:lastRenderedPageBreak/>
        <w:t xml:space="preserve">Rozdíly v pracovní neschopnosti lze zkoumat i podle </w:t>
      </w:r>
      <w:r w:rsidRPr="005F31CD">
        <w:rPr>
          <w:b/>
        </w:rPr>
        <w:t>velikost</w:t>
      </w:r>
      <w:r w:rsidR="0095348F">
        <w:rPr>
          <w:b/>
        </w:rPr>
        <w:t>i</w:t>
      </w:r>
      <w:r w:rsidRPr="005F31CD">
        <w:rPr>
          <w:b/>
        </w:rPr>
        <w:t xml:space="preserve"> podniku</w:t>
      </w:r>
      <w:r w:rsidRPr="005F31CD">
        <w:t>. V relativním pojetí při přepočtu na</w:t>
      </w:r>
      <w:r w:rsidR="00CD63E8" w:rsidRPr="005F31CD">
        <w:t> </w:t>
      </w:r>
      <w:r w:rsidRPr="005F31CD">
        <w:t>100</w:t>
      </w:r>
      <w:r w:rsidR="00CD63E8" w:rsidRPr="005F31CD">
        <w:t> </w:t>
      </w:r>
      <w:r w:rsidRPr="005F31CD">
        <w:t>pojištěnců dominovaly firmy zaměstnávající 50–99 zaměstnanců, spolu se středně velkými podniky, které mají 100–249 zaměstnanců. Tyto firmy během 1. pol. 202</w:t>
      </w:r>
      <w:r w:rsidR="005F31CD" w:rsidRPr="005F31CD">
        <w:t>2</w:t>
      </w:r>
      <w:r w:rsidRPr="005F31CD">
        <w:t xml:space="preserve"> v průměru zaznamenaly </w:t>
      </w:r>
      <w:r w:rsidR="005F31CD" w:rsidRPr="005F31CD">
        <w:t>51</w:t>
      </w:r>
      <w:r w:rsidRPr="005F31CD">
        <w:t>, resp.</w:t>
      </w:r>
      <w:r w:rsidR="00CD63E8" w:rsidRPr="005F31CD">
        <w:t> </w:t>
      </w:r>
      <w:r w:rsidR="005F31CD" w:rsidRPr="005F31CD">
        <w:t>50</w:t>
      </w:r>
      <w:r w:rsidR="00CD63E8" w:rsidRPr="005F31CD">
        <w:t> </w:t>
      </w:r>
      <w:r w:rsidRPr="005F31CD">
        <w:t xml:space="preserve">případů pracovních neschopností v přepočtu na 100 pojištěnců. Daleko méně případů pracovní neschopnosti vykázaly firmy mající do 50 zaměstnanců, kde na 100 pojištěnců připadlo </w:t>
      </w:r>
      <w:r w:rsidR="005F31CD" w:rsidRPr="005F31CD">
        <w:t>35</w:t>
      </w:r>
      <w:r w:rsidRPr="005F31CD">
        <w:t xml:space="preserve"> hlášení. A zcela nejméně případů bylo zaznamenáno u OSVČ, a sice </w:t>
      </w:r>
      <w:r w:rsidR="005F31CD" w:rsidRPr="005F31CD">
        <w:t>11</w:t>
      </w:r>
      <w:r w:rsidRPr="005F31CD">
        <w:t xml:space="preserve"> na 100 nemocensky pojištěných OSVČ. Zde je nutné mít na paměti, že nemocenské dávky jsou vypláceny až od 15. dne pracovní neschopnosti (do té doby vyplácí náhradu mzdy zaměstnavatel), a proto se OSVČ nevyplatí při krátkodobější nemoci nastupovat do pracovní neschopnosti.</w:t>
      </w:r>
    </w:p>
    <w:p w14:paraId="4CAD3B68" w14:textId="544EFD60" w:rsidR="004A31C1" w:rsidRPr="00D92E20" w:rsidRDefault="004A31C1" w:rsidP="004A31C1">
      <w:pPr>
        <w:spacing w:before="120" w:after="120"/>
        <w:jc w:val="both"/>
      </w:pPr>
      <w:r w:rsidRPr="007622BE">
        <w:t xml:space="preserve">Dalším kritériem, podle kterého je možné hodnotit pracovní neschopnost nemocensky pojištěných, je rozdělení na </w:t>
      </w:r>
      <w:r w:rsidRPr="007622BE">
        <w:rPr>
          <w:b/>
        </w:rPr>
        <w:t xml:space="preserve">podniky domácí vs. </w:t>
      </w:r>
      <w:r w:rsidRPr="007622BE">
        <w:t xml:space="preserve">podniky </w:t>
      </w:r>
      <w:r w:rsidRPr="007622BE">
        <w:rPr>
          <w:b/>
        </w:rPr>
        <w:t>pod zahraniční kontrolou</w:t>
      </w:r>
      <w:r w:rsidRPr="007622BE">
        <w:t>. Např. v nefinančních podnicích pod zahraniční kontrolou v 1. pol. 202</w:t>
      </w:r>
      <w:r w:rsidR="005F31CD" w:rsidRPr="007622BE">
        <w:t>2</w:t>
      </w:r>
      <w:r w:rsidRPr="007622BE">
        <w:t xml:space="preserve"> připadlo na 100 nemocensky pojištěných </w:t>
      </w:r>
      <w:r w:rsidR="007622BE" w:rsidRPr="007622BE">
        <w:t>51</w:t>
      </w:r>
      <w:r w:rsidRPr="007622BE">
        <w:t xml:space="preserve"> nahlášených případů v porovnání s </w:t>
      </w:r>
      <w:r w:rsidR="007622BE" w:rsidRPr="007622BE">
        <w:t>4</w:t>
      </w:r>
      <w:r w:rsidRPr="007622BE">
        <w:t xml:space="preserve">0 případy v domácích nefinančních podnicích. Pracovní neschopnost zaměstnanců v domácích podnicích však trvala v průměru o </w:t>
      </w:r>
      <w:r w:rsidR="007622BE" w:rsidRPr="007622BE">
        <w:t>4</w:t>
      </w:r>
      <w:r w:rsidRPr="007622BE">
        <w:t xml:space="preserve"> dn</w:t>
      </w:r>
      <w:r w:rsidR="007622BE" w:rsidRPr="007622BE">
        <w:t>y</w:t>
      </w:r>
      <w:r w:rsidRPr="007622BE">
        <w:t xml:space="preserve"> déle (</w:t>
      </w:r>
      <w:r w:rsidR="007622BE" w:rsidRPr="007622BE">
        <w:t>27,1</w:t>
      </w:r>
      <w:r w:rsidRPr="007622BE">
        <w:t xml:space="preserve"> dne) než u podniků pod zahraniční kontrolou (</w:t>
      </w:r>
      <w:r w:rsidR="007622BE" w:rsidRPr="007622BE">
        <w:t>23,1</w:t>
      </w:r>
      <w:r w:rsidRPr="007622BE">
        <w:t xml:space="preserve"> dne). Podrobnější údaje za nefinanční podniky viz tabulková příloha – část 7.</w:t>
      </w:r>
    </w:p>
    <w:p w14:paraId="40B46A2A" w14:textId="0156D6C6" w:rsidR="00E404AC" w:rsidRPr="004A31C1" w:rsidRDefault="00B0095F" w:rsidP="00FC5D79">
      <w:pPr>
        <w:pStyle w:val="Seznam"/>
        <w:spacing w:after="120"/>
        <w:jc w:val="both"/>
        <w:rPr>
          <w:b/>
        </w:rPr>
      </w:pPr>
      <w:r w:rsidRPr="004A31C1">
        <w:rPr>
          <w:b/>
        </w:rPr>
        <w:t xml:space="preserve">Tab. 2.3: </w:t>
      </w:r>
      <w:r w:rsidR="00FC5D79" w:rsidRPr="004A31C1">
        <w:rPr>
          <w:b/>
        </w:rPr>
        <w:t xml:space="preserve">Nově hlášené případy dočasné pracovní neschopnosti na 100 pojištěnců podle krajů ČR, </w:t>
      </w:r>
      <w:r w:rsidR="004A31C1">
        <w:rPr>
          <w:b/>
        </w:rPr>
        <w:br/>
      </w:r>
      <w:r w:rsidR="009F34CD" w:rsidRPr="0050059C">
        <w:rPr>
          <w:b/>
          <w:spacing w:val="-2"/>
        </w:rPr>
        <w:t>1. pol. 201</w:t>
      </w:r>
      <w:r w:rsidR="009F34CD">
        <w:rPr>
          <w:b/>
          <w:spacing w:val="-2"/>
        </w:rPr>
        <w:t>2</w:t>
      </w:r>
      <w:r w:rsidR="009F34CD" w:rsidRPr="0050059C">
        <w:rPr>
          <w:b/>
          <w:spacing w:val="-2"/>
        </w:rPr>
        <w:t xml:space="preserve"> až 1. pol. 202</w:t>
      </w:r>
      <w:r w:rsidR="009F34CD">
        <w:rPr>
          <w:b/>
          <w:spacing w:val="-2"/>
        </w:rPr>
        <w:t>2</w:t>
      </w:r>
    </w:p>
    <w:tbl>
      <w:tblPr>
        <w:tblW w:w="9627" w:type="dxa"/>
        <w:tblCellMar>
          <w:left w:w="70" w:type="dxa"/>
          <w:right w:w="70" w:type="dxa"/>
        </w:tblCellMar>
        <w:tblLook w:val="04A0" w:firstRow="1" w:lastRow="0" w:firstColumn="1" w:lastColumn="0" w:noHBand="0" w:noVBand="1"/>
      </w:tblPr>
      <w:tblGrid>
        <w:gridCol w:w="1960"/>
        <w:gridCol w:w="697"/>
        <w:gridCol w:w="697"/>
        <w:gridCol w:w="697"/>
        <w:gridCol w:w="697"/>
        <w:gridCol w:w="697"/>
        <w:gridCol w:w="697"/>
        <w:gridCol w:w="697"/>
        <w:gridCol w:w="697"/>
        <w:gridCol w:w="697"/>
        <w:gridCol w:w="697"/>
        <w:gridCol w:w="697"/>
      </w:tblGrid>
      <w:tr w:rsidR="001E3AB8" w:rsidRPr="00D92E20" w14:paraId="6DBAC428" w14:textId="77777777" w:rsidTr="00B0095F">
        <w:trPr>
          <w:trHeight w:val="300"/>
        </w:trPr>
        <w:tc>
          <w:tcPr>
            <w:tcW w:w="1960" w:type="dxa"/>
            <w:tcBorders>
              <w:top w:val="single" w:sz="4" w:space="0" w:color="auto"/>
              <w:left w:val="nil"/>
              <w:bottom w:val="single" w:sz="4" w:space="0" w:color="auto"/>
              <w:right w:val="single" w:sz="4" w:space="0" w:color="auto"/>
            </w:tcBorders>
            <w:shd w:val="clear" w:color="000000" w:fill="F5DADD"/>
            <w:noWrap/>
            <w:vAlign w:val="center"/>
            <w:hideMark/>
          </w:tcPr>
          <w:p w14:paraId="6459A84B" w14:textId="77777777" w:rsidR="001E3AB8" w:rsidRPr="00D92E20" w:rsidRDefault="001E3AB8" w:rsidP="001E3AB8">
            <w:pPr>
              <w:spacing w:after="0" w:line="240" w:lineRule="auto"/>
              <w:jc w:val="center"/>
              <w:rPr>
                <w:rFonts w:cs="Arial"/>
                <w:color w:val="000000"/>
                <w:sz w:val="16"/>
                <w:szCs w:val="16"/>
              </w:rPr>
            </w:pPr>
            <w:r w:rsidRPr="00D92E20">
              <w:rPr>
                <w:rFonts w:cs="Arial"/>
                <w:color w:val="000000"/>
                <w:sz w:val="16"/>
                <w:szCs w:val="16"/>
              </w:rPr>
              <w:t>Kraj ČR</w:t>
            </w:r>
          </w:p>
        </w:tc>
        <w:tc>
          <w:tcPr>
            <w:tcW w:w="697" w:type="dxa"/>
            <w:tcBorders>
              <w:top w:val="single" w:sz="4" w:space="0" w:color="auto"/>
              <w:left w:val="nil"/>
              <w:bottom w:val="single" w:sz="4" w:space="0" w:color="auto"/>
              <w:right w:val="nil"/>
            </w:tcBorders>
            <w:shd w:val="clear" w:color="000000" w:fill="F5DADD"/>
            <w:noWrap/>
            <w:vAlign w:val="center"/>
            <w:hideMark/>
          </w:tcPr>
          <w:p w14:paraId="5E9A39AF" w14:textId="75619597" w:rsidR="001E3AB8" w:rsidRPr="00D92E20" w:rsidRDefault="001E3AB8" w:rsidP="001E3AB8">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2012</w:t>
            </w:r>
          </w:p>
        </w:tc>
        <w:tc>
          <w:tcPr>
            <w:tcW w:w="697" w:type="dxa"/>
            <w:tcBorders>
              <w:top w:val="single" w:sz="4" w:space="0" w:color="auto"/>
              <w:left w:val="nil"/>
              <w:bottom w:val="single" w:sz="4" w:space="0" w:color="auto"/>
              <w:right w:val="nil"/>
            </w:tcBorders>
            <w:shd w:val="clear" w:color="000000" w:fill="F5DADD"/>
            <w:noWrap/>
            <w:vAlign w:val="center"/>
            <w:hideMark/>
          </w:tcPr>
          <w:p w14:paraId="5DA3D2C0" w14:textId="20744BF9" w:rsidR="001E3AB8" w:rsidRPr="00D92E20" w:rsidRDefault="001E3AB8" w:rsidP="001E3AB8">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2013</w:t>
            </w:r>
          </w:p>
        </w:tc>
        <w:tc>
          <w:tcPr>
            <w:tcW w:w="697" w:type="dxa"/>
            <w:tcBorders>
              <w:top w:val="single" w:sz="4" w:space="0" w:color="auto"/>
              <w:left w:val="nil"/>
              <w:bottom w:val="single" w:sz="4" w:space="0" w:color="auto"/>
              <w:right w:val="nil"/>
            </w:tcBorders>
            <w:shd w:val="clear" w:color="000000" w:fill="F5DADD"/>
            <w:noWrap/>
            <w:vAlign w:val="center"/>
            <w:hideMark/>
          </w:tcPr>
          <w:p w14:paraId="70D90A54" w14:textId="392A4691" w:rsidR="001E3AB8" w:rsidRPr="00D92E20" w:rsidRDefault="001E3AB8" w:rsidP="001E3AB8">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2014</w:t>
            </w:r>
          </w:p>
        </w:tc>
        <w:tc>
          <w:tcPr>
            <w:tcW w:w="697" w:type="dxa"/>
            <w:tcBorders>
              <w:top w:val="single" w:sz="4" w:space="0" w:color="auto"/>
              <w:left w:val="nil"/>
              <w:bottom w:val="single" w:sz="4" w:space="0" w:color="auto"/>
              <w:right w:val="nil"/>
            </w:tcBorders>
            <w:shd w:val="clear" w:color="000000" w:fill="F5DADD"/>
            <w:noWrap/>
            <w:vAlign w:val="center"/>
            <w:hideMark/>
          </w:tcPr>
          <w:p w14:paraId="516E3F03" w14:textId="6BA3E6D2" w:rsidR="001E3AB8" w:rsidRPr="00D92E20" w:rsidRDefault="001E3AB8" w:rsidP="001E3AB8">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2015</w:t>
            </w:r>
          </w:p>
        </w:tc>
        <w:tc>
          <w:tcPr>
            <w:tcW w:w="697" w:type="dxa"/>
            <w:tcBorders>
              <w:top w:val="single" w:sz="4" w:space="0" w:color="auto"/>
              <w:left w:val="nil"/>
              <w:bottom w:val="single" w:sz="4" w:space="0" w:color="auto"/>
              <w:right w:val="nil"/>
            </w:tcBorders>
            <w:shd w:val="clear" w:color="000000" w:fill="F5DADD"/>
            <w:noWrap/>
            <w:vAlign w:val="center"/>
            <w:hideMark/>
          </w:tcPr>
          <w:p w14:paraId="0D7431BB" w14:textId="2EDD6C41" w:rsidR="001E3AB8" w:rsidRPr="00D92E20" w:rsidRDefault="001E3AB8" w:rsidP="001E3AB8">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2016</w:t>
            </w:r>
          </w:p>
        </w:tc>
        <w:tc>
          <w:tcPr>
            <w:tcW w:w="697" w:type="dxa"/>
            <w:tcBorders>
              <w:top w:val="single" w:sz="4" w:space="0" w:color="auto"/>
              <w:left w:val="nil"/>
              <w:bottom w:val="single" w:sz="4" w:space="0" w:color="auto"/>
              <w:right w:val="nil"/>
            </w:tcBorders>
            <w:shd w:val="clear" w:color="000000" w:fill="F5DADD"/>
            <w:noWrap/>
            <w:vAlign w:val="center"/>
            <w:hideMark/>
          </w:tcPr>
          <w:p w14:paraId="3DA48C08" w14:textId="22B518F3" w:rsidR="001E3AB8" w:rsidRPr="00D92E20" w:rsidRDefault="001E3AB8" w:rsidP="001E3AB8">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2017</w:t>
            </w:r>
          </w:p>
        </w:tc>
        <w:tc>
          <w:tcPr>
            <w:tcW w:w="697" w:type="dxa"/>
            <w:tcBorders>
              <w:top w:val="single" w:sz="4" w:space="0" w:color="auto"/>
              <w:left w:val="nil"/>
              <w:bottom w:val="single" w:sz="4" w:space="0" w:color="auto"/>
              <w:right w:val="nil"/>
            </w:tcBorders>
            <w:shd w:val="clear" w:color="000000" w:fill="F5DADD"/>
            <w:noWrap/>
            <w:vAlign w:val="center"/>
            <w:hideMark/>
          </w:tcPr>
          <w:p w14:paraId="6C9CD21D" w14:textId="2153DD7E" w:rsidR="001E3AB8" w:rsidRPr="00D92E20" w:rsidRDefault="001E3AB8" w:rsidP="001E3AB8">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2018</w:t>
            </w:r>
          </w:p>
        </w:tc>
        <w:tc>
          <w:tcPr>
            <w:tcW w:w="697" w:type="dxa"/>
            <w:tcBorders>
              <w:top w:val="single" w:sz="4" w:space="0" w:color="auto"/>
              <w:left w:val="nil"/>
              <w:bottom w:val="single" w:sz="4" w:space="0" w:color="auto"/>
              <w:right w:val="nil"/>
            </w:tcBorders>
            <w:shd w:val="clear" w:color="000000" w:fill="F5DADD"/>
            <w:noWrap/>
            <w:vAlign w:val="center"/>
            <w:hideMark/>
          </w:tcPr>
          <w:p w14:paraId="5735A01D" w14:textId="22F05266" w:rsidR="001E3AB8" w:rsidRPr="00D92E20" w:rsidRDefault="001E3AB8" w:rsidP="001E3AB8">
            <w:pPr>
              <w:spacing w:after="0" w:line="240" w:lineRule="auto"/>
              <w:jc w:val="center"/>
              <w:rPr>
                <w:rFonts w:cs="Arial"/>
                <w:color w:val="000000"/>
                <w:sz w:val="16"/>
                <w:szCs w:val="16"/>
              </w:rPr>
            </w:pPr>
            <w:r>
              <w:rPr>
                <w:rFonts w:cs="Arial"/>
                <w:sz w:val="16"/>
                <w:szCs w:val="16"/>
              </w:rPr>
              <w:t>1. pol. 2019</w:t>
            </w:r>
          </w:p>
        </w:tc>
        <w:tc>
          <w:tcPr>
            <w:tcW w:w="697" w:type="dxa"/>
            <w:tcBorders>
              <w:top w:val="single" w:sz="4" w:space="0" w:color="auto"/>
              <w:left w:val="nil"/>
              <w:bottom w:val="single" w:sz="4" w:space="0" w:color="auto"/>
              <w:right w:val="nil"/>
            </w:tcBorders>
            <w:shd w:val="clear" w:color="000000" w:fill="F5DADD"/>
            <w:noWrap/>
            <w:vAlign w:val="center"/>
            <w:hideMark/>
          </w:tcPr>
          <w:p w14:paraId="3F4C62DC" w14:textId="290A31BF" w:rsidR="001E3AB8" w:rsidRPr="00D92E20" w:rsidRDefault="001E3AB8" w:rsidP="001E3AB8">
            <w:pPr>
              <w:spacing w:after="0" w:line="240" w:lineRule="auto"/>
              <w:jc w:val="center"/>
              <w:rPr>
                <w:rFonts w:cs="Arial"/>
                <w:color w:val="000000"/>
                <w:sz w:val="16"/>
                <w:szCs w:val="16"/>
              </w:rPr>
            </w:pPr>
            <w:r>
              <w:rPr>
                <w:rFonts w:cs="Arial"/>
                <w:sz w:val="16"/>
                <w:szCs w:val="16"/>
              </w:rPr>
              <w:t>1. pol. 2020</w:t>
            </w:r>
          </w:p>
        </w:tc>
        <w:tc>
          <w:tcPr>
            <w:tcW w:w="697" w:type="dxa"/>
            <w:tcBorders>
              <w:top w:val="single" w:sz="4" w:space="0" w:color="auto"/>
              <w:left w:val="nil"/>
              <w:bottom w:val="single" w:sz="4" w:space="0" w:color="auto"/>
              <w:right w:val="nil"/>
            </w:tcBorders>
            <w:shd w:val="clear" w:color="000000" w:fill="F5DADD"/>
            <w:noWrap/>
            <w:vAlign w:val="center"/>
            <w:hideMark/>
          </w:tcPr>
          <w:p w14:paraId="70796218" w14:textId="6D670677" w:rsidR="001E3AB8" w:rsidRPr="00D92E20" w:rsidRDefault="001E3AB8" w:rsidP="001E3AB8">
            <w:pPr>
              <w:spacing w:after="0" w:line="240" w:lineRule="auto"/>
              <w:jc w:val="center"/>
              <w:rPr>
                <w:rFonts w:cs="Arial"/>
                <w:color w:val="000000"/>
                <w:sz w:val="16"/>
                <w:szCs w:val="16"/>
              </w:rPr>
            </w:pPr>
            <w:r>
              <w:rPr>
                <w:rFonts w:cs="Arial"/>
                <w:sz w:val="16"/>
                <w:szCs w:val="16"/>
              </w:rPr>
              <w:t>1. pol. 2021</w:t>
            </w:r>
          </w:p>
        </w:tc>
        <w:tc>
          <w:tcPr>
            <w:tcW w:w="697" w:type="dxa"/>
            <w:tcBorders>
              <w:top w:val="single" w:sz="4" w:space="0" w:color="auto"/>
              <w:left w:val="nil"/>
              <w:bottom w:val="single" w:sz="4" w:space="0" w:color="auto"/>
              <w:right w:val="nil"/>
            </w:tcBorders>
            <w:shd w:val="clear" w:color="000000" w:fill="F5DADD"/>
            <w:noWrap/>
            <w:vAlign w:val="center"/>
            <w:hideMark/>
          </w:tcPr>
          <w:p w14:paraId="7BB51A31" w14:textId="787448BD" w:rsidR="001E3AB8" w:rsidRPr="00D92E20" w:rsidRDefault="001E3AB8" w:rsidP="001E3AB8">
            <w:pPr>
              <w:spacing w:after="0" w:line="240" w:lineRule="auto"/>
              <w:jc w:val="center"/>
              <w:rPr>
                <w:rFonts w:cs="Arial"/>
                <w:color w:val="000000"/>
                <w:sz w:val="16"/>
                <w:szCs w:val="16"/>
              </w:rPr>
            </w:pPr>
            <w:r>
              <w:rPr>
                <w:rFonts w:cs="Arial"/>
                <w:sz w:val="16"/>
                <w:szCs w:val="16"/>
              </w:rPr>
              <w:t>1. pol. 2022</w:t>
            </w:r>
          </w:p>
        </w:tc>
      </w:tr>
      <w:tr w:rsidR="001E3AB8" w:rsidRPr="00D92E20" w14:paraId="12D385F8" w14:textId="77777777" w:rsidTr="00B0095F">
        <w:trPr>
          <w:trHeight w:val="300"/>
        </w:trPr>
        <w:tc>
          <w:tcPr>
            <w:tcW w:w="1960" w:type="dxa"/>
            <w:tcBorders>
              <w:top w:val="nil"/>
              <w:left w:val="nil"/>
              <w:bottom w:val="nil"/>
              <w:right w:val="single" w:sz="4" w:space="0" w:color="auto"/>
            </w:tcBorders>
            <w:shd w:val="clear" w:color="auto" w:fill="auto"/>
            <w:noWrap/>
            <w:vAlign w:val="center"/>
            <w:hideMark/>
          </w:tcPr>
          <w:p w14:paraId="31042433" w14:textId="77777777" w:rsidR="001E3AB8" w:rsidRPr="00D92E20" w:rsidRDefault="001E3AB8" w:rsidP="001E3AB8">
            <w:pPr>
              <w:spacing w:after="0" w:line="240" w:lineRule="auto"/>
              <w:rPr>
                <w:rFonts w:cs="Arial"/>
                <w:b/>
                <w:bCs/>
                <w:color w:val="000000"/>
                <w:sz w:val="16"/>
                <w:szCs w:val="16"/>
              </w:rPr>
            </w:pPr>
            <w:r w:rsidRPr="00D92E20">
              <w:rPr>
                <w:rFonts w:cs="Arial"/>
                <w:b/>
                <w:bCs/>
                <w:color w:val="000000"/>
                <w:sz w:val="16"/>
                <w:szCs w:val="16"/>
              </w:rPr>
              <w:t>ČR celkem</w:t>
            </w:r>
          </w:p>
        </w:tc>
        <w:tc>
          <w:tcPr>
            <w:tcW w:w="697" w:type="dxa"/>
            <w:tcBorders>
              <w:top w:val="nil"/>
              <w:left w:val="nil"/>
              <w:bottom w:val="nil"/>
              <w:right w:val="nil"/>
            </w:tcBorders>
            <w:shd w:val="clear" w:color="auto" w:fill="auto"/>
            <w:noWrap/>
            <w:vAlign w:val="center"/>
            <w:hideMark/>
          </w:tcPr>
          <w:p w14:paraId="06ED8123" w14:textId="412D124F" w:rsidR="001E3AB8" w:rsidRPr="00D92E20" w:rsidRDefault="001E3AB8" w:rsidP="001E3AB8">
            <w:pPr>
              <w:spacing w:after="0" w:line="240" w:lineRule="auto"/>
              <w:jc w:val="center"/>
              <w:rPr>
                <w:rFonts w:cs="Arial"/>
                <w:b/>
                <w:bCs/>
                <w:color w:val="000000"/>
                <w:sz w:val="16"/>
                <w:szCs w:val="16"/>
              </w:rPr>
            </w:pPr>
            <w:r>
              <w:rPr>
                <w:rFonts w:cs="Arial"/>
                <w:b/>
                <w:bCs/>
                <w:sz w:val="16"/>
                <w:szCs w:val="16"/>
              </w:rPr>
              <w:t>13,6</w:t>
            </w:r>
          </w:p>
        </w:tc>
        <w:tc>
          <w:tcPr>
            <w:tcW w:w="697" w:type="dxa"/>
            <w:tcBorders>
              <w:top w:val="nil"/>
              <w:left w:val="nil"/>
              <w:bottom w:val="nil"/>
              <w:right w:val="nil"/>
            </w:tcBorders>
            <w:shd w:val="clear" w:color="auto" w:fill="auto"/>
            <w:noWrap/>
            <w:vAlign w:val="center"/>
            <w:hideMark/>
          </w:tcPr>
          <w:p w14:paraId="607FCF90" w14:textId="7DD83273" w:rsidR="001E3AB8" w:rsidRPr="00D92E20" w:rsidRDefault="001E3AB8" w:rsidP="001E3AB8">
            <w:pPr>
              <w:spacing w:after="0" w:line="240" w:lineRule="auto"/>
              <w:jc w:val="center"/>
              <w:rPr>
                <w:rFonts w:cs="Arial"/>
                <w:b/>
                <w:bCs/>
                <w:color w:val="000000"/>
                <w:sz w:val="16"/>
                <w:szCs w:val="16"/>
              </w:rPr>
            </w:pPr>
            <w:r>
              <w:rPr>
                <w:rFonts w:cs="Arial"/>
                <w:b/>
                <w:bCs/>
                <w:sz w:val="16"/>
                <w:szCs w:val="16"/>
              </w:rPr>
              <w:t>17,1</w:t>
            </w:r>
          </w:p>
        </w:tc>
        <w:tc>
          <w:tcPr>
            <w:tcW w:w="697" w:type="dxa"/>
            <w:tcBorders>
              <w:top w:val="nil"/>
              <w:left w:val="nil"/>
              <w:bottom w:val="nil"/>
              <w:right w:val="nil"/>
            </w:tcBorders>
            <w:shd w:val="clear" w:color="auto" w:fill="auto"/>
            <w:noWrap/>
            <w:vAlign w:val="center"/>
            <w:hideMark/>
          </w:tcPr>
          <w:p w14:paraId="224ABBD4" w14:textId="28E17F3B" w:rsidR="001E3AB8" w:rsidRPr="00D92E20" w:rsidRDefault="001E3AB8" w:rsidP="001E3AB8">
            <w:pPr>
              <w:spacing w:after="0" w:line="240" w:lineRule="auto"/>
              <w:jc w:val="center"/>
              <w:rPr>
                <w:rFonts w:cs="Arial"/>
                <w:b/>
                <w:bCs/>
                <w:color w:val="000000"/>
                <w:sz w:val="16"/>
                <w:szCs w:val="16"/>
              </w:rPr>
            </w:pPr>
            <w:r>
              <w:rPr>
                <w:rFonts w:cs="Arial"/>
                <w:b/>
                <w:bCs/>
                <w:sz w:val="16"/>
                <w:szCs w:val="16"/>
              </w:rPr>
              <w:t>15,1</w:t>
            </w:r>
          </w:p>
        </w:tc>
        <w:tc>
          <w:tcPr>
            <w:tcW w:w="697" w:type="dxa"/>
            <w:tcBorders>
              <w:top w:val="nil"/>
              <w:left w:val="nil"/>
              <w:bottom w:val="nil"/>
              <w:right w:val="nil"/>
            </w:tcBorders>
            <w:shd w:val="clear" w:color="auto" w:fill="auto"/>
            <w:noWrap/>
            <w:vAlign w:val="center"/>
            <w:hideMark/>
          </w:tcPr>
          <w:p w14:paraId="281478CD" w14:textId="7A42EA52" w:rsidR="001E3AB8" w:rsidRPr="00D92E20" w:rsidRDefault="001E3AB8" w:rsidP="001E3AB8">
            <w:pPr>
              <w:spacing w:after="0" w:line="240" w:lineRule="auto"/>
              <w:jc w:val="center"/>
              <w:rPr>
                <w:rFonts w:cs="Arial"/>
                <w:b/>
                <w:bCs/>
                <w:color w:val="000000"/>
                <w:sz w:val="16"/>
                <w:szCs w:val="16"/>
              </w:rPr>
            </w:pPr>
            <w:r>
              <w:rPr>
                <w:rFonts w:cs="Arial"/>
                <w:b/>
                <w:bCs/>
                <w:sz w:val="16"/>
                <w:szCs w:val="16"/>
              </w:rPr>
              <w:t>19,5</w:t>
            </w:r>
          </w:p>
        </w:tc>
        <w:tc>
          <w:tcPr>
            <w:tcW w:w="697" w:type="dxa"/>
            <w:tcBorders>
              <w:top w:val="nil"/>
              <w:left w:val="nil"/>
              <w:bottom w:val="nil"/>
              <w:right w:val="nil"/>
            </w:tcBorders>
            <w:shd w:val="clear" w:color="auto" w:fill="auto"/>
            <w:noWrap/>
            <w:vAlign w:val="center"/>
            <w:hideMark/>
          </w:tcPr>
          <w:p w14:paraId="346B2092" w14:textId="2EB52A55" w:rsidR="001E3AB8" w:rsidRPr="00D92E20" w:rsidRDefault="001E3AB8" w:rsidP="001E3AB8">
            <w:pPr>
              <w:spacing w:after="0" w:line="240" w:lineRule="auto"/>
              <w:jc w:val="center"/>
              <w:rPr>
                <w:rFonts w:cs="Arial"/>
                <w:b/>
                <w:bCs/>
                <w:color w:val="000000"/>
                <w:sz w:val="16"/>
                <w:szCs w:val="16"/>
              </w:rPr>
            </w:pPr>
            <w:r>
              <w:rPr>
                <w:rFonts w:cs="Arial"/>
                <w:b/>
                <w:bCs/>
                <w:color w:val="000000"/>
                <w:sz w:val="16"/>
                <w:szCs w:val="16"/>
              </w:rPr>
              <w:t>19,3</w:t>
            </w:r>
          </w:p>
        </w:tc>
        <w:tc>
          <w:tcPr>
            <w:tcW w:w="697" w:type="dxa"/>
            <w:tcBorders>
              <w:top w:val="nil"/>
              <w:left w:val="nil"/>
              <w:bottom w:val="nil"/>
              <w:right w:val="nil"/>
            </w:tcBorders>
            <w:shd w:val="clear" w:color="auto" w:fill="auto"/>
            <w:noWrap/>
            <w:vAlign w:val="center"/>
            <w:hideMark/>
          </w:tcPr>
          <w:p w14:paraId="0CCD618D" w14:textId="016DE2BA" w:rsidR="001E3AB8" w:rsidRPr="00D92E20" w:rsidRDefault="001E3AB8" w:rsidP="001E3AB8">
            <w:pPr>
              <w:spacing w:after="0" w:line="240" w:lineRule="auto"/>
              <w:jc w:val="center"/>
              <w:rPr>
                <w:rFonts w:cs="Arial"/>
                <w:b/>
                <w:bCs/>
                <w:color w:val="000000"/>
                <w:sz w:val="16"/>
                <w:szCs w:val="16"/>
              </w:rPr>
            </w:pPr>
            <w:r>
              <w:rPr>
                <w:rFonts w:cs="Arial"/>
                <w:b/>
                <w:bCs/>
                <w:color w:val="000000"/>
                <w:sz w:val="16"/>
                <w:szCs w:val="16"/>
              </w:rPr>
              <w:t>20,4</w:t>
            </w:r>
          </w:p>
        </w:tc>
        <w:tc>
          <w:tcPr>
            <w:tcW w:w="697" w:type="dxa"/>
            <w:tcBorders>
              <w:top w:val="nil"/>
              <w:left w:val="nil"/>
              <w:bottom w:val="nil"/>
              <w:right w:val="nil"/>
            </w:tcBorders>
            <w:shd w:val="clear" w:color="auto" w:fill="auto"/>
            <w:noWrap/>
            <w:vAlign w:val="center"/>
            <w:hideMark/>
          </w:tcPr>
          <w:p w14:paraId="3E240FE7" w14:textId="5C98ED34" w:rsidR="001E3AB8" w:rsidRPr="00D92E20" w:rsidRDefault="001E3AB8" w:rsidP="001E3AB8">
            <w:pPr>
              <w:spacing w:after="0" w:line="240" w:lineRule="auto"/>
              <w:jc w:val="center"/>
              <w:rPr>
                <w:rFonts w:cs="Arial"/>
                <w:b/>
                <w:bCs/>
                <w:color w:val="000000"/>
                <w:sz w:val="16"/>
                <w:szCs w:val="16"/>
              </w:rPr>
            </w:pPr>
            <w:r>
              <w:rPr>
                <w:rFonts w:cs="Arial"/>
                <w:b/>
                <w:bCs/>
                <w:color w:val="000000"/>
                <w:sz w:val="16"/>
                <w:szCs w:val="16"/>
              </w:rPr>
              <w:t>22,1</w:t>
            </w:r>
          </w:p>
        </w:tc>
        <w:tc>
          <w:tcPr>
            <w:tcW w:w="697" w:type="dxa"/>
            <w:tcBorders>
              <w:top w:val="nil"/>
              <w:left w:val="nil"/>
              <w:bottom w:val="nil"/>
              <w:right w:val="nil"/>
            </w:tcBorders>
            <w:shd w:val="clear" w:color="auto" w:fill="auto"/>
            <w:noWrap/>
            <w:vAlign w:val="center"/>
            <w:hideMark/>
          </w:tcPr>
          <w:p w14:paraId="0882D4CF" w14:textId="70C37853" w:rsidR="001E3AB8" w:rsidRPr="00D92E20" w:rsidRDefault="001E3AB8" w:rsidP="001E3AB8">
            <w:pPr>
              <w:spacing w:after="0" w:line="240" w:lineRule="auto"/>
              <w:jc w:val="center"/>
              <w:rPr>
                <w:rFonts w:cs="Arial"/>
                <w:b/>
                <w:bCs/>
                <w:color w:val="000000"/>
                <w:sz w:val="16"/>
                <w:szCs w:val="16"/>
              </w:rPr>
            </w:pPr>
            <w:r>
              <w:rPr>
                <w:rFonts w:cs="Arial"/>
                <w:b/>
                <w:bCs/>
                <w:color w:val="000000"/>
                <w:sz w:val="16"/>
                <w:szCs w:val="16"/>
              </w:rPr>
              <w:t>20,6</w:t>
            </w:r>
          </w:p>
        </w:tc>
        <w:tc>
          <w:tcPr>
            <w:tcW w:w="697" w:type="dxa"/>
            <w:tcBorders>
              <w:top w:val="nil"/>
              <w:left w:val="nil"/>
              <w:bottom w:val="nil"/>
              <w:right w:val="nil"/>
            </w:tcBorders>
            <w:shd w:val="clear" w:color="auto" w:fill="auto"/>
            <w:noWrap/>
            <w:vAlign w:val="center"/>
            <w:hideMark/>
          </w:tcPr>
          <w:p w14:paraId="1E2AAC0B" w14:textId="1BB5D50C" w:rsidR="001E3AB8" w:rsidRPr="00D92E20" w:rsidRDefault="001E3AB8" w:rsidP="001E3AB8">
            <w:pPr>
              <w:spacing w:after="0" w:line="240" w:lineRule="auto"/>
              <w:jc w:val="center"/>
              <w:rPr>
                <w:rFonts w:cs="Arial"/>
                <w:b/>
                <w:bCs/>
                <w:color w:val="000000"/>
                <w:sz w:val="16"/>
                <w:szCs w:val="16"/>
              </w:rPr>
            </w:pPr>
            <w:r>
              <w:rPr>
                <w:rFonts w:cs="Arial"/>
                <w:b/>
                <w:bCs/>
                <w:color w:val="000000"/>
                <w:sz w:val="16"/>
                <w:szCs w:val="16"/>
              </w:rPr>
              <w:t>22,8</w:t>
            </w:r>
          </w:p>
        </w:tc>
        <w:tc>
          <w:tcPr>
            <w:tcW w:w="697" w:type="dxa"/>
            <w:tcBorders>
              <w:top w:val="nil"/>
              <w:left w:val="nil"/>
              <w:bottom w:val="nil"/>
              <w:right w:val="nil"/>
            </w:tcBorders>
            <w:shd w:val="clear" w:color="auto" w:fill="auto"/>
            <w:noWrap/>
            <w:vAlign w:val="center"/>
            <w:hideMark/>
          </w:tcPr>
          <w:p w14:paraId="6616E73A" w14:textId="057AB370" w:rsidR="001E3AB8" w:rsidRPr="00D92E20" w:rsidRDefault="001E3AB8" w:rsidP="001E3AB8">
            <w:pPr>
              <w:spacing w:after="0" w:line="240" w:lineRule="auto"/>
              <w:jc w:val="center"/>
              <w:rPr>
                <w:rFonts w:cs="Arial"/>
                <w:b/>
                <w:bCs/>
                <w:color w:val="000000"/>
                <w:sz w:val="16"/>
                <w:szCs w:val="16"/>
              </w:rPr>
            </w:pPr>
            <w:r>
              <w:rPr>
                <w:rFonts w:cs="Arial"/>
                <w:b/>
                <w:bCs/>
                <w:color w:val="000000"/>
                <w:sz w:val="16"/>
                <w:szCs w:val="16"/>
              </w:rPr>
              <w:t>29,8</w:t>
            </w:r>
          </w:p>
        </w:tc>
        <w:tc>
          <w:tcPr>
            <w:tcW w:w="697" w:type="dxa"/>
            <w:tcBorders>
              <w:top w:val="nil"/>
              <w:left w:val="nil"/>
              <w:bottom w:val="nil"/>
              <w:right w:val="nil"/>
            </w:tcBorders>
            <w:shd w:val="clear" w:color="auto" w:fill="auto"/>
            <w:noWrap/>
            <w:vAlign w:val="center"/>
            <w:hideMark/>
          </w:tcPr>
          <w:p w14:paraId="17B195FB" w14:textId="46750B02" w:rsidR="001E3AB8" w:rsidRPr="00D92E20" w:rsidRDefault="001E3AB8" w:rsidP="001E3AB8">
            <w:pPr>
              <w:spacing w:after="0" w:line="240" w:lineRule="auto"/>
              <w:jc w:val="center"/>
              <w:rPr>
                <w:rFonts w:cs="Arial"/>
                <w:b/>
                <w:bCs/>
                <w:color w:val="000000"/>
                <w:sz w:val="16"/>
                <w:szCs w:val="16"/>
              </w:rPr>
            </w:pPr>
            <w:r>
              <w:rPr>
                <w:rFonts w:cs="Arial"/>
                <w:b/>
                <w:bCs/>
                <w:color w:val="000000"/>
                <w:sz w:val="16"/>
                <w:szCs w:val="16"/>
              </w:rPr>
              <w:t>43,5</w:t>
            </w:r>
          </w:p>
        </w:tc>
      </w:tr>
      <w:tr w:rsidR="001E3AB8" w:rsidRPr="00D92E20" w14:paraId="01FB752B" w14:textId="77777777" w:rsidTr="00B0095F">
        <w:trPr>
          <w:trHeight w:val="300"/>
        </w:trPr>
        <w:tc>
          <w:tcPr>
            <w:tcW w:w="1960" w:type="dxa"/>
            <w:tcBorders>
              <w:top w:val="nil"/>
              <w:left w:val="nil"/>
              <w:bottom w:val="nil"/>
              <w:right w:val="single" w:sz="4" w:space="0" w:color="auto"/>
            </w:tcBorders>
            <w:shd w:val="clear" w:color="auto" w:fill="auto"/>
            <w:noWrap/>
            <w:vAlign w:val="center"/>
            <w:hideMark/>
          </w:tcPr>
          <w:p w14:paraId="57C72F05" w14:textId="77777777" w:rsidR="001E3AB8" w:rsidRPr="00D92E20" w:rsidRDefault="001E3AB8" w:rsidP="001E3AB8">
            <w:pPr>
              <w:spacing w:after="0" w:line="240" w:lineRule="auto"/>
              <w:ind w:firstLineChars="100" w:firstLine="160"/>
              <w:rPr>
                <w:rFonts w:cs="Arial"/>
                <w:color w:val="000000"/>
                <w:sz w:val="16"/>
                <w:szCs w:val="16"/>
              </w:rPr>
            </w:pPr>
            <w:r w:rsidRPr="00D92E20">
              <w:rPr>
                <w:rFonts w:cs="Arial"/>
                <w:color w:val="000000"/>
                <w:sz w:val="16"/>
                <w:szCs w:val="16"/>
              </w:rPr>
              <w:t>Hl. m. Praha</w:t>
            </w:r>
          </w:p>
        </w:tc>
        <w:tc>
          <w:tcPr>
            <w:tcW w:w="697" w:type="dxa"/>
            <w:tcBorders>
              <w:top w:val="nil"/>
              <w:left w:val="nil"/>
              <w:bottom w:val="nil"/>
              <w:right w:val="nil"/>
            </w:tcBorders>
            <w:shd w:val="clear" w:color="auto" w:fill="auto"/>
            <w:noWrap/>
            <w:vAlign w:val="center"/>
            <w:hideMark/>
          </w:tcPr>
          <w:p w14:paraId="0F63A7F0" w14:textId="50223969" w:rsidR="001E3AB8" w:rsidRPr="00D92E20" w:rsidRDefault="001E3AB8" w:rsidP="001E3AB8">
            <w:pPr>
              <w:spacing w:after="0" w:line="240" w:lineRule="auto"/>
              <w:jc w:val="center"/>
              <w:rPr>
                <w:rFonts w:cs="Arial"/>
                <w:color w:val="000000"/>
                <w:sz w:val="16"/>
                <w:szCs w:val="16"/>
              </w:rPr>
            </w:pPr>
            <w:r>
              <w:rPr>
                <w:rFonts w:cs="Arial"/>
                <w:sz w:val="16"/>
                <w:szCs w:val="16"/>
              </w:rPr>
              <w:t>11,3</w:t>
            </w:r>
          </w:p>
        </w:tc>
        <w:tc>
          <w:tcPr>
            <w:tcW w:w="697" w:type="dxa"/>
            <w:tcBorders>
              <w:top w:val="nil"/>
              <w:left w:val="nil"/>
              <w:bottom w:val="nil"/>
              <w:right w:val="nil"/>
            </w:tcBorders>
            <w:shd w:val="clear" w:color="auto" w:fill="auto"/>
            <w:noWrap/>
            <w:vAlign w:val="center"/>
            <w:hideMark/>
          </w:tcPr>
          <w:p w14:paraId="7D2E62D9" w14:textId="6A5E436E" w:rsidR="001E3AB8" w:rsidRPr="00D92E20" w:rsidRDefault="001E3AB8" w:rsidP="001E3AB8">
            <w:pPr>
              <w:spacing w:after="0" w:line="240" w:lineRule="auto"/>
              <w:jc w:val="center"/>
              <w:rPr>
                <w:rFonts w:cs="Arial"/>
                <w:color w:val="000000"/>
                <w:sz w:val="16"/>
                <w:szCs w:val="16"/>
              </w:rPr>
            </w:pPr>
            <w:r>
              <w:rPr>
                <w:rFonts w:cs="Arial"/>
                <w:sz w:val="16"/>
                <w:szCs w:val="16"/>
              </w:rPr>
              <w:t>14,5</w:t>
            </w:r>
          </w:p>
        </w:tc>
        <w:tc>
          <w:tcPr>
            <w:tcW w:w="697" w:type="dxa"/>
            <w:tcBorders>
              <w:top w:val="nil"/>
              <w:left w:val="nil"/>
              <w:bottom w:val="nil"/>
              <w:right w:val="nil"/>
            </w:tcBorders>
            <w:shd w:val="clear" w:color="auto" w:fill="auto"/>
            <w:noWrap/>
            <w:vAlign w:val="center"/>
            <w:hideMark/>
          </w:tcPr>
          <w:p w14:paraId="779315AA" w14:textId="6B18818B" w:rsidR="001E3AB8" w:rsidRPr="00D92E20" w:rsidRDefault="001E3AB8" w:rsidP="001E3AB8">
            <w:pPr>
              <w:spacing w:after="0" w:line="240" w:lineRule="auto"/>
              <w:jc w:val="center"/>
              <w:rPr>
                <w:rFonts w:cs="Arial"/>
                <w:color w:val="000000"/>
                <w:sz w:val="16"/>
                <w:szCs w:val="16"/>
              </w:rPr>
            </w:pPr>
            <w:r>
              <w:rPr>
                <w:rFonts w:cs="Arial"/>
                <w:sz w:val="16"/>
                <w:szCs w:val="16"/>
              </w:rPr>
              <w:t>13,0</w:t>
            </w:r>
          </w:p>
        </w:tc>
        <w:tc>
          <w:tcPr>
            <w:tcW w:w="697" w:type="dxa"/>
            <w:tcBorders>
              <w:top w:val="nil"/>
              <w:left w:val="nil"/>
              <w:bottom w:val="nil"/>
              <w:right w:val="nil"/>
            </w:tcBorders>
            <w:shd w:val="clear" w:color="auto" w:fill="auto"/>
            <w:noWrap/>
            <w:vAlign w:val="center"/>
            <w:hideMark/>
          </w:tcPr>
          <w:p w14:paraId="60B31E41" w14:textId="66056CFC" w:rsidR="001E3AB8" w:rsidRPr="00D92E20" w:rsidRDefault="001E3AB8" w:rsidP="001E3AB8">
            <w:pPr>
              <w:spacing w:after="0" w:line="240" w:lineRule="auto"/>
              <w:jc w:val="center"/>
              <w:rPr>
                <w:rFonts w:cs="Arial"/>
                <w:color w:val="000000"/>
                <w:sz w:val="16"/>
                <w:szCs w:val="16"/>
              </w:rPr>
            </w:pPr>
            <w:r>
              <w:rPr>
                <w:rFonts w:cs="Arial"/>
                <w:sz w:val="16"/>
                <w:szCs w:val="16"/>
              </w:rPr>
              <w:t>16,6</w:t>
            </w:r>
          </w:p>
        </w:tc>
        <w:tc>
          <w:tcPr>
            <w:tcW w:w="697" w:type="dxa"/>
            <w:tcBorders>
              <w:top w:val="nil"/>
              <w:left w:val="nil"/>
              <w:bottom w:val="nil"/>
              <w:right w:val="nil"/>
            </w:tcBorders>
            <w:shd w:val="clear" w:color="auto" w:fill="auto"/>
            <w:noWrap/>
            <w:vAlign w:val="center"/>
            <w:hideMark/>
          </w:tcPr>
          <w:p w14:paraId="529C9B6C" w14:textId="328D7150" w:rsidR="001E3AB8" w:rsidRPr="00D92E20" w:rsidRDefault="001E3AB8" w:rsidP="001E3AB8">
            <w:pPr>
              <w:spacing w:after="0" w:line="240" w:lineRule="auto"/>
              <w:jc w:val="center"/>
              <w:rPr>
                <w:rFonts w:cs="Arial"/>
                <w:color w:val="000000"/>
                <w:sz w:val="16"/>
                <w:szCs w:val="16"/>
              </w:rPr>
            </w:pPr>
            <w:r>
              <w:rPr>
                <w:rFonts w:cs="Arial"/>
                <w:color w:val="000000"/>
                <w:sz w:val="16"/>
                <w:szCs w:val="16"/>
              </w:rPr>
              <w:t>16,1</w:t>
            </w:r>
          </w:p>
        </w:tc>
        <w:tc>
          <w:tcPr>
            <w:tcW w:w="697" w:type="dxa"/>
            <w:tcBorders>
              <w:top w:val="nil"/>
              <w:left w:val="nil"/>
              <w:bottom w:val="nil"/>
              <w:right w:val="nil"/>
            </w:tcBorders>
            <w:shd w:val="clear" w:color="auto" w:fill="auto"/>
            <w:noWrap/>
            <w:vAlign w:val="center"/>
            <w:hideMark/>
          </w:tcPr>
          <w:p w14:paraId="5D036915" w14:textId="0F79A656" w:rsidR="001E3AB8" w:rsidRPr="00D92E20" w:rsidRDefault="001E3AB8" w:rsidP="001E3AB8">
            <w:pPr>
              <w:spacing w:after="0" w:line="240" w:lineRule="auto"/>
              <w:jc w:val="center"/>
              <w:rPr>
                <w:rFonts w:cs="Arial"/>
                <w:color w:val="000000"/>
                <w:sz w:val="16"/>
                <w:szCs w:val="16"/>
              </w:rPr>
            </w:pPr>
            <w:r>
              <w:rPr>
                <w:rFonts w:cs="Arial"/>
                <w:color w:val="000000"/>
                <w:sz w:val="16"/>
                <w:szCs w:val="16"/>
              </w:rPr>
              <w:t>16,7</w:t>
            </w:r>
          </w:p>
        </w:tc>
        <w:tc>
          <w:tcPr>
            <w:tcW w:w="697" w:type="dxa"/>
            <w:tcBorders>
              <w:top w:val="nil"/>
              <w:left w:val="nil"/>
              <w:bottom w:val="nil"/>
              <w:right w:val="nil"/>
            </w:tcBorders>
            <w:shd w:val="clear" w:color="auto" w:fill="auto"/>
            <w:noWrap/>
            <w:vAlign w:val="center"/>
            <w:hideMark/>
          </w:tcPr>
          <w:p w14:paraId="66E32537" w14:textId="0E7BC785" w:rsidR="001E3AB8" w:rsidRPr="00D92E20" w:rsidRDefault="001E3AB8" w:rsidP="001E3AB8">
            <w:pPr>
              <w:spacing w:after="0" w:line="240" w:lineRule="auto"/>
              <w:jc w:val="center"/>
              <w:rPr>
                <w:rFonts w:cs="Arial"/>
                <w:color w:val="000000"/>
                <w:sz w:val="16"/>
                <w:szCs w:val="16"/>
              </w:rPr>
            </w:pPr>
            <w:r>
              <w:rPr>
                <w:rFonts w:cs="Arial"/>
                <w:color w:val="000000"/>
                <w:sz w:val="16"/>
                <w:szCs w:val="16"/>
              </w:rPr>
              <w:t>17,8</w:t>
            </w:r>
          </w:p>
        </w:tc>
        <w:tc>
          <w:tcPr>
            <w:tcW w:w="697" w:type="dxa"/>
            <w:tcBorders>
              <w:top w:val="nil"/>
              <w:left w:val="nil"/>
              <w:bottom w:val="nil"/>
              <w:right w:val="nil"/>
            </w:tcBorders>
            <w:shd w:val="clear" w:color="auto" w:fill="auto"/>
            <w:noWrap/>
            <w:vAlign w:val="center"/>
            <w:hideMark/>
          </w:tcPr>
          <w:p w14:paraId="33179FF9" w14:textId="0A9B1BAD" w:rsidR="001E3AB8" w:rsidRPr="00D92E20" w:rsidRDefault="001E3AB8" w:rsidP="001E3AB8">
            <w:pPr>
              <w:spacing w:after="0" w:line="240" w:lineRule="auto"/>
              <w:jc w:val="center"/>
              <w:rPr>
                <w:rFonts w:cs="Arial"/>
                <w:color w:val="000000"/>
                <w:sz w:val="16"/>
                <w:szCs w:val="16"/>
              </w:rPr>
            </w:pPr>
            <w:r>
              <w:rPr>
                <w:rFonts w:cs="Arial"/>
                <w:color w:val="000000"/>
                <w:sz w:val="16"/>
                <w:szCs w:val="16"/>
              </w:rPr>
              <w:t>16,6</w:t>
            </w:r>
          </w:p>
        </w:tc>
        <w:tc>
          <w:tcPr>
            <w:tcW w:w="697" w:type="dxa"/>
            <w:tcBorders>
              <w:top w:val="nil"/>
              <w:left w:val="nil"/>
              <w:bottom w:val="nil"/>
              <w:right w:val="nil"/>
            </w:tcBorders>
            <w:shd w:val="clear" w:color="auto" w:fill="auto"/>
            <w:noWrap/>
            <w:vAlign w:val="center"/>
            <w:hideMark/>
          </w:tcPr>
          <w:p w14:paraId="2C60EA00" w14:textId="31368234" w:rsidR="001E3AB8" w:rsidRPr="00D92E20" w:rsidRDefault="001E3AB8" w:rsidP="001E3AB8">
            <w:pPr>
              <w:spacing w:after="0" w:line="240" w:lineRule="auto"/>
              <w:jc w:val="center"/>
              <w:rPr>
                <w:rFonts w:cs="Arial"/>
                <w:color w:val="000000"/>
                <w:sz w:val="16"/>
                <w:szCs w:val="16"/>
              </w:rPr>
            </w:pPr>
            <w:r>
              <w:rPr>
                <w:rFonts w:cs="Arial"/>
                <w:color w:val="000000"/>
                <w:sz w:val="16"/>
                <w:szCs w:val="16"/>
              </w:rPr>
              <w:t>18,2</w:t>
            </w:r>
          </w:p>
        </w:tc>
        <w:tc>
          <w:tcPr>
            <w:tcW w:w="697" w:type="dxa"/>
            <w:tcBorders>
              <w:top w:val="nil"/>
              <w:left w:val="nil"/>
              <w:bottom w:val="nil"/>
              <w:right w:val="nil"/>
            </w:tcBorders>
            <w:shd w:val="clear" w:color="auto" w:fill="auto"/>
            <w:noWrap/>
            <w:vAlign w:val="center"/>
            <w:hideMark/>
          </w:tcPr>
          <w:p w14:paraId="1CFDD3F9" w14:textId="5F091D29" w:rsidR="001E3AB8" w:rsidRPr="00D92E20" w:rsidRDefault="001E3AB8" w:rsidP="001E3AB8">
            <w:pPr>
              <w:spacing w:after="0" w:line="240" w:lineRule="auto"/>
              <w:jc w:val="center"/>
              <w:rPr>
                <w:rFonts w:cs="Arial"/>
                <w:color w:val="000000"/>
                <w:sz w:val="16"/>
                <w:szCs w:val="16"/>
              </w:rPr>
            </w:pPr>
            <w:r>
              <w:rPr>
                <w:rFonts w:cs="Arial"/>
                <w:color w:val="000000"/>
                <w:sz w:val="16"/>
                <w:szCs w:val="16"/>
              </w:rPr>
              <w:t>21,7</w:t>
            </w:r>
          </w:p>
        </w:tc>
        <w:tc>
          <w:tcPr>
            <w:tcW w:w="697" w:type="dxa"/>
            <w:tcBorders>
              <w:top w:val="nil"/>
              <w:left w:val="nil"/>
              <w:bottom w:val="nil"/>
              <w:right w:val="nil"/>
            </w:tcBorders>
            <w:shd w:val="clear" w:color="auto" w:fill="auto"/>
            <w:noWrap/>
            <w:vAlign w:val="center"/>
            <w:hideMark/>
          </w:tcPr>
          <w:p w14:paraId="50B9C65B" w14:textId="3F793BC7" w:rsidR="001E3AB8" w:rsidRPr="00D92E20" w:rsidRDefault="001E3AB8" w:rsidP="001E3AB8">
            <w:pPr>
              <w:spacing w:after="0" w:line="240" w:lineRule="auto"/>
              <w:jc w:val="center"/>
              <w:rPr>
                <w:rFonts w:cs="Arial"/>
                <w:color w:val="000000"/>
                <w:sz w:val="16"/>
                <w:szCs w:val="16"/>
              </w:rPr>
            </w:pPr>
            <w:r>
              <w:rPr>
                <w:rFonts w:cs="Arial"/>
                <w:color w:val="000000"/>
                <w:sz w:val="16"/>
                <w:szCs w:val="16"/>
              </w:rPr>
              <w:t>33,1</w:t>
            </w:r>
          </w:p>
        </w:tc>
      </w:tr>
      <w:tr w:rsidR="001E3AB8" w:rsidRPr="00D92E20" w14:paraId="65794476" w14:textId="77777777" w:rsidTr="00B0095F">
        <w:trPr>
          <w:trHeight w:val="300"/>
        </w:trPr>
        <w:tc>
          <w:tcPr>
            <w:tcW w:w="1960" w:type="dxa"/>
            <w:tcBorders>
              <w:top w:val="nil"/>
              <w:left w:val="nil"/>
              <w:bottom w:val="nil"/>
              <w:right w:val="single" w:sz="4" w:space="0" w:color="auto"/>
            </w:tcBorders>
            <w:shd w:val="clear" w:color="auto" w:fill="auto"/>
            <w:noWrap/>
            <w:vAlign w:val="center"/>
            <w:hideMark/>
          </w:tcPr>
          <w:p w14:paraId="26CA9983" w14:textId="77777777" w:rsidR="001E3AB8" w:rsidRPr="00D92E20" w:rsidRDefault="001E3AB8" w:rsidP="001E3AB8">
            <w:pPr>
              <w:spacing w:after="0" w:line="240" w:lineRule="auto"/>
              <w:ind w:firstLineChars="100" w:firstLine="160"/>
              <w:rPr>
                <w:rFonts w:cs="Arial"/>
                <w:color w:val="000000"/>
                <w:sz w:val="16"/>
                <w:szCs w:val="16"/>
              </w:rPr>
            </w:pPr>
            <w:r w:rsidRPr="00D92E20">
              <w:rPr>
                <w:rFonts w:cs="Arial"/>
                <w:color w:val="000000"/>
                <w:sz w:val="16"/>
                <w:szCs w:val="16"/>
              </w:rPr>
              <w:t>Středočeský kraj</w:t>
            </w:r>
          </w:p>
        </w:tc>
        <w:tc>
          <w:tcPr>
            <w:tcW w:w="697" w:type="dxa"/>
            <w:tcBorders>
              <w:top w:val="nil"/>
              <w:left w:val="nil"/>
              <w:bottom w:val="nil"/>
              <w:right w:val="nil"/>
            </w:tcBorders>
            <w:shd w:val="clear" w:color="auto" w:fill="auto"/>
            <w:noWrap/>
            <w:vAlign w:val="center"/>
            <w:hideMark/>
          </w:tcPr>
          <w:p w14:paraId="456FF47C" w14:textId="2B06B6F5" w:rsidR="001E3AB8" w:rsidRPr="00D92E20" w:rsidRDefault="001E3AB8" w:rsidP="001E3AB8">
            <w:pPr>
              <w:spacing w:after="0" w:line="240" w:lineRule="auto"/>
              <w:jc w:val="center"/>
              <w:rPr>
                <w:rFonts w:cs="Arial"/>
                <w:color w:val="000000"/>
                <w:sz w:val="16"/>
                <w:szCs w:val="16"/>
              </w:rPr>
            </w:pPr>
            <w:r>
              <w:rPr>
                <w:rFonts w:cs="Arial"/>
                <w:sz w:val="16"/>
                <w:szCs w:val="16"/>
              </w:rPr>
              <w:t>14,1</w:t>
            </w:r>
          </w:p>
        </w:tc>
        <w:tc>
          <w:tcPr>
            <w:tcW w:w="697" w:type="dxa"/>
            <w:tcBorders>
              <w:top w:val="nil"/>
              <w:left w:val="nil"/>
              <w:bottom w:val="nil"/>
              <w:right w:val="nil"/>
            </w:tcBorders>
            <w:shd w:val="clear" w:color="auto" w:fill="auto"/>
            <w:noWrap/>
            <w:vAlign w:val="center"/>
            <w:hideMark/>
          </w:tcPr>
          <w:p w14:paraId="730304DF" w14:textId="59FE5682" w:rsidR="001E3AB8" w:rsidRPr="00D92E20" w:rsidRDefault="001E3AB8" w:rsidP="001E3AB8">
            <w:pPr>
              <w:spacing w:after="0" w:line="240" w:lineRule="auto"/>
              <w:jc w:val="center"/>
              <w:rPr>
                <w:rFonts w:cs="Arial"/>
                <w:color w:val="000000"/>
                <w:sz w:val="16"/>
                <w:szCs w:val="16"/>
              </w:rPr>
            </w:pPr>
            <w:r>
              <w:rPr>
                <w:rFonts w:cs="Arial"/>
                <w:sz w:val="16"/>
                <w:szCs w:val="16"/>
              </w:rPr>
              <w:t>17,9</w:t>
            </w:r>
          </w:p>
        </w:tc>
        <w:tc>
          <w:tcPr>
            <w:tcW w:w="697" w:type="dxa"/>
            <w:tcBorders>
              <w:top w:val="nil"/>
              <w:left w:val="nil"/>
              <w:bottom w:val="nil"/>
              <w:right w:val="nil"/>
            </w:tcBorders>
            <w:shd w:val="clear" w:color="auto" w:fill="auto"/>
            <w:noWrap/>
            <w:vAlign w:val="center"/>
            <w:hideMark/>
          </w:tcPr>
          <w:p w14:paraId="55DED852" w14:textId="5B8D39FC" w:rsidR="001E3AB8" w:rsidRPr="00D92E20" w:rsidRDefault="001E3AB8" w:rsidP="001E3AB8">
            <w:pPr>
              <w:spacing w:after="0" w:line="240" w:lineRule="auto"/>
              <w:jc w:val="center"/>
              <w:rPr>
                <w:rFonts w:cs="Arial"/>
                <w:color w:val="000000"/>
                <w:sz w:val="16"/>
                <w:szCs w:val="16"/>
              </w:rPr>
            </w:pPr>
            <w:r>
              <w:rPr>
                <w:rFonts w:cs="Arial"/>
                <w:sz w:val="16"/>
                <w:szCs w:val="16"/>
              </w:rPr>
              <w:t>16,1</w:t>
            </w:r>
          </w:p>
        </w:tc>
        <w:tc>
          <w:tcPr>
            <w:tcW w:w="697" w:type="dxa"/>
            <w:tcBorders>
              <w:top w:val="nil"/>
              <w:left w:val="nil"/>
              <w:bottom w:val="nil"/>
              <w:right w:val="nil"/>
            </w:tcBorders>
            <w:shd w:val="clear" w:color="auto" w:fill="auto"/>
            <w:noWrap/>
            <w:vAlign w:val="center"/>
            <w:hideMark/>
          </w:tcPr>
          <w:p w14:paraId="611D9EA0" w14:textId="2B8FB3F7" w:rsidR="001E3AB8" w:rsidRPr="00D92E20" w:rsidRDefault="001E3AB8" w:rsidP="001E3AB8">
            <w:pPr>
              <w:spacing w:after="0" w:line="240" w:lineRule="auto"/>
              <w:jc w:val="center"/>
              <w:rPr>
                <w:rFonts w:cs="Arial"/>
                <w:color w:val="000000"/>
                <w:sz w:val="16"/>
                <w:szCs w:val="16"/>
              </w:rPr>
            </w:pPr>
            <w:r>
              <w:rPr>
                <w:rFonts w:cs="Arial"/>
                <w:sz w:val="16"/>
                <w:szCs w:val="16"/>
              </w:rPr>
              <w:t>20,5</w:t>
            </w:r>
          </w:p>
        </w:tc>
        <w:tc>
          <w:tcPr>
            <w:tcW w:w="697" w:type="dxa"/>
            <w:tcBorders>
              <w:top w:val="nil"/>
              <w:left w:val="nil"/>
              <w:bottom w:val="nil"/>
              <w:right w:val="nil"/>
            </w:tcBorders>
            <w:shd w:val="clear" w:color="auto" w:fill="auto"/>
            <w:noWrap/>
            <w:vAlign w:val="center"/>
            <w:hideMark/>
          </w:tcPr>
          <w:p w14:paraId="485B3BFD" w14:textId="3A958BE2" w:rsidR="001E3AB8" w:rsidRPr="00D92E20" w:rsidRDefault="001E3AB8" w:rsidP="001E3AB8">
            <w:pPr>
              <w:spacing w:after="0" w:line="240" w:lineRule="auto"/>
              <w:jc w:val="center"/>
              <w:rPr>
                <w:rFonts w:cs="Arial"/>
                <w:color w:val="000000"/>
                <w:sz w:val="16"/>
                <w:szCs w:val="16"/>
              </w:rPr>
            </w:pPr>
            <w:r>
              <w:rPr>
                <w:rFonts w:cs="Arial"/>
                <w:color w:val="000000"/>
                <w:sz w:val="16"/>
                <w:szCs w:val="16"/>
              </w:rPr>
              <w:t>20,7</w:t>
            </w:r>
          </w:p>
        </w:tc>
        <w:tc>
          <w:tcPr>
            <w:tcW w:w="697" w:type="dxa"/>
            <w:tcBorders>
              <w:top w:val="nil"/>
              <w:left w:val="nil"/>
              <w:bottom w:val="nil"/>
              <w:right w:val="nil"/>
            </w:tcBorders>
            <w:shd w:val="clear" w:color="auto" w:fill="auto"/>
            <w:noWrap/>
            <w:vAlign w:val="center"/>
            <w:hideMark/>
          </w:tcPr>
          <w:p w14:paraId="6F1926E8" w14:textId="08003A58" w:rsidR="001E3AB8" w:rsidRPr="00D92E20" w:rsidRDefault="001E3AB8" w:rsidP="001E3AB8">
            <w:pPr>
              <w:spacing w:after="0" w:line="240" w:lineRule="auto"/>
              <w:jc w:val="center"/>
              <w:rPr>
                <w:rFonts w:cs="Arial"/>
                <w:color w:val="000000"/>
                <w:sz w:val="16"/>
                <w:szCs w:val="16"/>
              </w:rPr>
            </w:pPr>
            <w:r>
              <w:rPr>
                <w:rFonts w:cs="Arial"/>
                <w:color w:val="000000"/>
                <w:sz w:val="16"/>
                <w:szCs w:val="16"/>
              </w:rPr>
              <w:t>21,6</w:t>
            </w:r>
          </w:p>
        </w:tc>
        <w:tc>
          <w:tcPr>
            <w:tcW w:w="697" w:type="dxa"/>
            <w:tcBorders>
              <w:top w:val="nil"/>
              <w:left w:val="nil"/>
              <w:bottom w:val="nil"/>
              <w:right w:val="nil"/>
            </w:tcBorders>
            <w:shd w:val="clear" w:color="auto" w:fill="auto"/>
            <w:noWrap/>
            <w:vAlign w:val="center"/>
            <w:hideMark/>
          </w:tcPr>
          <w:p w14:paraId="32F695DB" w14:textId="05F753EA" w:rsidR="001E3AB8" w:rsidRPr="00D92E20" w:rsidRDefault="001E3AB8" w:rsidP="001E3AB8">
            <w:pPr>
              <w:spacing w:after="0" w:line="240" w:lineRule="auto"/>
              <w:jc w:val="center"/>
              <w:rPr>
                <w:rFonts w:cs="Arial"/>
                <w:color w:val="000000"/>
                <w:sz w:val="16"/>
                <w:szCs w:val="16"/>
              </w:rPr>
            </w:pPr>
            <w:r>
              <w:rPr>
                <w:rFonts w:cs="Arial"/>
                <w:color w:val="000000"/>
                <w:sz w:val="16"/>
                <w:szCs w:val="16"/>
              </w:rPr>
              <w:t>23,8</w:t>
            </w:r>
          </w:p>
        </w:tc>
        <w:tc>
          <w:tcPr>
            <w:tcW w:w="697" w:type="dxa"/>
            <w:tcBorders>
              <w:top w:val="nil"/>
              <w:left w:val="nil"/>
              <w:bottom w:val="nil"/>
              <w:right w:val="nil"/>
            </w:tcBorders>
            <w:shd w:val="clear" w:color="auto" w:fill="auto"/>
            <w:noWrap/>
            <w:vAlign w:val="center"/>
            <w:hideMark/>
          </w:tcPr>
          <w:p w14:paraId="38DFCAE6" w14:textId="485BF675" w:rsidR="001E3AB8" w:rsidRPr="00D92E20" w:rsidRDefault="001E3AB8" w:rsidP="001E3AB8">
            <w:pPr>
              <w:spacing w:after="0" w:line="240" w:lineRule="auto"/>
              <w:jc w:val="center"/>
              <w:rPr>
                <w:rFonts w:cs="Arial"/>
                <w:color w:val="000000"/>
                <w:sz w:val="16"/>
                <w:szCs w:val="16"/>
              </w:rPr>
            </w:pPr>
            <w:r>
              <w:rPr>
                <w:rFonts w:cs="Arial"/>
                <w:color w:val="000000"/>
                <w:sz w:val="16"/>
                <w:szCs w:val="16"/>
              </w:rPr>
              <w:t>22,1</w:t>
            </w:r>
          </w:p>
        </w:tc>
        <w:tc>
          <w:tcPr>
            <w:tcW w:w="697" w:type="dxa"/>
            <w:tcBorders>
              <w:top w:val="nil"/>
              <w:left w:val="nil"/>
              <w:bottom w:val="nil"/>
              <w:right w:val="nil"/>
            </w:tcBorders>
            <w:shd w:val="clear" w:color="auto" w:fill="auto"/>
            <w:noWrap/>
            <w:vAlign w:val="center"/>
            <w:hideMark/>
          </w:tcPr>
          <w:p w14:paraId="7C77B94F" w14:textId="384DACF3" w:rsidR="001E3AB8" w:rsidRPr="00D92E20" w:rsidRDefault="001E3AB8" w:rsidP="001E3AB8">
            <w:pPr>
              <w:spacing w:after="0" w:line="240" w:lineRule="auto"/>
              <w:jc w:val="center"/>
              <w:rPr>
                <w:rFonts w:cs="Arial"/>
                <w:color w:val="000000"/>
                <w:sz w:val="16"/>
                <w:szCs w:val="16"/>
              </w:rPr>
            </w:pPr>
            <w:r>
              <w:rPr>
                <w:rFonts w:cs="Arial"/>
                <w:color w:val="000000"/>
                <w:sz w:val="16"/>
                <w:szCs w:val="16"/>
              </w:rPr>
              <w:t>23,1</w:t>
            </w:r>
          </w:p>
        </w:tc>
        <w:tc>
          <w:tcPr>
            <w:tcW w:w="697" w:type="dxa"/>
            <w:tcBorders>
              <w:top w:val="nil"/>
              <w:left w:val="nil"/>
              <w:bottom w:val="nil"/>
              <w:right w:val="nil"/>
            </w:tcBorders>
            <w:shd w:val="clear" w:color="auto" w:fill="auto"/>
            <w:noWrap/>
            <w:vAlign w:val="center"/>
            <w:hideMark/>
          </w:tcPr>
          <w:p w14:paraId="180D1126" w14:textId="2BE1DDC3" w:rsidR="001E3AB8" w:rsidRPr="00D92E20" w:rsidRDefault="001E3AB8" w:rsidP="001E3AB8">
            <w:pPr>
              <w:spacing w:after="0" w:line="240" w:lineRule="auto"/>
              <w:jc w:val="center"/>
              <w:rPr>
                <w:rFonts w:cs="Arial"/>
                <w:color w:val="000000"/>
                <w:sz w:val="16"/>
                <w:szCs w:val="16"/>
              </w:rPr>
            </w:pPr>
            <w:r>
              <w:rPr>
                <w:rFonts w:cs="Arial"/>
                <w:color w:val="000000"/>
                <w:sz w:val="16"/>
                <w:szCs w:val="16"/>
              </w:rPr>
              <w:t>33,9</w:t>
            </w:r>
          </w:p>
        </w:tc>
        <w:tc>
          <w:tcPr>
            <w:tcW w:w="697" w:type="dxa"/>
            <w:tcBorders>
              <w:top w:val="nil"/>
              <w:left w:val="nil"/>
              <w:bottom w:val="nil"/>
              <w:right w:val="nil"/>
            </w:tcBorders>
            <w:shd w:val="clear" w:color="auto" w:fill="auto"/>
            <w:noWrap/>
            <w:vAlign w:val="center"/>
            <w:hideMark/>
          </w:tcPr>
          <w:p w14:paraId="4857A59D" w14:textId="4F4A7781" w:rsidR="001E3AB8" w:rsidRPr="00D92E20" w:rsidRDefault="001E3AB8" w:rsidP="001E3AB8">
            <w:pPr>
              <w:spacing w:after="0" w:line="240" w:lineRule="auto"/>
              <w:jc w:val="center"/>
              <w:rPr>
                <w:rFonts w:cs="Arial"/>
                <w:color w:val="000000"/>
                <w:sz w:val="16"/>
                <w:szCs w:val="16"/>
              </w:rPr>
            </w:pPr>
            <w:r>
              <w:rPr>
                <w:rFonts w:cs="Arial"/>
                <w:color w:val="000000"/>
                <w:sz w:val="16"/>
                <w:szCs w:val="16"/>
              </w:rPr>
              <w:t>47,2</w:t>
            </w:r>
          </w:p>
        </w:tc>
      </w:tr>
      <w:tr w:rsidR="001E3AB8" w:rsidRPr="00D92E20" w14:paraId="210F9474" w14:textId="77777777" w:rsidTr="00B0095F">
        <w:trPr>
          <w:trHeight w:val="300"/>
        </w:trPr>
        <w:tc>
          <w:tcPr>
            <w:tcW w:w="1960" w:type="dxa"/>
            <w:tcBorders>
              <w:top w:val="nil"/>
              <w:left w:val="nil"/>
              <w:bottom w:val="nil"/>
              <w:right w:val="single" w:sz="4" w:space="0" w:color="auto"/>
            </w:tcBorders>
            <w:shd w:val="clear" w:color="auto" w:fill="auto"/>
            <w:noWrap/>
            <w:vAlign w:val="center"/>
            <w:hideMark/>
          </w:tcPr>
          <w:p w14:paraId="78444731" w14:textId="77777777" w:rsidR="001E3AB8" w:rsidRPr="00D92E20" w:rsidRDefault="001E3AB8" w:rsidP="001E3AB8">
            <w:pPr>
              <w:spacing w:after="0" w:line="240" w:lineRule="auto"/>
              <w:ind w:firstLineChars="100" w:firstLine="160"/>
              <w:rPr>
                <w:rFonts w:cs="Arial"/>
                <w:color w:val="000000"/>
                <w:sz w:val="16"/>
                <w:szCs w:val="16"/>
              </w:rPr>
            </w:pPr>
            <w:r w:rsidRPr="00D92E20">
              <w:rPr>
                <w:rFonts w:cs="Arial"/>
                <w:color w:val="000000"/>
                <w:sz w:val="16"/>
                <w:szCs w:val="16"/>
              </w:rPr>
              <w:t>Jihočeský kraj</w:t>
            </w:r>
          </w:p>
        </w:tc>
        <w:tc>
          <w:tcPr>
            <w:tcW w:w="697" w:type="dxa"/>
            <w:tcBorders>
              <w:top w:val="nil"/>
              <w:left w:val="nil"/>
              <w:bottom w:val="nil"/>
              <w:right w:val="nil"/>
            </w:tcBorders>
            <w:shd w:val="clear" w:color="auto" w:fill="auto"/>
            <w:noWrap/>
            <w:vAlign w:val="center"/>
            <w:hideMark/>
          </w:tcPr>
          <w:p w14:paraId="6E6C2B51" w14:textId="40F93052" w:rsidR="001E3AB8" w:rsidRPr="00D92E20" w:rsidRDefault="001E3AB8" w:rsidP="001E3AB8">
            <w:pPr>
              <w:spacing w:after="0" w:line="240" w:lineRule="auto"/>
              <w:jc w:val="center"/>
              <w:rPr>
                <w:rFonts w:cs="Arial"/>
                <w:color w:val="000000"/>
                <w:sz w:val="16"/>
                <w:szCs w:val="16"/>
              </w:rPr>
            </w:pPr>
            <w:r>
              <w:rPr>
                <w:rFonts w:cs="Arial"/>
                <w:sz w:val="16"/>
                <w:szCs w:val="16"/>
              </w:rPr>
              <w:t>14,9</w:t>
            </w:r>
          </w:p>
        </w:tc>
        <w:tc>
          <w:tcPr>
            <w:tcW w:w="697" w:type="dxa"/>
            <w:tcBorders>
              <w:top w:val="nil"/>
              <w:left w:val="nil"/>
              <w:bottom w:val="nil"/>
              <w:right w:val="nil"/>
            </w:tcBorders>
            <w:shd w:val="clear" w:color="auto" w:fill="auto"/>
            <w:noWrap/>
            <w:vAlign w:val="center"/>
            <w:hideMark/>
          </w:tcPr>
          <w:p w14:paraId="46C6C0D4" w14:textId="7BBA4BB5" w:rsidR="001E3AB8" w:rsidRPr="00D92E20" w:rsidRDefault="001E3AB8" w:rsidP="001E3AB8">
            <w:pPr>
              <w:spacing w:after="0" w:line="240" w:lineRule="auto"/>
              <w:jc w:val="center"/>
              <w:rPr>
                <w:rFonts w:cs="Arial"/>
                <w:color w:val="000000"/>
                <w:sz w:val="16"/>
                <w:szCs w:val="16"/>
              </w:rPr>
            </w:pPr>
            <w:r>
              <w:rPr>
                <w:rFonts w:cs="Arial"/>
                <w:sz w:val="16"/>
                <w:szCs w:val="16"/>
              </w:rPr>
              <w:t>19,7</w:t>
            </w:r>
          </w:p>
        </w:tc>
        <w:tc>
          <w:tcPr>
            <w:tcW w:w="697" w:type="dxa"/>
            <w:tcBorders>
              <w:top w:val="nil"/>
              <w:left w:val="nil"/>
              <w:bottom w:val="nil"/>
              <w:right w:val="nil"/>
            </w:tcBorders>
            <w:shd w:val="clear" w:color="auto" w:fill="auto"/>
            <w:noWrap/>
            <w:vAlign w:val="center"/>
            <w:hideMark/>
          </w:tcPr>
          <w:p w14:paraId="51E06F57" w14:textId="0FF47AE9" w:rsidR="001E3AB8" w:rsidRPr="00D92E20" w:rsidRDefault="001E3AB8" w:rsidP="001E3AB8">
            <w:pPr>
              <w:spacing w:after="0" w:line="240" w:lineRule="auto"/>
              <w:jc w:val="center"/>
              <w:rPr>
                <w:rFonts w:cs="Arial"/>
                <w:color w:val="000000"/>
                <w:sz w:val="16"/>
                <w:szCs w:val="16"/>
              </w:rPr>
            </w:pPr>
            <w:r>
              <w:rPr>
                <w:rFonts w:cs="Arial"/>
                <w:sz w:val="16"/>
                <w:szCs w:val="16"/>
              </w:rPr>
              <w:t>17,1</w:t>
            </w:r>
          </w:p>
        </w:tc>
        <w:tc>
          <w:tcPr>
            <w:tcW w:w="697" w:type="dxa"/>
            <w:tcBorders>
              <w:top w:val="nil"/>
              <w:left w:val="nil"/>
              <w:bottom w:val="nil"/>
              <w:right w:val="nil"/>
            </w:tcBorders>
            <w:shd w:val="clear" w:color="auto" w:fill="auto"/>
            <w:noWrap/>
            <w:vAlign w:val="center"/>
            <w:hideMark/>
          </w:tcPr>
          <w:p w14:paraId="2A1C2CC8" w14:textId="19617538" w:rsidR="001E3AB8" w:rsidRPr="00D92E20" w:rsidRDefault="001E3AB8" w:rsidP="001E3AB8">
            <w:pPr>
              <w:spacing w:after="0" w:line="240" w:lineRule="auto"/>
              <w:jc w:val="center"/>
              <w:rPr>
                <w:rFonts w:cs="Arial"/>
                <w:color w:val="000000"/>
                <w:sz w:val="16"/>
                <w:szCs w:val="16"/>
              </w:rPr>
            </w:pPr>
            <w:r>
              <w:rPr>
                <w:rFonts w:cs="Arial"/>
                <w:sz w:val="16"/>
                <w:szCs w:val="16"/>
              </w:rPr>
              <w:t>22,4</w:t>
            </w:r>
          </w:p>
        </w:tc>
        <w:tc>
          <w:tcPr>
            <w:tcW w:w="697" w:type="dxa"/>
            <w:tcBorders>
              <w:top w:val="nil"/>
              <w:left w:val="nil"/>
              <w:bottom w:val="nil"/>
              <w:right w:val="nil"/>
            </w:tcBorders>
            <w:shd w:val="clear" w:color="auto" w:fill="auto"/>
            <w:noWrap/>
            <w:vAlign w:val="center"/>
            <w:hideMark/>
          </w:tcPr>
          <w:p w14:paraId="15EEB5C6" w14:textId="40B50FFC" w:rsidR="001E3AB8" w:rsidRPr="00D92E20" w:rsidRDefault="001E3AB8" w:rsidP="001E3AB8">
            <w:pPr>
              <w:spacing w:after="0" w:line="240" w:lineRule="auto"/>
              <w:jc w:val="center"/>
              <w:rPr>
                <w:rFonts w:cs="Arial"/>
                <w:color w:val="000000"/>
                <w:sz w:val="16"/>
                <w:szCs w:val="16"/>
              </w:rPr>
            </w:pPr>
            <w:r>
              <w:rPr>
                <w:rFonts w:cs="Arial"/>
                <w:color w:val="000000"/>
                <w:sz w:val="16"/>
                <w:szCs w:val="16"/>
              </w:rPr>
              <w:t>21,9</w:t>
            </w:r>
          </w:p>
        </w:tc>
        <w:tc>
          <w:tcPr>
            <w:tcW w:w="697" w:type="dxa"/>
            <w:tcBorders>
              <w:top w:val="nil"/>
              <w:left w:val="nil"/>
              <w:bottom w:val="nil"/>
              <w:right w:val="nil"/>
            </w:tcBorders>
            <w:shd w:val="clear" w:color="auto" w:fill="auto"/>
            <w:noWrap/>
            <w:vAlign w:val="center"/>
            <w:hideMark/>
          </w:tcPr>
          <w:p w14:paraId="01C01A7D" w14:textId="2B5BD3E3" w:rsidR="001E3AB8" w:rsidRPr="00D92E20" w:rsidRDefault="001E3AB8" w:rsidP="001E3AB8">
            <w:pPr>
              <w:spacing w:after="0" w:line="240" w:lineRule="auto"/>
              <w:jc w:val="center"/>
              <w:rPr>
                <w:rFonts w:cs="Arial"/>
                <w:color w:val="000000"/>
                <w:sz w:val="16"/>
                <w:szCs w:val="16"/>
              </w:rPr>
            </w:pPr>
            <w:r>
              <w:rPr>
                <w:rFonts w:cs="Arial"/>
                <w:color w:val="000000"/>
                <w:sz w:val="16"/>
                <w:szCs w:val="16"/>
              </w:rPr>
              <w:t>23,3</w:t>
            </w:r>
          </w:p>
        </w:tc>
        <w:tc>
          <w:tcPr>
            <w:tcW w:w="697" w:type="dxa"/>
            <w:tcBorders>
              <w:top w:val="nil"/>
              <w:left w:val="nil"/>
              <w:bottom w:val="nil"/>
              <w:right w:val="nil"/>
            </w:tcBorders>
            <w:shd w:val="clear" w:color="auto" w:fill="auto"/>
            <w:noWrap/>
            <w:vAlign w:val="center"/>
            <w:hideMark/>
          </w:tcPr>
          <w:p w14:paraId="41C4F1AC" w14:textId="323ADB49" w:rsidR="001E3AB8" w:rsidRPr="00D92E20" w:rsidRDefault="001E3AB8" w:rsidP="001E3AB8">
            <w:pPr>
              <w:spacing w:after="0" w:line="240" w:lineRule="auto"/>
              <w:jc w:val="center"/>
              <w:rPr>
                <w:rFonts w:cs="Arial"/>
                <w:color w:val="000000"/>
                <w:sz w:val="16"/>
                <w:szCs w:val="16"/>
              </w:rPr>
            </w:pPr>
            <w:r>
              <w:rPr>
                <w:rFonts w:cs="Arial"/>
                <w:color w:val="000000"/>
                <w:sz w:val="16"/>
                <w:szCs w:val="16"/>
              </w:rPr>
              <w:t>24,8</w:t>
            </w:r>
          </w:p>
        </w:tc>
        <w:tc>
          <w:tcPr>
            <w:tcW w:w="697" w:type="dxa"/>
            <w:tcBorders>
              <w:top w:val="nil"/>
              <w:left w:val="nil"/>
              <w:bottom w:val="nil"/>
              <w:right w:val="nil"/>
            </w:tcBorders>
            <w:shd w:val="clear" w:color="auto" w:fill="auto"/>
            <w:noWrap/>
            <w:vAlign w:val="center"/>
            <w:hideMark/>
          </w:tcPr>
          <w:p w14:paraId="3B78192C" w14:textId="42DC78E3" w:rsidR="001E3AB8" w:rsidRPr="00D92E20" w:rsidRDefault="001E3AB8" w:rsidP="001E3AB8">
            <w:pPr>
              <w:spacing w:after="0" w:line="240" w:lineRule="auto"/>
              <w:jc w:val="center"/>
              <w:rPr>
                <w:rFonts w:cs="Arial"/>
                <w:color w:val="000000"/>
                <w:sz w:val="16"/>
                <w:szCs w:val="16"/>
              </w:rPr>
            </w:pPr>
            <w:r>
              <w:rPr>
                <w:rFonts w:cs="Arial"/>
                <w:color w:val="000000"/>
                <w:sz w:val="16"/>
                <w:szCs w:val="16"/>
              </w:rPr>
              <w:t>22,6</w:t>
            </w:r>
          </w:p>
        </w:tc>
        <w:tc>
          <w:tcPr>
            <w:tcW w:w="697" w:type="dxa"/>
            <w:tcBorders>
              <w:top w:val="nil"/>
              <w:left w:val="nil"/>
              <w:bottom w:val="nil"/>
              <w:right w:val="nil"/>
            </w:tcBorders>
            <w:shd w:val="clear" w:color="auto" w:fill="auto"/>
            <w:noWrap/>
            <w:vAlign w:val="center"/>
            <w:hideMark/>
          </w:tcPr>
          <w:p w14:paraId="096A749F" w14:textId="3D748C9C" w:rsidR="001E3AB8" w:rsidRPr="00D92E20" w:rsidRDefault="001E3AB8" w:rsidP="001E3AB8">
            <w:pPr>
              <w:spacing w:after="0" w:line="240" w:lineRule="auto"/>
              <w:jc w:val="center"/>
              <w:rPr>
                <w:rFonts w:cs="Arial"/>
                <w:color w:val="000000"/>
                <w:sz w:val="16"/>
                <w:szCs w:val="16"/>
              </w:rPr>
            </w:pPr>
            <w:r>
              <w:rPr>
                <w:rFonts w:cs="Arial"/>
                <w:color w:val="000000"/>
                <w:sz w:val="16"/>
                <w:szCs w:val="16"/>
              </w:rPr>
              <w:t>24,5</w:t>
            </w:r>
          </w:p>
        </w:tc>
        <w:tc>
          <w:tcPr>
            <w:tcW w:w="697" w:type="dxa"/>
            <w:tcBorders>
              <w:top w:val="nil"/>
              <w:left w:val="nil"/>
              <w:bottom w:val="nil"/>
              <w:right w:val="nil"/>
            </w:tcBorders>
            <w:shd w:val="clear" w:color="auto" w:fill="auto"/>
            <w:noWrap/>
            <w:vAlign w:val="center"/>
            <w:hideMark/>
          </w:tcPr>
          <w:p w14:paraId="54089DC0" w14:textId="170B798B" w:rsidR="001E3AB8" w:rsidRPr="00D92E20" w:rsidRDefault="001E3AB8" w:rsidP="001E3AB8">
            <w:pPr>
              <w:spacing w:after="0" w:line="240" w:lineRule="auto"/>
              <w:jc w:val="center"/>
              <w:rPr>
                <w:rFonts w:cs="Arial"/>
                <w:color w:val="000000"/>
                <w:sz w:val="16"/>
                <w:szCs w:val="16"/>
              </w:rPr>
            </w:pPr>
            <w:r>
              <w:rPr>
                <w:rFonts w:cs="Arial"/>
                <w:color w:val="000000"/>
                <w:sz w:val="16"/>
                <w:szCs w:val="16"/>
              </w:rPr>
              <w:t>33,1</w:t>
            </w:r>
          </w:p>
        </w:tc>
        <w:tc>
          <w:tcPr>
            <w:tcW w:w="697" w:type="dxa"/>
            <w:tcBorders>
              <w:top w:val="nil"/>
              <w:left w:val="nil"/>
              <w:bottom w:val="nil"/>
              <w:right w:val="nil"/>
            </w:tcBorders>
            <w:shd w:val="clear" w:color="auto" w:fill="auto"/>
            <w:noWrap/>
            <w:vAlign w:val="center"/>
            <w:hideMark/>
          </w:tcPr>
          <w:p w14:paraId="6998AC1C" w14:textId="46F7F72E" w:rsidR="001E3AB8" w:rsidRPr="00D92E20" w:rsidRDefault="001E3AB8" w:rsidP="001E3AB8">
            <w:pPr>
              <w:spacing w:after="0" w:line="240" w:lineRule="auto"/>
              <w:jc w:val="center"/>
              <w:rPr>
                <w:rFonts w:cs="Arial"/>
                <w:color w:val="000000"/>
                <w:sz w:val="16"/>
                <w:szCs w:val="16"/>
              </w:rPr>
            </w:pPr>
            <w:r>
              <w:rPr>
                <w:rFonts w:cs="Arial"/>
                <w:color w:val="000000"/>
                <w:sz w:val="16"/>
                <w:szCs w:val="16"/>
              </w:rPr>
              <w:t>47,1</w:t>
            </w:r>
          </w:p>
        </w:tc>
      </w:tr>
      <w:tr w:rsidR="001E3AB8" w:rsidRPr="00D92E20" w14:paraId="28924A07" w14:textId="77777777" w:rsidTr="00B0095F">
        <w:trPr>
          <w:trHeight w:val="300"/>
        </w:trPr>
        <w:tc>
          <w:tcPr>
            <w:tcW w:w="1960" w:type="dxa"/>
            <w:tcBorders>
              <w:top w:val="nil"/>
              <w:left w:val="nil"/>
              <w:bottom w:val="nil"/>
              <w:right w:val="single" w:sz="4" w:space="0" w:color="auto"/>
            </w:tcBorders>
            <w:shd w:val="clear" w:color="auto" w:fill="auto"/>
            <w:noWrap/>
            <w:vAlign w:val="center"/>
            <w:hideMark/>
          </w:tcPr>
          <w:p w14:paraId="6DBED74B" w14:textId="77777777" w:rsidR="001E3AB8" w:rsidRPr="00D92E20" w:rsidRDefault="001E3AB8" w:rsidP="001E3AB8">
            <w:pPr>
              <w:spacing w:after="0" w:line="240" w:lineRule="auto"/>
              <w:ind w:firstLineChars="100" w:firstLine="160"/>
              <w:rPr>
                <w:rFonts w:cs="Arial"/>
                <w:color w:val="000000"/>
                <w:sz w:val="16"/>
                <w:szCs w:val="16"/>
              </w:rPr>
            </w:pPr>
            <w:r w:rsidRPr="00D92E20">
              <w:rPr>
                <w:rFonts w:cs="Arial"/>
                <w:color w:val="000000"/>
                <w:sz w:val="16"/>
                <w:szCs w:val="16"/>
              </w:rPr>
              <w:t>Plzeňský kraj</w:t>
            </w:r>
          </w:p>
        </w:tc>
        <w:tc>
          <w:tcPr>
            <w:tcW w:w="697" w:type="dxa"/>
            <w:tcBorders>
              <w:top w:val="nil"/>
              <w:left w:val="nil"/>
              <w:bottom w:val="nil"/>
              <w:right w:val="nil"/>
            </w:tcBorders>
            <w:shd w:val="clear" w:color="auto" w:fill="auto"/>
            <w:noWrap/>
            <w:vAlign w:val="center"/>
            <w:hideMark/>
          </w:tcPr>
          <w:p w14:paraId="4D563814" w14:textId="75794644" w:rsidR="001E3AB8" w:rsidRPr="00D92E20" w:rsidRDefault="001E3AB8" w:rsidP="001E3AB8">
            <w:pPr>
              <w:spacing w:after="0" w:line="240" w:lineRule="auto"/>
              <w:jc w:val="center"/>
              <w:rPr>
                <w:rFonts w:cs="Arial"/>
                <w:color w:val="000000"/>
                <w:sz w:val="16"/>
                <w:szCs w:val="16"/>
              </w:rPr>
            </w:pPr>
            <w:r>
              <w:rPr>
                <w:rFonts w:cs="Arial"/>
                <w:sz w:val="16"/>
                <w:szCs w:val="16"/>
              </w:rPr>
              <w:t>15,9</w:t>
            </w:r>
          </w:p>
        </w:tc>
        <w:tc>
          <w:tcPr>
            <w:tcW w:w="697" w:type="dxa"/>
            <w:tcBorders>
              <w:top w:val="nil"/>
              <w:left w:val="nil"/>
              <w:bottom w:val="nil"/>
              <w:right w:val="nil"/>
            </w:tcBorders>
            <w:shd w:val="clear" w:color="auto" w:fill="auto"/>
            <w:noWrap/>
            <w:vAlign w:val="center"/>
            <w:hideMark/>
          </w:tcPr>
          <w:p w14:paraId="7FB23D64" w14:textId="62F83825" w:rsidR="001E3AB8" w:rsidRPr="00D92E20" w:rsidRDefault="001E3AB8" w:rsidP="001E3AB8">
            <w:pPr>
              <w:spacing w:after="0" w:line="240" w:lineRule="auto"/>
              <w:jc w:val="center"/>
              <w:rPr>
                <w:rFonts w:cs="Arial"/>
                <w:color w:val="000000"/>
                <w:sz w:val="16"/>
                <w:szCs w:val="16"/>
              </w:rPr>
            </w:pPr>
            <w:r>
              <w:rPr>
                <w:rFonts w:cs="Arial"/>
                <w:sz w:val="16"/>
                <w:szCs w:val="16"/>
              </w:rPr>
              <w:t>19,8</w:t>
            </w:r>
          </w:p>
        </w:tc>
        <w:tc>
          <w:tcPr>
            <w:tcW w:w="697" w:type="dxa"/>
            <w:tcBorders>
              <w:top w:val="nil"/>
              <w:left w:val="nil"/>
              <w:bottom w:val="nil"/>
              <w:right w:val="nil"/>
            </w:tcBorders>
            <w:shd w:val="clear" w:color="auto" w:fill="auto"/>
            <w:noWrap/>
            <w:vAlign w:val="center"/>
            <w:hideMark/>
          </w:tcPr>
          <w:p w14:paraId="73EA1545" w14:textId="6F72661A" w:rsidR="001E3AB8" w:rsidRPr="00D92E20" w:rsidRDefault="001E3AB8" w:rsidP="001E3AB8">
            <w:pPr>
              <w:spacing w:after="0" w:line="240" w:lineRule="auto"/>
              <w:jc w:val="center"/>
              <w:rPr>
                <w:rFonts w:cs="Arial"/>
                <w:color w:val="000000"/>
                <w:sz w:val="16"/>
                <w:szCs w:val="16"/>
              </w:rPr>
            </w:pPr>
            <w:r>
              <w:rPr>
                <w:rFonts w:cs="Arial"/>
                <w:sz w:val="16"/>
                <w:szCs w:val="16"/>
              </w:rPr>
              <w:t>18,2</w:t>
            </w:r>
          </w:p>
        </w:tc>
        <w:tc>
          <w:tcPr>
            <w:tcW w:w="697" w:type="dxa"/>
            <w:tcBorders>
              <w:top w:val="nil"/>
              <w:left w:val="nil"/>
              <w:bottom w:val="nil"/>
              <w:right w:val="nil"/>
            </w:tcBorders>
            <w:shd w:val="clear" w:color="auto" w:fill="auto"/>
            <w:noWrap/>
            <w:vAlign w:val="center"/>
            <w:hideMark/>
          </w:tcPr>
          <w:p w14:paraId="763EE04A" w14:textId="01C32081" w:rsidR="001E3AB8" w:rsidRPr="00D92E20" w:rsidRDefault="001E3AB8" w:rsidP="001E3AB8">
            <w:pPr>
              <w:spacing w:after="0" w:line="240" w:lineRule="auto"/>
              <w:jc w:val="center"/>
              <w:rPr>
                <w:rFonts w:cs="Arial"/>
                <w:color w:val="000000"/>
                <w:sz w:val="16"/>
                <w:szCs w:val="16"/>
              </w:rPr>
            </w:pPr>
            <w:r>
              <w:rPr>
                <w:rFonts w:cs="Arial"/>
                <w:sz w:val="16"/>
                <w:szCs w:val="16"/>
              </w:rPr>
              <w:t>24,0</w:t>
            </w:r>
          </w:p>
        </w:tc>
        <w:tc>
          <w:tcPr>
            <w:tcW w:w="697" w:type="dxa"/>
            <w:tcBorders>
              <w:top w:val="nil"/>
              <w:left w:val="nil"/>
              <w:bottom w:val="nil"/>
              <w:right w:val="nil"/>
            </w:tcBorders>
            <w:shd w:val="clear" w:color="auto" w:fill="auto"/>
            <w:noWrap/>
            <w:vAlign w:val="center"/>
            <w:hideMark/>
          </w:tcPr>
          <w:p w14:paraId="652F6A32" w14:textId="04BBA612" w:rsidR="001E3AB8" w:rsidRPr="00D92E20" w:rsidRDefault="001E3AB8" w:rsidP="001E3AB8">
            <w:pPr>
              <w:spacing w:after="0" w:line="240" w:lineRule="auto"/>
              <w:jc w:val="center"/>
              <w:rPr>
                <w:rFonts w:cs="Arial"/>
                <w:color w:val="000000"/>
                <w:sz w:val="16"/>
                <w:szCs w:val="16"/>
              </w:rPr>
            </w:pPr>
            <w:r>
              <w:rPr>
                <w:rFonts w:cs="Arial"/>
                <w:color w:val="000000"/>
                <w:sz w:val="16"/>
                <w:szCs w:val="16"/>
              </w:rPr>
              <w:t>22,8</w:t>
            </w:r>
          </w:p>
        </w:tc>
        <w:tc>
          <w:tcPr>
            <w:tcW w:w="697" w:type="dxa"/>
            <w:tcBorders>
              <w:top w:val="nil"/>
              <w:left w:val="nil"/>
              <w:bottom w:val="nil"/>
              <w:right w:val="nil"/>
            </w:tcBorders>
            <w:shd w:val="clear" w:color="auto" w:fill="auto"/>
            <w:noWrap/>
            <w:vAlign w:val="center"/>
            <w:hideMark/>
          </w:tcPr>
          <w:p w14:paraId="6709EEFB" w14:textId="5675AF0D" w:rsidR="001E3AB8" w:rsidRPr="00D92E20" w:rsidRDefault="001E3AB8" w:rsidP="001E3AB8">
            <w:pPr>
              <w:spacing w:after="0" w:line="240" w:lineRule="auto"/>
              <w:jc w:val="center"/>
              <w:rPr>
                <w:rFonts w:cs="Arial"/>
                <w:color w:val="000000"/>
                <w:sz w:val="16"/>
                <w:szCs w:val="16"/>
              </w:rPr>
            </w:pPr>
            <w:r>
              <w:rPr>
                <w:rFonts w:cs="Arial"/>
                <w:color w:val="000000"/>
                <w:sz w:val="16"/>
                <w:szCs w:val="16"/>
              </w:rPr>
              <w:t>24,5</w:t>
            </w:r>
          </w:p>
        </w:tc>
        <w:tc>
          <w:tcPr>
            <w:tcW w:w="697" w:type="dxa"/>
            <w:tcBorders>
              <w:top w:val="nil"/>
              <w:left w:val="nil"/>
              <w:bottom w:val="nil"/>
              <w:right w:val="nil"/>
            </w:tcBorders>
            <w:shd w:val="clear" w:color="auto" w:fill="auto"/>
            <w:noWrap/>
            <w:vAlign w:val="center"/>
            <w:hideMark/>
          </w:tcPr>
          <w:p w14:paraId="032205D4" w14:textId="796391F6" w:rsidR="001E3AB8" w:rsidRPr="00D92E20" w:rsidRDefault="001E3AB8" w:rsidP="001E3AB8">
            <w:pPr>
              <w:spacing w:after="0" w:line="240" w:lineRule="auto"/>
              <w:jc w:val="center"/>
              <w:rPr>
                <w:rFonts w:cs="Arial"/>
                <w:color w:val="000000"/>
                <w:sz w:val="16"/>
                <w:szCs w:val="16"/>
              </w:rPr>
            </w:pPr>
            <w:r>
              <w:rPr>
                <w:rFonts w:cs="Arial"/>
                <w:color w:val="000000"/>
                <w:sz w:val="16"/>
                <w:szCs w:val="16"/>
              </w:rPr>
              <w:t>26,2</w:t>
            </w:r>
          </w:p>
        </w:tc>
        <w:tc>
          <w:tcPr>
            <w:tcW w:w="697" w:type="dxa"/>
            <w:tcBorders>
              <w:top w:val="nil"/>
              <w:left w:val="nil"/>
              <w:bottom w:val="nil"/>
              <w:right w:val="nil"/>
            </w:tcBorders>
            <w:shd w:val="clear" w:color="auto" w:fill="auto"/>
            <w:noWrap/>
            <w:vAlign w:val="center"/>
            <w:hideMark/>
          </w:tcPr>
          <w:p w14:paraId="4B46460B" w14:textId="62845D94" w:rsidR="001E3AB8" w:rsidRPr="00D92E20" w:rsidRDefault="001E3AB8" w:rsidP="001E3AB8">
            <w:pPr>
              <w:spacing w:after="0" w:line="240" w:lineRule="auto"/>
              <w:jc w:val="center"/>
              <w:rPr>
                <w:rFonts w:cs="Arial"/>
                <w:color w:val="000000"/>
                <w:sz w:val="16"/>
                <w:szCs w:val="16"/>
              </w:rPr>
            </w:pPr>
            <w:r>
              <w:rPr>
                <w:rFonts w:cs="Arial"/>
                <w:color w:val="000000"/>
                <w:sz w:val="16"/>
                <w:szCs w:val="16"/>
              </w:rPr>
              <w:t>24,1</w:t>
            </w:r>
          </w:p>
        </w:tc>
        <w:tc>
          <w:tcPr>
            <w:tcW w:w="697" w:type="dxa"/>
            <w:tcBorders>
              <w:top w:val="nil"/>
              <w:left w:val="nil"/>
              <w:bottom w:val="nil"/>
              <w:right w:val="nil"/>
            </w:tcBorders>
            <w:shd w:val="clear" w:color="auto" w:fill="auto"/>
            <w:noWrap/>
            <w:vAlign w:val="center"/>
            <w:hideMark/>
          </w:tcPr>
          <w:p w14:paraId="61F9FE65" w14:textId="223AFC6D" w:rsidR="001E3AB8" w:rsidRPr="00D92E20" w:rsidRDefault="001E3AB8" w:rsidP="001E3AB8">
            <w:pPr>
              <w:spacing w:after="0" w:line="240" w:lineRule="auto"/>
              <w:jc w:val="center"/>
              <w:rPr>
                <w:rFonts w:cs="Arial"/>
                <w:color w:val="000000"/>
                <w:sz w:val="16"/>
                <w:szCs w:val="16"/>
              </w:rPr>
            </w:pPr>
            <w:r>
              <w:rPr>
                <w:rFonts w:cs="Arial"/>
                <w:color w:val="000000"/>
                <w:sz w:val="16"/>
                <w:szCs w:val="16"/>
              </w:rPr>
              <w:t>25,4</w:t>
            </w:r>
          </w:p>
        </w:tc>
        <w:tc>
          <w:tcPr>
            <w:tcW w:w="697" w:type="dxa"/>
            <w:tcBorders>
              <w:top w:val="nil"/>
              <w:left w:val="nil"/>
              <w:bottom w:val="nil"/>
              <w:right w:val="nil"/>
            </w:tcBorders>
            <w:shd w:val="clear" w:color="auto" w:fill="auto"/>
            <w:noWrap/>
            <w:vAlign w:val="center"/>
            <w:hideMark/>
          </w:tcPr>
          <w:p w14:paraId="4EA156D6" w14:textId="38C5D81A" w:rsidR="001E3AB8" w:rsidRPr="00D92E20" w:rsidRDefault="001E3AB8" w:rsidP="001E3AB8">
            <w:pPr>
              <w:spacing w:after="0" w:line="240" w:lineRule="auto"/>
              <w:jc w:val="center"/>
              <w:rPr>
                <w:rFonts w:cs="Arial"/>
                <w:color w:val="000000"/>
                <w:sz w:val="16"/>
                <w:szCs w:val="16"/>
              </w:rPr>
            </w:pPr>
            <w:r>
              <w:rPr>
                <w:rFonts w:cs="Arial"/>
                <w:color w:val="000000"/>
                <w:sz w:val="16"/>
                <w:szCs w:val="16"/>
              </w:rPr>
              <w:t>37,3</w:t>
            </w:r>
          </w:p>
        </w:tc>
        <w:tc>
          <w:tcPr>
            <w:tcW w:w="697" w:type="dxa"/>
            <w:tcBorders>
              <w:top w:val="nil"/>
              <w:left w:val="nil"/>
              <w:bottom w:val="nil"/>
              <w:right w:val="nil"/>
            </w:tcBorders>
            <w:shd w:val="clear" w:color="auto" w:fill="auto"/>
            <w:noWrap/>
            <w:vAlign w:val="center"/>
            <w:hideMark/>
          </w:tcPr>
          <w:p w14:paraId="1E8D2A08" w14:textId="39AEADAC" w:rsidR="001E3AB8" w:rsidRPr="00D92E20" w:rsidRDefault="001E3AB8" w:rsidP="001E3AB8">
            <w:pPr>
              <w:spacing w:after="0" w:line="240" w:lineRule="auto"/>
              <w:jc w:val="center"/>
              <w:rPr>
                <w:rFonts w:cs="Arial"/>
                <w:color w:val="000000"/>
                <w:sz w:val="16"/>
                <w:szCs w:val="16"/>
              </w:rPr>
            </w:pPr>
            <w:r>
              <w:rPr>
                <w:rFonts w:cs="Arial"/>
                <w:color w:val="000000"/>
                <w:sz w:val="16"/>
                <w:szCs w:val="16"/>
              </w:rPr>
              <w:t>50,4</w:t>
            </w:r>
          </w:p>
        </w:tc>
      </w:tr>
      <w:tr w:rsidR="001E3AB8" w:rsidRPr="00D92E20" w14:paraId="1628DC7C" w14:textId="77777777" w:rsidTr="00B0095F">
        <w:trPr>
          <w:trHeight w:val="300"/>
        </w:trPr>
        <w:tc>
          <w:tcPr>
            <w:tcW w:w="1960" w:type="dxa"/>
            <w:tcBorders>
              <w:top w:val="nil"/>
              <w:left w:val="nil"/>
              <w:bottom w:val="nil"/>
              <w:right w:val="single" w:sz="4" w:space="0" w:color="auto"/>
            </w:tcBorders>
            <w:shd w:val="clear" w:color="auto" w:fill="auto"/>
            <w:noWrap/>
            <w:vAlign w:val="center"/>
            <w:hideMark/>
          </w:tcPr>
          <w:p w14:paraId="0F2EAF36" w14:textId="77777777" w:rsidR="001E3AB8" w:rsidRPr="00D92E20" w:rsidRDefault="001E3AB8" w:rsidP="001E3AB8">
            <w:pPr>
              <w:spacing w:after="0" w:line="240" w:lineRule="auto"/>
              <w:ind w:firstLineChars="100" w:firstLine="160"/>
              <w:rPr>
                <w:rFonts w:cs="Arial"/>
                <w:color w:val="000000"/>
                <w:sz w:val="16"/>
                <w:szCs w:val="16"/>
              </w:rPr>
            </w:pPr>
            <w:r w:rsidRPr="00D92E20">
              <w:rPr>
                <w:rFonts w:cs="Arial"/>
                <w:color w:val="000000"/>
                <w:sz w:val="16"/>
                <w:szCs w:val="16"/>
              </w:rPr>
              <w:t>Karlovarský kraj</w:t>
            </w:r>
          </w:p>
        </w:tc>
        <w:tc>
          <w:tcPr>
            <w:tcW w:w="697" w:type="dxa"/>
            <w:tcBorders>
              <w:top w:val="nil"/>
              <w:left w:val="nil"/>
              <w:bottom w:val="nil"/>
              <w:right w:val="nil"/>
            </w:tcBorders>
            <w:shd w:val="clear" w:color="auto" w:fill="auto"/>
            <w:noWrap/>
            <w:vAlign w:val="center"/>
            <w:hideMark/>
          </w:tcPr>
          <w:p w14:paraId="0D0454BB" w14:textId="074FF05D" w:rsidR="001E3AB8" w:rsidRPr="00D92E20" w:rsidRDefault="001E3AB8" w:rsidP="001E3AB8">
            <w:pPr>
              <w:spacing w:after="0" w:line="240" w:lineRule="auto"/>
              <w:jc w:val="center"/>
              <w:rPr>
                <w:rFonts w:cs="Arial"/>
                <w:color w:val="000000"/>
                <w:sz w:val="16"/>
                <w:szCs w:val="16"/>
              </w:rPr>
            </w:pPr>
            <w:r>
              <w:rPr>
                <w:rFonts w:cs="Arial"/>
                <w:sz w:val="16"/>
                <w:szCs w:val="16"/>
              </w:rPr>
              <w:t>15,3</w:t>
            </w:r>
          </w:p>
        </w:tc>
        <w:tc>
          <w:tcPr>
            <w:tcW w:w="697" w:type="dxa"/>
            <w:tcBorders>
              <w:top w:val="nil"/>
              <w:left w:val="nil"/>
              <w:bottom w:val="nil"/>
              <w:right w:val="nil"/>
            </w:tcBorders>
            <w:shd w:val="clear" w:color="auto" w:fill="auto"/>
            <w:noWrap/>
            <w:vAlign w:val="center"/>
            <w:hideMark/>
          </w:tcPr>
          <w:p w14:paraId="7A33408E" w14:textId="37B61C5C" w:rsidR="001E3AB8" w:rsidRPr="00D92E20" w:rsidRDefault="001E3AB8" w:rsidP="001E3AB8">
            <w:pPr>
              <w:spacing w:after="0" w:line="240" w:lineRule="auto"/>
              <w:jc w:val="center"/>
              <w:rPr>
                <w:rFonts w:cs="Arial"/>
                <w:color w:val="000000"/>
                <w:sz w:val="16"/>
                <w:szCs w:val="16"/>
              </w:rPr>
            </w:pPr>
            <w:r>
              <w:rPr>
                <w:rFonts w:cs="Arial"/>
                <w:sz w:val="16"/>
                <w:szCs w:val="16"/>
              </w:rPr>
              <w:t>18,4</w:t>
            </w:r>
          </w:p>
        </w:tc>
        <w:tc>
          <w:tcPr>
            <w:tcW w:w="697" w:type="dxa"/>
            <w:tcBorders>
              <w:top w:val="nil"/>
              <w:left w:val="nil"/>
              <w:bottom w:val="nil"/>
              <w:right w:val="nil"/>
            </w:tcBorders>
            <w:shd w:val="clear" w:color="auto" w:fill="auto"/>
            <w:noWrap/>
            <w:vAlign w:val="center"/>
            <w:hideMark/>
          </w:tcPr>
          <w:p w14:paraId="1B407163" w14:textId="7CDD4C2A" w:rsidR="001E3AB8" w:rsidRPr="00D92E20" w:rsidRDefault="001E3AB8" w:rsidP="001E3AB8">
            <w:pPr>
              <w:spacing w:after="0" w:line="240" w:lineRule="auto"/>
              <w:jc w:val="center"/>
              <w:rPr>
                <w:rFonts w:cs="Arial"/>
                <w:color w:val="000000"/>
                <w:sz w:val="16"/>
                <w:szCs w:val="16"/>
              </w:rPr>
            </w:pPr>
            <w:r>
              <w:rPr>
                <w:rFonts w:cs="Arial"/>
                <w:sz w:val="16"/>
                <w:szCs w:val="16"/>
              </w:rPr>
              <w:t>17,7</w:t>
            </w:r>
          </w:p>
        </w:tc>
        <w:tc>
          <w:tcPr>
            <w:tcW w:w="697" w:type="dxa"/>
            <w:tcBorders>
              <w:top w:val="nil"/>
              <w:left w:val="nil"/>
              <w:bottom w:val="nil"/>
              <w:right w:val="nil"/>
            </w:tcBorders>
            <w:shd w:val="clear" w:color="auto" w:fill="auto"/>
            <w:noWrap/>
            <w:vAlign w:val="center"/>
            <w:hideMark/>
          </w:tcPr>
          <w:p w14:paraId="124AA8BA" w14:textId="6AF78471" w:rsidR="001E3AB8" w:rsidRPr="00D92E20" w:rsidRDefault="001E3AB8" w:rsidP="001E3AB8">
            <w:pPr>
              <w:spacing w:after="0" w:line="240" w:lineRule="auto"/>
              <w:jc w:val="center"/>
              <w:rPr>
                <w:rFonts w:cs="Arial"/>
                <w:color w:val="000000"/>
                <w:sz w:val="16"/>
                <w:szCs w:val="16"/>
              </w:rPr>
            </w:pPr>
            <w:r>
              <w:rPr>
                <w:rFonts w:cs="Arial"/>
                <w:sz w:val="16"/>
                <w:szCs w:val="16"/>
              </w:rPr>
              <w:t>23,2</w:t>
            </w:r>
          </w:p>
        </w:tc>
        <w:tc>
          <w:tcPr>
            <w:tcW w:w="697" w:type="dxa"/>
            <w:tcBorders>
              <w:top w:val="nil"/>
              <w:left w:val="nil"/>
              <w:bottom w:val="nil"/>
              <w:right w:val="nil"/>
            </w:tcBorders>
            <w:shd w:val="clear" w:color="auto" w:fill="auto"/>
            <w:noWrap/>
            <w:vAlign w:val="center"/>
            <w:hideMark/>
          </w:tcPr>
          <w:p w14:paraId="55379F2B" w14:textId="1A0D3404" w:rsidR="001E3AB8" w:rsidRPr="00D92E20" w:rsidRDefault="001E3AB8" w:rsidP="001E3AB8">
            <w:pPr>
              <w:spacing w:after="0" w:line="240" w:lineRule="auto"/>
              <w:jc w:val="center"/>
              <w:rPr>
                <w:rFonts w:cs="Arial"/>
                <w:color w:val="000000"/>
                <w:sz w:val="16"/>
                <w:szCs w:val="16"/>
              </w:rPr>
            </w:pPr>
            <w:r>
              <w:rPr>
                <w:rFonts w:cs="Arial"/>
                <w:color w:val="000000"/>
                <w:sz w:val="16"/>
                <w:szCs w:val="16"/>
              </w:rPr>
              <w:t>22,1</w:t>
            </w:r>
          </w:p>
        </w:tc>
        <w:tc>
          <w:tcPr>
            <w:tcW w:w="697" w:type="dxa"/>
            <w:tcBorders>
              <w:top w:val="nil"/>
              <w:left w:val="nil"/>
              <w:bottom w:val="nil"/>
              <w:right w:val="nil"/>
            </w:tcBorders>
            <w:shd w:val="clear" w:color="auto" w:fill="auto"/>
            <w:noWrap/>
            <w:vAlign w:val="center"/>
            <w:hideMark/>
          </w:tcPr>
          <w:p w14:paraId="51E205EB" w14:textId="6BAF625C" w:rsidR="001E3AB8" w:rsidRPr="00D92E20" w:rsidRDefault="001E3AB8" w:rsidP="001E3AB8">
            <w:pPr>
              <w:spacing w:after="0" w:line="240" w:lineRule="auto"/>
              <w:jc w:val="center"/>
              <w:rPr>
                <w:rFonts w:cs="Arial"/>
                <w:color w:val="000000"/>
                <w:sz w:val="16"/>
                <w:szCs w:val="16"/>
              </w:rPr>
            </w:pPr>
            <w:r>
              <w:rPr>
                <w:rFonts w:cs="Arial"/>
                <w:color w:val="000000"/>
                <w:sz w:val="16"/>
                <w:szCs w:val="16"/>
              </w:rPr>
              <w:t>23,2</w:t>
            </w:r>
          </w:p>
        </w:tc>
        <w:tc>
          <w:tcPr>
            <w:tcW w:w="697" w:type="dxa"/>
            <w:tcBorders>
              <w:top w:val="nil"/>
              <w:left w:val="nil"/>
              <w:bottom w:val="nil"/>
              <w:right w:val="nil"/>
            </w:tcBorders>
            <w:shd w:val="clear" w:color="auto" w:fill="auto"/>
            <w:noWrap/>
            <w:vAlign w:val="center"/>
            <w:hideMark/>
          </w:tcPr>
          <w:p w14:paraId="6709E548" w14:textId="0FB051BF" w:rsidR="001E3AB8" w:rsidRPr="00D92E20" w:rsidRDefault="001E3AB8" w:rsidP="001E3AB8">
            <w:pPr>
              <w:spacing w:after="0" w:line="240" w:lineRule="auto"/>
              <w:jc w:val="center"/>
              <w:rPr>
                <w:rFonts w:cs="Arial"/>
                <w:color w:val="000000"/>
                <w:sz w:val="16"/>
                <w:szCs w:val="16"/>
              </w:rPr>
            </w:pPr>
            <w:r>
              <w:rPr>
                <w:rFonts w:cs="Arial"/>
                <w:color w:val="000000"/>
                <w:sz w:val="16"/>
                <w:szCs w:val="16"/>
              </w:rPr>
              <w:t>25,4</w:t>
            </w:r>
          </w:p>
        </w:tc>
        <w:tc>
          <w:tcPr>
            <w:tcW w:w="697" w:type="dxa"/>
            <w:tcBorders>
              <w:top w:val="nil"/>
              <w:left w:val="nil"/>
              <w:bottom w:val="nil"/>
              <w:right w:val="nil"/>
            </w:tcBorders>
            <w:shd w:val="clear" w:color="auto" w:fill="auto"/>
            <w:noWrap/>
            <w:vAlign w:val="center"/>
            <w:hideMark/>
          </w:tcPr>
          <w:p w14:paraId="01ADDDFE" w14:textId="077F7420" w:rsidR="001E3AB8" w:rsidRPr="00D92E20" w:rsidRDefault="001E3AB8" w:rsidP="001E3AB8">
            <w:pPr>
              <w:spacing w:after="0" w:line="240" w:lineRule="auto"/>
              <w:jc w:val="center"/>
              <w:rPr>
                <w:rFonts w:cs="Arial"/>
                <w:color w:val="000000"/>
                <w:sz w:val="16"/>
                <w:szCs w:val="16"/>
              </w:rPr>
            </w:pPr>
            <w:r>
              <w:rPr>
                <w:rFonts w:cs="Arial"/>
                <w:color w:val="000000"/>
                <w:sz w:val="16"/>
                <w:szCs w:val="16"/>
              </w:rPr>
              <w:t>23,3</w:t>
            </w:r>
          </w:p>
        </w:tc>
        <w:tc>
          <w:tcPr>
            <w:tcW w:w="697" w:type="dxa"/>
            <w:tcBorders>
              <w:top w:val="nil"/>
              <w:left w:val="nil"/>
              <w:bottom w:val="nil"/>
              <w:right w:val="nil"/>
            </w:tcBorders>
            <w:shd w:val="clear" w:color="auto" w:fill="auto"/>
            <w:noWrap/>
            <w:vAlign w:val="center"/>
            <w:hideMark/>
          </w:tcPr>
          <w:p w14:paraId="0629FCCB" w14:textId="10BCB0F7" w:rsidR="001E3AB8" w:rsidRPr="00D92E20" w:rsidRDefault="001E3AB8" w:rsidP="001E3AB8">
            <w:pPr>
              <w:spacing w:after="0" w:line="240" w:lineRule="auto"/>
              <w:jc w:val="center"/>
              <w:rPr>
                <w:rFonts w:cs="Arial"/>
                <w:color w:val="000000"/>
                <w:sz w:val="16"/>
                <w:szCs w:val="16"/>
              </w:rPr>
            </w:pPr>
            <w:r>
              <w:rPr>
                <w:rFonts w:cs="Arial"/>
                <w:color w:val="000000"/>
                <w:sz w:val="16"/>
                <w:szCs w:val="16"/>
              </w:rPr>
              <w:t>24,3</w:t>
            </w:r>
          </w:p>
        </w:tc>
        <w:tc>
          <w:tcPr>
            <w:tcW w:w="697" w:type="dxa"/>
            <w:tcBorders>
              <w:top w:val="nil"/>
              <w:left w:val="nil"/>
              <w:bottom w:val="nil"/>
              <w:right w:val="nil"/>
            </w:tcBorders>
            <w:shd w:val="clear" w:color="auto" w:fill="auto"/>
            <w:noWrap/>
            <w:vAlign w:val="center"/>
            <w:hideMark/>
          </w:tcPr>
          <w:p w14:paraId="13D3AEF9" w14:textId="2169D6A6" w:rsidR="001E3AB8" w:rsidRPr="00D92E20" w:rsidRDefault="001E3AB8" w:rsidP="001E3AB8">
            <w:pPr>
              <w:spacing w:after="0" w:line="240" w:lineRule="auto"/>
              <w:jc w:val="center"/>
              <w:rPr>
                <w:rFonts w:cs="Arial"/>
                <w:color w:val="000000"/>
                <w:sz w:val="16"/>
                <w:szCs w:val="16"/>
              </w:rPr>
            </w:pPr>
            <w:r>
              <w:rPr>
                <w:rFonts w:cs="Arial"/>
                <w:color w:val="000000"/>
                <w:sz w:val="16"/>
                <w:szCs w:val="16"/>
              </w:rPr>
              <w:t>36,7</w:t>
            </w:r>
          </w:p>
        </w:tc>
        <w:tc>
          <w:tcPr>
            <w:tcW w:w="697" w:type="dxa"/>
            <w:tcBorders>
              <w:top w:val="nil"/>
              <w:left w:val="nil"/>
              <w:bottom w:val="nil"/>
              <w:right w:val="nil"/>
            </w:tcBorders>
            <w:shd w:val="clear" w:color="auto" w:fill="auto"/>
            <w:noWrap/>
            <w:vAlign w:val="center"/>
            <w:hideMark/>
          </w:tcPr>
          <w:p w14:paraId="3AEC4BE8" w14:textId="187A4C23" w:rsidR="001E3AB8" w:rsidRPr="00D92E20" w:rsidRDefault="001E3AB8" w:rsidP="001E3AB8">
            <w:pPr>
              <w:spacing w:after="0" w:line="240" w:lineRule="auto"/>
              <w:jc w:val="center"/>
              <w:rPr>
                <w:rFonts w:cs="Arial"/>
                <w:color w:val="000000"/>
                <w:sz w:val="16"/>
                <w:szCs w:val="16"/>
              </w:rPr>
            </w:pPr>
            <w:r>
              <w:rPr>
                <w:rFonts w:cs="Arial"/>
                <w:color w:val="000000"/>
                <w:sz w:val="16"/>
                <w:szCs w:val="16"/>
              </w:rPr>
              <w:t>46,9</w:t>
            </w:r>
          </w:p>
        </w:tc>
      </w:tr>
      <w:tr w:rsidR="001E3AB8" w:rsidRPr="00D92E20" w14:paraId="76EFBC19" w14:textId="77777777" w:rsidTr="00B0095F">
        <w:trPr>
          <w:trHeight w:val="300"/>
        </w:trPr>
        <w:tc>
          <w:tcPr>
            <w:tcW w:w="1960" w:type="dxa"/>
            <w:tcBorders>
              <w:top w:val="nil"/>
              <w:left w:val="nil"/>
              <w:bottom w:val="nil"/>
              <w:right w:val="single" w:sz="4" w:space="0" w:color="auto"/>
            </w:tcBorders>
            <w:shd w:val="clear" w:color="auto" w:fill="auto"/>
            <w:noWrap/>
            <w:vAlign w:val="center"/>
            <w:hideMark/>
          </w:tcPr>
          <w:p w14:paraId="389F5112" w14:textId="77777777" w:rsidR="001E3AB8" w:rsidRPr="00D92E20" w:rsidRDefault="001E3AB8" w:rsidP="001E3AB8">
            <w:pPr>
              <w:spacing w:after="0" w:line="240" w:lineRule="auto"/>
              <w:ind w:firstLineChars="100" w:firstLine="160"/>
              <w:rPr>
                <w:rFonts w:cs="Arial"/>
                <w:color w:val="000000"/>
                <w:sz w:val="16"/>
                <w:szCs w:val="16"/>
              </w:rPr>
            </w:pPr>
            <w:r w:rsidRPr="00D92E20">
              <w:rPr>
                <w:rFonts w:cs="Arial"/>
                <w:color w:val="000000"/>
                <w:sz w:val="16"/>
                <w:szCs w:val="16"/>
              </w:rPr>
              <w:t>Ústecký kraj</w:t>
            </w:r>
          </w:p>
        </w:tc>
        <w:tc>
          <w:tcPr>
            <w:tcW w:w="697" w:type="dxa"/>
            <w:tcBorders>
              <w:top w:val="nil"/>
              <w:left w:val="nil"/>
              <w:bottom w:val="nil"/>
              <w:right w:val="nil"/>
            </w:tcBorders>
            <w:shd w:val="clear" w:color="auto" w:fill="auto"/>
            <w:noWrap/>
            <w:vAlign w:val="center"/>
            <w:hideMark/>
          </w:tcPr>
          <w:p w14:paraId="52F5F914" w14:textId="5147B83B" w:rsidR="001E3AB8" w:rsidRPr="00D92E20" w:rsidRDefault="001E3AB8" w:rsidP="001E3AB8">
            <w:pPr>
              <w:spacing w:after="0" w:line="240" w:lineRule="auto"/>
              <w:jc w:val="center"/>
              <w:rPr>
                <w:rFonts w:cs="Arial"/>
                <w:color w:val="000000"/>
                <w:sz w:val="16"/>
                <w:szCs w:val="16"/>
              </w:rPr>
            </w:pPr>
            <w:r>
              <w:rPr>
                <w:rFonts w:cs="Arial"/>
                <w:sz w:val="16"/>
                <w:szCs w:val="16"/>
              </w:rPr>
              <w:t>13,6</w:t>
            </w:r>
          </w:p>
        </w:tc>
        <w:tc>
          <w:tcPr>
            <w:tcW w:w="697" w:type="dxa"/>
            <w:tcBorders>
              <w:top w:val="nil"/>
              <w:left w:val="nil"/>
              <w:bottom w:val="nil"/>
              <w:right w:val="nil"/>
            </w:tcBorders>
            <w:shd w:val="clear" w:color="auto" w:fill="auto"/>
            <w:noWrap/>
            <w:vAlign w:val="center"/>
            <w:hideMark/>
          </w:tcPr>
          <w:p w14:paraId="4161506D" w14:textId="363DD5EA" w:rsidR="001E3AB8" w:rsidRPr="00D92E20" w:rsidRDefault="001E3AB8" w:rsidP="001E3AB8">
            <w:pPr>
              <w:spacing w:after="0" w:line="240" w:lineRule="auto"/>
              <w:jc w:val="center"/>
              <w:rPr>
                <w:rFonts w:cs="Arial"/>
                <w:color w:val="000000"/>
                <w:sz w:val="16"/>
                <w:szCs w:val="16"/>
              </w:rPr>
            </w:pPr>
            <w:r>
              <w:rPr>
                <w:rFonts w:cs="Arial"/>
                <w:sz w:val="16"/>
                <w:szCs w:val="16"/>
              </w:rPr>
              <w:t>17,5</w:t>
            </w:r>
          </w:p>
        </w:tc>
        <w:tc>
          <w:tcPr>
            <w:tcW w:w="697" w:type="dxa"/>
            <w:tcBorders>
              <w:top w:val="nil"/>
              <w:left w:val="nil"/>
              <w:bottom w:val="nil"/>
              <w:right w:val="nil"/>
            </w:tcBorders>
            <w:shd w:val="clear" w:color="auto" w:fill="auto"/>
            <w:noWrap/>
            <w:vAlign w:val="center"/>
            <w:hideMark/>
          </w:tcPr>
          <w:p w14:paraId="4D574F79" w14:textId="3D333721" w:rsidR="001E3AB8" w:rsidRPr="00D92E20" w:rsidRDefault="001E3AB8" w:rsidP="001E3AB8">
            <w:pPr>
              <w:spacing w:after="0" w:line="240" w:lineRule="auto"/>
              <w:jc w:val="center"/>
              <w:rPr>
                <w:rFonts w:cs="Arial"/>
                <w:color w:val="000000"/>
                <w:sz w:val="16"/>
                <w:szCs w:val="16"/>
              </w:rPr>
            </w:pPr>
            <w:r>
              <w:rPr>
                <w:rFonts w:cs="Arial"/>
                <w:sz w:val="16"/>
                <w:szCs w:val="16"/>
              </w:rPr>
              <w:t>15,4</w:t>
            </w:r>
          </w:p>
        </w:tc>
        <w:tc>
          <w:tcPr>
            <w:tcW w:w="697" w:type="dxa"/>
            <w:tcBorders>
              <w:top w:val="nil"/>
              <w:left w:val="nil"/>
              <w:bottom w:val="nil"/>
              <w:right w:val="nil"/>
            </w:tcBorders>
            <w:shd w:val="clear" w:color="auto" w:fill="auto"/>
            <w:noWrap/>
            <w:vAlign w:val="center"/>
            <w:hideMark/>
          </w:tcPr>
          <w:p w14:paraId="2990A1AF" w14:textId="7A2389DB" w:rsidR="001E3AB8" w:rsidRPr="00D92E20" w:rsidRDefault="001E3AB8" w:rsidP="001E3AB8">
            <w:pPr>
              <w:spacing w:after="0" w:line="240" w:lineRule="auto"/>
              <w:jc w:val="center"/>
              <w:rPr>
                <w:rFonts w:cs="Arial"/>
                <w:color w:val="000000"/>
                <w:sz w:val="16"/>
                <w:szCs w:val="16"/>
              </w:rPr>
            </w:pPr>
            <w:r>
              <w:rPr>
                <w:rFonts w:cs="Arial"/>
                <w:sz w:val="16"/>
                <w:szCs w:val="16"/>
              </w:rPr>
              <w:t>19,9</w:t>
            </w:r>
          </w:p>
        </w:tc>
        <w:tc>
          <w:tcPr>
            <w:tcW w:w="697" w:type="dxa"/>
            <w:tcBorders>
              <w:top w:val="nil"/>
              <w:left w:val="nil"/>
              <w:bottom w:val="nil"/>
              <w:right w:val="nil"/>
            </w:tcBorders>
            <w:shd w:val="clear" w:color="auto" w:fill="auto"/>
            <w:noWrap/>
            <w:vAlign w:val="center"/>
            <w:hideMark/>
          </w:tcPr>
          <w:p w14:paraId="2C97906A" w14:textId="2289F573" w:rsidR="001E3AB8" w:rsidRPr="00D92E20" w:rsidRDefault="001E3AB8" w:rsidP="001E3AB8">
            <w:pPr>
              <w:spacing w:after="0" w:line="240" w:lineRule="auto"/>
              <w:jc w:val="center"/>
              <w:rPr>
                <w:rFonts w:cs="Arial"/>
                <w:color w:val="000000"/>
                <w:sz w:val="16"/>
                <w:szCs w:val="16"/>
              </w:rPr>
            </w:pPr>
            <w:r>
              <w:rPr>
                <w:rFonts w:cs="Arial"/>
                <w:color w:val="000000"/>
                <w:sz w:val="16"/>
                <w:szCs w:val="16"/>
              </w:rPr>
              <w:t>20,5</w:t>
            </w:r>
          </w:p>
        </w:tc>
        <w:tc>
          <w:tcPr>
            <w:tcW w:w="697" w:type="dxa"/>
            <w:tcBorders>
              <w:top w:val="nil"/>
              <w:left w:val="nil"/>
              <w:bottom w:val="nil"/>
              <w:right w:val="nil"/>
            </w:tcBorders>
            <w:shd w:val="clear" w:color="auto" w:fill="auto"/>
            <w:noWrap/>
            <w:vAlign w:val="center"/>
            <w:hideMark/>
          </w:tcPr>
          <w:p w14:paraId="4D8C042E" w14:textId="2B324D4F" w:rsidR="001E3AB8" w:rsidRPr="00D92E20" w:rsidRDefault="001E3AB8" w:rsidP="001E3AB8">
            <w:pPr>
              <w:spacing w:after="0" w:line="240" w:lineRule="auto"/>
              <w:jc w:val="center"/>
              <w:rPr>
                <w:rFonts w:cs="Arial"/>
                <w:color w:val="000000"/>
                <w:sz w:val="16"/>
                <w:szCs w:val="16"/>
              </w:rPr>
            </w:pPr>
            <w:r>
              <w:rPr>
                <w:rFonts w:cs="Arial"/>
                <w:color w:val="000000"/>
                <w:sz w:val="16"/>
                <w:szCs w:val="16"/>
              </w:rPr>
              <w:t>21,3</w:t>
            </w:r>
          </w:p>
        </w:tc>
        <w:tc>
          <w:tcPr>
            <w:tcW w:w="697" w:type="dxa"/>
            <w:tcBorders>
              <w:top w:val="nil"/>
              <w:left w:val="nil"/>
              <w:bottom w:val="nil"/>
              <w:right w:val="nil"/>
            </w:tcBorders>
            <w:shd w:val="clear" w:color="auto" w:fill="auto"/>
            <w:noWrap/>
            <w:vAlign w:val="center"/>
            <w:hideMark/>
          </w:tcPr>
          <w:p w14:paraId="0F89321B" w14:textId="1DE4410E" w:rsidR="001E3AB8" w:rsidRPr="00D92E20" w:rsidRDefault="001E3AB8" w:rsidP="001E3AB8">
            <w:pPr>
              <w:spacing w:after="0" w:line="240" w:lineRule="auto"/>
              <w:jc w:val="center"/>
              <w:rPr>
                <w:rFonts w:cs="Arial"/>
                <w:color w:val="000000"/>
                <w:sz w:val="16"/>
                <w:szCs w:val="16"/>
              </w:rPr>
            </w:pPr>
            <w:r>
              <w:rPr>
                <w:rFonts w:cs="Arial"/>
                <w:color w:val="000000"/>
                <w:sz w:val="16"/>
                <w:szCs w:val="16"/>
              </w:rPr>
              <w:t>24,2</w:t>
            </w:r>
          </w:p>
        </w:tc>
        <w:tc>
          <w:tcPr>
            <w:tcW w:w="697" w:type="dxa"/>
            <w:tcBorders>
              <w:top w:val="nil"/>
              <w:left w:val="nil"/>
              <w:bottom w:val="nil"/>
              <w:right w:val="nil"/>
            </w:tcBorders>
            <w:shd w:val="clear" w:color="auto" w:fill="auto"/>
            <w:noWrap/>
            <w:vAlign w:val="center"/>
            <w:hideMark/>
          </w:tcPr>
          <w:p w14:paraId="1D53DDAC" w14:textId="2203712E" w:rsidR="001E3AB8" w:rsidRPr="00D92E20" w:rsidRDefault="001E3AB8" w:rsidP="001E3AB8">
            <w:pPr>
              <w:spacing w:after="0" w:line="240" w:lineRule="auto"/>
              <w:jc w:val="center"/>
              <w:rPr>
                <w:rFonts w:cs="Arial"/>
                <w:color w:val="000000"/>
                <w:sz w:val="16"/>
                <w:szCs w:val="16"/>
              </w:rPr>
            </w:pPr>
            <w:r>
              <w:rPr>
                <w:rFonts w:cs="Arial"/>
                <w:color w:val="000000"/>
                <w:sz w:val="16"/>
                <w:szCs w:val="16"/>
              </w:rPr>
              <w:t>22,5</w:t>
            </w:r>
          </w:p>
        </w:tc>
        <w:tc>
          <w:tcPr>
            <w:tcW w:w="697" w:type="dxa"/>
            <w:tcBorders>
              <w:top w:val="nil"/>
              <w:left w:val="nil"/>
              <w:bottom w:val="nil"/>
              <w:right w:val="nil"/>
            </w:tcBorders>
            <w:shd w:val="clear" w:color="auto" w:fill="auto"/>
            <w:noWrap/>
            <w:vAlign w:val="center"/>
            <w:hideMark/>
          </w:tcPr>
          <w:p w14:paraId="356BDB3D" w14:textId="67B7D60C" w:rsidR="001E3AB8" w:rsidRPr="00D92E20" w:rsidRDefault="001E3AB8" w:rsidP="001E3AB8">
            <w:pPr>
              <w:spacing w:after="0" w:line="240" w:lineRule="auto"/>
              <w:jc w:val="center"/>
              <w:rPr>
                <w:rFonts w:cs="Arial"/>
                <w:color w:val="000000"/>
                <w:sz w:val="16"/>
                <w:szCs w:val="16"/>
              </w:rPr>
            </w:pPr>
            <w:r>
              <w:rPr>
                <w:rFonts w:cs="Arial"/>
                <w:color w:val="000000"/>
                <w:sz w:val="16"/>
                <w:szCs w:val="16"/>
              </w:rPr>
              <w:t>23,7</w:t>
            </w:r>
          </w:p>
        </w:tc>
        <w:tc>
          <w:tcPr>
            <w:tcW w:w="697" w:type="dxa"/>
            <w:tcBorders>
              <w:top w:val="nil"/>
              <w:left w:val="nil"/>
              <w:bottom w:val="nil"/>
              <w:right w:val="nil"/>
            </w:tcBorders>
            <w:shd w:val="clear" w:color="auto" w:fill="auto"/>
            <w:noWrap/>
            <w:vAlign w:val="center"/>
            <w:hideMark/>
          </w:tcPr>
          <w:p w14:paraId="05C67F24" w14:textId="71D5225D" w:rsidR="001E3AB8" w:rsidRPr="00D92E20" w:rsidRDefault="001E3AB8" w:rsidP="001E3AB8">
            <w:pPr>
              <w:spacing w:after="0" w:line="240" w:lineRule="auto"/>
              <w:jc w:val="center"/>
              <w:rPr>
                <w:rFonts w:cs="Arial"/>
                <w:color w:val="000000"/>
                <w:sz w:val="16"/>
                <w:szCs w:val="16"/>
              </w:rPr>
            </w:pPr>
            <w:r>
              <w:rPr>
                <w:rFonts w:cs="Arial"/>
                <w:color w:val="000000"/>
                <w:sz w:val="16"/>
                <w:szCs w:val="16"/>
              </w:rPr>
              <w:t>35,2</w:t>
            </w:r>
          </w:p>
        </w:tc>
        <w:tc>
          <w:tcPr>
            <w:tcW w:w="697" w:type="dxa"/>
            <w:tcBorders>
              <w:top w:val="nil"/>
              <w:left w:val="nil"/>
              <w:bottom w:val="nil"/>
              <w:right w:val="nil"/>
            </w:tcBorders>
            <w:shd w:val="clear" w:color="auto" w:fill="auto"/>
            <w:noWrap/>
            <w:vAlign w:val="center"/>
            <w:hideMark/>
          </w:tcPr>
          <w:p w14:paraId="2B084299" w14:textId="0B578720" w:rsidR="001E3AB8" w:rsidRPr="00D92E20" w:rsidRDefault="001E3AB8" w:rsidP="001E3AB8">
            <w:pPr>
              <w:spacing w:after="0" w:line="240" w:lineRule="auto"/>
              <w:jc w:val="center"/>
              <w:rPr>
                <w:rFonts w:cs="Arial"/>
                <w:color w:val="000000"/>
                <w:sz w:val="16"/>
                <w:szCs w:val="16"/>
              </w:rPr>
            </w:pPr>
            <w:r>
              <w:rPr>
                <w:rFonts w:cs="Arial"/>
                <w:color w:val="000000"/>
                <w:sz w:val="16"/>
                <w:szCs w:val="16"/>
              </w:rPr>
              <w:t>48,9</w:t>
            </w:r>
          </w:p>
        </w:tc>
      </w:tr>
      <w:tr w:rsidR="001E3AB8" w:rsidRPr="00D92E20" w14:paraId="06620123" w14:textId="77777777" w:rsidTr="00B0095F">
        <w:trPr>
          <w:trHeight w:val="300"/>
        </w:trPr>
        <w:tc>
          <w:tcPr>
            <w:tcW w:w="1960" w:type="dxa"/>
            <w:tcBorders>
              <w:top w:val="nil"/>
              <w:left w:val="nil"/>
              <w:bottom w:val="nil"/>
              <w:right w:val="single" w:sz="4" w:space="0" w:color="auto"/>
            </w:tcBorders>
            <w:shd w:val="clear" w:color="auto" w:fill="auto"/>
            <w:noWrap/>
            <w:vAlign w:val="center"/>
            <w:hideMark/>
          </w:tcPr>
          <w:p w14:paraId="66100716" w14:textId="77777777" w:rsidR="001E3AB8" w:rsidRPr="00D92E20" w:rsidRDefault="001E3AB8" w:rsidP="001E3AB8">
            <w:pPr>
              <w:spacing w:after="0" w:line="240" w:lineRule="auto"/>
              <w:ind w:firstLineChars="100" w:firstLine="160"/>
              <w:rPr>
                <w:rFonts w:cs="Arial"/>
                <w:color w:val="000000"/>
                <w:sz w:val="16"/>
                <w:szCs w:val="16"/>
              </w:rPr>
            </w:pPr>
            <w:r w:rsidRPr="00D92E20">
              <w:rPr>
                <w:rFonts w:cs="Arial"/>
                <w:color w:val="000000"/>
                <w:sz w:val="16"/>
                <w:szCs w:val="16"/>
              </w:rPr>
              <w:t>Liberecký kraj</w:t>
            </w:r>
          </w:p>
        </w:tc>
        <w:tc>
          <w:tcPr>
            <w:tcW w:w="697" w:type="dxa"/>
            <w:tcBorders>
              <w:top w:val="nil"/>
              <w:left w:val="nil"/>
              <w:bottom w:val="nil"/>
              <w:right w:val="nil"/>
            </w:tcBorders>
            <w:shd w:val="clear" w:color="auto" w:fill="auto"/>
            <w:noWrap/>
            <w:vAlign w:val="center"/>
            <w:hideMark/>
          </w:tcPr>
          <w:p w14:paraId="0FECC883" w14:textId="4BC6154B" w:rsidR="001E3AB8" w:rsidRPr="00D92E20" w:rsidRDefault="001E3AB8" w:rsidP="001E3AB8">
            <w:pPr>
              <w:spacing w:after="0" w:line="240" w:lineRule="auto"/>
              <w:jc w:val="center"/>
              <w:rPr>
                <w:rFonts w:cs="Arial"/>
                <w:color w:val="000000"/>
                <w:sz w:val="16"/>
                <w:szCs w:val="16"/>
              </w:rPr>
            </w:pPr>
            <w:r>
              <w:rPr>
                <w:rFonts w:cs="Arial"/>
                <w:sz w:val="16"/>
                <w:szCs w:val="16"/>
              </w:rPr>
              <w:t>15,5</w:t>
            </w:r>
          </w:p>
        </w:tc>
        <w:tc>
          <w:tcPr>
            <w:tcW w:w="697" w:type="dxa"/>
            <w:tcBorders>
              <w:top w:val="nil"/>
              <w:left w:val="nil"/>
              <w:bottom w:val="nil"/>
              <w:right w:val="nil"/>
            </w:tcBorders>
            <w:shd w:val="clear" w:color="auto" w:fill="auto"/>
            <w:noWrap/>
            <w:vAlign w:val="center"/>
            <w:hideMark/>
          </w:tcPr>
          <w:p w14:paraId="09D50430" w14:textId="6E980646" w:rsidR="001E3AB8" w:rsidRPr="00D92E20" w:rsidRDefault="001E3AB8" w:rsidP="001E3AB8">
            <w:pPr>
              <w:spacing w:after="0" w:line="240" w:lineRule="auto"/>
              <w:jc w:val="center"/>
              <w:rPr>
                <w:rFonts w:cs="Arial"/>
                <w:color w:val="000000"/>
                <w:sz w:val="16"/>
                <w:szCs w:val="16"/>
              </w:rPr>
            </w:pPr>
            <w:r>
              <w:rPr>
                <w:rFonts w:cs="Arial"/>
                <w:sz w:val="16"/>
                <w:szCs w:val="16"/>
              </w:rPr>
              <w:t>20,5</w:t>
            </w:r>
          </w:p>
        </w:tc>
        <w:tc>
          <w:tcPr>
            <w:tcW w:w="697" w:type="dxa"/>
            <w:tcBorders>
              <w:top w:val="nil"/>
              <w:left w:val="nil"/>
              <w:bottom w:val="nil"/>
              <w:right w:val="nil"/>
            </w:tcBorders>
            <w:shd w:val="clear" w:color="auto" w:fill="auto"/>
            <w:noWrap/>
            <w:vAlign w:val="center"/>
            <w:hideMark/>
          </w:tcPr>
          <w:p w14:paraId="4C0E5A90" w14:textId="76744C28" w:rsidR="001E3AB8" w:rsidRPr="00D92E20" w:rsidRDefault="001E3AB8" w:rsidP="001E3AB8">
            <w:pPr>
              <w:spacing w:after="0" w:line="240" w:lineRule="auto"/>
              <w:jc w:val="center"/>
              <w:rPr>
                <w:rFonts w:cs="Arial"/>
                <w:color w:val="000000"/>
                <w:sz w:val="16"/>
                <w:szCs w:val="16"/>
              </w:rPr>
            </w:pPr>
            <w:r>
              <w:rPr>
                <w:rFonts w:cs="Arial"/>
                <w:sz w:val="16"/>
                <w:szCs w:val="16"/>
              </w:rPr>
              <w:t>17,7</w:t>
            </w:r>
          </w:p>
        </w:tc>
        <w:tc>
          <w:tcPr>
            <w:tcW w:w="697" w:type="dxa"/>
            <w:tcBorders>
              <w:top w:val="nil"/>
              <w:left w:val="nil"/>
              <w:bottom w:val="nil"/>
              <w:right w:val="nil"/>
            </w:tcBorders>
            <w:shd w:val="clear" w:color="auto" w:fill="auto"/>
            <w:noWrap/>
            <w:vAlign w:val="center"/>
            <w:hideMark/>
          </w:tcPr>
          <w:p w14:paraId="5DB517D5" w14:textId="5282A363" w:rsidR="001E3AB8" w:rsidRPr="00D92E20" w:rsidRDefault="001E3AB8" w:rsidP="001E3AB8">
            <w:pPr>
              <w:spacing w:after="0" w:line="240" w:lineRule="auto"/>
              <w:jc w:val="center"/>
              <w:rPr>
                <w:rFonts w:cs="Arial"/>
                <w:color w:val="000000"/>
                <w:sz w:val="16"/>
                <w:szCs w:val="16"/>
              </w:rPr>
            </w:pPr>
            <w:r>
              <w:rPr>
                <w:rFonts w:cs="Arial"/>
                <w:sz w:val="16"/>
                <w:szCs w:val="16"/>
              </w:rPr>
              <w:t>22,2</w:t>
            </w:r>
          </w:p>
        </w:tc>
        <w:tc>
          <w:tcPr>
            <w:tcW w:w="697" w:type="dxa"/>
            <w:tcBorders>
              <w:top w:val="nil"/>
              <w:left w:val="nil"/>
              <w:bottom w:val="nil"/>
              <w:right w:val="nil"/>
            </w:tcBorders>
            <w:shd w:val="clear" w:color="auto" w:fill="auto"/>
            <w:noWrap/>
            <w:vAlign w:val="center"/>
            <w:hideMark/>
          </w:tcPr>
          <w:p w14:paraId="07603833" w14:textId="6A2B46D7" w:rsidR="001E3AB8" w:rsidRPr="00D92E20" w:rsidRDefault="001E3AB8" w:rsidP="001E3AB8">
            <w:pPr>
              <w:spacing w:after="0" w:line="240" w:lineRule="auto"/>
              <w:jc w:val="center"/>
              <w:rPr>
                <w:rFonts w:cs="Arial"/>
                <w:color w:val="000000"/>
                <w:sz w:val="16"/>
                <w:szCs w:val="16"/>
              </w:rPr>
            </w:pPr>
            <w:r>
              <w:rPr>
                <w:rFonts w:cs="Arial"/>
                <w:color w:val="000000"/>
                <w:sz w:val="16"/>
                <w:szCs w:val="16"/>
              </w:rPr>
              <w:t>23,1</w:t>
            </w:r>
          </w:p>
        </w:tc>
        <w:tc>
          <w:tcPr>
            <w:tcW w:w="697" w:type="dxa"/>
            <w:tcBorders>
              <w:top w:val="nil"/>
              <w:left w:val="nil"/>
              <w:bottom w:val="nil"/>
              <w:right w:val="nil"/>
            </w:tcBorders>
            <w:shd w:val="clear" w:color="auto" w:fill="auto"/>
            <w:noWrap/>
            <w:vAlign w:val="center"/>
            <w:hideMark/>
          </w:tcPr>
          <w:p w14:paraId="1158ACA2" w14:textId="35A6E29A" w:rsidR="001E3AB8" w:rsidRPr="00D92E20" w:rsidRDefault="001E3AB8" w:rsidP="001E3AB8">
            <w:pPr>
              <w:spacing w:after="0" w:line="240" w:lineRule="auto"/>
              <w:jc w:val="center"/>
              <w:rPr>
                <w:rFonts w:cs="Arial"/>
                <w:color w:val="000000"/>
                <w:sz w:val="16"/>
                <w:szCs w:val="16"/>
              </w:rPr>
            </w:pPr>
            <w:r>
              <w:rPr>
                <w:rFonts w:cs="Arial"/>
                <w:color w:val="000000"/>
                <w:sz w:val="16"/>
                <w:szCs w:val="16"/>
              </w:rPr>
              <w:t>24,2</w:t>
            </w:r>
          </w:p>
        </w:tc>
        <w:tc>
          <w:tcPr>
            <w:tcW w:w="697" w:type="dxa"/>
            <w:tcBorders>
              <w:top w:val="nil"/>
              <w:left w:val="nil"/>
              <w:bottom w:val="nil"/>
              <w:right w:val="nil"/>
            </w:tcBorders>
            <w:shd w:val="clear" w:color="auto" w:fill="auto"/>
            <w:noWrap/>
            <w:vAlign w:val="center"/>
            <w:hideMark/>
          </w:tcPr>
          <w:p w14:paraId="11E38DDC" w14:textId="3DB50DCC" w:rsidR="001E3AB8" w:rsidRPr="00D92E20" w:rsidRDefault="001E3AB8" w:rsidP="001E3AB8">
            <w:pPr>
              <w:spacing w:after="0" w:line="240" w:lineRule="auto"/>
              <w:jc w:val="center"/>
              <w:rPr>
                <w:rFonts w:cs="Arial"/>
                <w:color w:val="000000"/>
                <w:sz w:val="16"/>
                <w:szCs w:val="16"/>
              </w:rPr>
            </w:pPr>
            <w:r>
              <w:rPr>
                <w:rFonts w:cs="Arial"/>
                <w:color w:val="000000"/>
                <w:sz w:val="16"/>
                <w:szCs w:val="16"/>
              </w:rPr>
              <w:t>27,0</w:t>
            </w:r>
          </w:p>
        </w:tc>
        <w:tc>
          <w:tcPr>
            <w:tcW w:w="697" w:type="dxa"/>
            <w:tcBorders>
              <w:top w:val="nil"/>
              <w:left w:val="nil"/>
              <w:bottom w:val="nil"/>
              <w:right w:val="nil"/>
            </w:tcBorders>
            <w:shd w:val="clear" w:color="auto" w:fill="auto"/>
            <w:noWrap/>
            <w:vAlign w:val="center"/>
            <w:hideMark/>
          </w:tcPr>
          <w:p w14:paraId="61C5DD94" w14:textId="3CC18E24" w:rsidR="001E3AB8" w:rsidRPr="00D92E20" w:rsidRDefault="001E3AB8" w:rsidP="001E3AB8">
            <w:pPr>
              <w:spacing w:after="0" w:line="240" w:lineRule="auto"/>
              <w:jc w:val="center"/>
              <w:rPr>
                <w:rFonts w:cs="Arial"/>
                <w:color w:val="000000"/>
                <w:sz w:val="16"/>
                <w:szCs w:val="16"/>
              </w:rPr>
            </w:pPr>
            <w:r>
              <w:rPr>
                <w:rFonts w:cs="Arial"/>
                <w:color w:val="000000"/>
                <w:sz w:val="16"/>
                <w:szCs w:val="16"/>
              </w:rPr>
              <w:t>25,1</w:t>
            </w:r>
          </w:p>
        </w:tc>
        <w:tc>
          <w:tcPr>
            <w:tcW w:w="697" w:type="dxa"/>
            <w:tcBorders>
              <w:top w:val="nil"/>
              <w:left w:val="nil"/>
              <w:bottom w:val="nil"/>
              <w:right w:val="nil"/>
            </w:tcBorders>
            <w:shd w:val="clear" w:color="auto" w:fill="auto"/>
            <w:noWrap/>
            <w:vAlign w:val="center"/>
            <w:hideMark/>
          </w:tcPr>
          <w:p w14:paraId="7ED25A7E" w14:textId="2EDC2F30" w:rsidR="001E3AB8" w:rsidRPr="00D92E20" w:rsidRDefault="001E3AB8" w:rsidP="001E3AB8">
            <w:pPr>
              <w:spacing w:after="0" w:line="240" w:lineRule="auto"/>
              <w:jc w:val="center"/>
              <w:rPr>
                <w:rFonts w:cs="Arial"/>
                <w:color w:val="000000"/>
                <w:sz w:val="16"/>
                <w:szCs w:val="16"/>
              </w:rPr>
            </w:pPr>
            <w:r>
              <w:rPr>
                <w:rFonts w:cs="Arial"/>
                <w:color w:val="000000"/>
                <w:sz w:val="16"/>
                <w:szCs w:val="16"/>
              </w:rPr>
              <w:t>29,0</w:t>
            </w:r>
          </w:p>
        </w:tc>
        <w:tc>
          <w:tcPr>
            <w:tcW w:w="697" w:type="dxa"/>
            <w:tcBorders>
              <w:top w:val="nil"/>
              <w:left w:val="nil"/>
              <w:bottom w:val="nil"/>
              <w:right w:val="nil"/>
            </w:tcBorders>
            <w:shd w:val="clear" w:color="auto" w:fill="auto"/>
            <w:noWrap/>
            <w:vAlign w:val="center"/>
            <w:hideMark/>
          </w:tcPr>
          <w:p w14:paraId="66E68AE8" w14:textId="51D546A9" w:rsidR="001E3AB8" w:rsidRPr="00D92E20" w:rsidRDefault="001E3AB8" w:rsidP="001E3AB8">
            <w:pPr>
              <w:spacing w:after="0" w:line="240" w:lineRule="auto"/>
              <w:jc w:val="center"/>
              <w:rPr>
                <w:rFonts w:cs="Arial"/>
                <w:color w:val="000000"/>
                <w:sz w:val="16"/>
                <w:szCs w:val="16"/>
              </w:rPr>
            </w:pPr>
            <w:r>
              <w:rPr>
                <w:rFonts w:cs="Arial"/>
                <w:color w:val="000000"/>
                <w:sz w:val="16"/>
                <w:szCs w:val="16"/>
              </w:rPr>
              <w:t>39,1</w:t>
            </w:r>
          </w:p>
        </w:tc>
        <w:tc>
          <w:tcPr>
            <w:tcW w:w="697" w:type="dxa"/>
            <w:tcBorders>
              <w:top w:val="nil"/>
              <w:left w:val="nil"/>
              <w:bottom w:val="nil"/>
              <w:right w:val="nil"/>
            </w:tcBorders>
            <w:shd w:val="clear" w:color="auto" w:fill="auto"/>
            <w:noWrap/>
            <w:vAlign w:val="center"/>
            <w:hideMark/>
          </w:tcPr>
          <w:p w14:paraId="356BDF4B" w14:textId="1100A744" w:rsidR="001E3AB8" w:rsidRPr="00D92E20" w:rsidRDefault="001E3AB8" w:rsidP="001E3AB8">
            <w:pPr>
              <w:spacing w:after="0" w:line="240" w:lineRule="auto"/>
              <w:jc w:val="center"/>
              <w:rPr>
                <w:rFonts w:cs="Arial"/>
                <w:color w:val="000000"/>
                <w:sz w:val="16"/>
                <w:szCs w:val="16"/>
              </w:rPr>
            </w:pPr>
            <w:r>
              <w:rPr>
                <w:rFonts w:cs="Arial"/>
                <w:color w:val="000000"/>
                <w:sz w:val="16"/>
                <w:szCs w:val="16"/>
              </w:rPr>
              <w:t>54,0</w:t>
            </w:r>
          </w:p>
        </w:tc>
      </w:tr>
      <w:tr w:rsidR="001E3AB8" w:rsidRPr="00D92E20" w14:paraId="60B411BD" w14:textId="77777777" w:rsidTr="00B0095F">
        <w:trPr>
          <w:trHeight w:val="300"/>
        </w:trPr>
        <w:tc>
          <w:tcPr>
            <w:tcW w:w="1960" w:type="dxa"/>
            <w:tcBorders>
              <w:top w:val="nil"/>
              <w:left w:val="nil"/>
              <w:bottom w:val="nil"/>
              <w:right w:val="single" w:sz="4" w:space="0" w:color="auto"/>
            </w:tcBorders>
            <w:shd w:val="clear" w:color="auto" w:fill="auto"/>
            <w:noWrap/>
            <w:vAlign w:val="center"/>
            <w:hideMark/>
          </w:tcPr>
          <w:p w14:paraId="78D25ABA" w14:textId="77777777" w:rsidR="001E3AB8" w:rsidRPr="00D92E20" w:rsidRDefault="001E3AB8" w:rsidP="001E3AB8">
            <w:pPr>
              <w:spacing w:after="0" w:line="240" w:lineRule="auto"/>
              <w:ind w:firstLineChars="100" w:firstLine="160"/>
              <w:rPr>
                <w:rFonts w:cs="Arial"/>
                <w:color w:val="000000"/>
                <w:sz w:val="16"/>
                <w:szCs w:val="16"/>
              </w:rPr>
            </w:pPr>
            <w:r w:rsidRPr="00D92E20">
              <w:rPr>
                <w:rFonts w:cs="Arial"/>
                <w:color w:val="000000"/>
                <w:sz w:val="16"/>
                <w:szCs w:val="16"/>
              </w:rPr>
              <w:t>Královéhradecký kraj</w:t>
            </w:r>
          </w:p>
        </w:tc>
        <w:tc>
          <w:tcPr>
            <w:tcW w:w="697" w:type="dxa"/>
            <w:tcBorders>
              <w:top w:val="nil"/>
              <w:left w:val="nil"/>
              <w:bottom w:val="nil"/>
              <w:right w:val="nil"/>
            </w:tcBorders>
            <w:shd w:val="clear" w:color="auto" w:fill="auto"/>
            <w:noWrap/>
            <w:vAlign w:val="center"/>
            <w:hideMark/>
          </w:tcPr>
          <w:p w14:paraId="38EF888F" w14:textId="47BF95BA" w:rsidR="001E3AB8" w:rsidRPr="00D92E20" w:rsidRDefault="001E3AB8" w:rsidP="001E3AB8">
            <w:pPr>
              <w:spacing w:after="0" w:line="240" w:lineRule="auto"/>
              <w:jc w:val="center"/>
              <w:rPr>
                <w:rFonts w:cs="Arial"/>
                <w:color w:val="000000"/>
                <w:sz w:val="16"/>
                <w:szCs w:val="16"/>
              </w:rPr>
            </w:pPr>
            <w:r>
              <w:rPr>
                <w:rFonts w:cs="Arial"/>
                <w:sz w:val="16"/>
                <w:szCs w:val="16"/>
              </w:rPr>
              <w:t>14,7</w:t>
            </w:r>
          </w:p>
        </w:tc>
        <w:tc>
          <w:tcPr>
            <w:tcW w:w="697" w:type="dxa"/>
            <w:tcBorders>
              <w:top w:val="nil"/>
              <w:left w:val="nil"/>
              <w:bottom w:val="nil"/>
              <w:right w:val="nil"/>
            </w:tcBorders>
            <w:shd w:val="clear" w:color="auto" w:fill="auto"/>
            <w:noWrap/>
            <w:vAlign w:val="center"/>
            <w:hideMark/>
          </w:tcPr>
          <w:p w14:paraId="58569A82" w14:textId="73D69651" w:rsidR="001E3AB8" w:rsidRPr="00D92E20" w:rsidRDefault="001E3AB8" w:rsidP="001E3AB8">
            <w:pPr>
              <w:spacing w:after="0" w:line="240" w:lineRule="auto"/>
              <w:jc w:val="center"/>
              <w:rPr>
                <w:rFonts w:cs="Arial"/>
                <w:color w:val="000000"/>
                <w:sz w:val="16"/>
                <w:szCs w:val="16"/>
              </w:rPr>
            </w:pPr>
            <w:r>
              <w:rPr>
                <w:rFonts w:cs="Arial"/>
                <w:sz w:val="16"/>
                <w:szCs w:val="16"/>
              </w:rPr>
              <w:t>18,3</w:t>
            </w:r>
          </w:p>
        </w:tc>
        <w:tc>
          <w:tcPr>
            <w:tcW w:w="697" w:type="dxa"/>
            <w:tcBorders>
              <w:top w:val="nil"/>
              <w:left w:val="nil"/>
              <w:bottom w:val="nil"/>
              <w:right w:val="nil"/>
            </w:tcBorders>
            <w:shd w:val="clear" w:color="auto" w:fill="auto"/>
            <w:noWrap/>
            <w:vAlign w:val="center"/>
            <w:hideMark/>
          </w:tcPr>
          <w:p w14:paraId="0D724EC9" w14:textId="76DB0471" w:rsidR="001E3AB8" w:rsidRPr="00D92E20" w:rsidRDefault="001E3AB8" w:rsidP="001E3AB8">
            <w:pPr>
              <w:spacing w:after="0" w:line="240" w:lineRule="auto"/>
              <w:jc w:val="center"/>
              <w:rPr>
                <w:rFonts w:cs="Arial"/>
                <w:color w:val="000000"/>
                <w:sz w:val="16"/>
                <w:szCs w:val="16"/>
              </w:rPr>
            </w:pPr>
            <w:r>
              <w:rPr>
                <w:rFonts w:cs="Arial"/>
                <w:sz w:val="16"/>
                <w:szCs w:val="16"/>
              </w:rPr>
              <w:t>15,7</w:t>
            </w:r>
          </w:p>
        </w:tc>
        <w:tc>
          <w:tcPr>
            <w:tcW w:w="697" w:type="dxa"/>
            <w:tcBorders>
              <w:top w:val="nil"/>
              <w:left w:val="nil"/>
              <w:bottom w:val="nil"/>
              <w:right w:val="nil"/>
            </w:tcBorders>
            <w:shd w:val="clear" w:color="auto" w:fill="auto"/>
            <w:noWrap/>
            <w:vAlign w:val="center"/>
            <w:hideMark/>
          </w:tcPr>
          <w:p w14:paraId="75453B86" w14:textId="65213488" w:rsidR="001E3AB8" w:rsidRPr="00D92E20" w:rsidRDefault="001E3AB8" w:rsidP="001E3AB8">
            <w:pPr>
              <w:spacing w:after="0" w:line="240" w:lineRule="auto"/>
              <w:jc w:val="center"/>
              <w:rPr>
                <w:rFonts w:cs="Arial"/>
                <w:color w:val="000000"/>
                <w:sz w:val="16"/>
                <w:szCs w:val="16"/>
              </w:rPr>
            </w:pPr>
            <w:r>
              <w:rPr>
                <w:rFonts w:cs="Arial"/>
                <w:sz w:val="16"/>
                <w:szCs w:val="16"/>
              </w:rPr>
              <w:t>20,2</w:t>
            </w:r>
          </w:p>
        </w:tc>
        <w:tc>
          <w:tcPr>
            <w:tcW w:w="697" w:type="dxa"/>
            <w:tcBorders>
              <w:top w:val="nil"/>
              <w:left w:val="nil"/>
              <w:bottom w:val="nil"/>
              <w:right w:val="nil"/>
            </w:tcBorders>
            <w:shd w:val="clear" w:color="auto" w:fill="auto"/>
            <w:noWrap/>
            <w:vAlign w:val="center"/>
            <w:hideMark/>
          </w:tcPr>
          <w:p w14:paraId="7C0980F5" w14:textId="1BB9A18D" w:rsidR="001E3AB8" w:rsidRPr="00D92E20" w:rsidRDefault="001E3AB8" w:rsidP="001E3AB8">
            <w:pPr>
              <w:spacing w:after="0" w:line="240" w:lineRule="auto"/>
              <w:jc w:val="center"/>
              <w:rPr>
                <w:rFonts w:cs="Arial"/>
                <w:color w:val="000000"/>
                <w:sz w:val="16"/>
                <w:szCs w:val="16"/>
              </w:rPr>
            </w:pPr>
            <w:r>
              <w:rPr>
                <w:rFonts w:cs="Arial"/>
                <w:color w:val="000000"/>
                <w:sz w:val="16"/>
                <w:szCs w:val="16"/>
              </w:rPr>
              <w:t>21,2</w:t>
            </w:r>
          </w:p>
        </w:tc>
        <w:tc>
          <w:tcPr>
            <w:tcW w:w="697" w:type="dxa"/>
            <w:tcBorders>
              <w:top w:val="nil"/>
              <w:left w:val="nil"/>
              <w:bottom w:val="nil"/>
              <w:right w:val="nil"/>
            </w:tcBorders>
            <w:shd w:val="clear" w:color="auto" w:fill="auto"/>
            <w:noWrap/>
            <w:vAlign w:val="center"/>
            <w:hideMark/>
          </w:tcPr>
          <w:p w14:paraId="13A52BD2" w14:textId="6F4EC61D" w:rsidR="001E3AB8" w:rsidRPr="00D92E20" w:rsidRDefault="001E3AB8" w:rsidP="001E3AB8">
            <w:pPr>
              <w:spacing w:after="0" w:line="240" w:lineRule="auto"/>
              <w:jc w:val="center"/>
              <w:rPr>
                <w:rFonts w:cs="Arial"/>
                <w:color w:val="000000"/>
                <w:sz w:val="16"/>
                <w:szCs w:val="16"/>
              </w:rPr>
            </w:pPr>
            <w:r>
              <w:rPr>
                <w:rFonts w:cs="Arial"/>
                <w:color w:val="000000"/>
                <w:sz w:val="16"/>
                <w:szCs w:val="16"/>
              </w:rPr>
              <w:t>22,5</w:t>
            </w:r>
          </w:p>
        </w:tc>
        <w:tc>
          <w:tcPr>
            <w:tcW w:w="697" w:type="dxa"/>
            <w:tcBorders>
              <w:top w:val="nil"/>
              <w:left w:val="nil"/>
              <w:bottom w:val="nil"/>
              <w:right w:val="nil"/>
            </w:tcBorders>
            <w:shd w:val="clear" w:color="auto" w:fill="auto"/>
            <w:noWrap/>
            <w:vAlign w:val="center"/>
            <w:hideMark/>
          </w:tcPr>
          <w:p w14:paraId="428ED1A9" w14:textId="49544094" w:rsidR="001E3AB8" w:rsidRPr="00D92E20" w:rsidRDefault="001E3AB8" w:rsidP="001E3AB8">
            <w:pPr>
              <w:spacing w:after="0" w:line="240" w:lineRule="auto"/>
              <w:jc w:val="center"/>
              <w:rPr>
                <w:rFonts w:cs="Arial"/>
                <w:color w:val="000000"/>
                <w:sz w:val="16"/>
                <w:szCs w:val="16"/>
              </w:rPr>
            </w:pPr>
            <w:r>
              <w:rPr>
                <w:rFonts w:cs="Arial"/>
                <w:color w:val="000000"/>
                <w:sz w:val="16"/>
                <w:szCs w:val="16"/>
              </w:rPr>
              <w:t>25,0</w:t>
            </w:r>
          </w:p>
        </w:tc>
        <w:tc>
          <w:tcPr>
            <w:tcW w:w="697" w:type="dxa"/>
            <w:tcBorders>
              <w:top w:val="nil"/>
              <w:left w:val="nil"/>
              <w:bottom w:val="nil"/>
              <w:right w:val="nil"/>
            </w:tcBorders>
            <w:shd w:val="clear" w:color="auto" w:fill="auto"/>
            <w:noWrap/>
            <w:vAlign w:val="center"/>
            <w:hideMark/>
          </w:tcPr>
          <w:p w14:paraId="7C0E06F9" w14:textId="30A6F2F9" w:rsidR="001E3AB8" w:rsidRPr="00D92E20" w:rsidRDefault="001E3AB8" w:rsidP="001E3AB8">
            <w:pPr>
              <w:spacing w:after="0" w:line="240" w:lineRule="auto"/>
              <w:jc w:val="center"/>
              <w:rPr>
                <w:rFonts w:cs="Arial"/>
                <w:color w:val="000000"/>
                <w:sz w:val="16"/>
                <w:szCs w:val="16"/>
              </w:rPr>
            </w:pPr>
            <w:r>
              <w:rPr>
                <w:rFonts w:cs="Arial"/>
                <w:color w:val="000000"/>
                <w:sz w:val="16"/>
                <w:szCs w:val="16"/>
              </w:rPr>
              <w:t>23,6</w:t>
            </w:r>
          </w:p>
        </w:tc>
        <w:tc>
          <w:tcPr>
            <w:tcW w:w="697" w:type="dxa"/>
            <w:tcBorders>
              <w:top w:val="nil"/>
              <w:left w:val="nil"/>
              <w:bottom w:val="nil"/>
              <w:right w:val="nil"/>
            </w:tcBorders>
            <w:shd w:val="clear" w:color="auto" w:fill="auto"/>
            <w:noWrap/>
            <w:vAlign w:val="center"/>
            <w:hideMark/>
          </w:tcPr>
          <w:p w14:paraId="412E82B5" w14:textId="6E546FE9" w:rsidR="001E3AB8" w:rsidRPr="00D92E20" w:rsidRDefault="001E3AB8" w:rsidP="001E3AB8">
            <w:pPr>
              <w:spacing w:after="0" w:line="240" w:lineRule="auto"/>
              <w:jc w:val="center"/>
              <w:rPr>
                <w:rFonts w:cs="Arial"/>
                <w:color w:val="000000"/>
                <w:sz w:val="16"/>
                <w:szCs w:val="16"/>
              </w:rPr>
            </w:pPr>
            <w:r>
              <w:rPr>
                <w:rFonts w:cs="Arial"/>
                <w:color w:val="000000"/>
                <w:sz w:val="16"/>
                <w:szCs w:val="16"/>
              </w:rPr>
              <w:t>25,5</w:t>
            </w:r>
          </w:p>
        </w:tc>
        <w:tc>
          <w:tcPr>
            <w:tcW w:w="697" w:type="dxa"/>
            <w:tcBorders>
              <w:top w:val="nil"/>
              <w:left w:val="nil"/>
              <w:bottom w:val="nil"/>
              <w:right w:val="nil"/>
            </w:tcBorders>
            <w:shd w:val="clear" w:color="auto" w:fill="auto"/>
            <w:noWrap/>
            <w:vAlign w:val="center"/>
            <w:hideMark/>
          </w:tcPr>
          <w:p w14:paraId="30592429" w14:textId="5E562DC0" w:rsidR="001E3AB8" w:rsidRPr="00D92E20" w:rsidRDefault="001E3AB8" w:rsidP="001E3AB8">
            <w:pPr>
              <w:spacing w:after="0" w:line="240" w:lineRule="auto"/>
              <w:jc w:val="center"/>
              <w:rPr>
                <w:rFonts w:cs="Arial"/>
                <w:color w:val="000000"/>
                <w:sz w:val="16"/>
                <w:szCs w:val="16"/>
              </w:rPr>
            </w:pPr>
            <w:r>
              <w:rPr>
                <w:rFonts w:cs="Arial"/>
                <w:color w:val="000000"/>
                <w:sz w:val="16"/>
                <w:szCs w:val="16"/>
              </w:rPr>
              <w:t>37,5</w:t>
            </w:r>
          </w:p>
        </w:tc>
        <w:tc>
          <w:tcPr>
            <w:tcW w:w="697" w:type="dxa"/>
            <w:tcBorders>
              <w:top w:val="nil"/>
              <w:left w:val="nil"/>
              <w:bottom w:val="nil"/>
              <w:right w:val="nil"/>
            </w:tcBorders>
            <w:shd w:val="clear" w:color="auto" w:fill="auto"/>
            <w:noWrap/>
            <w:vAlign w:val="center"/>
            <w:hideMark/>
          </w:tcPr>
          <w:p w14:paraId="66CCFA88" w14:textId="6B17A684" w:rsidR="001E3AB8" w:rsidRPr="00D92E20" w:rsidRDefault="001E3AB8" w:rsidP="001E3AB8">
            <w:pPr>
              <w:spacing w:after="0" w:line="240" w:lineRule="auto"/>
              <w:jc w:val="center"/>
              <w:rPr>
                <w:rFonts w:cs="Arial"/>
                <w:color w:val="000000"/>
                <w:sz w:val="16"/>
                <w:szCs w:val="16"/>
              </w:rPr>
            </w:pPr>
            <w:r>
              <w:rPr>
                <w:rFonts w:cs="Arial"/>
                <w:color w:val="000000"/>
                <w:sz w:val="16"/>
                <w:szCs w:val="16"/>
              </w:rPr>
              <w:t>49,8</w:t>
            </w:r>
          </w:p>
        </w:tc>
      </w:tr>
      <w:tr w:rsidR="001E3AB8" w:rsidRPr="00D92E20" w14:paraId="42CC30AE" w14:textId="77777777" w:rsidTr="00B0095F">
        <w:trPr>
          <w:trHeight w:val="300"/>
        </w:trPr>
        <w:tc>
          <w:tcPr>
            <w:tcW w:w="1960" w:type="dxa"/>
            <w:tcBorders>
              <w:top w:val="nil"/>
              <w:left w:val="nil"/>
              <w:bottom w:val="nil"/>
              <w:right w:val="single" w:sz="4" w:space="0" w:color="auto"/>
            </w:tcBorders>
            <w:shd w:val="clear" w:color="auto" w:fill="auto"/>
            <w:noWrap/>
            <w:vAlign w:val="center"/>
            <w:hideMark/>
          </w:tcPr>
          <w:p w14:paraId="771973CC" w14:textId="77777777" w:rsidR="001E3AB8" w:rsidRPr="00D92E20" w:rsidRDefault="001E3AB8" w:rsidP="001E3AB8">
            <w:pPr>
              <w:spacing w:after="0" w:line="240" w:lineRule="auto"/>
              <w:ind w:firstLineChars="100" w:firstLine="160"/>
              <w:rPr>
                <w:rFonts w:cs="Arial"/>
                <w:color w:val="000000"/>
                <w:sz w:val="16"/>
                <w:szCs w:val="16"/>
              </w:rPr>
            </w:pPr>
            <w:r w:rsidRPr="00D92E20">
              <w:rPr>
                <w:rFonts w:cs="Arial"/>
                <w:color w:val="000000"/>
                <w:sz w:val="16"/>
                <w:szCs w:val="16"/>
              </w:rPr>
              <w:t>Pardubický kraj</w:t>
            </w:r>
          </w:p>
        </w:tc>
        <w:tc>
          <w:tcPr>
            <w:tcW w:w="697" w:type="dxa"/>
            <w:tcBorders>
              <w:top w:val="nil"/>
              <w:left w:val="nil"/>
              <w:bottom w:val="nil"/>
              <w:right w:val="nil"/>
            </w:tcBorders>
            <w:shd w:val="clear" w:color="auto" w:fill="auto"/>
            <w:noWrap/>
            <w:vAlign w:val="center"/>
            <w:hideMark/>
          </w:tcPr>
          <w:p w14:paraId="267C47C8" w14:textId="36D3C4D6" w:rsidR="001E3AB8" w:rsidRPr="00D92E20" w:rsidRDefault="001E3AB8" w:rsidP="001E3AB8">
            <w:pPr>
              <w:spacing w:after="0" w:line="240" w:lineRule="auto"/>
              <w:jc w:val="center"/>
              <w:rPr>
                <w:rFonts w:cs="Arial"/>
                <w:color w:val="000000"/>
                <w:sz w:val="16"/>
                <w:szCs w:val="16"/>
              </w:rPr>
            </w:pPr>
            <w:r>
              <w:rPr>
                <w:rFonts w:cs="Arial"/>
                <w:sz w:val="16"/>
                <w:szCs w:val="16"/>
              </w:rPr>
              <w:t>14,3</w:t>
            </w:r>
          </w:p>
        </w:tc>
        <w:tc>
          <w:tcPr>
            <w:tcW w:w="697" w:type="dxa"/>
            <w:tcBorders>
              <w:top w:val="nil"/>
              <w:left w:val="nil"/>
              <w:bottom w:val="nil"/>
              <w:right w:val="nil"/>
            </w:tcBorders>
            <w:shd w:val="clear" w:color="auto" w:fill="auto"/>
            <w:noWrap/>
            <w:vAlign w:val="center"/>
            <w:hideMark/>
          </w:tcPr>
          <w:p w14:paraId="08DA8213" w14:textId="441616E6" w:rsidR="001E3AB8" w:rsidRPr="00D92E20" w:rsidRDefault="001E3AB8" w:rsidP="001E3AB8">
            <w:pPr>
              <w:spacing w:after="0" w:line="240" w:lineRule="auto"/>
              <w:jc w:val="center"/>
              <w:rPr>
                <w:rFonts w:cs="Arial"/>
                <w:color w:val="000000"/>
                <w:sz w:val="16"/>
                <w:szCs w:val="16"/>
              </w:rPr>
            </w:pPr>
            <w:r>
              <w:rPr>
                <w:rFonts w:cs="Arial"/>
                <w:sz w:val="16"/>
                <w:szCs w:val="16"/>
              </w:rPr>
              <w:t>17,8</w:t>
            </w:r>
          </w:p>
        </w:tc>
        <w:tc>
          <w:tcPr>
            <w:tcW w:w="697" w:type="dxa"/>
            <w:tcBorders>
              <w:top w:val="nil"/>
              <w:left w:val="nil"/>
              <w:bottom w:val="nil"/>
              <w:right w:val="nil"/>
            </w:tcBorders>
            <w:shd w:val="clear" w:color="auto" w:fill="auto"/>
            <w:noWrap/>
            <w:vAlign w:val="center"/>
            <w:hideMark/>
          </w:tcPr>
          <w:p w14:paraId="41BCD224" w14:textId="2D2CFB48" w:rsidR="001E3AB8" w:rsidRPr="00D92E20" w:rsidRDefault="001E3AB8" w:rsidP="001E3AB8">
            <w:pPr>
              <w:spacing w:after="0" w:line="240" w:lineRule="auto"/>
              <w:jc w:val="center"/>
              <w:rPr>
                <w:rFonts w:cs="Arial"/>
                <w:color w:val="000000"/>
                <w:sz w:val="16"/>
                <w:szCs w:val="16"/>
              </w:rPr>
            </w:pPr>
            <w:r>
              <w:rPr>
                <w:rFonts w:cs="Arial"/>
                <w:sz w:val="16"/>
                <w:szCs w:val="16"/>
              </w:rPr>
              <w:t>15,8</w:t>
            </w:r>
          </w:p>
        </w:tc>
        <w:tc>
          <w:tcPr>
            <w:tcW w:w="697" w:type="dxa"/>
            <w:tcBorders>
              <w:top w:val="nil"/>
              <w:left w:val="nil"/>
              <w:bottom w:val="nil"/>
              <w:right w:val="nil"/>
            </w:tcBorders>
            <w:shd w:val="clear" w:color="auto" w:fill="auto"/>
            <w:noWrap/>
            <w:vAlign w:val="center"/>
            <w:hideMark/>
          </w:tcPr>
          <w:p w14:paraId="03D6949C" w14:textId="64E97158" w:rsidR="001E3AB8" w:rsidRPr="00D92E20" w:rsidRDefault="001E3AB8" w:rsidP="001E3AB8">
            <w:pPr>
              <w:spacing w:after="0" w:line="240" w:lineRule="auto"/>
              <w:jc w:val="center"/>
              <w:rPr>
                <w:rFonts w:cs="Arial"/>
                <w:color w:val="000000"/>
                <w:sz w:val="16"/>
                <w:szCs w:val="16"/>
              </w:rPr>
            </w:pPr>
            <w:r>
              <w:rPr>
                <w:rFonts w:cs="Arial"/>
                <w:sz w:val="16"/>
                <w:szCs w:val="16"/>
              </w:rPr>
              <w:t>20,6</w:t>
            </w:r>
          </w:p>
        </w:tc>
        <w:tc>
          <w:tcPr>
            <w:tcW w:w="697" w:type="dxa"/>
            <w:tcBorders>
              <w:top w:val="nil"/>
              <w:left w:val="nil"/>
              <w:bottom w:val="nil"/>
              <w:right w:val="nil"/>
            </w:tcBorders>
            <w:shd w:val="clear" w:color="auto" w:fill="auto"/>
            <w:noWrap/>
            <w:vAlign w:val="center"/>
            <w:hideMark/>
          </w:tcPr>
          <w:p w14:paraId="5A0FDCDE" w14:textId="381A61EB" w:rsidR="001E3AB8" w:rsidRPr="00D92E20" w:rsidRDefault="001E3AB8" w:rsidP="001E3AB8">
            <w:pPr>
              <w:spacing w:after="0" w:line="240" w:lineRule="auto"/>
              <w:jc w:val="center"/>
              <w:rPr>
                <w:rFonts w:cs="Arial"/>
                <w:color w:val="000000"/>
                <w:sz w:val="16"/>
                <w:szCs w:val="16"/>
              </w:rPr>
            </w:pPr>
            <w:r>
              <w:rPr>
                <w:rFonts w:cs="Arial"/>
                <w:color w:val="000000"/>
                <w:sz w:val="16"/>
                <w:szCs w:val="16"/>
              </w:rPr>
              <w:t>20,3</w:t>
            </w:r>
          </w:p>
        </w:tc>
        <w:tc>
          <w:tcPr>
            <w:tcW w:w="697" w:type="dxa"/>
            <w:tcBorders>
              <w:top w:val="nil"/>
              <w:left w:val="nil"/>
              <w:bottom w:val="nil"/>
              <w:right w:val="nil"/>
            </w:tcBorders>
            <w:shd w:val="clear" w:color="auto" w:fill="auto"/>
            <w:noWrap/>
            <w:vAlign w:val="center"/>
            <w:hideMark/>
          </w:tcPr>
          <w:p w14:paraId="2D991355" w14:textId="0175D58A" w:rsidR="001E3AB8" w:rsidRPr="00D92E20" w:rsidRDefault="001E3AB8" w:rsidP="001E3AB8">
            <w:pPr>
              <w:spacing w:after="0" w:line="240" w:lineRule="auto"/>
              <w:jc w:val="center"/>
              <w:rPr>
                <w:rFonts w:cs="Arial"/>
                <w:color w:val="000000"/>
                <w:sz w:val="16"/>
                <w:szCs w:val="16"/>
              </w:rPr>
            </w:pPr>
            <w:r>
              <w:rPr>
                <w:rFonts w:cs="Arial"/>
                <w:color w:val="000000"/>
                <w:sz w:val="16"/>
                <w:szCs w:val="16"/>
              </w:rPr>
              <w:t>21,7</w:t>
            </w:r>
          </w:p>
        </w:tc>
        <w:tc>
          <w:tcPr>
            <w:tcW w:w="697" w:type="dxa"/>
            <w:tcBorders>
              <w:top w:val="nil"/>
              <w:left w:val="nil"/>
              <w:bottom w:val="nil"/>
              <w:right w:val="nil"/>
            </w:tcBorders>
            <w:shd w:val="clear" w:color="auto" w:fill="auto"/>
            <w:noWrap/>
            <w:vAlign w:val="center"/>
            <w:hideMark/>
          </w:tcPr>
          <w:p w14:paraId="64875FD2" w14:textId="765C0FC7" w:rsidR="001E3AB8" w:rsidRPr="00D92E20" w:rsidRDefault="001E3AB8" w:rsidP="001E3AB8">
            <w:pPr>
              <w:spacing w:after="0" w:line="240" w:lineRule="auto"/>
              <w:jc w:val="center"/>
              <w:rPr>
                <w:rFonts w:cs="Arial"/>
                <w:color w:val="000000"/>
                <w:sz w:val="16"/>
                <w:szCs w:val="16"/>
              </w:rPr>
            </w:pPr>
            <w:r>
              <w:rPr>
                <w:rFonts w:cs="Arial"/>
                <w:color w:val="000000"/>
                <w:sz w:val="16"/>
                <w:szCs w:val="16"/>
              </w:rPr>
              <w:t>24,0</w:t>
            </w:r>
          </w:p>
        </w:tc>
        <w:tc>
          <w:tcPr>
            <w:tcW w:w="697" w:type="dxa"/>
            <w:tcBorders>
              <w:top w:val="nil"/>
              <w:left w:val="nil"/>
              <w:bottom w:val="nil"/>
              <w:right w:val="nil"/>
            </w:tcBorders>
            <w:shd w:val="clear" w:color="auto" w:fill="auto"/>
            <w:noWrap/>
            <w:vAlign w:val="center"/>
            <w:hideMark/>
          </w:tcPr>
          <w:p w14:paraId="3873E11E" w14:textId="699B4D59" w:rsidR="001E3AB8" w:rsidRPr="00D92E20" w:rsidRDefault="001E3AB8" w:rsidP="001E3AB8">
            <w:pPr>
              <w:spacing w:after="0" w:line="240" w:lineRule="auto"/>
              <w:jc w:val="center"/>
              <w:rPr>
                <w:rFonts w:cs="Arial"/>
                <w:color w:val="000000"/>
                <w:sz w:val="16"/>
                <w:szCs w:val="16"/>
              </w:rPr>
            </w:pPr>
            <w:r>
              <w:rPr>
                <w:rFonts w:cs="Arial"/>
                <w:color w:val="000000"/>
                <w:sz w:val="16"/>
                <w:szCs w:val="16"/>
              </w:rPr>
              <w:t>22,1</w:t>
            </w:r>
          </w:p>
        </w:tc>
        <w:tc>
          <w:tcPr>
            <w:tcW w:w="697" w:type="dxa"/>
            <w:tcBorders>
              <w:top w:val="nil"/>
              <w:left w:val="nil"/>
              <w:bottom w:val="nil"/>
              <w:right w:val="nil"/>
            </w:tcBorders>
            <w:shd w:val="clear" w:color="auto" w:fill="auto"/>
            <w:noWrap/>
            <w:vAlign w:val="center"/>
            <w:hideMark/>
          </w:tcPr>
          <w:p w14:paraId="50900FF8" w14:textId="5FC3C905" w:rsidR="001E3AB8" w:rsidRPr="00D92E20" w:rsidRDefault="001E3AB8" w:rsidP="001E3AB8">
            <w:pPr>
              <w:spacing w:after="0" w:line="240" w:lineRule="auto"/>
              <w:jc w:val="center"/>
              <w:rPr>
                <w:rFonts w:cs="Arial"/>
                <w:color w:val="000000"/>
                <w:sz w:val="16"/>
                <w:szCs w:val="16"/>
              </w:rPr>
            </w:pPr>
            <w:r>
              <w:rPr>
                <w:rFonts w:cs="Arial"/>
                <w:color w:val="000000"/>
                <w:sz w:val="16"/>
                <w:szCs w:val="16"/>
              </w:rPr>
              <w:t>23,4</w:t>
            </w:r>
          </w:p>
        </w:tc>
        <w:tc>
          <w:tcPr>
            <w:tcW w:w="697" w:type="dxa"/>
            <w:tcBorders>
              <w:top w:val="nil"/>
              <w:left w:val="nil"/>
              <w:bottom w:val="nil"/>
              <w:right w:val="nil"/>
            </w:tcBorders>
            <w:shd w:val="clear" w:color="auto" w:fill="auto"/>
            <w:noWrap/>
            <w:vAlign w:val="center"/>
            <w:hideMark/>
          </w:tcPr>
          <w:p w14:paraId="41C16F4A" w14:textId="2B1A9477" w:rsidR="001E3AB8" w:rsidRPr="00D92E20" w:rsidRDefault="001E3AB8" w:rsidP="001E3AB8">
            <w:pPr>
              <w:spacing w:after="0" w:line="240" w:lineRule="auto"/>
              <w:jc w:val="center"/>
              <w:rPr>
                <w:rFonts w:cs="Arial"/>
                <w:color w:val="000000"/>
                <w:sz w:val="16"/>
                <w:szCs w:val="16"/>
              </w:rPr>
            </w:pPr>
            <w:r>
              <w:rPr>
                <w:rFonts w:cs="Arial"/>
                <w:color w:val="000000"/>
                <w:sz w:val="16"/>
                <w:szCs w:val="16"/>
              </w:rPr>
              <w:t>34,2</w:t>
            </w:r>
          </w:p>
        </w:tc>
        <w:tc>
          <w:tcPr>
            <w:tcW w:w="697" w:type="dxa"/>
            <w:tcBorders>
              <w:top w:val="nil"/>
              <w:left w:val="nil"/>
              <w:bottom w:val="nil"/>
              <w:right w:val="nil"/>
            </w:tcBorders>
            <w:shd w:val="clear" w:color="auto" w:fill="auto"/>
            <w:noWrap/>
            <w:vAlign w:val="center"/>
            <w:hideMark/>
          </w:tcPr>
          <w:p w14:paraId="34D74DB0" w14:textId="65DE5062" w:rsidR="001E3AB8" w:rsidRPr="00D92E20" w:rsidRDefault="001E3AB8" w:rsidP="001E3AB8">
            <w:pPr>
              <w:spacing w:after="0" w:line="240" w:lineRule="auto"/>
              <w:jc w:val="center"/>
              <w:rPr>
                <w:rFonts w:cs="Arial"/>
                <w:color w:val="000000"/>
                <w:sz w:val="16"/>
                <w:szCs w:val="16"/>
              </w:rPr>
            </w:pPr>
            <w:r>
              <w:rPr>
                <w:rFonts w:cs="Arial"/>
                <w:color w:val="000000"/>
                <w:sz w:val="16"/>
                <w:szCs w:val="16"/>
              </w:rPr>
              <w:t>48,9</w:t>
            </w:r>
          </w:p>
        </w:tc>
      </w:tr>
      <w:tr w:rsidR="001E3AB8" w:rsidRPr="00D92E20" w14:paraId="5EF84AB9" w14:textId="77777777" w:rsidTr="00B0095F">
        <w:trPr>
          <w:trHeight w:val="300"/>
        </w:trPr>
        <w:tc>
          <w:tcPr>
            <w:tcW w:w="1960" w:type="dxa"/>
            <w:tcBorders>
              <w:top w:val="nil"/>
              <w:left w:val="nil"/>
              <w:bottom w:val="nil"/>
              <w:right w:val="single" w:sz="4" w:space="0" w:color="auto"/>
            </w:tcBorders>
            <w:shd w:val="clear" w:color="auto" w:fill="auto"/>
            <w:noWrap/>
            <w:vAlign w:val="center"/>
            <w:hideMark/>
          </w:tcPr>
          <w:p w14:paraId="2E745196" w14:textId="77777777" w:rsidR="001E3AB8" w:rsidRPr="00D92E20" w:rsidRDefault="001E3AB8" w:rsidP="001E3AB8">
            <w:pPr>
              <w:spacing w:after="0" w:line="240" w:lineRule="auto"/>
              <w:ind w:firstLineChars="100" w:firstLine="160"/>
              <w:rPr>
                <w:rFonts w:cs="Arial"/>
                <w:color w:val="000000"/>
                <w:sz w:val="16"/>
                <w:szCs w:val="16"/>
              </w:rPr>
            </w:pPr>
            <w:r w:rsidRPr="00D92E20">
              <w:rPr>
                <w:rFonts w:cs="Arial"/>
                <w:color w:val="000000"/>
                <w:sz w:val="16"/>
                <w:szCs w:val="16"/>
              </w:rPr>
              <w:t>Kraj Vysočina</w:t>
            </w:r>
          </w:p>
        </w:tc>
        <w:tc>
          <w:tcPr>
            <w:tcW w:w="697" w:type="dxa"/>
            <w:tcBorders>
              <w:top w:val="nil"/>
              <w:left w:val="nil"/>
              <w:bottom w:val="nil"/>
              <w:right w:val="nil"/>
            </w:tcBorders>
            <w:shd w:val="clear" w:color="auto" w:fill="auto"/>
            <w:noWrap/>
            <w:vAlign w:val="center"/>
            <w:hideMark/>
          </w:tcPr>
          <w:p w14:paraId="3F6AC12F" w14:textId="58B502D7" w:rsidR="001E3AB8" w:rsidRPr="00D92E20" w:rsidRDefault="001E3AB8" w:rsidP="001E3AB8">
            <w:pPr>
              <w:spacing w:after="0" w:line="240" w:lineRule="auto"/>
              <w:jc w:val="center"/>
              <w:rPr>
                <w:rFonts w:cs="Arial"/>
                <w:color w:val="000000"/>
                <w:sz w:val="16"/>
                <w:szCs w:val="16"/>
              </w:rPr>
            </w:pPr>
            <w:r>
              <w:rPr>
                <w:rFonts w:cs="Arial"/>
                <w:sz w:val="16"/>
                <w:szCs w:val="16"/>
              </w:rPr>
              <w:t>15,1</w:t>
            </w:r>
          </w:p>
        </w:tc>
        <w:tc>
          <w:tcPr>
            <w:tcW w:w="697" w:type="dxa"/>
            <w:tcBorders>
              <w:top w:val="nil"/>
              <w:left w:val="nil"/>
              <w:bottom w:val="nil"/>
              <w:right w:val="nil"/>
            </w:tcBorders>
            <w:shd w:val="clear" w:color="auto" w:fill="auto"/>
            <w:noWrap/>
            <w:vAlign w:val="center"/>
            <w:hideMark/>
          </w:tcPr>
          <w:p w14:paraId="7D81EBCE" w14:textId="736F4069" w:rsidR="001E3AB8" w:rsidRPr="00D92E20" w:rsidRDefault="001E3AB8" w:rsidP="001E3AB8">
            <w:pPr>
              <w:spacing w:after="0" w:line="240" w:lineRule="auto"/>
              <w:jc w:val="center"/>
              <w:rPr>
                <w:rFonts w:cs="Arial"/>
                <w:color w:val="000000"/>
                <w:sz w:val="16"/>
                <w:szCs w:val="16"/>
              </w:rPr>
            </w:pPr>
            <w:r>
              <w:rPr>
                <w:rFonts w:cs="Arial"/>
                <w:sz w:val="16"/>
                <w:szCs w:val="16"/>
              </w:rPr>
              <w:t>18,7</w:t>
            </w:r>
          </w:p>
        </w:tc>
        <w:tc>
          <w:tcPr>
            <w:tcW w:w="697" w:type="dxa"/>
            <w:tcBorders>
              <w:top w:val="nil"/>
              <w:left w:val="nil"/>
              <w:bottom w:val="nil"/>
              <w:right w:val="nil"/>
            </w:tcBorders>
            <w:shd w:val="clear" w:color="auto" w:fill="auto"/>
            <w:noWrap/>
            <w:vAlign w:val="center"/>
            <w:hideMark/>
          </w:tcPr>
          <w:p w14:paraId="7C4045D4" w14:textId="389F2709" w:rsidR="001E3AB8" w:rsidRPr="00D92E20" w:rsidRDefault="001E3AB8" w:rsidP="001E3AB8">
            <w:pPr>
              <w:spacing w:after="0" w:line="240" w:lineRule="auto"/>
              <w:jc w:val="center"/>
              <w:rPr>
                <w:rFonts w:cs="Arial"/>
                <w:color w:val="000000"/>
                <w:sz w:val="16"/>
                <w:szCs w:val="16"/>
              </w:rPr>
            </w:pPr>
            <w:r>
              <w:rPr>
                <w:rFonts w:cs="Arial"/>
                <w:sz w:val="16"/>
                <w:szCs w:val="16"/>
              </w:rPr>
              <w:t>16,5</w:t>
            </w:r>
          </w:p>
        </w:tc>
        <w:tc>
          <w:tcPr>
            <w:tcW w:w="697" w:type="dxa"/>
            <w:tcBorders>
              <w:top w:val="nil"/>
              <w:left w:val="nil"/>
              <w:bottom w:val="nil"/>
              <w:right w:val="nil"/>
            </w:tcBorders>
            <w:shd w:val="clear" w:color="auto" w:fill="auto"/>
            <w:noWrap/>
            <w:vAlign w:val="center"/>
            <w:hideMark/>
          </w:tcPr>
          <w:p w14:paraId="48C3C9EE" w14:textId="15A3AB58" w:rsidR="001E3AB8" w:rsidRPr="00D92E20" w:rsidRDefault="001E3AB8" w:rsidP="001E3AB8">
            <w:pPr>
              <w:spacing w:after="0" w:line="240" w:lineRule="auto"/>
              <w:jc w:val="center"/>
              <w:rPr>
                <w:rFonts w:cs="Arial"/>
                <w:color w:val="000000"/>
                <w:sz w:val="16"/>
                <w:szCs w:val="16"/>
              </w:rPr>
            </w:pPr>
            <w:r>
              <w:rPr>
                <w:rFonts w:cs="Arial"/>
                <w:sz w:val="16"/>
                <w:szCs w:val="16"/>
              </w:rPr>
              <w:t>21,9</w:t>
            </w:r>
          </w:p>
        </w:tc>
        <w:tc>
          <w:tcPr>
            <w:tcW w:w="697" w:type="dxa"/>
            <w:tcBorders>
              <w:top w:val="nil"/>
              <w:left w:val="nil"/>
              <w:bottom w:val="nil"/>
              <w:right w:val="nil"/>
            </w:tcBorders>
            <w:shd w:val="clear" w:color="auto" w:fill="auto"/>
            <w:noWrap/>
            <w:vAlign w:val="center"/>
            <w:hideMark/>
          </w:tcPr>
          <w:p w14:paraId="1A26894D" w14:textId="31E0CDA2" w:rsidR="001E3AB8" w:rsidRPr="00D92E20" w:rsidRDefault="001E3AB8" w:rsidP="001E3AB8">
            <w:pPr>
              <w:spacing w:after="0" w:line="240" w:lineRule="auto"/>
              <w:jc w:val="center"/>
              <w:rPr>
                <w:rFonts w:cs="Arial"/>
                <w:color w:val="000000"/>
                <w:sz w:val="16"/>
                <w:szCs w:val="16"/>
              </w:rPr>
            </w:pPr>
            <w:r>
              <w:rPr>
                <w:rFonts w:cs="Arial"/>
                <w:color w:val="000000"/>
                <w:sz w:val="16"/>
                <w:szCs w:val="16"/>
              </w:rPr>
              <w:t>21,0</w:t>
            </w:r>
          </w:p>
        </w:tc>
        <w:tc>
          <w:tcPr>
            <w:tcW w:w="697" w:type="dxa"/>
            <w:tcBorders>
              <w:top w:val="nil"/>
              <w:left w:val="nil"/>
              <w:bottom w:val="nil"/>
              <w:right w:val="nil"/>
            </w:tcBorders>
            <w:shd w:val="clear" w:color="auto" w:fill="auto"/>
            <w:noWrap/>
            <w:vAlign w:val="center"/>
            <w:hideMark/>
          </w:tcPr>
          <w:p w14:paraId="536E20A5" w14:textId="0AD6F429" w:rsidR="001E3AB8" w:rsidRPr="00D92E20" w:rsidRDefault="001E3AB8" w:rsidP="001E3AB8">
            <w:pPr>
              <w:spacing w:after="0" w:line="240" w:lineRule="auto"/>
              <w:jc w:val="center"/>
              <w:rPr>
                <w:rFonts w:cs="Arial"/>
                <w:color w:val="000000"/>
                <w:sz w:val="16"/>
                <w:szCs w:val="16"/>
              </w:rPr>
            </w:pPr>
            <w:r>
              <w:rPr>
                <w:rFonts w:cs="Arial"/>
                <w:color w:val="000000"/>
                <w:sz w:val="16"/>
                <w:szCs w:val="16"/>
              </w:rPr>
              <w:t>22,3</w:t>
            </w:r>
          </w:p>
        </w:tc>
        <w:tc>
          <w:tcPr>
            <w:tcW w:w="697" w:type="dxa"/>
            <w:tcBorders>
              <w:top w:val="nil"/>
              <w:left w:val="nil"/>
              <w:bottom w:val="nil"/>
              <w:right w:val="nil"/>
            </w:tcBorders>
            <w:shd w:val="clear" w:color="auto" w:fill="auto"/>
            <w:noWrap/>
            <w:vAlign w:val="center"/>
            <w:hideMark/>
          </w:tcPr>
          <w:p w14:paraId="42E73355" w14:textId="010396A0" w:rsidR="001E3AB8" w:rsidRPr="00D92E20" w:rsidRDefault="001E3AB8" w:rsidP="001E3AB8">
            <w:pPr>
              <w:spacing w:after="0" w:line="240" w:lineRule="auto"/>
              <w:jc w:val="center"/>
              <w:rPr>
                <w:rFonts w:cs="Arial"/>
                <w:color w:val="000000"/>
                <w:sz w:val="16"/>
                <w:szCs w:val="16"/>
              </w:rPr>
            </w:pPr>
            <w:r>
              <w:rPr>
                <w:rFonts w:cs="Arial"/>
                <w:color w:val="000000"/>
                <w:sz w:val="16"/>
                <w:szCs w:val="16"/>
              </w:rPr>
              <w:t>24,3</w:t>
            </w:r>
          </w:p>
        </w:tc>
        <w:tc>
          <w:tcPr>
            <w:tcW w:w="697" w:type="dxa"/>
            <w:tcBorders>
              <w:top w:val="nil"/>
              <w:left w:val="nil"/>
              <w:bottom w:val="nil"/>
              <w:right w:val="nil"/>
            </w:tcBorders>
            <w:shd w:val="clear" w:color="auto" w:fill="auto"/>
            <w:noWrap/>
            <w:vAlign w:val="center"/>
            <w:hideMark/>
          </w:tcPr>
          <w:p w14:paraId="3AA9121B" w14:textId="4188E917" w:rsidR="001E3AB8" w:rsidRPr="00D92E20" w:rsidRDefault="001E3AB8" w:rsidP="001E3AB8">
            <w:pPr>
              <w:spacing w:after="0" w:line="240" w:lineRule="auto"/>
              <w:jc w:val="center"/>
              <w:rPr>
                <w:rFonts w:cs="Arial"/>
                <w:color w:val="000000"/>
                <w:sz w:val="16"/>
                <w:szCs w:val="16"/>
              </w:rPr>
            </w:pPr>
            <w:r>
              <w:rPr>
                <w:rFonts w:cs="Arial"/>
                <w:color w:val="000000"/>
                <w:sz w:val="16"/>
                <w:szCs w:val="16"/>
              </w:rPr>
              <w:t>22,5</w:t>
            </w:r>
          </w:p>
        </w:tc>
        <w:tc>
          <w:tcPr>
            <w:tcW w:w="697" w:type="dxa"/>
            <w:tcBorders>
              <w:top w:val="nil"/>
              <w:left w:val="nil"/>
              <w:bottom w:val="nil"/>
              <w:right w:val="nil"/>
            </w:tcBorders>
            <w:shd w:val="clear" w:color="auto" w:fill="auto"/>
            <w:noWrap/>
            <w:vAlign w:val="center"/>
            <w:hideMark/>
          </w:tcPr>
          <w:p w14:paraId="03286191" w14:textId="3863319D" w:rsidR="001E3AB8" w:rsidRPr="00D92E20" w:rsidRDefault="001E3AB8" w:rsidP="001E3AB8">
            <w:pPr>
              <w:spacing w:after="0" w:line="240" w:lineRule="auto"/>
              <w:jc w:val="center"/>
              <w:rPr>
                <w:rFonts w:cs="Arial"/>
                <w:color w:val="000000"/>
                <w:sz w:val="16"/>
                <w:szCs w:val="16"/>
              </w:rPr>
            </w:pPr>
            <w:r>
              <w:rPr>
                <w:rFonts w:cs="Arial"/>
                <w:color w:val="000000"/>
                <w:sz w:val="16"/>
                <w:szCs w:val="16"/>
              </w:rPr>
              <w:t>23,8</w:t>
            </w:r>
          </w:p>
        </w:tc>
        <w:tc>
          <w:tcPr>
            <w:tcW w:w="697" w:type="dxa"/>
            <w:tcBorders>
              <w:top w:val="nil"/>
              <w:left w:val="nil"/>
              <w:bottom w:val="nil"/>
              <w:right w:val="nil"/>
            </w:tcBorders>
            <w:shd w:val="clear" w:color="auto" w:fill="auto"/>
            <w:noWrap/>
            <w:vAlign w:val="center"/>
            <w:hideMark/>
          </w:tcPr>
          <w:p w14:paraId="3F339D4A" w14:textId="6A020698" w:rsidR="001E3AB8" w:rsidRPr="00D92E20" w:rsidRDefault="001E3AB8" w:rsidP="001E3AB8">
            <w:pPr>
              <w:spacing w:after="0" w:line="240" w:lineRule="auto"/>
              <w:jc w:val="center"/>
              <w:rPr>
                <w:rFonts w:cs="Arial"/>
                <w:color w:val="000000"/>
                <w:sz w:val="16"/>
                <w:szCs w:val="16"/>
              </w:rPr>
            </w:pPr>
            <w:r>
              <w:rPr>
                <w:rFonts w:cs="Arial"/>
                <w:color w:val="000000"/>
                <w:sz w:val="16"/>
                <w:szCs w:val="16"/>
              </w:rPr>
              <w:t>31,0</w:t>
            </w:r>
          </w:p>
        </w:tc>
        <w:tc>
          <w:tcPr>
            <w:tcW w:w="697" w:type="dxa"/>
            <w:tcBorders>
              <w:top w:val="nil"/>
              <w:left w:val="nil"/>
              <w:bottom w:val="nil"/>
              <w:right w:val="nil"/>
            </w:tcBorders>
            <w:shd w:val="clear" w:color="auto" w:fill="auto"/>
            <w:noWrap/>
            <w:vAlign w:val="center"/>
            <w:hideMark/>
          </w:tcPr>
          <w:p w14:paraId="3A2600C5" w14:textId="76D10E43" w:rsidR="001E3AB8" w:rsidRPr="00D92E20" w:rsidRDefault="001E3AB8" w:rsidP="001E3AB8">
            <w:pPr>
              <w:spacing w:after="0" w:line="240" w:lineRule="auto"/>
              <w:jc w:val="center"/>
              <w:rPr>
                <w:rFonts w:cs="Arial"/>
                <w:color w:val="000000"/>
                <w:sz w:val="16"/>
                <w:szCs w:val="16"/>
              </w:rPr>
            </w:pPr>
            <w:r>
              <w:rPr>
                <w:rFonts w:cs="Arial"/>
                <w:color w:val="000000"/>
                <w:sz w:val="16"/>
                <w:szCs w:val="16"/>
              </w:rPr>
              <w:t>47,2</w:t>
            </w:r>
          </w:p>
        </w:tc>
      </w:tr>
      <w:tr w:rsidR="001E3AB8" w:rsidRPr="00D92E20" w14:paraId="512F85A8" w14:textId="77777777" w:rsidTr="00B0095F">
        <w:trPr>
          <w:trHeight w:val="300"/>
        </w:trPr>
        <w:tc>
          <w:tcPr>
            <w:tcW w:w="1960" w:type="dxa"/>
            <w:tcBorders>
              <w:top w:val="nil"/>
              <w:left w:val="nil"/>
              <w:bottom w:val="nil"/>
              <w:right w:val="single" w:sz="4" w:space="0" w:color="auto"/>
            </w:tcBorders>
            <w:shd w:val="clear" w:color="auto" w:fill="auto"/>
            <w:noWrap/>
            <w:vAlign w:val="center"/>
            <w:hideMark/>
          </w:tcPr>
          <w:p w14:paraId="76578E25" w14:textId="77777777" w:rsidR="001E3AB8" w:rsidRPr="00D92E20" w:rsidRDefault="001E3AB8" w:rsidP="001E3AB8">
            <w:pPr>
              <w:spacing w:after="0" w:line="240" w:lineRule="auto"/>
              <w:ind w:firstLineChars="100" w:firstLine="160"/>
              <w:rPr>
                <w:rFonts w:cs="Arial"/>
                <w:color w:val="000000"/>
                <w:sz w:val="16"/>
                <w:szCs w:val="16"/>
              </w:rPr>
            </w:pPr>
            <w:r w:rsidRPr="00D92E20">
              <w:rPr>
                <w:rFonts w:cs="Arial"/>
                <w:color w:val="000000"/>
                <w:sz w:val="16"/>
                <w:szCs w:val="16"/>
              </w:rPr>
              <w:t>Jihomoravský kraj</w:t>
            </w:r>
          </w:p>
        </w:tc>
        <w:tc>
          <w:tcPr>
            <w:tcW w:w="697" w:type="dxa"/>
            <w:tcBorders>
              <w:top w:val="nil"/>
              <w:left w:val="nil"/>
              <w:bottom w:val="nil"/>
              <w:right w:val="nil"/>
            </w:tcBorders>
            <w:shd w:val="clear" w:color="auto" w:fill="auto"/>
            <w:noWrap/>
            <w:vAlign w:val="center"/>
            <w:hideMark/>
          </w:tcPr>
          <w:p w14:paraId="17F513B6" w14:textId="7081F14F" w:rsidR="001E3AB8" w:rsidRPr="00D92E20" w:rsidRDefault="001E3AB8" w:rsidP="001E3AB8">
            <w:pPr>
              <w:spacing w:after="0" w:line="240" w:lineRule="auto"/>
              <w:jc w:val="center"/>
              <w:rPr>
                <w:rFonts w:cs="Arial"/>
                <w:color w:val="000000"/>
                <w:sz w:val="16"/>
                <w:szCs w:val="16"/>
              </w:rPr>
            </w:pPr>
            <w:r>
              <w:rPr>
                <w:rFonts w:cs="Arial"/>
                <w:sz w:val="16"/>
                <w:szCs w:val="16"/>
              </w:rPr>
              <w:t>13,5</w:t>
            </w:r>
          </w:p>
        </w:tc>
        <w:tc>
          <w:tcPr>
            <w:tcW w:w="697" w:type="dxa"/>
            <w:tcBorders>
              <w:top w:val="nil"/>
              <w:left w:val="nil"/>
              <w:bottom w:val="nil"/>
              <w:right w:val="nil"/>
            </w:tcBorders>
            <w:shd w:val="clear" w:color="auto" w:fill="auto"/>
            <w:noWrap/>
            <w:vAlign w:val="center"/>
            <w:hideMark/>
          </w:tcPr>
          <w:p w14:paraId="3001E0BE" w14:textId="33F2A903" w:rsidR="001E3AB8" w:rsidRPr="00D92E20" w:rsidRDefault="001E3AB8" w:rsidP="001E3AB8">
            <w:pPr>
              <w:spacing w:after="0" w:line="240" w:lineRule="auto"/>
              <w:jc w:val="center"/>
              <w:rPr>
                <w:rFonts w:cs="Arial"/>
                <w:color w:val="000000"/>
                <w:sz w:val="16"/>
                <w:szCs w:val="16"/>
              </w:rPr>
            </w:pPr>
            <w:r>
              <w:rPr>
                <w:rFonts w:cs="Arial"/>
                <w:sz w:val="16"/>
                <w:szCs w:val="16"/>
              </w:rPr>
              <w:t>17,0</w:t>
            </w:r>
          </w:p>
        </w:tc>
        <w:tc>
          <w:tcPr>
            <w:tcW w:w="697" w:type="dxa"/>
            <w:tcBorders>
              <w:top w:val="nil"/>
              <w:left w:val="nil"/>
              <w:bottom w:val="nil"/>
              <w:right w:val="nil"/>
            </w:tcBorders>
            <w:shd w:val="clear" w:color="auto" w:fill="auto"/>
            <w:noWrap/>
            <w:vAlign w:val="center"/>
            <w:hideMark/>
          </w:tcPr>
          <w:p w14:paraId="5317B8A2" w14:textId="6E8D7528" w:rsidR="001E3AB8" w:rsidRPr="00D92E20" w:rsidRDefault="001E3AB8" w:rsidP="001E3AB8">
            <w:pPr>
              <w:spacing w:after="0" w:line="240" w:lineRule="auto"/>
              <w:jc w:val="center"/>
              <w:rPr>
                <w:rFonts w:cs="Arial"/>
                <w:color w:val="000000"/>
                <w:sz w:val="16"/>
                <w:szCs w:val="16"/>
              </w:rPr>
            </w:pPr>
            <w:r>
              <w:rPr>
                <w:rFonts w:cs="Arial"/>
                <w:sz w:val="16"/>
                <w:szCs w:val="16"/>
              </w:rPr>
              <w:t>14,7</w:t>
            </w:r>
          </w:p>
        </w:tc>
        <w:tc>
          <w:tcPr>
            <w:tcW w:w="697" w:type="dxa"/>
            <w:tcBorders>
              <w:top w:val="nil"/>
              <w:left w:val="nil"/>
              <w:bottom w:val="nil"/>
              <w:right w:val="nil"/>
            </w:tcBorders>
            <w:shd w:val="clear" w:color="auto" w:fill="auto"/>
            <w:noWrap/>
            <w:vAlign w:val="center"/>
            <w:hideMark/>
          </w:tcPr>
          <w:p w14:paraId="5012F000" w14:textId="4A186256" w:rsidR="001E3AB8" w:rsidRPr="00D92E20" w:rsidRDefault="001E3AB8" w:rsidP="001E3AB8">
            <w:pPr>
              <w:spacing w:after="0" w:line="240" w:lineRule="auto"/>
              <w:jc w:val="center"/>
              <w:rPr>
                <w:rFonts w:cs="Arial"/>
                <w:color w:val="000000"/>
                <w:sz w:val="16"/>
                <w:szCs w:val="16"/>
              </w:rPr>
            </w:pPr>
            <w:r>
              <w:rPr>
                <w:rFonts w:cs="Arial"/>
                <w:sz w:val="16"/>
                <w:szCs w:val="16"/>
              </w:rPr>
              <w:t>19,1</w:t>
            </w:r>
          </w:p>
        </w:tc>
        <w:tc>
          <w:tcPr>
            <w:tcW w:w="697" w:type="dxa"/>
            <w:tcBorders>
              <w:top w:val="nil"/>
              <w:left w:val="nil"/>
              <w:bottom w:val="nil"/>
              <w:right w:val="nil"/>
            </w:tcBorders>
            <w:shd w:val="clear" w:color="auto" w:fill="auto"/>
            <w:noWrap/>
            <w:vAlign w:val="center"/>
            <w:hideMark/>
          </w:tcPr>
          <w:p w14:paraId="018DFEFB" w14:textId="125DE223" w:rsidR="001E3AB8" w:rsidRPr="00D92E20" w:rsidRDefault="001E3AB8" w:rsidP="001E3AB8">
            <w:pPr>
              <w:spacing w:after="0" w:line="240" w:lineRule="auto"/>
              <w:jc w:val="center"/>
              <w:rPr>
                <w:rFonts w:cs="Arial"/>
                <w:color w:val="000000"/>
                <w:sz w:val="16"/>
                <w:szCs w:val="16"/>
              </w:rPr>
            </w:pPr>
            <w:r>
              <w:rPr>
                <w:rFonts w:cs="Arial"/>
                <w:color w:val="000000"/>
                <w:sz w:val="16"/>
                <w:szCs w:val="16"/>
              </w:rPr>
              <w:t>18,5</w:t>
            </w:r>
          </w:p>
        </w:tc>
        <w:tc>
          <w:tcPr>
            <w:tcW w:w="697" w:type="dxa"/>
            <w:tcBorders>
              <w:top w:val="nil"/>
              <w:left w:val="nil"/>
              <w:bottom w:val="nil"/>
              <w:right w:val="nil"/>
            </w:tcBorders>
            <w:shd w:val="clear" w:color="auto" w:fill="auto"/>
            <w:noWrap/>
            <w:vAlign w:val="center"/>
            <w:hideMark/>
          </w:tcPr>
          <w:p w14:paraId="3F7B8188" w14:textId="774E805A" w:rsidR="001E3AB8" w:rsidRPr="00D92E20" w:rsidRDefault="001E3AB8" w:rsidP="001E3AB8">
            <w:pPr>
              <w:spacing w:after="0" w:line="240" w:lineRule="auto"/>
              <w:jc w:val="center"/>
              <w:rPr>
                <w:rFonts w:cs="Arial"/>
                <w:color w:val="000000"/>
                <w:sz w:val="16"/>
                <w:szCs w:val="16"/>
              </w:rPr>
            </w:pPr>
            <w:r>
              <w:rPr>
                <w:rFonts w:cs="Arial"/>
                <w:color w:val="000000"/>
                <w:sz w:val="16"/>
                <w:szCs w:val="16"/>
              </w:rPr>
              <w:t>20,2</w:t>
            </w:r>
          </w:p>
        </w:tc>
        <w:tc>
          <w:tcPr>
            <w:tcW w:w="697" w:type="dxa"/>
            <w:tcBorders>
              <w:top w:val="nil"/>
              <w:left w:val="nil"/>
              <w:bottom w:val="nil"/>
              <w:right w:val="nil"/>
            </w:tcBorders>
            <w:shd w:val="clear" w:color="auto" w:fill="auto"/>
            <w:noWrap/>
            <w:vAlign w:val="center"/>
            <w:hideMark/>
          </w:tcPr>
          <w:p w14:paraId="0025078B" w14:textId="0441AAC1" w:rsidR="001E3AB8" w:rsidRPr="00D92E20" w:rsidRDefault="001E3AB8" w:rsidP="001E3AB8">
            <w:pPr>
              <w:spacing w:after="0" w:line="240" w:lineRule="auto"/>
              <w:jc w:val="center"/>
              <w:rPr>
                <w:rFonts w:cs="Arial"/>
                <w:color w:val="000000"/>
                <w:sz w:val="16"/>
                <w:szCs w:val="16"/>
              </w:rPr>
            </w:pPr>
            <w:r>
              <w:rPr>
                <w:rFonts w:cs="Arial"/>
                <w:color w:val="000000"/>
                <w:sz w:val="16"/>
                <w:szCs w:val="16"/>
              </w:rPr>
              <w:t>21,5</w:t>
            </w:r>
          </w:p>
        </w:tc>
        <w:tc>
          <w:tcPr>
            <w:tcW w:w="697" w:type="dxa"/>
            <w:tcBorders>
              <w:top w:val="nil"/>
              <w:left w:val="nil"/>
              <w:bottom w:val="nil"/>
              <w:right w:val="nil"/>
            </w:tcBorders>
            <w:shd w:val="clear" w:color="auto" w:fill="auto"/>
            <w:noWrap/>
            <w:vAlign w:val="center"/>
            <w:hideMark/>
          </w:tcPr>
          <w:p w14:paraId="279F02DD" w14:textId="50933C84" w:rsidR="001E3AB8" w:rsidRPr="00D92E20" w:rsidRDefault="001E3AB8" w:rsidP="001E3AB8">
            <w:pPr>
              <w:spacing w:after="0" w:line="240" w:lineRule="auto"/>
              <w:jc w:val="center"/>
              <w:rPr>
                <w:rFonts w:cs="Arial"/>
                <w:color w:val="000000"/>
                <w:sz w:val="16"/>
                <w:szCs w:val="16"/>
              </w:rPr>
            </w:pPr>
            <w:r>
              <w:rPr>
                <w:rFonts w:cs="Arial"/>
                <w:color w:val="000000"/>
                <w:sz w:val="16"/>
                <w:szCs w:val="16"/>
              </w:rPr>
              <w:t>19,7</w:t>
            </w:r>
          </w:p>
        </w:tc>
        <w:tc>
          <w:tcPr>
            <w:tcW w:w="697" w:type="dxa"/>
            <w:tcBorders>
              <w:top w:val="nil"/>
              <w:left w:val="nil"/>
              <w:bottom w:val="nil"/>
              <w:right w:val="nil"/>
            </w:tcBorders>
            <w:shd w:val="clear" w:color="auto" w:fill="auto"/>
            <w:noWrap/>
            <w:vAlign w:val="center"/>
            <w:hideMark/>
          </w:tcPr>
          <w:p w14:paraId="1A3DA7F0" w14:textId="09F4295C" w:rsidR="001E3AB8" w:rsidRPr="00D92E20" w:rsidRDefault="001E3AB8" w:rsidP="001E3AB8">
            <w:pPr>
              <w:spacing w:after="0" w:line="240" w:lineRule="auto"/>
              <w:jc w:val="center"/>
              <w:rPr>
                <w:rFonts w:cs="Arial"/>
                <w:color w:val="000000"/>
                <w:sz w:val="16"/>
                <w:szCs w:val="16"/>
              </w:rPr>
            </w:pPr>
            <w:r>
              <w:rPr>
                <w:rFonts w:cs="Arial"/>
                <w:color w:val="000000"/>
                <w:sz w:val="16"/>
                <w:szCs w:val="16"/>
              </w:rPr>
              <w:t>21,9</w:t>
            </w:r>
          </w:p>
        </w:tc>
        <w:tc>
          <w:tcPr>
            <w:tcW w:w="697" w:type="dxa"/>
            <w:tcBorders>
              <w:top w:val="nil"/>
              <w:left w:val="nil"/>
              <w:bottom w:val="nil"/>
              <w:right w:val="nil"/>
            </w:tcBorders>
            <w:shd w:val="clear" w:color="auto" w:fill="auto"/>
            <w:noWrap/>
            <w:vAlign w:val="center"/>
            <w:hideMark/>
          </w:tcPr>
          <w:p w14:paraId="4A606745" w14:textId="0CFB9D0C" w:rsidR="001E3AB8" w:rsidRPr="00D92E20" w:rsidRDefault="001E3AB8" w:rsidP="001E3AB8">
            <w:pPr>
              <w:spacing w:after="0" w:line="240" w:lineRule="auto"/>
              <w:jc w:val="center"/>
              <w:rPr>
                <w:rFonts w:cs="Arial"/>
                <w:color w:val="000000"/>
                <w:sz w:val="16"/>
                <w:szCs w:val="16"/>
              </w:rPr>
            </w:pPr>
            <w:r>
              <w:rPr>
                <w:rFonts w:cs="Arial"/>
                <w:color w:val="000000"/>
                <w:sz w:val="16"/>
                <w:szCs w:val="16"/>
              </w:rPr>
              <w:t>27,1</w:t>
            </w:r>
          </w:p>
        </w:tc>
        <w:tc>
          <w:tcPr>
            <w:tcW w:w="697" w:type="dxa"/>
            <w:tcBorders>
              <w:top w:val="nil"/>
              <w:left w:val="nil"/>
              <w:bottom w:val="nil"/>
              <w:right w:val="nil"/>
            </w:tcBorders>
            <w:shd w:val="clear" w:color="auto" w:fill="auto"/>
            <w:noWrap/>
            <w:vAlign w:val="center"/>
            <w:hideMark/>
          </w:tcPr>
          <w:p w14:paraId="6F66AE09" w14:textId="2FD8F35C" w:rsidR="001E3AB8" w:rsidRPr="00D92E20" w:rsidRDefault="001E3AB8" w:rsidP="001E3AB8">
            <w:pPr>
              <w:spacing w:after="0" w:line="240" w:lineRule="auto"/>
              <w:jc w:val="center"/>
              <w:rPr>
                <w:rFonts w:cs="Arial"/>
                <w:color w:val="000000"/>
                <w:sz w:val="16"/>
                <w:szCs w:val="16"/>
              </w:rPr>
            </w:pPr>
            <w:r>
              <w:rPr>
                <w:rFonts w:cs="Arial"/>
                <w:color w:val="000000"/>
                <w:sz w:val="16"/>
                <w:szCs w:val="16"/>
              </w:rPr>
              <w:t>42,6</w:t>
            </w:r>
          </w:p>
        </w:tc>
      </w:tr>
      <w:tr w:rsidR="001E3AB8" w:rsidRPr="00D92E20" w14:paraId="40F22C5C" w14:textId="77777777" w:rsidTr="00B0095F">
        <w:trPr>
          <w:trHeight w:val="300"/>
        </w:trPr>
        <w:tc>
          <w:tcPr>
            <w:tcW w:w="1960" w:type="dxa"/>
            <w:tcBorders>
              <w:top w:val="nil"/>
              <w:left w:val="nil"/>
              <w:bottom w:val="nil"/>
              <w:right w:val="single" w:sz="4" w:space="0" w:color="auto"/>
            </w:tcBorders>
            <w:shd w:val="clear" w:color="auto" w:fill="auto"/>
            <w:noWrap/>
            <w:vAlign w:val="center"/>
            <w:hideMark/>
          </w:tcPr>
          <w:p w14:paraId="27275793" w14:textId="77777777" w:rsidR="001E3AB8" w:rsidRPr="00D92E20" w:rsidRDefault="001E3AB8" w:rsidP="001E3AB8">
            <w:pPr>
              <w:spacing w:after="0" w:line="240" w:lineRule="auto"/>
              <w:ind w:firstLineChars="100" w:firstLine="160"/>
              <w:rPr>
                <w:rFonts w:cs="Arial"/>
                <w:color w:val="000000"/>
                <w:sz w:val="16"/>
                <w:szCs w:val="16"/>
              </w:rPr>
            </w:pPr>
            <w:r w:rsidRPr="00D92E20">
              <w:rPr>
                <w:rFonts w:cs="Arial"/>
                <w:color w:val="000000"/>
                <w:sz w:val="16"/>
                <w:szCs w:val="16"/>
              </w:rPr>
              <w:t>Olomoucký kraj</w:t>
            </w:r>
          </w:p>
        </w:tc>
        <w:tc>
          <w:tcPr>
            <w:tcW w:w="697" w:type="dxa"/>
            <w:tcBorders>
              <w:top w:val="nil"/>
              <w:left w:val="nil"/>
              <w:bottom w:val="nil"/>
              <w:right w:val="nil"/>
            </w:tcBorders>
            <w:shd w:val="clear" w:color="auto" w:fill="auto"/>
            <w:noWrap/>
            <w:vAlign w:val="center"/>
            <w:hideMark/>
          </w:tcPr>
          <w:p w14:paraId="2B575834" w14:textId="71BF5D7E" w:rsidR="001E3AB8" w:rsidRPr="00D92E20" w:rsidRDefault="001E3AB8" w:rsidP="001E3AB8">
            <w:pPr>
              <w:spacing w:after="0" w:line="240" w:lineRule="auto"/>
              <w:jc w:val="center"/>
              <w:rPr>
                <w:rFonts w:cs="Arial"/>
                <w:color w:val="000000"/>
                <w:sz w:val="16"/>
                <w:szCs w:val="16"/>
              </w:rPr>
            </w:pPr>
            <w:r>
              <w:rPr>
                <w:rFonts w:cs="Arial"/>
                <w:sz w:val="16"/>
                <w:szCs w:val="16"/>
              </w:rPr>
              <w:t>13,0</w:t>
            </w:r>
          </w:p>
        </w:tc>
        <w:tc>
          <w:tcPr>
            <w:tcW w:w="697" w:type="dxa"/>
            <w:tcBorders>
              <w:top w:val="nil"/>
              <w:left w:val="nil"/>
              <w:bottom w:val="nil"/>
              <w:right w:val="nil"/>
            </w:tcBorders>
            <w:shd w:val="clear" w:color="auto" w:fill="auto"/>
            <w:noWrap/>
            <w:vAlign w:val="center"/>
            <w:hideMark/>
          </w:tcPr>
          <w:p w14:paraId="50DF8666" w14:textId="288C67CC" w:rsidR="001E3AB8" w:rsidRPr="00D92E20" w:rsidRDefault="001E3AB8" w:rsidP="001E3AB8">
            <w:pPr>
              <w:spacing w:after="0" w:line="240" w:lineRule="auto"/>
              <w:jc w:val="center"/>
              <w:rPr>
                <w:rFonts w:cs="Arial"/>
                <w:color w:val="000000"/>
                <w:sz w:val="16"/>
                <w:szCs w:val="16"/>
              </w:rPr>
            </w:pPr>
            <w:r>
              <w:rPr>
                <w:rFonts w:cs="Arial"/>
                <w:sz w:val="16"/>
                <w:szCs w:val="16"/>
              </w:rPr>
              <w:t>15,9</w:t>
            </w:r>
          </w:p>
        </w:tc>
        <w:tc>
          <w:tcPr>
            <w:tcW w:w="697" w:type="dxa"/>
            <w:tcBorders>
              <w:top w:val="nil"/>
              <w:left w:val="nil"/>
              <w:bottom w:val="nil"/>
              <w:right w:val="nil"/>
            </w:tcBorders>
            <w:shd w:val="clear" w:color="auto" w:fill="auto"/>
            <w:noWrap/>
            <w:vAlign w:val="center"/>
            <w:hideMark/>
          </w:tcPr>
          <w:p w14:paraId="2A33EA25" w14:textId="3FF37E8C" w:rsidR="001E3AB8" w:rsidRPr="00D92E20" w:rsidRDefault="001E3AB8" w:rsidP="001E3AB8">
            <w:pPr>
              <w:spacing w:after="0" w:line="240" w:lineRule="auto"/>
              <w:jc w:val="center"/>
              <w:rPr>
                <w:rFonts w:cs="Arial"/>
                <w:color w:val="000000"/>
                <w:sz w:val="16"/>
                <w:szCs w:val="16"/>
              </w:rPr>
            </w:pPr>
            <w:r>
              <w:rPr>
                <w:rFonts w:cs="Arial"/>
                <w:sz w:val="16"/>
                <w:szCs w:val="16"/>
              </w:rPr>
              <w:t>13,5</w:t>
            </w:r>
          </w:p>
        </w:tc>
        <w:tc>
          <w:tcPr>
            <w:tcW w:w="697" w:type="dxa"/>
            <w:tcBorders>
              <w:top w:val="nil"/>
              <w:left w:val="nil"/>
              <w:bottom w:val="nil"/>
              <w:right w:val="nil"/>
            </w:tcBorders>
            <w:shd w:val="clear" w:color="auto" w:fill="auto"/>
            <w:noWrap/>
            <w:vAlign w:val="center"/>
            <w:hideMark/>
          </w:tcPr>
          <w:p w14:paraId="24AA6748" w14:textId="7A599CF6" w:rsidR="001E3AB8" w:rsidRPr="00D92E20" w:rsidRDefault="001E3AB8" w:rsidP="001E3AB8">
            <w:pPr>
              <w:spacing w:after="0" w:line="240" w:lineRule="auto"/>
              <w:jc w:val="center"/>
              <w:rPr>
                <w:rFonts w:cs="Arial"/>
                <w:color w:val="000000"/>
                <w:sz w:val="16"/>
                <w:szCs w:val="16"/>
              </w:rPr>
            </w:pPr>
            <w:r>
              <w:rPr>
                <w:rFonts w:cs="Arial"/>
                <w:sz w:val="16"/>
                <w:szCs w:val="16"/>
              </w:rPr>
              <w:t>18,6</w:t>
            </w:r>
          </w:p>
        </w:tc>
        <w:tc>
          <w:tcPr>
            <w:tcW w:w="697" w:type="dxa"/>
            <w:tcBorders>
              <w:top w:val="nil"/>
              <w:left w:val="nil"/>
              <w:bottom w:val="nil"/>
              <w:right w:val="nil"/>
            </w:tcBorders>
            <w:shd w:val="clear" w:color="auto" w:fill="auto"/>
            <w:noWrap/>
            <w:vAlign w:val="center"/>
            <w:hideMark/>
          </w:tcPr>
          <w:p w14:paraId="384906D4" w14:textId="7D5C5164" w:rsidR="001E3AB8" w:rsidRPr="00D92E20" w:rsidRDefault="001E3AB8" w:rsidP="001E3AB8">
            <w:pPr>
              <w:spacing w:after="0" w:line="240" w:lineRule="auto"/>
              <w:jc w:val="center"/>
              <w:rPr>
                <w:rFonts w:cs="Arial"/>
                <w:color w:val="000000"/>
                <w:sz w:val="16"/>
                <w:szCs w:val="16"/>
              </w:rPr>
            </w:pPr>
            <w:r>
              <w:rPr>
                <w:rFonts w:cs="Arial"/>
                <w:color w:val="000000"/>
                <w:sz w:val="16"/>
                <w:szCs w:val="16"/>
              </w:rPr>
              <w:t>18,5</w:t>
            </w:r>
          </w:p>
        </w:tc>
        <w:tc>
          <w:tcPr>
            <w:tcW w:w="697" w:type="dxa"/>
            <w:tcBorders>
              <w:top w:val="nil"/>
              <w:left w:val="nil"/>
              <w:bottom w:val="nil"/>
              <w:right w:val="nil"/>
            </w:tcBorders>
            <w:shd w:val="clear" w:color="auto" w:fill="auto"/>
            <w:noWrap/>
            <w:vAlign w:val="center"/>
            <w:hideMark/>
          </w:tcPr>
          <w:p w14:paraId="6497CC67" w14:textId="1CC35D32" w:rsidR="001E3AB8" w:rsidRPr="00D92E20" w:rsidRDefault="001E3AB8" w:rsidP="001E3AB8">
            <w:pPr>
              <w:spacing w:after="0" w:line="240" w:lineRule="auto"/>
              <w:jc w:val="center"/>
              <w:rPr>
                <w:rFonts w:cs="Arial"/>
                <w:color w:val="000000"/>
                <w:sz w:val="16"/>
                <w:szCs w:val="16"/>
              </w:rPr>
            </w:pPr>
            <w:r>
              <w:rPr>
                <w:rFonts w:cs="Arial"/>
                <w:color w:val="000000"/>
                <w:sz w:val="16"/>
                <w:szCs w:val="16"/>
              </w:rPr>
              <w:t>19,9</w:t>
            </w:r>
          </w:p>
        </w:tc>
        <w:tc>
          <w:tcPr>
            <w:tcW w:w="697" w:type="dxa"/>
            <w:tcBorders>
              <w:top w:val="nil"/>
              <w:left w:val="nil"/>
              <w:bottom w:val="nil"/>
              <w:right w:val="nil"/>
            </w:tcBorders>
            <w:shd w:val="clear" w:color="auto" w:fill="auto"/>
            <w:noWrap/>
            <w:vAlign w:val="center"/>
            <w:hideMark/>
          </w:tcPr>
          <w:p w14:paraId="2E898002" w14:textId="2982A110" w:rsidR="001E3AB8" w:rsidRPr="00D92E20" w:rsidRDefault="001E3AB8" w:rsidP="001E3AB8">
            <w:pPr>
              <w:spacing w:after="0" w:line="240" w:lineRule="auto"/>
              <w:jc w:val="center"/>
              <w:rPr>
                <w:rFonts w:cs="Arial"/>
                <w:color w:val="000000"/>
                <w:sz w:val="16"/>
                <w:szCs w:val="16"/>
              </w:rPr>
            </w:pPr>
            <w:r>
              <w:rPr>
                <w:rFonts w:cs="Arial"/>
                <w:color w:val="000000"/>
                <w:sz w:val="16"/>
                <w:szCs w:val="16"/>
              </w:rPr>
              <w:t>21,4</w:t>
            </w:r>
          </w:p>
        </w:tc>
        <w:tc>
          <w:tcPr>
            <w:tcW w:w="697" w:type="dxa"/>
            <w:tcBorders>
              <w:top w:val="nil"/>
              <w:left w:val="nil"/>
              <w:bottom w:val="nil"/>
              <w:right w:val="nil"/>
            </w:tcBorders>
            <w:shd w:val="clear" w:color="auto" w:fill="auto"/>
            <w:noWrap/>
            <w:vAlign w:val="center"/>
            <w:hideMark/>
          </w:tcPr>
          <w:p w14:paraId="6C00987A" w14:textId="5A5785C3" w:rsidR="001E3AB8" w:rsidRPr="00D92E20" w:rsidRDefault="001E3AB8" w:rsidP="001E3AB8">
            <w:pPr>
              <w:spacing w:after="0" w:line="240" w:lineRule="auto"/>
              <w:jc w:val="center"/>
              <w:rPr>
                <w:rFonts w:cs="Arial"/>
                <w:color w:val="000000"/>
                <w:sz w:val="16"/>
                <w:szCs w:val="16"/>
              </w:rPr>
            </w:pPr>
            <w:r>
              <w:rPr>
                <w:rFonts w:cs="Arial"/>
                <w:color w:val="000000"/>
                <w:sz w:val="16"/>
                <w:szCs w:val="16"/>
              </w:rPr>
              <w:t>20,3</w:t>
            </w:r>
          </w:p>
        </w:tc>
        <w:tc>
          <w:tcPr>
            <w:tcW w:w="697" w:type="dxa"/>
            <w:tcBorders>
              <w:top w:val="nil"/>
              <w:left w:val="nil"/>
              <w:bottom w:val="nil"/>
              <w:right w:val="nil"/>
            </w:tcBorders>
            <w:shd w:val="clear" w:color="auto" w:fill="auto"/>
            <w:noWrap/>
            <w:vAlign w:val="center"/>
            <w:hideMark/>
          </w:tcPr>
          <w:p w14:paraId="6DE672A9" w14:textId="7FFDF0A1" w:rsidR="001E3AB8" w:rsidRPr="00D92E20" w:rsidRDefault="001E3AB8" w:rsidP="001E3AB8">
            <w:pPr>
              <w:spacing w:after="0" w:line="240" w:lineRule="auto"/>
              <w:jc w:val="center"/>
              <w:rPr>
                <w:rFonts w:cs="Arial"/>
                <w:color w:val="000000"/>
                <w:sz w:val="16"/>
                <w:szCs w:val="16"/>
              </w:rPr>
            </w:pPr>
            <w:r>
              <w:rPr>
                <w:rFonts w:cs="Arial"/>
                <w:color w:val="000000"/>
                <w:sz w:val="16"/>
                <w:szCs w:val="16"/>
              </w:rPr>
              <w:t>25,8</w:t>
            </w:r>
          </w:p>
        </w:tc>
        <w:tc>
          <w:tcPr>
            <w:tcW w:w="697" w:type="dxa"/>
            <w:tcBorders>
              <w:top w:val="nil"/>
              <w:left w:val="nil"/>
              <w:bottom w:val="nil"/>
              <w:right w:val="nil"/>
            </w:tcBorders>
            <w:shd w:val="clear" w:color="auto" w:fill="auto"/>
            <w:noWrap/>
            <w:vAlign w:val="center"/>
            <w:hideMark/>
          </w:tcPr>
          <w:p w14:paraId="3CC99E6D" w14:textId="00E75FA5" w:rsidR="001E3AB8" w:rsidRPr="00D92E20" w:rsidRDefault="001E3AB8" w:rsidP="001E3AB8">
            <w:pPr>
              <w:spacing w:after="0" w:line="240" w:lineRule="auto"/>
              <w:jc w:val="center"/>
              <w:rPr>
                <w:rFonts w:cs="Arial"/>
                <w:color w:val="000000"/>
                <w:sz w:val="16"/>
                <w:szCs w:val="16"/>
              </w:rPr>
            </w:pPr>
            <w:r>
              <w:rPr>
                <w:rFonts w:cs="Arial"/>
                <w:color w:val="000000"/>
                <w:sz w:val="16"/>
                <w:szCs w:val="16"/>
              </w:rPr>
              <w:t>30,1</w:t>
            </w:r>
          </w:p>
        </w:tc>
        <w:tc>
          <w:tcPr>
            <w:tcW w:w="697" w:type="dxa"/>
            <w:tcBorders>
              <w:top w:val="nil"/>
              <w:left w:val="nil"/>
              <w:bottom w:val="nil"/>
              <w:right w:val="nil"/>
            </w:tcBorders>
            <w:shd w:val="clear" w:color="auto" w:fill="auto"/>
            <w:noWrap/>
            <w:vAlign w:val="center"/>
            <w:hideMark/>
          </w:tcPr>
          <w:p w14:paraId="1DCF9E21" w14:textId="6BA7C1F3" w:rsidR="001E3AB8" w:rsidRPr="00D92E20" w:rsidRDefault="001E3AB8" w:rsidP="001E3AB8">
            <w:pPr>
              <w:spacing w:after="0" w:line="240" w:lineRule="auto"/>
              <w:jc w:val="center"/>
              <w:rPr>
                <w:rFonts w:cs="Arial"/>
                <w:color w:val="000000"/>
                <w:sz w:val="16"/>
                <w:szCs w:val="16"/>
              </w:rPr>
            </w:pPr>
            <w:r>
              <w:rPr>
                <w:rFonts w:cs="Arial"/>
                <w:color w:val="000000"/>
                <w:sz w:val="16"/>
                <w:szCs w:val="16"/>
              </w:rPr>
              <w:t>46,3</w:t>
            </w:r>
          </w:p>
        </w:tc>
      </w:tr>
      <w:tr w:rsidR="001E3AB8" w:rsidRPr="00D92E20" w14:paraId="5D483365" w14:textId="77777777" w:rsidTr="00B0095F">
        <w:trPr>
          <w:trHeight w:val="300"/>
        </w:trPr>
        <w:tc>
          <w:tcPr>
            <w:tcW w:w="1960" w:type="dxa"/>
            <w:tcBorders>
              <w:top w:val="nil"/>
              <w:left w:val="nil"/>
              <w:bottom w:val="nil"/>
              <w:right w:val="single" w:sz="4" w:space="0" w:color="auto"/>
            </w:tcBorders>
            <w:shd w:val="clear" w:color="auto" w:fill="auto"/>
            <w:noWrap/>
            <w:vAlign w:val="center"/>
            <w:hideMark/>
          </w:tcPr>
          <w:p w14:paraId="259C8D21" w14:textId="77777777" w:rsidR="001E3AB8" w:rsidRPr="00D92E20" w:rsidRDefault="001E3AB8" w:rsidP="001E3AB8">
            <w:pPr>
              <w:spacing w:after="0" w:line="240" w:lineRule="auto"/>
              <w:ind w:firstLineChars="100" w:firstLine="160"/>
              <w:rPr>
                <w:rFonts w:cs="Arial"/>
                <w:color w:val="000000"/>
                <w:sz w:val="16"/>
                <w:szCs w:val="16"/>
              </w:rPr>
            </w:pPr>
            <w:r w:rsidRPr="00D92E20">
              <w:rPr>
                <w:rFonts w:cs="Arial"/>
                <w:color w:val="000000"/>
                <w:sz w:val="16"/>
                <w:szCs w:val="16"/>
              </w:rPr>
              <w:t>Zlínský kraj</w:t>
            </w:r>
          </w:p>
        </w:tc>
        <w:tc>
          <w:tcPr>
            <w:tcW w:w="697" w:type="dxa"/>
            <w:tcBorders>
              <w:top w:val="nil"/>
              <w:left w:val="nil"/>
              <w:bottom w:val="nil"/>
              <w:right w:val="nil"/>
            </w:tcBorders>
            <w:shd w:val="clear" w:color="auto" w:fill="auto"/>
            <w:noWrap/>
            <w:vAlign w:val="center"/>
            <w:hideMark/>
          </w:tcPr>
          <w:p w14:paraId="01DEFE50" w14:textId="2F759D47" w:rsidR="001E3AB8" w:rsidRPr="00D92E20" w:rsidRDefault="001E3AB8" w:rsidP="001E3AB8">
            <w:pPr>
              <w:spacing w:after="0" w:line="240" w:lineRule="auto"/>
              <w:jc w:val="center"/>
              <w:rPr>
                <w:rFonts w:cs="Arial"/>
                <w:color w:val="000000"/>
                <w:sz w:val="16"/>
                <w:szCs w:val="16"/>
              </w:rPr>
            </w:pPr>
            <w:r>
              <w:rPr>
                <w:rFonts w:cs="Arial"/>
                <w:sz w:val="16"/>
                <w:szCs w:val="16"/>
              </w:rPr>
              <w:t>14,3</w:t>
            </w:r>
          </w:p>
        </w:tc>
        <w:tc>
          <w:tcPr>
            <w:tcW w:w="697" w:type="dxa"/>
            <w:tcBorders>
              <w:top w:val="nil"/>
              <w:left w:val="nil"/>
              <w:bottom w:val="nil"/>
              <w:right w:val="nil"/>
            </w:tcBorders>
            <w:shd w:val="clear" w:color="auto" w:fill="auto"/>
            <w:noWrap/>
            <w:vAlign w:val="center"/>
            <w:hideMark/>
          </w:tcPr>
          <w:p w14:paraId="62CEF5F0" w14:textId="2A7426EA" w:rsidR="001E3AB8" w:rsidRPr="00D92E20" w:rsidRDefault="001E3AB8" w:rsidP="001E3AB8">
            <w:pPr>
              <w:spacing w:after="0" w:line="240" w:lineRule="auto"/>
              <w:jc w:val="center"/>
              <w:rPr>
                <w:rFonts w:cs="Arial"/>
                <w:color w:val="000000"/>
                <w:sz w:val="16"/>
                <w:szCs w:val="16"/>
              </w:rPr>
            </w:pPr>
            <w:r>
              <w:rPr>
                <w:rFonts w:cs="Arial"/>
                <w:sz w:val="16"/>
                <w:szCs w:val="16"/>
              </w:rPr>
              <w:t>17,4</w:t>
            </w:r>
          </w:p>
        </w:tc>
        <w:tc>
          <w:tcPr>
            <w:tcW w:w="697" w:type="dxa"/>
            <w:tcBorders>
              <w:top w:val="nil"/>
              <w:left w:val="nil"/>
              <w:bottom w:val="nil"/>
              <w:right w:val="nil"/>
            </w:tcBorders>
            <w:shd w:val="clear" w:color="auto" w:fill="auto"/>
            <w:noWrap/>
            <w:vAlign w:val="center"/>
            <w:hideMark/>
          </w:tcPr>
          <w:p w14:paraId="38BDDED8" w14:textId="039A7C29" w:rsidR="001E3AB8" w:rsidRPr="00D92E20" w:rsidRDefault="001E3AB8" w:rsidP="001E3AB8">
            <w:pPr>
              <w:spacing w:after="0" w:line="240" w:lineRule="auto"/>
              <w:jc w:val="center"/>
              <w:rPr>
                <w:rFonts w:cs="Arial"/>
                <w:color w:val="000000"/>
                <w:sz w:val="16"/>
                <w:szCs w:val="16"/>
              </w:rPr>
            </w:pPr>
            <w:r>
              <w:rPr>
                <w:rFonts w:cs="Arial"/>
                <w:sz w:val="16"/>
                <w:szCs w:val="16"/>
              </w:rPr>
              <w:t>14,7</w:t>
            </w:r>
          </w:p>
        </w:tc>
        <w:tc>
          <w:tcPr>
            <w:tcW w:w="697" w:type="dxa"/>
            <w:tcBorders>
              <w:top w:val="nil"/>
              <w:left w:val="nil"/>
              <w:bottom w:val="nil"/>
              <w:right w:val="nil"/>
            </w:tcBorders>
            <w:shd w:val="clear" w:color="auto" w:fill="auto"/>
            <w:noWrap/>
            <w:vAlign w:val="center"/>
            <w:hideMark/>
          </w:tcPr>
          <w:p w14:paraId="671AC91A" w14:textId="2253C844" w:rsidR="001E3AB8" w:rsidRPr="00D92E20" w:rsidRDefault="001E3AB8" w:rsidP="001E3AB8">
            <w:pPr>
              <w:spacing w:after="0" w:line="240" w:lineRule="auto"/>
              <w:jc w:val="center"/>
              <w:rPr>
                <w:rFonts w:cs="Arial"/>
                <w:color w:val="000000"/>
                <w:sz w:val="16"/>
                <w:szCs w:val="16"/>
              </w:rPr>
            </w:pPr>
            <w:r>
              <w:rPr>
                <w:rFonts w:cs="Arial"/>
                <w:sz w:val="16"/>
                <w:szCs w:val="16"/>
              </w:rPr>
              <w:t>20,4</w:t>
            </w:r>
          </w:p>
        </w:tc>
        <w:tc>
          <w:tcPr>
            <w:tcW w:w="697" w:type="dxa"/>
            <w:tcBorders>
              <w:top w:val="nil"/>
              <w:left w:val="nil"/>
              <w:bottom w:val="nil"/>
              <w:right w:val="nil"/>
            </w:tcBorders>
            <w:shd w:val="clear" w:color="auto" w:fill="auto"/>
            <w:noWrap/>
            <w:vAlign w:val="center"/>
            <w:hideMark/>
          </w:tcPr>
          <w:p w14:paraId="09A1D2F9" w14:textId="5EE32FED" w:rsidR="001E3AB8" w:rsidRPr="00D92E20" w:rsidRDefault="001E3AB8" w:rsidP="001E3AB8">
            <w:pPr>
              <w:spacing w:after="0" w:line="240" w:lineRule="auto"/>
              <w:jc w:val="center"/>
              <w:rPr>
                <w:rFonts w:cs="Arial"/>
                <w:color w:val="000000"/>
                <w:sz w:val="16"/>
                <w:szCs w:val="16"/>
              </w:rPr>
            </w:pPr>
            <w:r>
              <w:rPr>
                <w:rFonts w:cs="Arial"/>
                <w:color w:val="000000"/>
                <w:sz w:val="16"/>
                <w:szCs w:val="16"/>
              </w:rPr>
              <w:t>19,7</w:t>
            </w:r>
          </w:p>
        </w:tc>
        <w:tc>
          <w:tcPr>
            <w:tcW w:w="697" w:type="dxa"/>
            <w:tcBorders>
              <w:top w:val="nil"/>
              <w:left w:val="nil"/>
              <w:bottom w:val="nil"/>
              <w:right w:val="nil"/>
            </w:tcBorders>
            <w:shd w:val="clear" w:color="auto" w:fill="auto"/>
            <w:noWrap/>
            <w:vAlign w:val="center"/>
            <w:hideMark/>
          </w:tcPr>
          <w:p w14:paraId="20275CD9" w14:textId="7455F35A" w:rsidR="001E3AB8" w:rsidRPr="00D92E20" w:rsidRDefault="001E3AB8" w:rsidP="001E3AB8">
            <w:pPr>
              <w:spacing w:after="0" w:line="240" w:lineRule="auto"/>
              <w:jc w:val="center"/>
              <w:rPr>
                <w:rFonts w:cs="Arial"/>
                <w:color w:val="000000"/>
                <w:sz w:val="16"/>
                <w:szCs w:val="16"/>
              </w:rPr>
            </w:pPr>
            <w:r>
              <w:rPr>
                <w:rFonts w:cs="Arial"/>
                <w:color w:val="000000"/>
                <w:sz w:val="16"/>
                <w:szCs w:val="16"/>
              </w:rPr>
              <w:t>21,3</w:t>
            </w:r>
          </w:p>
        </w:tc>
        <w:tc>
          <w:tcPr>
            <w:tcW w:w="697" w:type="dxa"/>
            <w:tcBorders>
              <w:top w:val="nil"/>
              <w:left w:val="nil"/>
              <w:bottom w:val="nil"/>
              <w:right w:val="nil"/>
            </w:tcBorders>
            <w:shd w:val="clear" w:color="auto" w:fill="auto"/>
            <w:noWrap/>
            <w:vAlign w:val="center"/>
            <w:hideMark/>
          </w:tcPr>
          <w:p w14:paraId="2121A1C3" w14:textId="79197751" w:rsidR="001E3AB8" w:rsidRPr="00D92E20" w:rsidRDefault="001E3AB8" w:rsidP="001E3AB8">
            <w:pPr>
              <w:spacing w:after="0" w:line="240" w:lineRule="auto"/>
              <w:jc w:val="center"/>
              <w:rPr>
                <w:rFonts w:cs="Arial"/>
                <w:color w:val="000000"/>
                <w:sz w:val="16"/>
                <w:szCs w:val="16"/>
              </w:rPr>
            </w:pPr>
            <w:r>
              <w:rPr>
                <w:rFonts w:cs="Arial"/>
                <w:color w:val="000000"/>
                <w:sz w:val="16"/>
                <w:szCs w:val="16"/>
              </w:rPr>
              <w:t>22,1</w:t>
            </w:r>
          </w:p>
        </w:tc>
        <w:tc>
          <w:tcPr>
            <w:tcW w:w="697" w:type="dxa"/>
            <w:tcBorders>
              <w:top w:val="nil"/>
              <w:left w:val="nil"/>
              <w:bottom w:val="nil"/>
              <w:right w:val="nil"/>
            </w:tcBorders>
            <w:shd w:val="clear" w:color="auto" w:fill="auto"/>
            <w:noWrap/>
            <w:vAlign w:val="center"/>
            <w:hideMark/>
          </w:tcPr>
          <w:p w14:paraId="224780C5" w14:textId="5AFE64E4" w:rsidR="001E3AB8" w:rsidRPr="00D92E20" w:rsidRDefault="001E3AB8" w:rsidP="001E3AB8">
            <w:pPr>
              <w:spacing w:after="0" w:line="240" w:lineRule="auto"/>
              <w:jc w:val="center"/>
              <w:rPr>
                <w:rFonts w:cs="Arial"/>
                <w:color w:val="000000"/>
                <w:sz w:val="16"/>
                <w:szCs w:val="16"/>
              </w:rPr>
            </w:pPr>
            <w:r>
              <w:rPr>
                <w:rFonts w:cs="Arial"/>
                <w:color w:val="000000"/>
                <w:sz w:val="16"/>
                <w:szCs w:val="16"/>
              </w:rPr>
              <w:t>21,3</w:t>
            </w:r>
          </w:p>
        </w:tc>
        <w:tc>
          <w:tcPr>
            <w:tcW w:w="697" w:type="dxa"/>
            <w:tcBorders>
              <w:top w:val="nil"/>
              <w:left w:val="nil"/>
              <w:bottom w:val="nil"/>
              <w:right w:val="nil"/>
            </w:tcBorders>
            <w:shd w:val="clear" w:color="auto" w:fill="auto"/>
            <w:noWrap/>
            <w:vAlign w:val="center"/>
            <w:hideMark/>
          </w:tcPr>
          <w:p w14:paraId="2C23D19F" w14:textId="53498AF5" w:rsidR="001E3AB8" w:rsidRPr="00D92E20" w:rsidRDefault="001E3AB8" w:rsidP="001E3AB8">
            <w:pPr>
              <w:spacing w:after="0" w:line="240" w:lineRule="auto"/>
              <w:jc w:val="center"/>
              <w:rPr>
                <w:rFonts w:cs="Arial"/>
                <w:color w:val="000000"/>
                <w:sz w:val="16"/>
                <w:szCs w:val="16"/>
              </w:rPr>
            </w:pPr>
            <w:r>
              <w:rPr>
                <w:rFonts w:cs="Arial"/>
                <w:color w:val="000000"/>
                <w:sz w:val="16"/>
                <w:szCs w:val="16"/>
              </w:rPr>
              <w:t>24,9</w:t>
            </w:r>
          </w:p>
        </w:tc>
        <w:tc>
          <w:tcPr>
            <w:tcW w:w="697" w:type="dxa"/>
            <w:tcBorders>
              <w:top w:val="nil"/>
              <w:left w:val="nil"/>
              <w:bottom w:val="nil"/>
              <w:right w:val="nil"/>
            </w:tcBorders>
            <w:shd w:val="clear" w:color="auto" w:fill="auto"/>
            <w:noWrap/>
            <w:vAlign w:val="center"/>
            <w:hideMark/>
          </w:tcPr>
          <w:p w14:paraId="752D823F" w14:textId="7CEE9CFB" w:rsidR="001E3AB8" w:rsidRPr="00D92E20" w:rsidRDefault="001E3AB8" w:rsidP="001E3AB8">
            <w:pPr>
              <w:spacing w:after="0" w:line="240" w:lineRule="auto"/>
              <w:jc w:val="center"/>
              <w:rPr>
                <w:rFonts w:cs="Arial"/>
                <w:color w:val="000000"/>
                <w:sz w:val="16"/>
                <w:szCs w:val="16"/>
              </w:rPr>
            </w:pPr>
            <w:r>
              <w:rPr>
                <w:rFonts w:cs="Arial"/>
                <w:color w:val="000000"/>
                <w:sz w:val="16"/>
                <w:szCs w:val="16"/>
              </w:rPr>
              <w:t>29,9</w:t>
            </w:r>
          </w:p>
        </w:tc>
        <w:tc>
          <w:tcPr>
            <w:tcW w:w="697" w:type="dxa"/>
            <w:tcBorders>
              <w:top w:val="nil"/>
              <w:left w:val="nil"/>
              <w:bottom w:val="nil"/>
              <w:right w:val="nil"/>
            </w:tcBorders>
            <w:shd w:val="clear" w:color="auto" w:fill="auto"/>
            <w:noWrap/>
            <w:vAlign w:val="center"/>
            <w:hideMark/>
          </w:tcPr>
          <w:p w14:paraId="6DEAA1A5" w14:textId="2656956F" w:rsidR="001E3AB8" w:rsidRPr="00D92E20" w:rsidRDefault="001E3AB8" w:rsidP="001E3AB8">
            <w:pPr>
              <w:spacing w:after="0" w:line="240" w:lineRule="auto"/>
              <w:jc w:val="center"/>
              <w:rPr>
                <w:rFonts w:cs="Arial"/>
                <w:color w:val="000000"/>
                <w:sz w:val="16"/>
                <w:szCs w:val="16"/>
              </w:rPr>
            </w:pPr>
            <w:r>
              <w:rPr>
                <w:rFonts w:cs="Arial"/>
                <w:color w:val="000000"/>
                <w:sz w:val="16"/>
                <w:szCs w:val="16"/>
              </w:rPr>
              <w:t>48,2</w:t>
            </w:r>
          </w:p>
        </w:tc>
      </w:tr>
      <w:tr w:rsidR="001E3AB8" w:rsidRPr="00D92E20" w14:paraId="067173F3" w14:textId="77777777" w:rsidTr="00B0095F">
        <w:trPr>
          <w:trHeight w:val="300"/>
        </w:trPr>
        <w:tc>
          <w:tcPr>
            <w:tcW w:w="1960" w:type="dxa"/>
            <w:tcBorders>
              <w:top w:val="nil"/>
              <w:left w:val="nil"/>
              <w:bottom w:val="nil"/>
              <w:right w:val="single" w:sz="4" w:space="0" w:color="auto"/>
            </w:tcBorders>
            <w:shd w:val="clear" w:color="auto" w:fill="auto"/>
            <w:noWrap/>
            <w:vAlign w:val="center"/>
            <w:hideMark/>
          </w:tcPr>
          <w:p w14:paraId="35E89EA8" w14:textId="77777777" w:rsidR="001E3AB8" w:rsidRPr="00D92E20" w:rsidRDefault="001E3AB8" w:rsidP="001E3AB8">
            <w:pPr>
              <w:spacing w:after="0" w:line="240" w:lineRule="auto"/>
              <w:ind w:firstLineChars="100" w:firstLine="160"/>
              <w:rPr>
                <w:rFonts w:cs="Arial"/>
                <w:color w:val="000000"/>
                <w:sz w:val="16"/>
                <w:szCs w:val="16"/>
              </w:rPr>
            </w:pPr>
            <w:r w:rsidRPr="00D92E20">
              <w:rPr>
                <w:rFonts w:cs="Arial"/>
                <w:color w:val="000000"/>
                <w:sz w:val="16"/>
                <w:szCs w:val="16"/>
              </w:rPr>
              <w:t>Moravskoslezský kraj</w:t>
            </w:r>
          </w:p>
        </w:tc>
        <w:tc>
          <w:tcPr>
            <w:tcW w:w="697" w:type="dxa"/>
            <w:tcBorders>
              <w:top w:val="nil"/>
              <w:left w:val="nil"/>
              <w:bottom w:val="nil"/>
              <w:right w:val="nil"/>
            </w:tcBorders>
            <w:shd w:val="clear" w:color="auto" w:fill="auto"/>
            <w:noWrap/>
            <w:vAlign w:val="center"/>
            <w:hideMark/>
          </w:tcPr>
          <w:p w14:paraId="381B5B43" w14:textId="0538D0ED" w:rsidR="001E3AB8" w:rsidRPr="00D92E20" w:rsidRDefault="001E3AB8" w:rsidP="001E3AB8">
            <w:pPr>
              <w:spacing w:after="0" w:line="240" w:lineRule="auto"/>
              <w:jc w:val="center"/>
              <w:rPr>
                <w:rFonts w:cs="Arial"/>
                <w:color w:val="000000"/>
                <w:sz w:val="16"/>
                <w:szCs w:val="16"/>
              </w:rPr>
            </w:pPr>
            <w:r>
              <w:rPr>
                <w:rFonts w:cs="Arial"/>
                <w:sz w:val="16"/>
                <w:szCs w:val="16"/>
              </w:rPr>
              <w:t>14,8</w:t>
            </w:r>
          </w:p>
        </w:tc>
        <w:tc>
          <w:tcPr>
            <w:tcW w:w="697" w:type="dxa"/>
            <w:tcBorders>
              <w:top w:val="nil"/>
              <w:left w:val="nil"/>
              <w:bottom w:val="nil"/>
              <w:right w:val="nil"/>
            </w:tcBorders>
            <w:shd w:val="clear" w:color="auto" w:fill="auto"/>
            <w:noWrap/>
            <w:vAlign w:val="center"/>
            <w:hideMark/>
          </w:tcPr>
          <w:p w14:paraId="0C88F714" w14:textId="5FAB7C2F" w:rsidR="001E3AB8" w:rsidRPr="00D92E20" w:rsidRDefault="001E3AB8" w:rsidP="001E3AB8">
            <w:pPr>
              <w:spacing w:after="0" w:line="240" w:lineRule="auto"/>
              <w:jc w:val="center"/>
              <w:rPr>
                <w:rFonts w:cs="Arial"/>
                <w:color w:val="000000"/>
                <w:sz w:val="16"/>
                <w:szCs w:val="16"/>
              </w:rPr>
            </w:pPr>
            <w:r>
              <w:rPr>
                <w:rFonts w:cs="Arial"/>
                <w:sz w:val="16"/>
                <w:szCs w:val="16"/>
              </w:rPr>
              <w:t>17,9</w:t>
            </w:r>
          </w:p>
        </w:tc>
        <w:tc>
          <w:tcPr>
            <w:tcW w:w="697" w:type="dxa"/>
            <w:tcBorders>
              <w:top w:val="nil"/>
              <w:left w:val="nil"/>
              <w:bottom w:val="nil"/>
              <w:right w:val="nil"/>
            </w:tcBorders>
            <w:shd w:val="clear" w:color="auto" w:fill="auto"/>
            <w:noWrap/>
            <w:vAlign w:val="center"/>
            <w:hideMark/>
          </w:tcPr>
          <w:p w14:paraId="7D7B76A8" w14:textId="23F5F5B6" w:rsidR="001E3AB8" w:rsidRPr="00D92E20" w:rsidRDefault="001E3AB8" w:rsidP="001E3AB8">
            <w:pPr>
              <w:spacing w:after="0" w:line="240" w:lineRule="auto"/>
              <w:jc w:val="center"/>
              <w:rPr>
                <w:rFonts w:cs="Arial"/>
                <w:color w:val="000000"/>
                <w:sz w:val="16"/>
                <w:szCs w:val="16"/>
              </w:rPr>
            </w:pPr>
            <w:r>
              <w:rPr>
                <w:rFonts w:cs="Arial"/>
                <w:sz w:val="16"/>
                <w:szCs w:val="16"/>
              </w:rPr>
              <w:t>15,3</w:t>
            </w:r>
          </w:p>
        </w:tc>
        <w:tc>
          <w:tcPr>
            <w:tcW w:w="697" w:type="dxa"/>
            <w:tcBorders>
              <w:top w:val="nil"/>
              <w:left w:val="nil"/>
              <w:bottom w:val="nil"/>
              <w:right w:val="nil"/>
            </w:tcBorders>
            <w:shd w:val="clear" w:color="auto" w:fill="auto"/>
            <w:noWrap/>
            <w:vAlign w:val="center"/>
            <w:hideMark/>
          </w:tcPr>
          <w:p w14:paraId="0483F44F" w14:textId="09EFED98" w:rsidR="001E3AB8" w:rsidRPr="00D92E20" w:rsidRDefault="001E3AB8" w:rsidP="001E3AB8">
            <w:pPr>
              <w:spacing w:after="0" w:line="240" w:lineRule="auto"/>
              <w:jc w:val="center"/>
              <w:rPr>
                <w:rFonts w:cs="Arial"/>
                <w:color w:val="000000"/>
                <w:sz w:val="16"/>
                <w:szCs w:val="16"/>
              </w:rPr>
            </w:pPr>
            <w:r>
              <w:rPr>
                <w:rFonts w:cs="Arial"/>
                <w:sz w:val="16"/>
                <w:szCs w:val="16"/>
              </w:rPr>
              <w:t>20,0</w:t>
            </w:r>
          </w:p>
        </w:tc>
        <w:tc>
          <w:tcPr>
            <w:tcW w:w="697" w:type="dxa"/>
            <w:tcBorders>
              <w:top w:val="nil"/>
              <w:left w:val="nil"/>
              <w:bottom w:val="nil"/>
              <w:right w:val="nil"/>
            </w:tcBorders>
            <w:shd w:val="clear" w:color="auto" w:fill="auto"/>
            <w:noWrap/>
            <w:vAlign w:val="center"/>
            <w:hideMark/>
          </w:tcPr>
          <w:p w14:paraId="5540361E" w14:textId="7DE860AD" w:rsidR="001E3AB8" w:rsidRPr="00D92E20" w:rsidRDefault="001E3AB8" w:rsidP="001E3AB8">
            <w:pPr>
              <w:spacing w:after="0" w:line="240" w:lineRule="auto"/>
              <w:jc w:val="center"/>
              <w:rPr>
                <w:rFonts w:cs="Arial"/>
                <w:color w:val="000000"/>
                <w:sz w:val="16"/>
                <w:szCs w:val="16"/>
              </w:rPr>
            </w:pPr>
            <w:r>
              <w:rPr>
                <w:rFonts w:cs="Arial"/>
                <w:color w:val="000000"/>
                <w:sz w:val="16"/>
                <w:szCs w:val="16"/>
              </w:rPr>
              <w:t>20,2</w:t>
            </w:r>
          </w:p>
        </w:tc>
        <w:tc>
          <w:tcPr>
            <w:tcW w:w="697" w:type="dxa"/>
            <w:tcBorders>
              <w:top w:val="nil"/>
              <w:left w:val="nil"/>
              <w:bottom w:val="nil"/>
              <w:right w:val="nil"/>
            </w:tcBorders>
            <w:shd w:val="clear" w:color="auto" w:fill="auto"/>
            <w:noWrap/>
            <w:vAlign w:val="center"/>
            <w:hideMark/>
          </w:tcPr>
          <w:p w14:paraId="1B68F850" w14:textId="4A667573" w:rsidR="001E3AB8" w:rsidRPr="00D92E20" w:rsidRDefault="001E3AB8" w:rsidP="001E3AB8">
            <w:pPr>
              <w:spacing w:after="0" w:line="240" w:lineRule="auto"/>
              <w:jc w:val="center"/>
              <w:rPr>
                <w:rFonts w:cs="Arial"/>
                <w:color w:val="000000"/>
                <w:sz w:val="16"/>
                <w:szCs w:val="16"/>
              </w:rPr>
            </w:pPr>
            <w:r>
              <w:rPr>
                <w:rFonts w:cs="Arial"/>
                <w:color w:val="000000"/>
                <w:sz w:val="16"/>
                <w:szCs w:val="16"/>
              </w:rPr>
              <w:t>21,5</w:t>
            </w:r>
          </w:p>
        </w:tc>
        <w:tc>
          <w:tcPr>
            <w:tcW w:w="697" w:type="dxa"/>
            <w:tcBorders>
              <w:top w:val="nil"/>
              <w:left w:val="nil"/>
              <w:bottom w:val="nil"/>
              <w:right w:val="nil"/>
            </w:tcBorders>
            <w:shd w:val="clear" w:color="auto" w:fill="auto"/>
            <w:noWrap/>
            <w:vAlign w:val="center"/>
            <w:hideMark/>
          </w:tcPr>
          <w:p w14:paraId="250ADF9E" w14:textId="48F13B51" w:rsidR="001E3AB8" w:rsidRPr="00D92E20" w:rsidRDefault="001E3AB8" w:rsidP="001E3AB8">
            <w:pPr>
              <w:spacing w:after="0" w:line="240" w:lineRule="auto"/>
              <w:jc w:val="center"/>
              <w:rPr>
                <w:rFonts w:cs="Arial"/>
                <w:color w:val="000000"/>
                <w:sz w:val="16"/>
                <w:szCs w:val="16"/>
              </w:rPr>
            </w:pPr>
            <w:r>
              <w:rPr>
                <w:rFonts w:cs="Arial"/>
                <w:color w:val="000000"/>
                <w:sz w:val="16"/>
                <w:szCs w:val="16"/>
              </w:rPr>
              <w:t>23,1</w:t>
            </w:r>
          </w:p>
        </w:tc>
        <w:tc>
          <w:tcPr>
            <w:tcW w:w="697" w:type="dxa"/>
            <w:tcBorders>
              <w:top w:val="nil"/>
              <w:left w:val="nil"/>
              <w:bottom w:val="nil"/>
              <w:right w:val="nil"/>
            </w:tcBorders>
            <w:shd w:val="clear" w:color="auto" w:fill="auto"/>
            <w:noWrap/>
            <w:vAlign w:val="center"/>
            <w:hideMark/>
          </w:tcPr>
          <w:p w14:paraId="2D317FF9" w14:textId="0B67619D" w:rsidR="001E3AB8" w:rsidRPr="00D92E20" w:rsidRDefault="001E3AB8" w:rsidP="001E3AB8">
            <w:pPr>
              <w:spacing w:after="0" w:line="240" w:lineRule="auto"/>
              <w:jc w:val="center"/>
              <w:rPr>
                <w:rFonts w:cs="Arial"/>
                <w:color w:val="000000"/>
                <w:sz w:val="16"/>
                <w:szCs w:val="16"/>
              </w:rPr>
            </w:pPr>
            <w:r>
              <w:rPr>
                <w:rFonts w:cs="Arial"/>
                <w:color w:val="000000"/>
                <w:sz w:val="16"/>
                <w:szCs w:val="16"/>
              </w:rPr>
              <w:t>22,0</w:t>
            </w:r>
          </w:p>
        </w:tc>
        <w:tc>
          <w:tcPr>
            <w:tcW w:w="697" w:type="dxa"/>
            <w:tcBorders>
              <w:top w:val="nil"/>
              <w:left w:val="nil"/>
              <w:bottom w:val="nil"/>
              <w:right w:val="nil"/>
            </w:tcBorders>
            <w:shd w:val="clear" w:color="auto" w:fill="auto"/>
            <w:noWrap/>
            <w:vAlign w:val="center"/>
            <w:hideMark/>
          </w:tcPr>
          <w:p w14:paraId="5F07498C" w14:textId="7BCDA3DB" w:rsidR="001E3AB8" w:rsidRPr="00D92E20" w:rsidRDefault="001E3AB8" w:rsidP="001E3AB8">
            <w:pPr>
              <w:spacing w:after="0" w:line="240" w:lineRule="auto"/>
              <w:jc w:val="center"/>
              <w:rPr>
                <w:rFonts w:cs="Arial"/>
                <w:color w:val="000000"/>
                <w:sz w:val="16"/>
                <w:szCs w:val="16"/>
              </w:rPr>
            </w:pPr>
            <w:r>
              <w:rPr>
                <w:rFonts w:cs="Arial"/>
                <w:color w:val="000000"/>
                <w:sz w:val="16"/>
                <w:szCs w:val="16"/>
              </w:rPr>
              <w:t>26,9</w:t>
            </w:r>
          </w:p>
        </w:tc>
        <w:tc>
          <w:tcPr>
            <w:tcW w:w="697" w:type="dxa"/>
            <w:tcBorders>
              <w:top w:val="nil"/>
              <w:left w:val="nil"/>
              <w:bottom w:val="nil"/>
              <w:right w:val="nil"/>
            </w:tcBorders>
            <w:shd w:val="clear" w:color="auto" w:fill="auto"/>
            <w:noWrap/>
            <w:vAlign w:val="center"/>
            <w:hideMark/>
          </w:tcPr>
          <w:p w14:paraId="359D74C0" w14:textId="6A369772" w:rsidR="001E3AB8" w:rsidRPr="00D92E20" w:rsidRDefault="001E3AB8" w:rsidP="001E3AB8">
            <w:pPr>
              <w:spacing w:after="0" w:line="240" w:lineRule="auto"/>
              <w:jc w:val="center"/>
              <w:rPr>
                <w:rFonts w:cs="Arial"/>
                <w:color w:val="000000"/>
                <w:sz w:val="16"/>
                <w:szCs w:val="16"/>
              </w:rPr>
            </w:pPr>
            <w:r>
              <w:rPr>
                <w:rFonts w:cs="Arial"/>
                <w:color w:val="000000"/>
                <w:sz w:val="16"/>
                <w:szCs w:val="16"/>
              </w:rPr>
              <w:t>32,6</w:t>
            </w:r>
          </w:p>
        </w:tc>
        <w:tc>
          <w:tcPr>
            <w:tcW w:w="697" w:type="dxa"/>
            <w:tcBorders>
              <w:top w:val="nil"/>
              <w:left w:val="nil"/>
              <w:bottom w:val="nil"/>
              <w:right w:val="nil"/>
            </w:tcBorders>
            <w:shd w:val="clear" w:color="auto" w:fill="auto"/>
            <w:noWrap/>
            <w:vAlign w:val="center"/>
            <w:hideMark/>
          </w:tcPr>
          <w:p w14:paraId="7494AB02" w14:textId="43A7FBB0" w:rsidR="001E3AB8" w:rsidRPr="00D92E20" w:rsidRDefault="001E3AB8" w:rsidP="001E3AB8">
            <w:pPr>
              <w:spacing w:after="0" w:line="240" w:lineRule="auto"/>
              <w:jc w:val="center"/>
              <w:rPr>
                <w:rFonts w:cs="Arial"/>
                <w:color w:val="000000"/>
                <w:sz w:val="16"/>
                <w:szCs w:val="16"/>
              </w:rPr>
            </w:pPr>
            <w:r>
              <w:rPr>
                <w:rFonts w:cs="Arial"/>
                <w:color w:val="000000"/>
                <w:sz w:val="16"/>
                <w:szCs w:val="16"/>
              </w:rPr>
              <w:t>47,1</w:t>
            </w:r>
          </w:p>
        </w:tc>
      </w:tr>
    </w:tbl>
    <w:p w14:paraId="4979ED72" w14:textId="43D161DA" w:rsidR="00B0095F" w:rsidRPr="00D92E20" w:rsidRDefault="00B0095F" w:rsidP="00B0095F">
      <w:pPr>
        <w:spacing w:before="120"/>
        <w:rPr>
          <w:sz w:val="16"/>
        </w:rPr>
      </w:pPr>
      <w:r w:rsidRPr="00D92E20">
        <w:rPr>
          <w:sz w:val="16"/>
        </w:rPr>
        <w:t>Zdroj: ČSÚ</w:t>
      </w:r>
    </w:p>
    <w:p w14:paraId="659702C8" w14:textId="77777777" w:rsidR="0048385E" w:rsidRPr="00D92E20" w:rsidRDefault="0048385E" w:rsidP="00BA6B4E">
      <w:pPr>
        <w:pStyle w:val="Nadpis3"/>
        <w:numPr>
          <w:ilvl w:val="2"/>
          <w:numId w:val="21"/>
        </w:numPr>
        <w:spacing w:after="120"/>
        <w:ind w:left="709"/>
        <w:jc w:val="both"/>
      </w:pPr>
      <w:bookmarkStart w:id="9" w:name="_Toc70676750"/>
      <w:bookmarkStart w:id="10" w:name="_Toc70676872"/>
      <w:bookmarkStart w:id="11" w:name="_Toc70933090"/>
      <w:bookmarkStart w:id="12" w:name="_Toc70933155"/>
      <w:bookmarkStart w:id="13" w:name="_Toc70948573"/>
      <w:bookmarkStart w:id="14" w:name="_Toc70948602"/>
      <w:bookmarkStart w:id="15" w:name="_Toc70948631"/>
      <w:bookmarkStart w:id="16" w:name="_Toc70948675"/>
      <w:bookmarkStart w:id="17" w:name="_Toc70948904"/>
      <w:bookmarkStart w:id="18" w:name="_Toc54262801"/>
      <w:bookmarkStart w:id="19" w:name="_Toc117774429"/>
      <w:bookmarkEnd w:id="9"/>
      <w:bookmarkEnd w:id="10"/>
      <w:bookmarkEnd w:id="11"/>
      <w:bookmarkEnd w:id="12"/>
      <w:bookmarkEnd w:id="13"/>
      <w:bookmarkEnd w:id="14"/>
      <w:bookmarkEnd w:id="15"/>
      <w:bookmarkEnd w:id="16"/>
      <w:bookmarkEnd w:id="17"/>
      <w:r w:rsidRPr="00D92E20">
        <w:t>Délka trvání dočasné pracovní neschopnosti</w:t>
      </w:r>
      <w:bookmarkEnd w:id="18"/>
      <w:bookmarkEnd w:id="19"/>
    </w:p>
    <w:p w14:paraId="6D52A0B9" w14:textId="77777777" w:rsidR="0048385E" w:rsidRPr="00D92E20" w:rsidRDefault="0048385E" w:rsidP="00BA6B4E">
      <w:pPr>
        <w:spacing w:before="120" w:after="120"/>
        <w:jc w:val="both"/>
      </w:pPr>
      <w:r w:rsidRPr="00D92E20">
        <w:t>Pro posouzení vývoje pracovní neschopnosti je důležité nejen zjištění, jak často zaměstnanci do pracovní neschopnosti nastupují, ale i to, jak dlouho v pracovní neschopnosti zůstávají.</w:t>
      </w:r>
    </w:p>
    <w:p w14:paraId="15ECD2E5" w14:textId="452E480E" w:rsidR="00473D4E" w:rsidRDefault="0048385E" w:rsidP="00BA6B4E">
      <w:pPr>
        <w:pStyle w:val="Box1"/>
        <w:spacing w:before="120" w:after="120"/>
        <w:ind w:left="0"/>
        <w:contextualSpacing w:val="0"/>
        <w:jc w:val="both"/>
        <w:rPr>
          <w:i/>
        </w:rPr>
      </w:pPr>
      <w:r w:rsidRPr="00D92E20">
        <w:rPr>
          <w:b/>
          <w:i/>
        </w:rPr>
        <w:t>Počet kalendářních dnů pracovní neschopnosti</w:t>
      </w:r>
      <w:r w:rsidRPr="00D92E20">
        <w:rPr>
          <w:i/>
        </w:rPr>
        <w:t xml:space="preserve"> – ukazatel udává celkový počet kalendářních dnů, po které byli v daném období (</w:t>
      </w:r>
      <w:r w:rsidR="004B564D">
        <w:rPr>
          <w:i/>
        </w:rPr>
        <w:t>1. pololetí</w:t>
      </w:r>
      <w:r w:rsidRPr="00D92E20">
        <w:rPr>
          <w:i/>
        </w:rPr>
        <w:t>) nemocensky pojištění práce neschopni</w:t>
      </w:r>
      <w:r w:rsidR="007C6359">
        <w:rPr>
          <w:i/>
        </w:rPr>
        <w:t>.</w:t>
      </w:r>
      <w:r w:rsidRPr="00D92E20">
        <w:rPr>
          <w:i/>
        </w:rPr>
        <w:t xml:space="preserve"> Počet kalendářních dnů strávených v pracovní neschopnosti je zjišťován na základě hlášení o vzniku a ukončení pracovní neschopnosti. </w:t>
      </w:r>
      <w:r w:rsidR="00954E16" w:rsidRPr="00954E16">
        <w:rPr>
          <w:i/>
        </w:rPr>
        <w:t xml:space="preserve">Údaj zahrnuje dny pracovní neschopnosti vč. dnů u těch případů, které vznikly před sledovaným obdobím a v počtu nově hlášených případů dočasné pracovní neschopnosti za toto období zařazeny nejsou. Maximální doba zápočtu je délka sledovaného období (180 resp. 181 dnů za 1. pololetí) bez ohledu na délku trvání pracovní neschopnosti daného případu. </w:t>
      </w:r>
      <w:r w:rsidRPr="00D92E20">
        <w:rPr>
          <w:i/>
        </w:rPr>
        <w:t>Do počtu kalendářních dnů pracovní neschopnosti patří i pracovní neschopnost vzniklá po zániku pojištění v tzv. ochranné lhůtě sedmi kalendářních dnů.</w:t>
      </w:r>
    </w:p>
    <w:p w14:paraId="1B8F1156" w14:textId="77777777" w:rsidR="00473D4E" w:rsidRDefault="00473D4E">
      <w:pPr>
        <w:spacing w:after="0" w:line="240" w:lineRule="auto"/>
        <w:rPr>
          <w:rFonts w:eastAsia="Calibri" w:cs="Arial"/>
          <w:i/>
          <w:szCs w:val="20"/>
        </w:rPr>
      </w:pPr>
      <w:r>
        <w:rPr>
          <w:i/>
        </w:rPr>
        <w:br w:type="page"/>
      </w:r>
    </w:p>
    <w:p w14:paraId="39634E12" w14:textId="09C10A6F" w:rsidR="0048385E" w:rsidRPr="00D92E20" w:rsidRDefault="0048385E" w:rsidP="0048385E">
      <w:pPr>
        <w:pStyle w:val="Box1"/>
        <w:ind w:left="0"/>
        <w:jc w:val="both"/>
        <w:rPr>
          <w:i/>
        </w:rPr>
      </w:pPr>
      <w:r w:rsidRPr="00D92E20">
        <w:rPr>
          <w:b/>
          <w:i/>
        </w:rPr>
        <w:lastRenderedPageBreak/>
        <w:t>Průměrná délka trvání pracovní neschopnosti ve dnech</w:t>
      </w:r>
      <w:r w:rsidRPr="00D92E20">
        <w:rPr>
          <w:i/>
        </w:rPr>
        <w:t xml:space="preserve"> – ukazatel vyjadřuje, kolik kalendářních dnů pracovní neschopnosti v průměru připadá na jeden nově hlášený případ pracovní neschopnosti. </w:t>
      </w:r>
      <w:r w:rsidR="00954E16" w:rsidRPr="00954E16">
        <w:rPr>
          <w:i/>
        </w:rPr>
        <w:t>Nově hlášený případ musí být vzniklý ve sledovaném období, kdežto do dnů pracovní neschopnosti (maximálně v délce sledovaného období, tedy 180 resp. 181 dnů za 1. pol</w:t>
      </w:r>
      <w:r w:rsidR="00954E16">
        <w:rPr>
          <w:i/>
        </w:rPr>
        <w:t>oletí</w:t>
      </w:r>
      <w:r w:rsidR="00954E16" w:rsidRPr="00954E16">
        <w:rPr>
          <w:i/>
        </w:rPr>
        <w:t>) se započítávají i dny z případů PN, které mohly vzniknout již v předchozím období, ale byly ukončeny či nadále trvají v průběhu sledovaného období.</w:t>
      </w:r>
    </w:p>
    <w:p w14:paraId="31B6C8D4" w14:textId="77777777" w:rsidR="0048385E" w:rsidRPr="00D92E20" w:rsidRDefault="0048385E" w:rsidP="0048385E">
      <w:pPr>
        <w:pStyle w:val="Box1"/>
        <w:ind w:left="0"/>
        <w:jc w:val="both"/>
        <w:rPr>
          <w:i/>
          <w:u w:val="single"/>
        </w:rPr>
      </w:pPr>
      <w:r w:rsidRPr="00D92E20">
        <w:rPr>
          <w:i/>
          <w:u w:val="single"/>
        </w:rPr>
        <w:t>Způsob výpočtu:</w:t>
      </w:r>
    </w:p>
    <w:p w14:paraId="4C434103" w14:textId="77777777" w:rsidR="0048385E" w:rsidRPr="00D92E20" w:rsidRDefault="0048385E" w:rsidP="00BA6B4E">
      <w:pPr>
        <w:pStyle w:val="Box1"/>
        <w:spacing w:before="120" w:after="120"/>
        <w:ind w:left="0"/>
        <w:contextualSpacing w:val="0"/>
        <w:jc w:val="both"/>
        <w:rPr>
          <w:i/>
        </w:rPr>
      </w:pPr>
      <w:r w:rsidRPr="00D92E20">
        <w:rPr>
          <w:i/>
        </w:rPr>
        <w:t>Průměrná délka trvání pracovní neschopnosti ve dnech = počet kalendářních dnů dočasné pracovní neschopnosti / počet nově hlášených případů dočasné pracovní neschopnosti.</w:t>
      </w:r>
    </w:p>
    <w:p w14:paraId="131E20DE" w14:textId="40AA0CAF" w:rsidR="004A31C1" w:rsidRDefault="004A31C1" w:rsidP="004A31C1">
      <w:pPr>
        <w:spacing w:before="120" w:after="120"/>
        <w:jc w:val="both"/>
      </w:pPr>
      <w:r w:rsidRPr="00D92E20">
        <w:t>Počet kalendářních dnů dočasné pracovní neschopnosti</w:t>
      </w:r>
      <w:r w:rsidRPr="00D92E20">
        <w:rPr>
          <w:b/>
        </w:rPr>
        <w:t xml:space="preserve"> </w:t>
      </w:r>
      <w:r w:rsidRPr="00D92E20">
        <w:t xml:space="preserve">meziročně </w:t>
      </w:r>
      <w:r w:rsidR="008259FD">
        <w:t>poklesl</w:t>
      </w:r>
      <w:r w:rsidRPr="00D92E20">
        <w:t xml:space="preserve"> z</w:t>
      </w:r>
      <w:r>
        <w:t> </w:t>
      </w:r>
      <w:r w:rsidR="008259FD">
        <w:t>50 856</w:t>
      </w:r>
      <w:r w:rsidRPr="00D92E20">
        <w:t xml:space="preserve"> tis. prostonaných dnů v</w:t>
      </w:r>
      <w:r w:rsidR="008259FD">
        <w:t> 1. pol. 2021</w:t>
      </w:r>
      <w:r w:rsidRPr="00D92E20">
        <w:t xml:space="preserve"> na </w:t>
      </w:r>
      <w:r w:rsidR="008259FD">
        <w:t xml:space="preserve">50 387 </w:t>
      </w:r>
      <w:r w:rsidRPr="00D92E20">
        <w:t>tis. dnů v</w:t>
      </w:r>
      <w:r>
        <w:t> 1. pol. 202</w:t>
      </w:r>
      <w:r w:rsidR="008259FD">
        <w:t>2</w:t>
      </w:r>
      <w:r w:rsidRPr="00D92E20">
        <w:t xml:space="preserve"> (tj. o </w:t>
      </w:r>
      <w:r w:rsidR="008259FD">
        <w:t>necelé 1</w:t>
      </w:r>
      <w:r>
        <w:t xml:space="preserve"> </w:t>
      </w:r>
      <w:r w:rsidRPr="00D92E20">
        <w:t xml:space="preserve">%). </w:t>
      </w:r>
      <w:r w:rsidRPr="003B26E3">
        <w:t>V porovnání s 1. pol. 2019 došlo k nárůstu počtu prostonaných dnů o více než pětinu.</w:t>
      </w:r>
      <w:r>
        <w:t xml:space="preserve"> </w:t>
      </w:r>
    </w:p>
    <w:p w14:paraId="6D9F76DA" w14:textId="1F10099F" w:rsidR="004A31C1" w:rsidRDefault="004A31C1" w:rsidP="004A31C1">
      <w:pPr>
        <w:spacing w:before="120" w:after="120"/>
        <w:jc w:val="both"/>
        <w:rPr>
          <w:b/>
        </w:rPr>
      </w:pPr>
      <w:r w:rsidRPr="00D92E20">
        <w:t>Většina dnů pracovní neschopnosti (8</w:t>
      </w:r>
      <w:r w:rsidR="008259FD">
        <w:t>8</w:t>
      </w:r>
      <w:r w:rsidRPr="00D92E20">
        <w:t xml:space="preserve"> %) je způsobena nemocí, v absolutním počtu </w:t>
      </w:r>
      <w:r>
        <w:t>4</w:t>
      </w:r>
      <w:r w:rsidR="008259FD">
        <w:t xml:space="preserve">4 376 </w:t>
      </w:r>
      <w:r w:rsidRPr="00D92E20">
        <w:t>tis. za</w:t>
      </w:r>
      <w:r w:rsidR="00CD63E8">
        <w:t> </w:t>
      </w:r>
      <w:r>
        <w:t>1.</w:t>
      </w:r>
      <w:r w:rsidR="00CD63E8">
        <w:t> </w:t>
      </w:r>
      <w:r>
        <w:t>pol.</w:t>
      </w:r>
      <w:r w:rsidR="00CD63E8">
        <w:t> </w:t>
      </w:r>
      <w:r>
        <w:t>202</w:t>
      </w:r>
      <w:r w:rsidR="008259FD">
        <w:t>2</w:t>
      </w:r>
      <w:r w:rsidRPr="00D92E20">
        <w:t xml:space="preserve">. Ženy strávily v dočasné pracovní neschopnosti celkem </w:t>
      </w:r>
      <w:r>
        <w:t>2</w:t>
      </w:r>
      <w:r w:rsidR="008259FD">
        <w:t>7 542</w:t>
      </w:r>
      <w:r w:rsidRPr="00D92E20">
        <w:t xml:space="preserve"> tis. dnů, což je o </w:t>
      </w:r>
      <w:r w:rsidR="008259FD">
        <w:t>4 697</w:t>
      </w:r>
      <w:r w:rsidRPr="00D92E20">
        <w:t xml:space="preserve"> tis. dnů více než muži. To, že ženy stráví na neschopence delší dobu, potvrzuje i dlouhodobější vývoj průměrné délky trvání dočasné pracovní neschopnosti znázorněný v tab. 2.5 či grafu 2.9.</w:t>
      </w:r>
    </w:p>
    <w:p w14:paraId="0C194611" w14:textId="54A07393" w:rsidR="00EA098E" w:rsidRPr="00D92E20" w:rsidRDefault="0048385E" w:rsidP="00BA6B4E">
      <w:pPr>
        <w:spacing w:after="0"/>
        <w:jc w:val="both"/>
        <w:rPr>
          <w:b/>
        </w:rPr>
      </w:pPr>
      <w:r w:rsidRPr="00D92E20">
        <w:rPr>
          <w:b/>
        </w:rPr>
        <w:t xml:space="preserve">Tab. 2.4: </w:t>
      </w:r>
      <w:r w:rsidR="004B564D" w:rsidRPr="004B564D">
        <w:rPr>
          <w:b/>
        </w:rPr>
        <w:t xml:space="preserve">Kalendářní dny dočasné pracovní neschopnosti podle příčiny a pohlaví, </w:t>
      </w:r>
      <w:r w:rsidR="009F34CD" w:rsidRPr="0050059C">
        <w:rPr>
          <w:b/>
          <w:spacing w:val="-2"/>
        </w:rPr>
        <w:t>1. pol. 201</w:t>
      </w:r>
      <w:r w:rsidR="009F34CD">
        <w:rPr>
          <w:b/>
          <w:spacing w:val="-2"/>
        </w:rPr>
        <w:t>2</w:t>
      </w:r>
      <w:r w:rsidR="009F34CD" w:rsidRPr="0050059C">
        <w:rPr>
          <w:b/>
          <w:spacing w:val="-2"/>
        </w:rPr>
        <w:t xml:space="preserve"> až 1. pol. 202</w:t>
      </w:r>
      <w:r w:rsidR="009F34CD">
        <w:rPr>
          <w:b/>
          <w:spacing w:val="-2"/>
        </w:rPr>
        <w:t>2</w:t>
      </w:r>
      <w:r w:rsidR="009F34CD" w:rsidRPr="004B564D">
        <w:rPr>
          <w:b/>
        </w:rPr>
        <w:t xml:space="preserve"> </w:t>
      </w:r>
      <w:r w:rsidR="004B564D" w:rsidRPr="004B564D">
        <w:rPr>
          <w:b/>
        </w:rPr>
        <w:t>(v tis.)</w:t>
      </w:r>
    </w:p>
    <w:tbl>
      <w:tblPr>
        <w:tblW w:w="9542" w:type="dxa"/>
        <w:tblCellMar>
          <w:left w:w="70" w:type="dxa"/>
          <w:right w:w="70" w:type="dxa"/>
        </w:tblCellMar>
        <w:tblLook w:val="04A0" w:firstRow="1" w:lastRow="0" w:firstColumn="1" w:lastColumn="0" w:noHBand="0" w:noVBand="1"/>
      </w:tblPr>
      <w:tblGrid>
        <w:gridCol w:w="1010"/>
        <w:gridCol w:w="711"/>
        <w:gridCol w:w="703"/>
        <w:gridCol w:w="704"/>
        <w:gridCol w:w="707"/>
        <w:gridCol w:w="704"/>
        <w:gridCol w:w="704"/>
        <w:gridCol w:w="754"/>
        <w:gridCol w:w="709"/>
        <w:gridCol w:w="709"/>
        <w:gridCol w:w="709"/>
        <w:gridCol w:w="709"/>
        <w:gridCol w:w="709"/>
      </w:tblGrid>
      <w:tr w:rsidR="004B564D" w:rsidRPr="00D92E20" w14:paraId="022C4014" w14:textId="77777777" w:rsidTr="008259FD">
        <w:trPr>
          <w:trHeight w:val="300"/>
        </w:trPr>
        <w:tc>
          <w:tcPr>
            <w:tcW w:w="1010" w:type="dxa"/>
            <w:vMerge w:val="restart"/>
            <w:tcBorders>
              <w:top w:val="single" w:sz="4" w:space="0" w:color="auto"/>
              <w:left w:val="nil"/>
              <w:bottom w:val="nil"/>
              <w:right w:val="single" w:sz="4" w:space="0" w:color="auto"/>
            </w:tcBorders>
            <w:shd w:val="clear" w:color="000000" w:fill="F5DADD"/>
            <w:vAlign w:val="center"/>
            <w:hideMark/>
          </w:tcPr>
          <w:p w14:paraId="40A1A5DC" w14:textId="37AD99E9" w:rsidR="004B564D" w:rsidRPr="00D92E20" w:rsidRDefault="004B564D" w:rsidP="004B564D">
            <w:pPr>
              <w:spacing w:after="0" w:line="240" w:lineRule="auto"/>
              <w:jc w:val="center"/>
              <w:rPr>
                <w:rFonts w:cs="Arial"/>
                <w:color w:val="000000"/>
                <w:sz w:val="16"/>
                <w:szCs w:val="16"/>
              </w:rPr>
            </w:pPr>
            <w:r>
              <w:rPr>
                <w:rFonts w:cs="Arial"/>
                <w:sz w:val="16"/>
                <w:szCs w:val="16"/>
              </w:rPr>
              <w:t>Období</w:t>
            </w:r>
          </w:p>
        </w:tc>
        <w:tc>
          <w:tcPr>
            <w:tcW w:w="711" w:type="dxa"/>
            <w:vMerge w:val="restart"/>
            <w:tcBorders>
              <w:top w:val="single" w:sz="4" w:space="0" w:color="auto"/>
              <w:left w:val="single" w:sz="4" w:space="0" w:color="auto"/>
              <w:bottom w:val="single" w:sz="4" w:space="0" w:color="000000"/>
              <w:right w:val="single" w:sz="4" w:space="0" w:color="auto"/>
            </w:tcBorders>
            <w:shd w:val="clear" w:color="000000" w:fill="F2DBDB"/>
            <w:vAlign w:val="center"/>
            <w:hideMark/>
          </w:tcPr>
          <w:p w14:paraId="1464BECB" w14:textId="77777777" w:rsidR="004B564D" w:rsidRPr="00D92E20" w:rsidRDefault="004B564D" w:rsidP="004B564D">
            <w:pPr>
              <w:spacing w:after="0" w:line="240" w:lineRule="auto"/>
              <w:jc w:val="center"/>
              <w:rPr>
                <w:rFonts w:cs="Arial"/>
                <w:b/>
                <w:bCs/>
                <w:color w:val="000000"/>
                <w:sz w:val="16"/>
                <w:szCs w:val="16"/>
              </w:rPr>
            </w:pPr>
            <w:r w:rsidRPr="00D92E20">
              <w:rPr>
                <w:rFonts w:cs="Arial"/>
                <w:b/>
                <w:bCs/>
                <w:color w:val="000000"/>
                <w:sz w:val="16"/>
                <w:szCs w:val="16"/>
              </w:rPr>
              <w:t>Celkem</w:t>
            </w:r>
          </w:p>
        </w:tc>
        <w:tc>
          <w:tcPr>
            <w:tcW w:w="1407" w:type="dxa"/>
            <w:gridSpan w:val="2"/>
            <w:tcBorders>
              <w:top w:val="single" w:sz="4" w:space="0" w:color="auto"/>
              <w:left w:val="nil"/>
              <w:bottom w:val="single" w:sz="4" w:space="0" w:color="auto"/>
              <w:right w:val="single" w:sz="4" w:space="0" w:color="auto"/>
            </w:tcBorders>
            <w:shd w:val="clear" w:color="000000" w:fill="F2DBDB"/>
            <w:vAlign w:val="center"/>
            <w:hideMark/>
          </w:tcPr>
          <w:p w14:paraId="77F82B5D" w14:textId="77777777" w:rsidR="004B564D" w:rsidRPr="00D92E20" w:rsidRDefault="004B564D" w:rsidP="004B564D">
            <w:pPr>
              <w:spacing w:after="0" w:line="240" w:lineRule="auto"/>
              <w:jc w:val="center"/>
              <w:rPr>
                <w:rFonts w:cs="Arial"/>
                <w:color w:val="000000"/>
                <w:sz w:val="16"/>
                <w:szCs w:val="16"/>
              </w:rPr>
            </w:pPr>
            <w:r w:rsidRPr="00D92E20">
              <w:rPr>
                <w:rFonts w:cs="Arial"/>
                <w:color w:val="000000"/>
                <w:sz w:val="16"/>
                <w:szCs w:val="16"/>
              </w:rPr>
              <w:t>podle pohlaví</w:t>
            </w:r>
          </w:p>
        </w:tc>
        <w:tc>
          <w:tcPr>
            <w:tcW w:w="707" w:type="dxa"/>
            <w:vMerge w:val="restart"/>
            <w:tcBorders>
              <w:top w:val="single" w:sz="4" w:space="0" w:color="auto"/>
              <w:left w:val="single" w:sz="4" w:space="0" w:color="auto"/>
              <w:right w:val="single" w:sz="4" w:space="0" w:color="auto"/>
            </w:tcBorders>
            <w:shd w:val="clear" w:color="000000" w:fill="F2DBDB"/>
            <w:vAlign w:val="center"/>
            <w:hideMark/>
          </w:tcPr>
          <w:p w14:paraId="06A482C7" w14:textId="77777777" w:rsidR="004B564D" w:rsidRPr="00D92E20" w:rsidRDefault="004B564D" w:rsidP="004B564D">
            <w:pPr>
              <w:spacing w:after="0" w:line="240" w:lineRule="auto"/>
              <w:jc w:val="center"/>
              <w:rPr>
                <w:rFonts w:cs="Arial"/>
                <w:color w:val="000000"/>
                <w:sz w:val="16"/>
                <w:szCs w:val="16"/>
              </w:rPr>
            </w:pPr>
            <w:r w:rsidRPr="00D92E20">
              <w:rPr>
                <w:rFonts w:cs="Arial"/>
                <w:color w:val="000000"/>
                <w:sz w:val="16"/>
                <w:szCs w:val="16"/>
              </w:rPr>
              <w:t>Pro nemoc</w:t>
            </w:r>
          </w:p>
        </w:tc>
        <w:tc>
          <w:tcPr>
            <w:tcW w:w="1408" w:type="dxa"/>
            <w:gridSpan w:val="2"/>
            <w:tcBorders>
              <w:top w:val="single" w:sz="4" w:space="0" w:color="auto"/>
              <w:left w:val="nil"/>
              <w:bottom w:val="single" w:sz="4" w:space="0" w:color="auto"/>
              <w:right w:val="single" w:sz="4" w:space="0" w:color="auto"/>
            </w:tcBorders>
            <w:shd w:val="clear" w:color="000000" w:fill="F2DBDB"/>
            <w:vAlign w:val="center"/>
            <w:hideMark/>
          </w:tcPr>
          <w:p w14:paraId="7039C6A9" w14:textId="77777777" w:rsidR="004B564D" w:rsidRPr="00D92E20" w:rsidRDefault="004B564D" w:rsidP="004B564D">
            <w:pPr>
              <w:spacing w:after="0" w:line="240" w:lineRule="auto"/>
              <w:jc w:val="center"/>
              <w:rPr>
                <w:rFonts w:cs="Arial"/>
                <w:color w:val="000000"/>
                <w:sz w:val="16"/>
                <w:szCs w:val="16"/>
              </w:rPr>
            </w:pPr>
            <w:r w:rsidRPr="00D92E20">
              <w:rPr>
                <w:rFonts w:cs="Arial"/>
                <w:color w:val="000000"/>
                <w:sz w:val="16"/>
                <w:szCs w:val="16"/>
              </w:rPr>
              <w:t>podle pohlaví</w:t>
            </w:r>
          </w:p>
        </w:tc>
        <w:tc>
          <w:tcPr>
            <w:tcW w:w="754" w:type="dxa"/>
            <w:vMerge w:val="restart"/>
            <w:tcBorders>
              <w:top w:val="single" w:sz="4" w:space="0" w:color="auto"/>
              <w:left w:val="single" w:sz="4" w:space="0" w:color="auto"/>
              <w:right w:val="single" w:sz="4" w:space="0" w:color="auto"/>
            </w:tcBorders>
            <w:shd w:val="clear" w:color="000000" w:fill="F2DBDB"/>
            <w:vAlign w:val="center"/>
            <w:hideMark/>
          </w:tcPr>
          <w:p w14:paraId="73872E56" w14:textId="77777777" w:rsidR="004B564D" w:rsidRPr="00D92E20" w:rsidRDefault="004B564D" w:rsidP="004B564D">
            <w:pPr>
              <w:spacing w:after="0" w:line="240" w:lineRule="auto"/>
              <w:jc w:val="center"/>
              <w:rPr>
                <w:rFonts w:cs="Arial"/>
                <w:color w:val="000000"/>
                <w:sz w:val="16"/>
                <w:szCs w:val="16"/>
              </w:rPr>
            </w:pPr>
            <w:r w:rsidRPr="00D92E20">
              <w:rPr>
                <w:rFonts w:cs="Arial"/>
                <w:color w:val="000000"/>
                <w:sz w:val="16"/>
                <w:szCs w:val="16"/>
              </w:rPr>
              <w:t>Pro pracovní úrazy</w:t>
            </w:r>
          </w:p>
        </w:tc>
        <w:tc>
          <w:tcPr>
            <w:tcW w:w="1418" w:type="dxa"/>
            <w:gridSpan w:val="2"/>
            <w:tcBorders>
              <w:top w:val="single" w:sz="4" w:space="0" w:color="auto"/>
              <w:left w:val="nil"/>
              <w:bottom w:val="single" w:sz="4" w:space="0" w:color="auto"/>
              <w:right w:val="single" w:sz="4" w:space="0" w:color="auto"/>
            </w:tcBorders>
            <w:shd w:val="clear" w:color="000000" w:fill="F2DBDB"/>
            <w:vAlign w:val="center"/>
            <w:hideMark/>
          </w:tcPr>
          <w:p w14:paraId="24099DA4" w14:textId="77777777" w:rsidR="004B564D" w:rsidRPr="00D92E20" w:rsidRDefault="004B564D" w:rsidP="004B564D">
            <w:pPr>
              <w:spacing w:after="0" w:line="240" w:lineRule="auto"/>
              <w:jc w:val="center"/>
              <w:rPr>
                <w:rFonts w:cs="Arial"/>
                <w:color w:val="000000"/>
                <w:sz w:val="16"/>
                <w:szCs w:val="16"/>
              </w:rPr>
            </w:pPr>
            <w:r w:rsidRPr="00D92E20">
              <w:rPr>
                <w:rFonts w:cs="Arial"/>
                <w:color w:val="000000"/>
                <w:sz w:val="16"/>
                <w:szCs w:val="16"/>
              </w:rPr>
              <w:t>podle pohlaví</w:t>
            </w:r>
          </w:p>
        </w:tc>
        <w:tc>
          <w:tcPr>
            <w:tcW w:w="709" w:type="dxa"/>
            <w:vMerge w:val="restart"/>
            <w:tcBorders>
              <w:top w:val="single" w:sz="4" w:space="0" w:color="auto"/>
              <w:left w:val="single" w:sz="4" w:space="0" w:color="auto"/>
              <w:right w:val="single" w:sz="4" w:space="0" w:color="auto"/>
            </w:tcBorders>
            <w:shd w:val="clear" w:color="000000" w:fill="F2DBDB"/>
            <w:vAlign w:val="center"/>
            <w:hideMark/>
          </w:tcPr>
          <w:p w14:paraId="1FF174EC" w14:textId="77777777" w:rsidR="004B564D" w:rsidRPr="00D92E20" w:rsidRDefault="004B564D" w:rsidP="004B564D">
            <w:pPr>
              <w:spacing w:after="0" w:line="240" w:lineRule="auto"/>
              <w:jc w:val="center"/>
              <w:rPr>
                <w:rFonts w:cs="Arial"/>
                <w:color w:val="000000"/>
                <w:sz w:val="16"/>
                <w:szCs w:val="16"/>
              </w:rPr>
            </w:pPr>
            <w:r w:rsidRPr="00D92E20">
              <w:rPr>
                <w:rFonts w:cs="Arial"/>
                <w:color w:val="000000"/>
                <w:sz w:val="16"/>
                <w:szCs w:val="16"/>
              </w:rPr>
              <w:t>Pro ostatní úrazy</w:t>
            </w:r>
          </w:p>
        </w:tc>
        <w:tc>
          <w:tcPr>
            <w:tcW w:w="1418" w:type="dxa"/>
            <w:gridSpan w:val="2"/>
            <w:tcBorders>
              <w:top w:val="single" w:sz="4" w:space="0" w:color="auto"/>
              <w:left w:val="nil"/>
              <w:bottom w:val="single" w:sz="4" w:space="0" w:color="auto"/>
            </w:tcBorders>
            <w:shd w:val="clear" w:color="000000" w:fill="F2DBDB"/>
            <w:vAlign w:val="center"/>
            <w:hideMark/>
          </w:tcPr>
          <w:p w14:paraId="0D1F3B22" w14:textId="77777777" w:rsidR="004B564D" w:rsidRPr="00D92E20" w:rsidRDefault="004B564D" w:rsidP="004B564D">
            <w:pPr>
              <w:spacing w:after="0" w:line="240" w:lineRule="auto"/>
              <w:jc w:val="center"/>
              <w:rPr>
                <w:rFonts w:cs="Arial"/>
                <w:color w:val="000000"/>
                <w:sz w:val="16"/>
                <w:szCs w:val="16"/>
              </w:rPr>
            </w:pPr>
            <w:r w:rsidRPr="00D92E20">
              <w:rPr>
                <w:rFonts w:cs="Arial"/>
                <w:color w:val="000000"/>
                <w:sz w:val="16"/>
                <w:szCs w:val="16"/>
              </w:rPr>
              <w:t>podle pohlaví</w:t>
            </w:r>
          </w:p>
        </w:tc>
      </w:tr>
      <w:tr w:rsidR="004B564D" w:rsidRPr="00D92E20" w14:paraId="40A212C5" w14:textId="77777777" w:rsidTr="004B564D">
        <w:trPr>
          <w:trHeight w:val="300"/>
        </w:trPr>
        <w:tc>
          <w:tcPr>
            <w:tcW w:w="1010" w:type="dxa"/>
            <w:vMerge/>
            <w:tcBorders>
              <w:top w:val="single" w:sz="4" w:space="0" w:color="auto"/>
              <w:left w:val="nil"/>
              <w:bottom w:val="nil"/>
              <w:right w:val="single" w:sz="4" w:space="0" w:color="auto"/>
            </w:tcBorders>
            <w:vAlign w:val="center"/>
            <w:hideMark/>
          </w:tcPr>
          <w:p w14:paraId="76A2DFA2" w14:textId="77777777" w:rsidR="004B564D" w:rsidRPr="00D92E20" w:rsidRDefault="004B564D" w:rsidP="004B564D">
            <w:pPr>
              <w:spacing w:after="0" w:line="240" w:lineRule="auto"/>
              <w:rPr>
                <w:rFonts w:cs="Arial"/>
                <w:color w:val="000000"/>
                <w:sz w:val="16"/>
                <w:szCs w:val="16"/>
              </w:rPr>
            </w:pPr>
          </w:p>
        </w:tc>
        <w:tc>
          <w:tcPr>
            <w:tcW w:w="711" w:type="dxa"/>
            <w:vMerge/>
            <w:tcBorders>
              <w:top w:val="single" w:sz="4" w:space="0" w:color="auto"/>
              <w:left w:val="single" w:sz="4" w:space="0" w:color="auto"/>
              <w:bottom w:val="single" w:sz="4" w:space="0" w:color="000000"/>
              <w:right w:val="single" w:sz="4" w:space="0" w:color="auto"/>
            </w:tcBorders>
            <w:vAlign w:val="center"/>
            <w:hideMark/>
          </w:tcPr>
          <w:p w14:paraId="616A35AD" w14:textId="77777777" w:rsidR="004B564D" w:rsidRPr="00D92E20" w:rsidRDefault="004B564D" w:rsidP="004B564D">
            <w:pPr>
              <w:spacing w:after="0" w:line="240" w:lineRule="auto"/>
              <w:rPr>
                <w:rFonts w:cs="Arial"/>
                <w:b/>
                <w:bCs/>
                <w:color w:val="000000"/>
                <w:sz w:val="16"/>
                <w:szCs w:val="16"/>
              </w:rPr>
            </w:pPr>
          </w:p>
        </w:tc>
        <w:tc>
          <w:tcPr>
            <w:tcW w:w="703" w:type="dxa"/>
            <w:tcBorders>
              <w:top w:val="nil"/>
              <w:left w:val="nil"/>
              <w:bottom w:val="single" w:sz="4" w:space="0" w:color="auto"/>
              <w:right w:val="single" w:sz="4" w:space="0" w:color="auto"/>
            </w:tcBorders>
            <w:shd w:val="clear" w:color="000000" w:fill="F2DBDB"/>
            <w:vAlign w:val="center"/>
            <w:hideMark/>
          </w:tcPr>
          <w:p w14:paraId="429A06F0" w14:textId="77777777" w:rsidR="004B564D" w:rsidRPr="00D92E20" w:rsidRDefault="004B564D" w:rsidP="004B564D">
            <w:pPr>
              <w:spacing w:after="0" w:line="240" w:lineRule="auto"/>
              <w:jc w:val="center"/>
              <w:rPr>
                <w:rFonts w:cs="Arial"/>
                <w:color w:val="000000"/>
                <w:sz w:val="16"/>
                <w:szCs w:val="16"/>
              </w:rPr>
            </w:pPr>
            <w:r w:rsidRPr="00D92E20">
              <w:rPr>
                <w:rFonts w:cs="Arial"/>
                <w:color w:val="000000"/>
                <w:sz w:val="16"/>
                <w:szCs w:val="16"/>
              </w:rPr>
              <w:t>muži</w:t>
            </w:r>
          </w:p>
        </w:tc>
        <w:tc>
          <w:tcPr>
            <w:tcW w:w="704" w:type="dxa"/>
            <w:tcBorders>
              <w:top w:val="nil"/>
              <w:left w:val="nil"/>
              <w:bottom w:val="single" w:sz="4" w:space="0" w:color="auto"/>
              <w:right w:val="single" w:sz="4" w:space="0" w:color="auto"/>
            </w:tcBorders>
            <w:shd w:val="clear" w:color="000000" w:fill="F2DBDB"/>
            <w:vAlign w:val="center"/>
            <w:hideMark/>
          </w:tcPr>
          <w:p w14:paraId="2A08FDE7" w14:textId="77777777" w:rsidR="004B564D" w:rsidRPr="00D92E20" w:rsidRDefault="004B564D" w:rsidP="004B564D">
            <w:pPr>
              <w:spacing w:after="0" w:line="240" w:lineRule="auto"/>
              <w:jc w:val="center"/>
              <w:rPr>
                <w:rFonts w:cs="Arial"/>
                <w:color w:val="000000"/>
                <w:sz w:val="16"/>
                <w:szCs w:val="16"/>
              </w:rPr>
            </w:pPr>
            <w:r w:rsidRPr="00D92E20">
              <w:rPr>
                <w:rFonts w:cs="Arial"/>
                <w:color w:val="000000"/>
                <w:sz w:val="16"/>
                <w:szCs w:val="16"/>
              </w:rPr>
              <w:t>ženy</w:t>
            </w:r>
          </w:p>
        </w:tc>
        <w:tc>
          <w:tcPr>
            <w:tcW w:w="707" w:type="dxa"/>
            <w:vMerge/>
            <w:tcBorders>
              <w:left w:val="single" w:sz="4" w:space="0" w:color="auto"/>
              <w:bottom w:val="single" w:sz="4" w:space="0" w:color="000000"/>
              <w:right w:val="single" w:sz="4" w:space="0" w:color="auto"/>
            </w:tcBorders>
            <w:vAlign w:val="center"/>
            <w:hideMark/>
          </w:tcPr>
          <w:p w14:paraId="36016328" w14:textId="77777777" w:rsidR="004B564D" w:rsidRPr="00D92E20" w:rsidRDefault="004B564D" w:rsidP="004B564D">
            <w:pPr>
              <w:spacing w:after="0" w:line="240" w:lineRule="auto"/>
              <w:rPr>
                <w:rFonts w:cs="Arial"/>
                <w:color w:val="000000"/>
                <w:sz w:val="16"/>
                <w:szCs w:val="16"/>
              </w:rPr>
            </w:pPr>
          </w:p>
        </w:tc>
        <w:tc>
          <w:tcPr>
            <w:tcW w:w="704" w:type="dxa"/>
            <w:tcBorders>
              <w:top w:val="nil"/>
              <w:left w:val="nil"/>
              <w:bottom w:val="single" w:sz="4" w:space="0" w:color="auto"/>
              <w:right w:val="single" w:sz="4" w:space="0" w:color="auto"/>
            </w:tcBorders>
            <w:shd w:val="clear" w:color="000000" w:fill="F2DBDB"/>
            <w:vAlign w:val="center"/>
            <w:hideMark/>
          </w:tcPr>
          <w:p w14:paraId="6E45C002" w14:textId="77777777" w:rsidR="004B564D" w:rsidRPr="00D92E20" w:rsidRDefault="004B564D" w:rsidP="004B564D">
            <w:pPr>
              <w:spacing w:after="0" w:line="240" w:lineRule="auto"/>
              <w:jc w:val="center"/>
              <w:rPr>
                <w:rFonts w:cs="Arial"/>
                <w:color w:val="000000"/>
                <w:sz w:val="16"/>
                <w:szCs w:val="16"/>
              </w:rPr>
            </w:pPr>
            <w:r w:rsidRPr="00D92E20">
              <w:rPr>
                <w:rFonts w:cs="Arial"/>
                <w:color w:val="000000"/>
                <w:sz w:val="16"/>
                <w:szCs w:val="16"/>
              </w:rPr>
              <w:t>muži</w:t>
            </w:r>
          </w:p>
        </w:tc>
        <w:tc>
          <w:tcPr>
            <w:tcW w:w="704" w:type="dxa"/>
            <w:tcBorders>
              <w:top w:val="nil"/>
              <w:left w:val="nil"/>
              <w:bottom w:val="single" w:sz="4" w:space="0" w:color="auto"/>
              <w:right w:val="single" w:sz="4" w:space="0" w:color="auto"/>
            </w:tcBorders>
            <w:shd w:val="clear" w:color="000000" w:fill="F2DBDB"/>
            <w:vAlign w:val="center"/>
            <w:hideMark/>
          </w:tcPr>
          <w:p w14:paraId="04E3FBB3" w14:textId="77777777" w:rsidR="004B564D" w:rsidRPr="00D92E20" w:rsidRDefault="004B564D" w:rsidP="004B564D">
            <w:pPr>
              <w:spacing w:after="0" w:line="240" w:lineRule="auto"/>
              <w:jc w:val="center"/>
              <w:rPr>
                <w:rFonts w:cs="Arial"/>
                <w:color w:val="000000"/>
                <w:sz w:val="16"/>
                <w:szCs w:val="16"/>
              </w:rPr>
            </w:pPr>
            <w:r w:rsidRPr="00D92E20">
              <w:rPr>
                <w:rFonts w:cs="Arial"/>
                <w:color w:val="000000"/>
                <w:sz w:val="16"/>
                <w:szCs w:val="16"/>
              </w:rPr>
              <w:t>ženy</w:t>
            </w:r>
          </w:p>
        </w:tc>
        <w:tc>
          <w:tcPr>
            <w:tcW w:w="754" w:type="dxa"/>
            <w:vMerge/>
            <w:tcBorders>
              <w:left w:val="single" w:sz="4" w:space="0" w:color="auto"/>
              <w:bottom w:val="single" w:sz="4" w:space="0" w:color="000000"/>
              <w:right w:val="single" w:sz="4" w:space="0" w:color="auto"/>
            </w:tcBorders>
            <w:vAlign w:val="center"/>
            <w:hideMark/>
          </w:tcPr>
          <w:p w14:paraId="393BB5F4" w14:textId="77777777" w:rsidR="004B564D" w:rsidRPr="00D92E20" w:rsidRDefault="004B564D" w:rsidP="004B564D">
            <w:pPr>
              <w:spacing w:after="0" w:line="240" w:lineRule="auto"/>
              <w:rPr>
                <w:rFonts w:cs="Arial"/>
                <w:color w:val="000000"/>
                <w:sz w:val="16"/>
                <w:szCs w:val="16"/>
              </w:rPr>
            </w:pPr>
          </w:p>
        </w:tc>
        <w:tc>
          <w:tcPr>
            <w:tcW w:w="709" w:type="dxa"/>
            <w:tcBorders>
              <w:top w:val="nil"/>
              <w:left w:val="nil"/>
              <w:bottom w:val="single" w:sz="4" w:space="0" w:color="auto"/>
              <w:right w:val="single" w:sz="4" w:space="0" w:color="auto"/>
            </w:tcBorders>
            <w:shd w:val="clear" w:color="000000" w:fill="F2DBDB"/>
            <w:vAlign w:val="center"/>
            <w:hideMark/>
          </w:tcPr>
          <w:p w14:paraId="42C026C2" w14:textId="77777777" w:rsidR="004B564D" w:rsidRPr="00D92E20" w:rsidRDefault="004B564D" w:rsidP="004B564D">
            <w:pPr>
              <w:spacing w:after="0" w:line="240" w:lineRule="auto"/>
              <w:jc w:val="center"/>
              <w:rPr>
                <w:rFonts w:cs="Arial"/>
                <w:color w:val="000000"/>
                <w:sz w:val="16"/>
                <w:szCs w:val="16"/>
              </w:rPr>
            </w:pPr>
            <w:r w:rsidRPr="00D92E20">
              <w:rPr>
                <w:rFonts w:cs="Arial"/>
                <w:color w:val="000000"/>
                <w:sz w:val="16"/>
                <w:szCs w:val="16"/>
              </w:rPr>
              <w:t>muži</w:t>
            </w:r>
          </w:p>
        </w:tc>
        <w:tc>
          <w:tcPr>
            <w:tcW w:w="709" w:type="dxa"/>
            <w:tcBorders>
              <w:top w:val="nil"/>
              <w:left w:val="nil"/>
              <w:bottom w:val="single" w:sz="4" w:space="0" w:color="auto"/>
              <w:right w:val="single" w:sz="4" w:space="0" w:color="auto"/>
            </w:tcBorders>
            <w:shd w:val="clear" w:color="000000" w:fill="F2DBDB"/>
            <w:vAlign w:val="center"/>
            <w:hideMark/>
          </w:tcPr>
          <w:p w14:paraId="609BC780" w14:textId="77777777" w:rsidR="004B564D" w:rsidRPr="00D92E20" w:rsidRDefault="004B564D" w:rsidP="004B564D">
            <w:pPr>
              <w:spacing w:after="0" w:line="240" w:lineRule="auto"/>
              <w:jc w:val="center"/>
              <w:rPr>
                <w:rFonts w:cs="Arial"/>
                <w:color w:val="000000"/>
                <w:sz w:val="16"/>
                <w:szCs w:val="16"/>
              </w:rPr>
            </w:pPr>
            <w:r w:rsidRPr="00D92E20">
              <w:rPr>
                <w:rFonts w:cs="Arial"/>
                <w:color w:val="000000"/>
                <w:sz w:val="16"/>
                <w:szCs w:val="16"/>
              </w:rPr>
              <w:t>ženy</w:t>
            </w:r>
          </w:p>
        </w:tc>
        <w:tc>
          <w:tcPr>
            <w:tcW w:w="709" w:type="dxa"/>
            <w:vMerge/>
            <w:tcBorders>
              <w:left w:val="single" w:sz="4" w:space="0" w:color="auto"/>
              <w:bottom w:val="single" w:sz="4" w:space="0" w:color="000000"/>
              <w:right w:val="single" w:sz="4" w:space="0" w:color="auto"/>
            </w:tcBorders>
            <w:vAlign w:val="center"/>
            <w:hideMark/>
          </w:tcPr>
          <w:p w14:paraId="53417056" w14:textId="77777777" w:rsidR="004B564D" w:rsidRPr="00D92E20" w:rsidRDefault="004B564D" w:rsidP="004B564D">
            <w:pPr>
              <w:spacing w:after="0" w:line="240" w:lineRule="auto"/>
              <w:rPr>
                <w:rFonts w:cs="Arial"/>
                <w:color w:val="000000"/>
                <w:sz w:val="16"/>
                <w:szCs w:val="16"/>
              </w:rPr>
            </w:pPr>
          </w:p>
        </w:tc>
        <w:tc>
          <w:tcPr>
            <w:tcW w:w="709" w:type="dxa"/>
            <w:tcBorders>
              <w:top w:val="nil"/>
              <w:left w:val="nil"/>
              <w:bottom w:val="single" w:sz="4" w:space="0" w:color="auto"/>
              <w:right w:val="single" w:sz="4" w:space="0" w:color="auto"/>
            </w:tcBorders>
            <w:shd w:val="clear" w:color="000000" w:fill="F2DBDB"/>
            <w:vAlign w:val="center"/>
            <w:hideMark/>
          </w:tcPr>
          <w:p w14:paraId="107F703B" w14:textId="77777777" w:rsidR="004B564D" w:rsidRPr="00D92E20" w:rsidRDefault="004B564D" w:rsidP="004B564D">
            <w:pPr>
              <w:spacing w:after="0" w:line="240" w:lineRule="auto"/>
              <w:jc w:val="center"/>
              <w:rPr>
                <w:rFonts w:cs="Arial"/>
                <w:color w:val="000000"/>
                <w:sz w:val="16"/>
                <w:szCs w:val="16"/>
              </w:rPr>
            </w:pPr>
            <w:r w:rsidRPr="00D92E20">
              <w:rPr>
                <w:rFonts w:cs="Arial"/>
                <w:color w:val="000000"/>
                <w:sz w:val="16"/>
                <w:szCs w:val="16"/>
              </w:rPr>
              <w:t>muži</w:t>
            </w:r>
          </w:p>
        </w:tc>
        <w:tc>
          <w:tcPr>
            <w:tcW w:w="709" w:type="dxa"/>
            <w:tcBorders>
              <w:top w:val="nil"/>
              <w:left w:val="nil"/>
              <w:bottom w:val="single" w:sz="4" w:space="0" w:color="auto"/>
              <w:right w:val="nil"/>
            </w:tcBorders>
            <w:shd w:val="clear" w:color="000000" w:fill="F2DBDB"/>
            <w:vAlign w:val="center"/>
            <w:hideMark/>
          </w:tcPr>
          <w:p w14:paraId="04014ADF" w14:textId="77777777" w:rsidR="004B564D" w:rsidRPr="00D92E20" w:rsidRDefault="004B564D" w:rsidP="004B564D">
            <w:pPr>
              <w:spacing w:after="0" w:line="240" w:lineRule="auto"/>
              <w:jc w:val="center"/>
              <w:rPr>
                <w:rFonts w:cs="Arial"/>
                <w:color w:val="000000"/>
                <w:sz w:val="16"/>
                <w:szCs w:val="16"/>
              </w:rPr>
            </w:pPr>
            <w:r w:rsidRPr="00D92E20">
              <w:rPr>
                <w:rFonts w:cs="Arial"/>
                <w:color w:val="000000"/>
                <w:sz w:val="16"/>
                <w:szCs w:val="16"/>
              </w:rPr>
              <w:t>ženy</w:t>
            </w:r>
          </w:p>
        </w:tc>
      </w:tr>
      <w:tr w:rsidR="008259FD" w:rsidRPr="00D92E20" w14:paraId="4696E6BE" w14:textId="77777777" w:rsidTr="008259FD">
        <w:trPr>
          <w:trHeight w:val="300"/>
        </w:trPr>
        <w:tc>
          <w:tcPr>
            <w:tcW w:w="1010" w:type="dxa"/>
            <w:tcBorders>
              <w:top w:val="single" w:sz="4" w:space="0" w:color="auto"/>
              <w:left w:val="nil"/>
              <w:bottom w:val="nil"/>
              <w:right w:val="single" w:sz="4" w:space="0" w:color="auto"/>
            </w:tcBorders>
            <w:shd w:val="clear" w:color="auto" w:fill="auto"/>
            <w:vAlign w:val="center"/>
            <w:hideMark/>
          </w:tcPr>
          <w:p w14:paraId="24B6ED87" w14:textId="2908CCBF" w:rsidR="008259FD" w:rsidRPr="00D92E20" w:rsidRDefault="008259FD" w:rsidP="008259FD">
            <w:pPr>
              <w:spacing w:after="0" w:line="240" w:lineRule="auto"/>
              <w:jc w:val="center"/>
              <w:rPr>
                <w:rFonts w:cs="Arial"/>
                <w:color w:val="000000"/>
                <w:sz w:val="16"/>
                <w:szCs w:val="16"/>
              </w:rPr>
            </w:pPr>
            <w:r>
              <w:rPr>
                <w:rFonts w:cs="Arial"/>
                <w:sz w:val="16"/>
                <w:szCs w:val="16"/>
              </w:rPr>
              <w:t>1. pol. 2012</w:t>
            </w:r>
          </w:p>
        </w:tc>
        <w:tc>
          <w:tcPr>
            <w:tcW w:w="711" w:type="dxa"/>
            <w:tcBorders>
              <w:top w:val="single" w:sz="4" w:space="0" w:color="auto"/>
              <w:left w:val="nil"/>
              <w:bottom w:val="nil"/>
              <w:right w:val="nil"/>
            </w:tcBorders>
            <w:shd w:val="clear" w:color="auto" w:fill="auto"/>
            <w:vAlign w:val="center"/>
            <w:hideMark/>
          </w:tcPr>
          <w:p w14:paraId="18C32558" w14:textId="0A9DEF63" w:rsidR="008259FD" w:rsidRPr="00D92E20" w:rsidRDefault="008259FD" w:rsidP="008259FD">
            <w:pPr>
              <w:spacing w:after="0" w:line="240" w:lineRule="auto"/>
              <w:jc w:val="right"/>
              <w:rPr>
                <w:rFonts w:cs="Arial"/>
                <w:color w:val="000000"/>
                <w:sz w:val="16"/>
                <w:szCs w:val="16"/>
              </w:rPr>
            </w:pPr>
            <w:r>
              <w:rPr>
                <w:rFonts w:cs="Arial"/>
                <w:sz w:val="16"/>
                <w:szCs w:val="16"/>
              </w:rPr>
              <w:t>28 973</w:t>
            </w:r>
          </w:p>
        </w:tc>
        <w:tc>
          <w:tcPr>
            <w:tcW w:w="703" w:type="dxa"/>
            <w:tcBorders>
              <w:top w:val="single" w:sz="4" w:space="0" w:color="auto"/>
              <w:left w:val="nil"/>
              <w:bottom w:val="nil"/>
              <w:right w:val="nil"/>
            </w:tcBorders>
            <w:shd w:val="clear" w:color="auto" w:fill="auto"/>
            <w:vAlign w:val="center"/>
            <w:hideMark/>
          </w:tcPr>
          <w:p w14:paraId="117C5785" w14:textId="48EE437C" w:rsidR="008259FD" w:rsidRPr="00D92E20" w:rsidRDefault="008259FD" w:rsidP="008259FD">
            <w:pPr>
              <w:spacing w:after="0" w:line="240" w:lineRule="auto"/>
              <w:jc w:val="right"/>
              <w:rPr>
                <w:rFonts w:cs="Arial"/>
                <w:color w:val="000000"/>
                <w:sz w:val="16"/>
                <w:szCs w:val="16"/>
              </w:rPr>
            </w:pPr>
            <w:r>
              <w:rPr>
                <w:rFonts w:cs="Arial"/>
                <w:sz w:val="16"/>
                <w:szCs w:val="16"/>
              </w:rPr>
              <w:t>13 410</w:t>
            </w:r>
          </w:p>
        </w:tc>
        <w:tc>
          <w:tcPr>
            <w:tcW w:w="704" w:type="dxa"/>
            <w:tcBorders>
              <w:top w:val="single" w:sz="4" w:space="0" w:color="auto"/>
              <w:left w:val="nil"/>
              <w:bottom w:val="nil"/>
              <w:right w:val="nil"/>
            </w:tcBorders>
            <w:shd w:val="clear" w:color="auto" w:fill="auto"/>
            <w:vAlign w:val="center"/>
            <w:hideMark/>
          </w:tcPr>
          <w:p w14:paraId="6A3645C8" w14:textId="46DC2E1F" w:rsidR="008259FD" w:rsidRPr="00D92E20" w:rsidRDefault="008259FD" w:rsidP="008259FD">
            <w:pPr>
              <w:spacing w:after="0" w:line="240" w:lineRule="auto"/>
              <w:jc w:val="right"/>
              <w:rPr>
                <w:rFonts w:cs="Arial"/>
                <w:color w:val="000000"/>
                <w:sz w:val="16"/>
                <w:szCs w:val="16"/>
              </w:rPr>
            </w:pPr>
            <w:r>
              <w:rPr>
                <w:rFonts w:cs="Arial"/>
                <w:sz w:val="16"/>
                <w:szCs w:val="16"/>
              </w:rPr>
              <w:t>15 562</w:t>
            </w:r>
          </w:p>
        </w:tc>
        <w:tc>
          <w:tcPr>
            <w:tcW w:w="707" w:type="dxa"/>
            <w:tcBorders>
              <w:top w:val="single" w:sz="4" w:space="0" w:color="auto"/>
              <w:left w:val="single" w:sz="4" w:space="0" w:color="auto"/>
              <w:bottom w:val="nil"/>
              <w:right w:val="nil"/>
            </w:tcBorders>
            <w:shd w:val="clear" w:color="auto" w:fill="auto"/>
            <w:vAlign w:val="center"/>
            <w:hideMark/>
          </w:tcPr>
          <w:p w14:paraId="3F1FF9E6" w14:textId="0AE58617" w:rsidR="008259FD" w:rsidRPr="00D92E20" w:rsidRDefault="008259FD" w:rsidP="008259FD">
            <w:pPr>
              <w:spacing w:after="0" w:line="240" w:lineRule="auto"/>
              <w:jc w:val="right"/>
              <w:rPr>
                <w:rFonts w:cs="Arial"/>
                <w:color w:val="000000"/>
                <w:sz w:val="16"/>
                <w:szCs w:val="16"/>
              </w:rPr>
            </w:pPr>
            <w:r>
              <w:rPr>
                <w:rFonts w:cs="Arial"/>
                <w:sz w:val="16"/>
                <w:szCs w:val="16"/>
              </w:rPr>
              <w:t>24 670</w:t>
            </w:r>
          </w:p>
        </w:tc>
        <w:tc>
          <w:tcPr>
            <w:tcW w:w="704" w:type="dxa"/>
            <w:tcBorders>
              <w:top w:val="single" w:sz="4" w:space="0" w:color="auto"/>
              <w:left w:val="nil"/>
              <w:bottom w:val="nil"/>
              <w:right w:val="nil"/>
            </w:tcBorders>
            <w:shd w:val="clear" w:color="auto" w:fill="auto"/>
            <w:vAlign w:val="center"/>
            <w:hideMark/>
          </w:tcPr>
          <w:p w14:paraId="48C2CA24" w14:textId="4F50BF35" w:rsidR="008259FD" w:rsidRPr="00D92E20" w:rsidRDefault="008259FD" w:rsidP="008259FD">
            <w:pPr>
              <w:spacing w:after="0" w:line="240" w:lineRule="auto"/>
              <w:jc w:val="right"/>
              <w:rPr>
                <w:rFonts w:cs="Arial"/>
                <w:color w:val="000000"/>
                <w:sz w:val="16"/>
                <w:szCs w:val="16"/>
              </w:rPr>
            </w:pPr>
            <w:r>
              <w:rPr>
                <w:rFonts w:cs="Arial"/>
                <w:sz w:val="16"/>
                <w:szCs w:val="16"/>
              </w:rPr>
              <w:t>10 595</w:t>
            </w:r>
          </w:p>
        </w:tc>
        <w:tc>
          <w:tcPr>
            <w:tcW w:w="704" w:type="dxa"/>
            <w:tcBorders>
              <w:top w:val="single" w:sz="4" w:space="0" w:color="auto"/>
              <w:left w:val="nil"/>
              <w:bottom w:val="nil"/>
              <w:right w:val="single" w:sz="4" w:space="0" w:color="auto"/>
            </w:tcBorders>
            <w:shd w:val="clear" w:color="auto" w:fill="auto"/>
            <w:vAlign w:val="bottom"/>
            <w:hideMark/>
          </w:tcPr>
          <w:p w14:paraId="73D19BE5" w14:textId="6F4DFC2D" w:rsidR="008259FD" w:rsidRPr="00D92E20" w:rsidRDefault="008259FD" w:rsidP="008259FD">
            <w:pPr>
              <w:spacing w:after="0" w:line="240" w:lineRule="auto"/>
              <w:jc w:val="right"/>
              <w:rPr>
                <w:rFonts w:cs="Arial"/>
                <w:color w:val="000000"/>
                <w:sz w:val="16"/>
                <w:szCs w:val="16"/>
              </w:rPr>
            </w:pPr>
            <w:r>
              <w:rPr>
                <w:rFonts w:cs="Arial"/>
                <w:sz w:val="16"/>
                <w:szCs w:val="16"/>
              </w:rPr>
              <w:t>14 075</w:t>
            </w:r>
          </w:p>
        </w:tc>
        <w:tc>
          <w:tcPr>
            <w:tcW w:w="754" w:type="dxa"/>
            <w:tcBorders>
              <w:top w:val="single" w:sz="4" w:space="0" w:color="auto"/>
              <w:left w:val="nil"/>
              <w:bottom w:val="nil"/>
              <w:right w:val="nil"/>
            </w:tcBorders>
            <w:shd w:val="clear" w:color="auto" w:fill="auto"/>
            <w:vAlign w:val="center"/>
            <w:hideMark/>
          </w:tcPr>
          <w:p w14:paraId="4B5691B5" w14:textId="5A449AEB" w:rsidR="008259FD" w:rsidRPr="00D92E20" w:rsidRDefault="008259FD" w:rsidP="008259FD">
            <w:pPr>
              <w:spacing w:after="0" w:line="240" w:lineRule="auto"/>
              <w:jc w:val="right"/>
              <w:rPr>
                <w:rFonts w:cs="Arial"/>
                <w:color w:val="000000"/>
                <w:sz w:val="16"/>
                <w:szCs w:val="16"/>
              </w:rPr>
            </w:pPr>
            <w:r>
              <w:rPr>
                <w:rFonts w:cs="Arial"/>
                <w:sz w:val="16"/>
                <w:szCs w:val="16"/>
              </w:rPr>
              <w:t>1 256</w:t>
            </w:r>
          </w:p>
        </w:tc>
        <w:tc>
          <w:tcPr>
            <w:tcW w:w="709" w:type="dxa"/>
            <w:tcBorders>
              <w:top w:val="single" w:sz="4" w:space="0" w:color="auto"/>
              <w:left w:val="nil"/>
              <w:bottom w:val="nil"/>
              <w:right w:val="nil"/>
            </w:tcBorders>
            <w:shd w:val="clear" w:color="auto" w:fill="auto"/>
            <w:vAlign w:val="center"/>
            <w:hideMark/>
          </w:tcPr>
          <w:p w14:paraId="5320ADC9" w14:textId="0A43D8EC" w:rsidR="008259FD" w:rsidRPr="00D92E20" w:rsidRDefault="008259FD" w:rsidP="008259FD">
            <w:pPr>
              <w:spacing w:after="0" w:line="240" w:lineRule="auto"/>
              <w:jc w:val="right"/>
              <w:rPr>
                <w:rFonts w:cs="Arial"/>
                <w:color w:val="000000"/>
                <w:sz w:val="16"/>
                <w:szCs w:val="16"/>
              </w:rPr>
            </w:pPr>
            <w:r>
              <w:rPr>
                <w:rFonts w:cs="Arial"/>
                <w:sz w:val="16"/>
                <w:szCs w:val="16"/>
              </w:rPr>
              <w:t>899</w:t>
            </w:r>
          </w:p>
        </w:tc>
        <w:tc>
          <w:tcPr>
            <w:tcW w:w="709" w:type="dxa"/>
            <w:tcBorders>
              <w:top w:val="single" w:sz="4" w:space="0" w:color="auto"/>
              <w:left w:val="nil"/>
              <w:bottom w:val="nil"/>
              <w:right w:val="single" w:sz="4" w:space="0" w:color="auto"/>
            </w:tcBorders>
            <w:shd w:val="clear" w:color="auto" w:fill="auto"/>
            <w:vAlign w:val="center"/>
            <w:hideMark/>
          </w:tcPr>
          <w:p w14:paraId="27B7DA7A" w14:textId="6B075736" w:rsidR="008259FD" w:rsidRPr="00D92E20" w:rsidRDefault="008259FD" w:rsidP="008259FD">
            <w:pPr>
              <w:spacing w:after="0" w:line="240" w:lineRule="auto"/>
              <w:jc w:val="right"/>
              <w:rPr>
                <w:rFonts w:cs="Arial"/>
                <w:color w:val="000000"/>
                <w:sz w:val="16"/>
                <w:szCs w:val="16"/>
              </w:rPr>
            </w:pPr>
            <w:r>
              <w:rPr>
                <w:rFonts w:cs="Arial"/>
                <w:sz w:val="16"/>
                <w:szCs w:val="16"/>
              </w:rPr>
              <w:t>358</w:t>
            </w:r>
          </w:p>
        </w:tc>
        <w:tc>
          <w:tcPr>
            <w:tcW w:w="709" w:type="dxa"/>
            <w:tcBorders>
              <w:top w:val="single" w:sz="4" w:space="0" w:color="auto"/>
              <w:left w:val="nil"/>
              <w:bottom w:val="nil"/>
              <w:right w:val="nil"/>
            </w:tcBorders>
            <w:shd w:val="clear" w:color="auto" w:fill="auto"/>
            <w:vAlign w:val="center"/>
            <w:hideMark/>
          </w:tcPr>
          <w:p w14:paraId="534547B8" w14:textId="6CCB7BA9" w:rsidR="008259FD" w:rsidRPr="00D92E20" w:rsidRDefault="008259FD" w:rsidP="008259FD">
            <w:pPr>
              <w:spacing w:after="0" w:line="240" w:lineRule="auto"/>
              <w:jc w:val="right"/>
              <w:rPr>
                <w:rFonts w:cs="Arial"/>
                <w:color w:val="000000"/>
                <w:sz w:val="16"/>
                <w:szCs w:val="16"/>
              </w:rPr>
            </w:pPr>
            <w:r>
              <w:rPr>
                <w:rFonts w:cs="Arial"/>
                <w:sz w:val="16"/>
                <w:szCs w:val="16"/>
              </w:rPr>
              <w:t>3 046</w:t>
            </w:r>
          </w:p>
        </w:tc>
        <w:tc>
          <w:tcPr>
            <w:tcW w:w="709" w:type="dxa"/>
            <w:tcBorders>
              <w:top w:val="single" w:sz="4" w:space="0" w:color="auto"/>
              <w:left w:val="nil"/>
              <w:bottom w:val="nil"/>
              <w:right w:val="nil"/>
            </w:tcBorders>
            <w:shd w:val="clear" w:color="auto" w:fill="auto"/>
            <w:vAlign w:val="center"/>
            <w:hideMark/>
          </w:tcPr>
          <w:p w14:paraId="23DD5009" w14:textId="12C39B9B" w:rsidR="008259FD" w:rsidRPr="00D92E20" w:rsidRDefault="008259FD" w:rsidP="008259FD">
            <w:pPr>
              <w:spacing w:after="0" w:line="240" w:lineRule="auto"/>
              <w:jc w:val="right"/>
              <w:rPr>
                <w:rFonts w:cs="Arial"/>
                <w:color w:val="000000"/>
                <w:sz w:val="16"/>
                <w:szCs w:val="16"/>
              </w:rPr>
            </w:pPr>
            <w:r>
              <w:rPr>
                <w:rFonts w:cs="Arial"/>
                <w:sz w:val="16"/>
                <w:szCs w:val="16"/>
              </w:rPr>
              <w:t>1 917</w:t>
            </w:r>
          </w:p>
        </w:tc>
        <w:tc>
          <w:tcPr>
            <w:tcW w:w="709" w:type="dxa"/>
            <w:tcBorders>
              <w:top w:val="single" w:sz="4" w:space="0" w:color="auto"/>
              <w:left w:val="nil"/>
              <w:right w:val="nil"/>
            </w:tcBorders>
            <w:shd w:val="clear" w:color="auto" w:fill="auto"/>
            <w:vAlign w:val="center"/>
            <w:hideMark/>
          </w:tcPr>
          <w:p w14:paraId="7C543C36" w14:textId="176F50ED" w:rsidR="008259FD" w:rsidRPr="00D92E20" w:rsidRDefault="008259FD" w:rsidP="008259FD">
            <w:pPr>
              <w:spacing w:after="0" w:line="240" w:lineRule="auto"/>
              <w:jc w:val="right"/>
              <w:rPr>
                <w:rFonts w:cs="Arial"/>
                <w:color w:val="000000"/>
                <w:sz w:val="16"/>
                <w:szCs w:val="16"/>
              </w:rPr>
            </w:pPr>
            <w:r>
              <w:rPr>
                <w:rFonts w:cs="Arial"/>
                <w:sz w:val="16"/>
                <w:szCs w:val="16"/>
              </w:rPr>
              <w:t>1 129</w:t>
            </w:r>
          </w:p>
        </w:tc>
      </w:tr>
      <w:tr w:rsidR="008259FD" w:rsidRPr="00D92E20" w14:paraId="7A5E1111" w14:textId="77777777" w:rsidTr="008259FD">
        <w:trPr>
          <w:trHeight w:val="300"/>
        </w:trPr>
        <w:tc>
          <w:tcPr>
            <w:tcW w:w="1010" w:type="dxa"/>
            <w:tcBorders>
              <w:top w:val="nil"/>
              <w:left w:val="nil"/>
              <w:bottom w:val="nil"/>
              <w:right w:val="single" w:sz="4" w:space="0" w:color="auto"/>
            </w:tcBorders>
            <w:shd w:val="clear" w:color="auto" w:fill="auto"/>
            <w:vAlign w:val="center"/>
            <w:hideMark/>
          </w:tcPr>
          <w:p w14:paraId="261EDC12" w14:textId="6982D5D9" w:rsidR="008259FD" w:rsidRPr="00D92E20" w:rsidRDefault="008259FD" w:rsidP="008259FD">
            <w:pPr>
              <w:spacing w:after="0" w:line="240" w:lineRule="auto"/>
              <w:jc w:val="center"/>
              <w:rPr>
                <w:rFonts w:cs="Arial"/>
                <w:color w:val="000000"/>
                <w:sz w:val="16"/>
                <w:szCs w:val="16"/>
              </w:rPr>
            </w:pPr>
            <w:r>
              <w:rPr>
                <w:rFonts w:cs="Arial"/>
                <w:sz w:val="16"/>
                <w:szCs w:val="16"/>
              </w:rPr>
              <w:t>1. pol. 2013</w:t>
            </w:r>
          </w:p>
        </w:tc>
        <w:tc>
          <w:tcPr>
            <w:tcW w:w="711" w:type="dxa"/>
            <w:tcBorders>
              <w:top w:val="nil"/>
              <w:left w:val="nil"/>
              <w:bottom w:val="nil"/>
              <w:right w:val="nil"/>
            </w:tcBorders>
            <w:shd w:val="clear" w:color="auto" w:fill="auto"/>
            <w:vAlign w:val="center"/>
            <w:hideMark/>
          </w:tcPr>
          <w:p w14:paraId="08ED583D" w14:textId="118CEFC7" w:rsidR="008259FD" w:rsidRPr="00D92E20" w:rsidRDefault="008259FD" w:rsidP="008259FD">
            <w:pPr>
              <w:spacing w:after="0" w:line="240" w:lineRule="auto"/>
              <w:jc w:val="right"/>
              <w:rPr>
                <w:rFonts w:cs="Arial"/>
                <w:color w:val="000000"/>
                <w:sz w:val="16"/>
                <w:szCs w:val="16"/>
              </w:rPr>
            </w:pPr>
            <w:r>
              <w:rPr>
                <w:rFonts w:cs="Arial"/>
                <w:sz w:val="16"/>
                <w:szCs w:val="16"/>
              </w:rPr>
              <w:t>31 875</w:t>
            </w:r>
          </w:p>
        </w:tc>
        <w:tc>
          <w:tcPr>
            <w:tcW w:w="703" w:type="dxa"/>
            <w:tcBorders>
              <w:top w:val="nil"/>
              <w:left w:val="nil"/>
              <w:bottom w:val="nil"/>
              <w:right w:val="nil"/>
            </w:tcBorders>
            <w:shd w:val="clear" w:color="auto" w:fill="auto"/>
            <w:vAlign w:val="center"/>
            <w:hideMark/>
          </w:tcPr>
          <w:p w14:paraId="145ECA65" w14:textId="7188EBCD" w:rsidR="008259FD" w:rsidRPr="00D92E20" w:rsidRDefault="008259FD" w:rsidP="008259FD">
            <w:pPr>
              <w:spacing w:after="0" w:line="240" w:lineRule="auto"/>
              <w:jc w:val="right"/>
              <w:rPr>
                <w:rFonts w:cs="Arial"/>
                <w:color w:val="000000"/>
                <w:sz w:val="16"/>
                <w:szCs w:val="16"/>
              </w:rPr>
            </w:pPr>
            <w:r>
              <w:rPr>
                <w:rFonts w:cs="Arial"/>
                <w:sz w:val="16"/>
                <w:szCs w:val="16"/>
              </w:rPr>
              <w:t>14 774</w:t>
            </w:r>
          </w:p>
        </w:tc>
        <w:tc>
          <w:tcPr>
            <w:tcW w:w="704" w:type="dxa"/>
            <w:tcBorders>
              <w:top w:val="nil"/>
              <w:left w:val="nil"/>
              <w:bottom w:val="nil"/>
              <w:right w:val="nil"/>
            </w:tcBorders>
            <w:shd w:val="clear" w:color="auto" w:fill="auto"/>
            <w:vAlign w:val="center"/>
            <w:hideMark/>
          </w:tcPr>
          <w:p w14:paraId="13873AF1" w14:textId="03C8B716" w:rsidR="008259FD" w:rsidRPr="00D92E20" w:rsidRDefault="008259FD" w:rsidP="008259FD">
            <w:pPr>
              <w:spacing w:after="0" w:line="240" w:lineRule="auto"/>
              <w:jc w:val="right"/>
              <w:rPr>
                <w:rFonts w:cs="Arial"/>
                <w:color w:val="000000"/>
                <w:sz w:val="16"/>
                <w:szCs w:val="16"/>
              </w:rPr>
            </w:pPr>
            <w:r>
              <w:rPr>
                <w:rFonts w:cs="Arial"/>
                <w:sz w:val="16"/>
                <w:szCs w:val="16"/>
              </w:rPr>
              <w:t>17 102</w:t>
            </w:r>
          </w:p>
        </w:tc>
        <w:tc>
          <w:tcPr>
            <w:tcW w:w="707" w:type="dxa"/>
            <w:tcBorders>
              <w:top w:val="nil"/>
              <w:left w:val="single" w:sz="4" w:space="0" w:color="auto"/>
              <w:bottom w:val="nil"/>
              <w:right w:val="nil"/>
            </w:tcBorders>
            <w:shd w:val="clear" w:color="auto" w:fill="auto"/>
            <w:vAlign w:val="center"/>
            <w:hideMark/>
          </w:tcPr>
          <w:p w14:paraId="45ECF682" w14:textId="7E89D5A3" w:rsidR="008259FD" w:rsidRPr="00D92E20" w:rsidRDefault="008259FD" w:rsidP="008259FD">
            <w:pPr>
              <w:spacing w:after="0" w:line="240" w:lineRule="auto"/>
              <w:jc w:val="right"/>
              <w:rPr>
                <w:rFonts w:cs="Arial"/>
                <w:color w:val="000000"/>
                <w:sz w:val="16"/>
                <w:szCs w:val="16"/>
              </w:rPr>
            </w:pPr>
            <w:r>
              <w:rPr>
                <w:rFonts w:cs="Arial"/>
                <w:sz w:val="16"/>
                <w:szCs w:val="16"/>
              </w:rPr>
              <w:t>27 253</w:t>
            </w:r>
          </w:p>
        </w:tc>
        <w:tc>
          <w:tcPr>
            <w:tcW w:w="704" w:type="dxa"/>
            <w:tcBorders>
              <w:top w:val="nil"/>
              <w:left w:val="nil"/>
              <w:bottom w:val="nil"/>
              <w:right w:val="nil"/>
            </w:tcBorders>
            <w:shd w:val="clear" w:color="auto" w:fill="auto"/>
            <w:vAlign w:val="center"/>
            <w:hideMark/>
          </w:tcPr>
          <w:p w14:paraId="2EB9B397" w14:textId="0AE72CDE" w:rsidR="008259FD" w:rsidRPr="00D92E20" w:rsidRDefault="008259FD" w:rsidP="008259FD">
            <w:pPr>
              <w:spacing w:after="0" w:line="240" w:lineRule="auto"/>
              <w:jc w:val="right"/>
              <w:rPr>
                <w:rFonts w:cs="Arial"/>
                <w:color w:val="000000"/>
                <w:sz w:val="16"/>
                <w:szCs w:val="16"/>
              </w:rPr>
            </w:pPr>
            <w:r>
              <w:rPr>
                <w:rFonts w:cs="Arial"/>
                <w:sz w:val="16"/>
                <w:szCs w:val="16"/>
              </w:rPr>
              <w:t>11 805</w:t>
            </w:r>
          </w:p>
        </w:tc>
        <w:tc>
          <w:tcPr>
            <w:tcW w:w="704" w:type="dxa"/>
            <w:tcBorders>
              <w:top w:val="nil"/>
              <w:left w:val="nil"/>
              <w:bottom w:val="nil"/>
              <w:right w:val="single" w:sz="4" w:space="0" w:color="auto"/>
            </w:tcBorders>
            <w:shd w:val="clear" w:color="auto" w:fill="auto"/>
            <w:vAlign w:val="center"/>
            <w:hideMark/>
          </w:tcPr>
          <w:p w14:paraId="252B83F2" w14:textId="5F863F48" w:rsidR="008259FD" w:rsidRPr="00D92E20" w:rsidRDefault="008259FD" w:rsidP="008259FD">
            <w:pPr>
              <w:spacing w:after="0" w:line="240" w:lineRule="auto"/>
              <w:jc w:val="right"/>
              <w:rPr>
                <w:rFonts w:cs="Arial"/>
                <w:color w:val="000000"/>
                <w:sz w:val="16"/>
                <w:szCs w:val="16"/>
              </w:rPr>
            </w:pPr>
            <w:r>
              <w:rPr>
                <w:rFonts w:cs="Arial"/>
                <w:sz w:val="16"/>
                <w:szCs w:val="16"/>
              </w:rPr>
              <w:t>15 448</w:t>
            </w:r>
          </w:p>
        </w:tc>
        <w:tc>
          <w:tcPr>
            <w:tcW w:w="754" w:type="dxa"/>
            <w:tcBorders>
              <w:top w:val="nil"/>
              <w:left w:val="nil"/>
              <w:bottom w:val="nil"/>
              <w:right w:val="nil"/>
            </w:tcBorders>
            <w:shd w:val="clear" w:color="auto" w:fill="auto"/>
            <w:vAlign w:val="center"/>
            <w:hideMark/>
          </w:tcPr>
          <w:p w14:paraId="11719776" w14:textId="1721658E" w:rsidR="008259FD" w:rsidRPr="00D92E20" w:rsidRDefault="008259FD" w:rsidP="008259FD">
            <w:pPr>
              <w:spacing w:after="0" w:line="240" w:lineRule="auto"/>
              <w:jc w:val="right"/>
              <w:rPr>
                <w:rFonts w:cs="Arial"/>
                <w:color w:val="000000"/>
                <w:sz w:val="16"/>
                <w:szCs w:val="16"/>
              </w:rPr>
            </w:pPr>
            <w:r>
              <w:rPr>
                <w:rFonts w:cs="Arial"/>
                <w:sz w:val="16"/>
                <w:szCs w:val="16"/>
              </w:rPr>
              <w:t>1 237</w:t>
            </w:r>
          </w:p>
        </w:tc>
        <w:tc>
          <w:tcPr>
            <w:tcW w:w="709" w:type="dxa"/>
            <w:tcBorders>
              <w:top w:val="nil"/>
              <w:left w:val="nil"/>
              <w:bottom w:val="nil"/>
              <w:right w:val="nil"/>
            </w:tcBorders>
            <w:shd w:val="clear" w:color="auto" w:fill="auto"/>
            <w:vAlign w:val="center"/>
            <w:hideMark/>
          </w:tcPr>
          <w:p w14:paraId="4DCC345A" w14:textId="30443306" w:rsidR="008259FD" w:rsidRPr="00D92E20" w:rsidRDefault="008259FD" w:rsidP="008259FD">
            <w:pPr>
              <w:spacing w:after="0" w:line="240" w:lineRule="auto"/>
              <w:jc w:val="right"/>
              <w:rPr>
                <w:rFonts w:cs="Arial"/>
                <w:color w:val="000000"/>
                <w:sz w:val="16"/>
                <w:szCs w:val="16"/>
              </w:rPr>
            </w:pPr>
            <w:r>
              <w:rPr>
                <w:rFonts w:cs="Arial"/>
                <w:sz w:val="16"/>
                <w:szCs w:val="16"/>
              </w:rPr>
              <w:t>866</w:t>
            </w:r>
          </w:p>
        </w:tc>
        <w:tc>
          <w:tcPr>
            <w:tcW w:w="709" w:type="dxa"/>
            <w:tcBorders>
              <w:top w:val="nil"/>
              <w:left w:val="nil"/>
              <w:bottom w:val="nil"/>
              <w:right w:val="single" w:sz="4" w:space="0" w:color="auto"/>
            </w:tcBorders>
            <w:shd w:val="clear" w:color="auto" w:fill="auto"/>
            <w:vAlign w:val="center"/>
            <w:hideMark/>
          </w:tcPr>
          <w:p w14:paraId="2E013A29" w14:textId="45E79AAD" w:rsidR="008259FD" w:rsidRPr="00D92E20" w:rsidRDefault="008259FD" w:rsidP="008259FD">
            <w:pPr>
              <w:spacing w:after="0" w:line="240" w:lineRule="auto"/>
              <w:jc w:val="right"/>
              <w:rPr>
                <w:rFonts w:cs="Arial"/>
                <w:color w:val="000000"/>
                <w:sz w:val="16"/>
                <w:szCs w:val="16"/>
              </w:rPr>
            </w:pPr>
            <w:r>
              <w:rPr>
                <w:rFonts w:cs="Arial"/>
                <w:sz w:val="16"/>
                <w:szCs w:val="16"/>
              </w:rPr>
              <w:t>371</w:t>
            </w:r>
          </w:p>
        </w:tc>
        <w:tc>
          <w:tcPr>
            <w:tcW w:w="709" w:type="dxa"/>
            <w:tcBorders>
              <w:top w:val="nil"/>
              <w:left w:val="nil"/>
              <w:bottom w:val="nil"/>
              <w:right w:val="nil"/>
            </w:tcBorders>
            <w:shd w:val="clear" w:color="auto" w:fill="auto"/>
            <w:vAlign w:val="bottom"/>
            <w:hideMark/>
          </w:tcPr>
          <w:p w14:paraId="00210C18" w14:textId="01F3E98A" w:rsidR="008259FD" w:rsidRPr="00D92E20" w:rsidRDefault="008259FD" w:rsidP="008259FD">
            <w:pPr>
              <w:spacing w:after="0" w:line="240" w:lineRule="auto"/>
              <w:jc w:val="right"/>
              <w:rPr>
                <w:rFonts w:cs="Arial"/>
                <w:color w:val="000000"/>
                <w:sz w:val="16"/>
                <w:szCs w:val="16"/>
              </w:rPr>
            </w:pPr>
            <w:r>
              <w:rPr>
                <w:rFonts w:cs="Arial"/>
                <w:sz w:val="16"/>
                <w:szCs w:val="16"/>
              </w:rPr>
              <w:t>3 385</w:t>
            </w:r>
          </w:p>
        </w:tc>
        <w:tc>
          <w:tcPr>
            <w:tcW w:w="709" w:type="dxa"/>
            <w:tcBorders>
              <w:top w:val="nil"/>
              <w:left w:val="nil"/>
              <w:bottom w:val="nil"/>
              <w:right w:val="nil"/>
            </w:tcBorders>
            <w:shd w:val="clear" w:color="auto" w:fill="auto"/>
            <w:vAlign w:val="center"/>
            <w:hideMark/>
          </w:tcPr>
          <w:p w14:paraId="0ED995FE" w14:textId="5F310953" w:rsidR="008259FD" w:rsidRPr="00D92E20" w:rsidRDefault="008259FD" w:rsidP="008259FD">
            <w:pPr>
              <w:spacing w:after="0" w:line="240" w:lineRule="auto"/>
              <w:jc w:val="right"/>
              <w:rPr>
                <w:rFonts w:cs="Arial"/>
                <w:color w:val="000000"/>
                <w:sz w:val="16"/>
                <w:szCs w:val="16"/>
              </w:rPr>
            </w:pPr>
            <w:r>
              <w:rPr>
                <w:rFonts w:cs="Arial"/>
                <w:sz w:val="16"/>
                <w:szCs w:val="16"/>
              </w:rPr>
              <w:t>2 102</w:t>
            </w:r>
          </w:p>
        </w:tc>
        <w:tc>
          <w:tcPr>
            <w:tcW w:w="709" w:type="dxa"/>
            <w:tcBorders>
              <w:left w:val="nil"/>
              <w:bottom w:val="nil"/>
              <w:right w:val="nil"/>
            </w:tcBorders>
            <w:shd w:val="clear" w:color="auto" w:fill="auto"/>
            <w:vAlign w:val="center"/>
            <w:hideMark/>
          </w:tcPr>
          <w:p w14:paraId="4C5BD743" w14:textId="5F0C1D06" w:rsidR="008259FD" w:rsidRPr="00D92E20" w:rsidRDefault="008259FD" w:rsidP="008259FD">
            <w:pPr>
              <w:spacing w:after="0" w:line="240" w:lineRule="auto"/>
              <w:jc w:val="right"/>
              <w:rPr>
                <w:rFonts w:cs="Arial"/>
                <w:color w:val="000000"/>
                <w:sz w:val="16"/>
                <w:szCs w:val="16"/>
              </w:rPr>
            </w:pPr>
            <w:r>
              <w:rPr>
                <w:rFonts w:cs="Arial"/>
                <w:sz w:val="16"/>
                <w:szCs w:val="16"/>
              </w:rPr>
              <w:t>1 283</w:t>
            </w:r>
          </w:p>
        </w:tc>
      </w:tr>
      <w:tr w:rsidR="008259FD" w:rsidRPr="00D92E20" w14:paraId="7AFDC618" w14:textId="77777777" w:rsidTr="0050059C">
        <w:trPr>
          <w:trHeight w:val="300"/>
        </w:trPr>
        <w:tc>
          <w:tcPr>
            <w:tcW w:w="1010" w:type="dxa"/>
            <w:tcBorders>
              <w:top w:val="nil"/>
              <w:left w:val="nil"/>
              <w:bottom w:val="nil"/>
              <w:right w:val="single" w:sz="4" w:space="0" w:color="auto"/>
            </w:tcBorders>
            <w:shd w:val="clear" w:color="auto" w:fill="auto"/>
            <w:vAlign w:val="center"/>
            <w:hideMark/>
          </w:tcPr>
          <w:p w14:paraId="05C1A287" w14:textId="2FF94529" w:rsidR="008259FD" w:rsidRPr="00D92E20" w:rsidRDefault="008259FD" w:rsidP="008259FD">
            <w:pPr>
              <w:spacing w:after="0" w:line="240" w:lineRule="auto"/>
              <w:jc w:val="center"/>
              <w:rPr>
                <w:rFonts w:cs="Arial"/>
                <w:color w:val="000000"/>
                <w:sz w:val="16"/>
                <w:szCs w:val="16"/>
              </w:rPr>
            </w:pPr>
            <w:r>
              <w:rPr>
                <w:rFonts w:cs="Arial"/>
                <w:sz w:val="16"/>
                <w:szCs w:val="16"/>
              </w:rPr>
              <w:t>1. pol. 2014</w:t>
            </w:r>
          </w:p>
        </w:tc>
        <w:tc>
          <w:tcPr>
            <w:tcW w:w="711" w:type="dxa"/>
            <w:tcBorders>
              <w:top w:val="nil"/>
              <w:left w:val="nil"/>
              <w:bottom w:val="nil"/>
              <w:right w:val="nil"/>
            </w:tcBorders>
            <w:shd w:val="clear" w:color="auto" w:fill="auto"/>
            <w:vAlign w:val="center"/>
            <w:hideMark/>
          </w:tcPr>
          <w:p w14:paraId="7084D780" w14:textId="6E158BDE" w:rsidR="008259FD" w:rsidRPr="00D92E20" w:rsidRDefault="008259FD" w:rsidP="008259FD">
            <w:pPr>
              <w:spacing w:after="0" w:line="240" w:lineRule="auto"/>
              <w:jc w:val="right"/>
              <w:rPr>
                <w:rFonts w:cs="Arial"/>
                <w:color w:val="000000"/>
                <w:sz w:val="16"/>
                <w:szCs w:val="16"/>
              </w:rPr>
            </w:pPr>
            <w:r>
              <w:rPr>
                <w:rFonts w:cs="Arial"/>
                <w:sz w:val="16"/>
                <w:szCs w:val="16"/>
              </w:rPr>
              <w:t>30 512</w:t>
            </w:r>
          </w:p>
        </w:tc>
        <w:tc>
          <w:tcPr>
            <w:tcW w:w="703" w:type="dxa"/>
            <w:tcBorders>
              <w:top w:val="nil"/>
              <w:left w:val="nil"/>
              <w:bottom w:val="nil"/>
              <w:right w:val="nil"/>
            </w:tcBorders>
            <w:shd w:val="clear" w:color="auto" w:fill="auto"/>
            <w:vAlign w:val="center"/>
            <w:hideMark/>
          </w:tcPr>
          <w:p w14:paraId="334C4E20" w14:textId="60C6402B" w:rsidR="008259FD" w:rsidRPr="00D92E20" w:rsidRDefault="008259FD" w:rsidP="008259FD">
            <w:pPr>
              <w:spacing w:after="0" w:line="240" w:lineRule="auto"/>
              <w:jc w:val="right"/>
              <w:rPr>
                <w:rFonts w:cs="Arial"/>
                <w:color w:val="000000"/>
                <w:sz w:val="16"/>
                <w:szCs w:val="16"/>
              </w:rPr>
            </w:pPr>
            <w:r>
              <w:rPr>
                <w:rFonts w:cs="Arial"/>
                <w:sz w:val="16"/>
                <w:szCs w:val="16"/>
              </w:rPr>
              <w:t>13 910</w:t>
            </w:r>
          </w:p>
        </w:tc>
        <w:tc>
          <w:tcPr>
            <w:tcW w:w="704" w:type="dxa"/>
            <w:tcBorders>
              <w:top w:val="nil"/>
              <w:left w:val="nil"/>
              <w:bottom w:val="nil"/>
              <w:right w:val="nil"/>
            </w:tcBorders>
            <w:shd w:val="clear" w:color="auto" w:fill="auto"/>
            <w:vAlign w:val="center"/>
            <w:hideMark/>
          </w:tcPr>
          <w:p w14:paraId="115DE896" w14:textId="6C63A366" w:rsidR="008259FD" w:rsidRPr="00D92E20" w:rsidRDefault="008259FD" w:rsidP="008259FD">
            <w:pPr>
              <w:spacing w:after="0" w:line="240" w:lineRule="auto"/>
              <w:jc w:val="right"/>
              <w:rPr>
                <w:rFonts w:cs="Arial"/>
                <w:color w:val="000000"/>
                <w:sz w:val="16"/>
                <w:szCs w:val="16"/>
              </w:rPr>
            </w:pPr>
            <w:r>
              <w:rPr>
                <w:rFonts w:cs="Arial"/>
                <w:sz w:val="16"/>
                <w:szCs w:val="16"/>
              </w:rPr>
              <w:t>16 603</w:t>
            </w:r>
          </w:p>
        </w:tc>
        <w:tc>
          <w:tcPr>
            <w:tcW w:w="707" w:type="dxa"/>
            <w:tcBorders>
              <w:top w:val="nil"/>
              <w:left w:val="single" w:sz="4" w:space="0" w:color="auto"/>
              <w:bottom w:val="nil"/>
              <w:right w:val="nil"/>
            </w:tcBorders>
            <w:shd w:val="clear" w:color="auto" w:fill="auto"/>
            <w:vAlign w:val="center"/>
            <w:hideMark/>
          </w:tcPr>
          <w:p w14:paraId="5AB0767E" w14:textId="6DFBD357" w:rsidR="008259FD" w:rsidRPr="00D92E20" w:rsidRDefault="008259FD" w:rsidP="008259FD">
            <w:pPr>
              <w:spacing w:after="0" w:line="240" w:lineRule="auto"/>
              <w:jc w:val="right"/>
              <w:rPr>
                <w:rFonts w:cs="Arial"/>
                <w:color w:val="000000"/>
                <w:sz w:val="16"/>
                <w:szCs w:val="16"/>
              </w:rPr>
            </w:pPr>
            <w:r>
              <w:rPr>
                <w:rFonts w:cs="Arial"/>
                <w:sz w:val="16"/>
                <w:szCs w:val="16"/>
              </w:rPr>
              <w:t>26 003</w:t>
            </w:r>
          </w:p>
        </w:tc>
        <w:tc>
          <w:tcPr>
            <w:tcW w:w="704" w:type="dxa"/>
            <w:tcBorders>
              <w:top w:val="nil"/>
              <w:left w:val="nil"/>
              <w:bottom w:val="nil"/>
              <w:right w:val="nil"/>
            </w:tcBorders>
            <w:shd w:val="clear" w:color="auto" w:fill="auto"/>
            <w:vAlign w:val="center"/>
            <w:hideMark/>
          </w:tcPr>
          <w:p w14:paraId="3EBE9BDC" w14:textId="7F8014AB" w:rsidR="008259FD" w:rsidRPr="00D92E20" w:rsidRDefault="008259FD" w:rsidP="008259FD">
            <w:pPr>
              <w:spacing w:after="0" w:line="240" w:lineRule="auto"/>
              <w:jc w:val="right"/>
              <w:rPr>
                <w:rFonts w:cs="Arial"/>
                <w:color w:val="000000"/>
                <w:sz w:val="16"/>
                <w:szCs w:val="16"/>
              </w:rPr>
            </w:pPr>
            <w:r>
              <w:rPr>
                <w:rFonts w:cs="Arial"/>
                <w:sz w:val="16"/>
                <w:szCs w:val="16"/>
              </w:rPr>
              <w:t>10 966</w:t>
            </w:r>
          </w:p>
        </w:tc>
        <w:tc>
          <w:tcPr>
            <w:tcW w:w="704" w:type="dxa"/>
            <w:tcBorders>
              <w:top w:val="nil"/>
              <w:left w:val="nil"/>
              <w:bottom w:val="nil"/>
              <w:right w:val="single" w:sz="4" w:space="0" w:color="auto"/>
            </w:tcBorders>
            <w:shd w:val="clear" w:color="auto" w:fill="auto"/>
            <w:vAlign w:val="center"/>
            <w:hideMark/>
          </w:tcPr>
          <w:p w14:paraId="316E29D4" w14:textId="4BC783CB" w:rsidR="008259FD" w:rsidRPr="00D92E20" w:rsidRDefault="008259FD" w:rsidP="008259FD">
            <w:pPr>
              <w:spacing w:after="0" w:line="240" w:lineRule="auto"/>
              <w:jc w:val="right"/>
              <w:rPr>
                <w:rFonts w:cs="Arial"/>
                <w:color w:val="000000"/>
                <w:sz w:val="16"/>
                <w:szCs w:val="16"/>
              </w:rPr>
            </w:pPr>
            <w:r>
              <w:rPr>
                <w:rFonts w:cs="Arial"/>
                <w:sz w:val="16"/>
                <w:szCs w:val="16"/>
              </w:rPr>
              <w:t>15 037</w:t>
            </w:r>
          </w:p>
        </w:tc>
        <w:tc>
          <w:tcPr>
            <w:tcW w:w="754" w:type="dxa"/>
            <w:tcBorders>
              <w:top w:val="nil"/>
              <w:left w:val="nil"/>
              <w:bottom w:val="nil"/>
              <w:right w:val="nil"/>
            </w:tcBorders>
            <w:shd w:val="clear" w:color="auto" w:fill="auto"/>
            <w:vAlign w:val="center"/>
            <w:hideMark/>
          </w:tcPr>
          <w:p w14:paraId="6A477ADC" w14:textId="6F39AF5E" w:rsidR="008259FD" w:rsidRPr="00D92E20" w:rsidRDefault="008259FD" w:rsidP="008259FD">
            <w:pPr>
              <w:spacing w:after="0" w:line="240" w:lineRule="auto"/>
              <w:jc w:val="right"/>
              <w:rPr>
                <w:rFonts w:cs="Arial"/>
                <w:color w:val="000000"/>
                <w:sz w:val="16"/>
                <w:szCs w:val="16"/>
              </w:rPr>
            </w:pPr>
            <w:r>
              <w:rPr>
                <w:rFonts w:cs="Arial"/>
                <w:sz w:val="16"/>
                <w:szCs w:val="16"/>
              </w:rPr>
              <w:t>1 192</w:t>
            </w:r>
          </w:p>
        </w:tc>
        <w:tc>
          <w:tcPr>
            <w:tcW w:w="709" w:type="dxa"/>
            <w:tcBorders>
              <w:top w:val="nil"/>
              <w:left w:val="nil"/>
              <w:bottom w:val="nil"/>
              <w:right w:val="nil"/>
            </w:tcBorders>
            <w:shd w:val="clear" w:color="auto" w:fill="auto"/>
            <w:vAlign w:val="center"/>
            <w:hideMark/>
          </w:tcPr>
          <w:p w14:paraId="534149C0" w14:textId="72E10864" w:rsidR="008259FD" w:rsidRPr="00D92E20" w:rsidRDefault="008259FD" w:rsidP="008259FD">
            <w:pPr>
              <w:spacing w:after="0" w:line="240" w:lineRule="auto"/>
              <w:jc w:val="right"/>
              <w:rPr>
                <w:rFonts w:cs="Arial"/>
                <w:color w:val="000000"/>
                <w:sz w:val="16"/>
                <w:szCs w:val="16"/>
              </w:rPr>
            </w:pPr>
            <w:r>
              <w:rPr>
                <w:rFonts w:cs="Arial"/>
                <w:sz w:val="16"/>
                <w:szCs w:val="16"/>
              </w:rPr>
              <w:t>840</w:t>
            </w:r>
          </w:p>
        </w:tc>
        <w:tc>
          <w:tcPr>
            <w:tcW w:w="709" w:type="dxa"/>
            <w:tcBorders>
              <w:top w:val="nil"/>
              <w:left w:val="nil"/>
              <w:bottom w:val="nil"/>
              <w:right w:val="single" w:sz="4" w:space="0" w:color="auto"/>
            </w:tcBorders>
            <w:shd w:val="clear" w:color="auto" w:fill="auto"/>
            <w:vAlign w:val="center"/>
            <w:hideMark/>
          </w:tcPr>
          <w:p w14:paraId="0AB71FF2" w14:textId="66D58366" w:rsidR="008259FD" w:rsidRPr="00D92E20" w:rsidRDefault="008259FD" w:rsidP="008259FD">
            <w:pPr>
              <w:spacing w:after="0" w:line="240" w:lineRule="auto"/>
              <w:jc w:val="right"/>
              <w:rPr>
                <w:rFonts w:cs="Arial"/>
                <w:color w:val="000000"/>
                <w:sz w:val="16"/>
                <w:szCs w:val="16"/>
              </w:rPr>
            </w:pPr>
            <w:r>
              <w:rPr>
                <w:rFonts w:cs="Arial"/>
                <w:sz w:val="16"/>
                <w:szCs w:val="16"/>
              </w:rPr>
              <w:t>352</w:t>
            </w:r>
          </w:p>
        </w:tc>
        <w:tc>
          <w:tcPr>
            <w:tcW w:w="709" w:type="dxa"/>
            <w:tcBorders>
              <w:top w:val="nil"/>
              <w:left w:val="nil"/>
              <w:bottom w:val="nil"/>
              <w:right w:val="nil"/>
            </w:tcBorders>
            <w:shd w:val="clear" w:color="auto" w:fill="auto"/>
            <w:vAlign w:val="center"/>
            <w:hideMark/>
          </w:tcPr>
          <w:p w14:paraId="2E514E8C" w14:textId="40C255DA" w:rsidR="008259FD" w:rsidRPr="00D92E20" w:rsidRDefault="008259FD" w:rsidP="008259FD">
            <w:pPr>
              <w:spacing w:after="0" w:line="240" w:lineRule="auto"/>
              <w:jc w:val="right"/>
              <w:rPr>
                <w:rFonts w:cs="Arial"/>
                <w:color w:val="000000"/>
                <w:sz w:val="16"/>
                <w:szCs w:val="16"/>
              </w:rPr>
            </w:pPr>
            <w:r>
              <w:rPr>
                <w:rFonts w:cs="Arial"/>
                <w:sz w:val="16"/>
                <w:szCs w:val="16"/>
              </w:rPr>
              <w:t>3 318</w:t>
            </w:r>
          </w:p>
        </w:tc>
        <w:tc>
          <w:tcPr>
            <w:tcW w:w="709" w:type="dxa"/>
            <w:tcBorders>
              <w:top w:val="nil"/>
              <w:left w:val="nil"/>
              <w:bottom w:val="nil"/>
              <w:right w:val="nil"/>
            </w:tcBorders>
            <w:shd w:val="clear" w:color="auto" w:fill="auto"/>
            <w:vAlign w:val="center"/>
            <w:hideMark/>
          </w:tcPr>
          <w:p w14:paraId="003F1D37" w14:textId="77272A66" w:rsidR="008259FD" w:rsidRPr="00D92E20" w:rsidRDefault="008259FD" w:rsidP="008259FD">
            <w:pPr>
              <w:spacing w:after="0" w:line="240" w:lineRule="auto"/>
              <w:jc w:val="right"/>
              <w:rPr>
                <w:rFonts w:cs="Arial"/>
                <w:color w:val="000000"/>
                <w:sz w:val="16"/>
                <w:szCs w:val="16"/>
              </w:rPr>
            </w:pPr>
            <w:r>
              <w:rPr>
                <w:rFonts w:cs="Arial"/>
                <w:sz w:val="16"/>
                <w:szCs w:val="16"/>
              </w:rPr>
              <w:t>2 104</w:t>
            </w:r>
          </w:p>
        </w:tc>
        <w:tc>
          <w:tcPr>
            <w:tcW w:w="709" w:type="dxa"/>
            <w:tcBorders>
              <w:top w:val="nil"/>
              <w:left w:val="nil"/>
              <w:bottom w:val="nil"/>
              <w:right w:val="nil"/>
            </w:tcBorders>
            <w:shd w:val="clear" w:color="auto" w:fill="auto"/>
            <w:vAlign w:val="center"/>
            <w:hideMark/>
          </w:tcPr>
          <w:p w14:paraId="10507DFB" w14:textId="7209D658" w:rsidR="008259FD" w:rsidRPr="00D92E20" w:rsidRDefault="008259FD" w:rsidP="008259FD">
            <w:pPr>
              <w:spacing w:after="0" w:line="240" w:lineRule="auto"/>
              <w:jc w:val="right"/>
              <w:rPr>
                <w:rFonts w:cs="Arial"/>
                <w:color w:val="000000"/>
                <w:sz w:val="16"/>
                <w:szCs w:val="16"/>
              </w:rPr>
            </w:pPr>
            <w:r>
              <w:rPr>
                <w:rFonts w:cs="Arial"/>
                <w:sz w:val="16"/>
                <w:szCs w:val="16"/>
              </w:rPr>
              <w:t>1 214</w:t>
            </w:r>
          </w:p>
        </w:tc>
      </w:tr>
      <w:tr w:rsidR="008259FD" w:rsidRPr="00D92E20" w14:paraId="4B1D7E83" w14:textId="77777777" w:rsidTr="0050059C">
        <w:trPr>
          <w:trHeight w:val="300"/>
        </w:trPr>
        <w:tc>
          <w:tcPr>
            <w:tcW w:w="1010" w:type="dxa"/>
            <w:tcBorders>
              <w:top w:val="nil"/>
              <w:left w:val="nil"/>
              <w:bottom w:val="nil"/>
              <w:right w:val="single" w:sz="4" w:space="0" w:color="auto"/>
            </w:tcBorders>
            <w:shd w:val="clear" w:color="auto" w:fill="auto"/>
            <w:vAlign w:val="center"/>
            <w:hideMark/>
          </w:tcPr>
          <w:p w14:paraId="74A592F7" w14:textId="4E007936" w:rsidR="008259FD" w:rsidRPr="00D92E20" w:rsidRDefault="008259FD" w:rsidP="008259FD">
            <w:pPr>
              <w:spacing w:after="0" w:line="240" w:lineRule="auto"/>
              <w:jc w:val="center"/>
              <w:rPr>
                <w:rFonts w:cs="Arial"/>
                <w:color w:val="000000"/>
                <w:sz w:val="16"/>
                <w:szCs w:val="16"/>
              </w:rPr>
            </w:pPr>
            <w:r>
              <w:rPr>
                <w:rFonts w:cs="Arial"/>
                <w:sz w:val="16"/>
                <w:szCs w:val="16"/>
              </w:rPr>
              <w:t>1. pol. 2015</w:t>
            </w:r>
          </w:p>
        </w:tc>
        <w:tc>
          <w:tcPr>
            <w:tcW w:w="711" w:type="dxa"/>
            <w:tcBorders>
              <w:top w:val="nil"/>
              <w:left w:val="nil"/>
              <w:bottom w:val="nil"/>
              <w:right w:val="nil"/>
            </w:tcBorders>
            <w:shd w:val="clear" w:color="auto" w:fill="auto"/>
            <w:vAlign w:val="center"/>
            <w:hideMark/>
          </w:tcPr>
          <w:p w14:paraId="0F03F0B7" w14:textId="6B7BF073" w:rsidR="008259FD" w:rsidRPr="00D92E20" w:rsidRDefault="008259FD" w:rsidP="008259FD">
            <w:pPr>
              <w:spacing w:after="0" w:line="240" w:lineRule="auto"/>
              <w:jc w:val="right"/>
              <w:rPr>
                <w:rFonts w:cs="Arial"/>
                <w:color w:val="000000"/>
                <w:sz w:val="16"/>
                <w:szCs w:val="16"/>
              </w:rPr>
            </w:pPr>
            <w:r>
              <w:rPr>
                <w:rFonts w:cs="Arial"/>
                <w:sz w:val="16"/>
                <w:szCs w:val="16"/>
              </w:rPr>
              <w:t>35 052</w:t>
            </w:r>
          </w:p>
        </w:tc>
        <w:tc>
          <w:tcPr>
            <w:tcW w:w="703" w:type="dxa"/>
            <w:tcBorders>
              <w:top w:val="nil"/>
              <w:left w:val="nil"/>
              <w:bottom w:val="nil"/>
              <w:right w:val="nil"/>
            </w:tcBorders>
            <w:shd w:val="clear" w:color="auto" w:fill="auto"/>
            <w:vAlign w:val="center"/>
            <w:hideMark/>
          </w:tcPr>
          <w:p w14:paraId="25364E03" w14:textId="65A62DE9" w:rsidR="008259FD" w:rsidRPr="00D92E20" w:rsidRDefault="008259FD" w:rsidP="008259FD">
            <w:pPr>
              <w:spacing w:after="0" w:line="240" w:lineRule="auto"/>
              <w:jc w:val="right"/>
              <w:rPr>
                <w:rFonts w:cs="Arial"/>
                <w:color w:val="000000"/>
                <w:sz w:val="16"/>
                <w:szCs w:val="16"/>
              </w:rPr>
            </w:pPr>
            <w:r>
              <w:rPr>
                <w:rFonts w:cs="Arial"/>
                <w:sz w:val="16"/>
                <w:szCs w:val="16"/>
              </w:rPr>
              <w:t>15 885</w:t>
            </w:r>
          </w:p>
        </w:tc>
        <w:tc>
          <w:tcPr>
            <w:tcW w:w="704" w:type="dxa"/>
            <w:tcBorders>
              <w:top w:val="nil"/>
              <w:left w:val="nil"/>
              <w:bottom w:val="nil"/>
              <w:right w:val="nil"/>
            </w:tcBorders>
            <w:shd w:val="clear" w:color="auto" w:fill="auto"/>
            <w:vAlign w:val="center"/>
            <w:hideMark/>
          </w:tcPr>
          <w:p w14:paraId="2F5B7F0A" w14:textId="25D37DBF" w:rsidR="008259FD" w:rsidRPr="00D92E20" w:rsidRDefault="008259FD" w:rsidP="008259FD">
            <w:pPr>
              <w:spacing w:after="0" w:line="240" w:lineRule="auto"/>
              <w:jc w:val="right"/>
              <w:rPr>
                <w:rFonts w:cs="Arial"/>
                <w:color w:val="000000"/>
                <w:sz w:val="16"/>
                <w:szCs w:val="16"/>
              </w:rPr>
            </w:pPr>
            <w:r>
              <w:rPr>
                <w:rFonts w:cs="Arial"/>
                <w:sz w:val="16"/>
                <w:szCs w:val="16"/>
              </w:rPr>
              <w:t>19 167</w:t>
            </w:r>
          </w:p>
        </w:tc>
        <w:tc>
          <w:tcPr>
            <w:tcW w:w="707" w:type="dxa"/>
            <w:tcBorders>
              <w:top w:val="nil"/>
              <w:left w:val="single" w:sz="4" w:space="0" w:color="auto"/>
              <w:bottom w:val="nil"/>
              <w:right w:val="nil"/>
            </w:tcBorders>
            <w:shd w:val="clear" w:color="auto" w:fill="auto"/>
            <w:vAlign w:val="center"/>
            <w:hideMark/>
          </w:tcPr>
          <w:p w14:paraId="64257414" w14:textId="35063B35" w:rsidR="008259FD" w:rsidRPr="00D92E20" w:rsidRDefault="008259FD" w:rsidP="008259FD">
            <w:pPr>
              <w:spacing w:after="0" w:line="240" w:lineRule="auto"/>
              <w:jc w:val="right"/>
              <w:rPr>
                <w:rFonts w:cs="Arial"/>
                <w:color w:val="000000"/>
                <w:sz w:val="16"/>
                <w:szCs w:val="16"/>
              </w:rPr>
            </w:pPr>
            <w:r>
              <w:rPr>
                <w:rFonts w:cs="Arial"/>
                <w:sz w:val="16"/>
                <w:szCs w:val="16"/>
              </w:rPr>
              <w:t>30 184</w:t>
            </w:r>
          </w:p>
        </w:tc>
        <w:tc>
          <w:tcPr>
            <w:tcW w:w="704" w:type="dxa"/>
            <w:tcBorders>
              <w:top w:val="nil"/>
              <w:left w:val="nil"/>
              <w:bottom w:val="nil"/>
              <w:right w:val="nil"/>
            </w:tcBorders>
            <w:shd w:val="clear" w:color="auto" w:fill="auto"/>
            <w:vAlign w:val="center"/>
            <w:hideMark/>
          </w:tcPr>
          <w:p w14:paraId="0BE30E1E" w14:textId="4778A4CC" w:rsidR="008259FD" w:rsidRPr="00D92E20" w:rsidRDefault="008259FD" w:rsidP="008259FD">
            <w:pPr>
              <w:spacing w:after="0" w:line="240" w:lineRule="auto"/>
              <w:jc w:val="right"/>
              <w:rPr>
                <w:rFonts w:cs="Arial"/>
                <w:color w:val="000000"/>
                <w:sz w:val="16"/>
                <w:szCs w:val="16"/>
              </w:rPr>
            </w:pPr>
            <w:r>
              <w:rPr>
                <w:rFonts w:cs="Arial"/>
                <w:sz w:val="16"/>
                <w:szCs w:val="16"/>
              </w:rPr>
              <w:t>12 792</w:t>
            </w:r>
          </w:p>
        </w:tc>
        <w:tc>
          <w:tcPr>
            <w:tcW w:w="704" w:type="dxa"/>
            <w:tcBorders>
              <w:top w:val="nil"/>
              <w:left w:val="nil"/>
              <w:bottom w:val="nil"/>
              <w:right w:val="single" w:sz="4" w:space="0" w:color="auto"/>
            </w:tcBorders>
            <w:shd w:val="clear" w:color="auto" w:fill="auto"/>
            <w:vAlign w:val="center"/>
            <w:hideMark/>
          </w:tcPr>
          <w:p w14:paraId="20A14920" w14:textId="767AC0E3" w:rsidR="008259FD" w:rsidRPr="00D92E20" w:rsidRDefault="008259FD" w:rsidP="008259FD">
            <w:pPr>
              <w:spacing w:after="0" w:line="240" w:lineRule="auto"/>
              <w:jc w:val="right"/>
              <w:rPr>
                <w:rFonts w:cs="Arial"/>
                <w:color w:val="000000"/>
                <w:sz w:val="16"/>
                <w:szCs w:val="16"/>
              </w:rPr>
            </w:pPr>
            <w:r>
              <w:rPr>
                <w:rFonts w:cs="Arial"/>
                <w:sz w:val="16"/>
                <w:szCs w:val="16"/>
              </w:rPr>
              <w:t>17 392</w:t>
            </w:r>
          </w:p>
        </w:tc>
        <w:tc>
          <w:tcPr>
            <w:tcW w:w="754" w:type="dxa"/>
            <w:tcBorders>
              <w:top w:val="nil"/>
              <w:left w:val="nil"/>
              <w:bottom w:val="nil"/>
              <w:right w:val="nil"/>
            </w:tcBorders>
            <w:shd w:val="clear" w:color="auto" w:fill="auto"/>
            <w:vAlign w:val="center"/>
            <w:hideMark/>
          </w:tcPr>
          <w:p w14:paraId="667F1B40" w14:textId="59A94040" w:rsidR="008259FD" w:rsidRPr="00D92E20" w:rsidRDefault="008259FD" w:rsidP="008259FD">
            <w:pPr>
              <w:spacing w:after="0" w:line="240" w:lineRule="auto"/>
              <w:jc w:val="right"/>
              <w:rPr>
                <w:rFonts w:cs="Arial"/>
                <w:color w:val="000000"/>
                <w:sz w:val="16"/>
                <w:szCs w:val="16"/>
              </w:rPr>
            </w:pPr>
            <w:r>
              <w:rPr>
                <w:rFonts w:cs="Arial"/>
                <w:sz w:val="16"/>
                <w:szCs w:val="16"/>
              </w:rPr>
              <w:t>1 304</w:t>
            </w:r>
          </w:p>
        </w:tc>
        <w:tc>
          <w:tcPr>
            <w:tcW w:w="709" w:type="dxa"/>
            <w:tcBorders>
              <w:top w:val="nil"/>
              <w:left w:val="nil"/>
              <w:bottom w:val="nil"/>
              <w:right w:val="nil"/>
            </w:tcBorders>
            <w:shd w:val="clear" w:color="auto" w:fill="auto"/>
            <w:vAlign w:val="center"/>
            <w:hideMark/>
          </w:tcPr>
          <w:p w14:paraId="35456328" w14:textId="619C2B77" w:rsidR="008259FD" w:rsidRPr="00D92E20" w:rsidRDefault="008259FD" w:rsidP="008259FD">
            <w:pPr>
              <w:spacing w:after="0" w:line="240" w:lineRule="auto"/>
              <w:jc w:val="right"/>
              <w:rPr>
                <w:rFonts w:cs="Arial"/>
                <w:color w:val="000000"/>
                <w:sz w:val="16"/>
                <w:szCs w:val="16"/>
              </w:rPr>
            </w:pPr>
            <w:r>
              <w:rPr>
                <w:rFonts w:cs="Arial"/>
                <w:sz w:val="16"/>
                <w:szCs w:val="16"/>
              </w:rPr>
              <w:t>895</w:t>
            </w:r>
          </w:p>
        </w:tc>
        <w:tc>
          <w:tcPr>
            <w:tcW w:w="709" w:type="dxa"/>
            <w:tcBorders>
              <w:top w:val="nil"/>
              <w:left w:val="nil"/>
              <w:bottom w:val="nil"/>
              <w:right w:val="single" w:sz="4" w:space="0" w:color="auto"/>
            </w:tcBorders>
            <w:shd w:val="clear" w:color="auto" w:fill="auto"/>
            <w:vAlign w:val="center"/>
            <w:hideMark/>
          </w:tcPr>
          <w:p w14:paraId="41F9C781" w14:textId="09AB21C6" w:rsidR="008259FD" w:rsidRPr="00D92E20" w:rsidRDefault="008259FD" w:rsidP="008259FD">
            <w:pPr>
              <w:spacing w:after="0" w:line="240" w:lineRule="auto"/>
              <w:jc w:val="right"/>
              <w:rPr>
                <w:rFonts w:cs="Arial"/>
                <w:color w:val="000000"/>
                <w:sz w:val="16"/>
                <w:szCs w:val="16"/>
              </w:rPr>
            </w:pPr>
            <w:r>
              <w:rPr>
                <w:rFonts w:cs="Arial"/>
                <w:sz w:val="16"/>
                <w:szCs w:val="16"/>
              </w:rPr>
              <w:t>409</w:t>
            </w:r>
          </w:p>
        </w:tc>
        <w:tc>
          <w:tcPr>
            <w:tcW w:w="709" w:type="dxa"/>
            <w:tcBorders>
              <w:top w:val="nil"/>
              <w:left w:val="nil"/>
              <w:bottom w:val="nil"/>
              <w:right w:val="nil"/>
            </w:tcBorders>
            <w:shd w:val="clear" w:color="auto" w:fill="auto"/>
            <w:vAlign w:val="center"/>
            <w:hideMark/>
          </w:tcPr>
          <w:p w14:paraId="26676EC4" w14:textId="4F860846" w:rsidR="008259FD" w:rsidRPr="00D92E20" w:rsidRDefault="008259FD" w:rsidP="008259FD">
            <w:pPr>
              <w:spacing w:after="0" w:line="240" w:lineRule="auto"/>
              <w:jc w:val="right"/>
              <w:rPr>
                <w:rFonts w:cs="Arial"/>
                <w:color w:val="000000"/>
                <w:sz w:val="16"/>
                <w:szCs w:val="16"/>
              </w:rPr>
            </w:pPr>
            <w:r>
              <w:rPr>
                <w:rFonts w:cs="Arial"/>
                <w:sz w:val="16"/>
                <w:szCs w:val="16"/>
              </w:rPr>
              <w:t>3 563</w:t>
            </w:r>
          </w:p>
        </w:tc>
        <w:tc>
          <w:tcPr>
            <w:tcW w:w="709" w:type="dxa"/>
            <w:tcBorders>
              <w:top w:val="nil"/>
              <w:left w:val="nil"/>
              <w:bottom w:val="nil"/>
              <w:right w:val="nil"/>
            </w:tcBorders>
            <w:shd w:val="clear" w:color="auto" w:fill="auto"/>
            <w:vAlign w:val="center"/>
            <w:hideMark/>
          </w:tcPr>
          <w:p w14:paraId="691112F1" w14:textId="4740D8FC" w:rsidR="008259FD" w:rsidRPr="00D92E20" w:rsidRDefault="008259FD" w:rsidP="008259FD">
            <w:pPr>
              <w:spacing w:after="0" w:line="240" w:lineRule="auto"/>
              <w:jc w:val="right"/>
              <w:rPr>
                <w:rFonts w:cs="Arial"/>
                <w:color w:val="000000"/>
                <w:sz w:val="16"/>
                <w:szCs w:val="16"/>
              </w:rPr>
            </w:pPr>
            <w:r>
              <w:rPr>
                <w:rFonts w:cs="Arial"/>
                <w:sz w:val="16"/>
                <w:szCs w:val="16"/>
              </w:rPr>
              <w:t>2 198</w:t>
            </w:r>
          </w:p>
        </w:tc>
        <w:tc>
          <w:tcPr>
            <w:tcW w:w="709" w:type="dxa"/>
            <w:tcBorders>
              <w:top w:val="nil"/>
              <w:left w:val="nil"/>
              <w:bottom w:val="nil"/>
              <w:right w:val="nil"/>
            </w:tcBorders>
            <w:shd w:val="clear" w:color="auto" w:fill="auto"/>
            <w:vAlign w:val="center"/>
            <w:hideMark/>
          </w:tcPr>
          <w:p w14:paraId="4F109B2A" w14:textId="7B8CCD58" w:rsidR="008259FD" w:rsidRPr="00D92E20" w:rsidRDefault="008259FD" w:rsidP="008259FD">
            <w:pPr>
              <w:spacing w:after="0" w:line="240" w:lineRule="auto"/>
              <w:jc w:val="right"/>
              <w:rPr>
                <w:rFonts w:cs="Arial"/>
                <w:color w:val="000000"/>
                <w:sz w:val="16"/>
                <w:szCs w:val="16"/>
              </w:rPr>
            </w:pPr>
            <w:r>
              <w:rPr>
                <w:rFonts w:cs="Arial"/>
                <w:sz w:val="16"/>
                <w:szCs w:val="16"/>
              </w:rPr>
              <w:t>1 365</w:t>
            </w:r>
          </w:p>
        </w:tc>
      </w:tr>
      <w:tr w:rsidR="008259FD" w:rsidRPr="00D92E20" w14:paraId="0A244595" w14:textId="77777777" w:rsidTr="0050059C">
        <w:trPr>
          <w:trHeight w:val="300"/>
        </w:trPr>
        <w:tc>
          <w:tcPr>
            <w:tcW w:w="1010" w:type="dxa"/>
            <w:tcBorders>
              <w:top w:val="nil"/>
              <w:left w:val="nil"/>
              <w:bottom w:val="nil"/>
              <w:right w:val="single" w:sz="4" w:space="0" w:color="auto"/>
            </w:tcBorders>
            <w:shd w:val="clear" w:color="auto" w:fill="auto"/>
            <w:vAlign w:val="center"/>
            <w:hideMark/>
          </w:tcPr>
          <w:p w14:paraId="458B42C7" w14:textId="40771951" w:rsidR="008259FD" w:rsidRPr="00D92E20" w:rsidRDefault="008259FD" w:rsidP="008259FD">
            <w:pPr>
              <w:spacing w:after="0" w:line="240" w:lineRule="auto"/>
              <w:jc w:val="center"/>
              <w:rPr>
                <w:rFonts w:cs="Arial"/>
                <w:color w:val="000000"/>
                <w:sz w:val="16"/>
                <w:szCs w:val="16"/>
              </w:rPr>
            </w:pPr>
            <w:r>
              <w:rPr>
                <w:rFonts w:cs="Arial"/>
                <w:sz w:val="16"/>
                <w:szCs w:val="16"/>
              </w:rPr>
              <w:t>1. pol. 2016</w:t>
            </w:r>
          </w:p>
        </w:tc>
        <w:tc>
          <w:tcPr>
            <w:tcW w:w="711" w:type="dxa"/>
            <w:tcBorders>
              <w:top w:val="nil"/>
              <w:left w:val="nil"/>
              <w:bottom w:val="nil"/>
              <w:right w:val="nil"/>
            </w:tcBorders>
            <w:shd w:val="clear" w:color="auto" w:fill="auto"/>
            <w:vAlign w:val="center"/>
            <w:hideMark/>
          </w:tcPr>
          <w:p w14:paraId="0A8DA84F" w14:textId="5C349AEA" w:rsidR="008259FD" w:rsidRPr="00D92E20" w:rsidRDefault="008259FD" w:rsidP="008259FD">
            <w:pPr>
              <w:spacing w:after="0" w:line="240" w:lineRule="auto"/>
              <w:jc w:val="right"/>
              <w:rPr>
                <w:rFonts w:cs="Arial"/>
                <w:color w:val="000000"/>
                <w:sz w:val="16"/>
                <w:szCs w:val="16"/>
              </w:rPr>
            </w:pPr>
            <w:r>
              <w:rPr>
                <w:rFonts w:cs="Arial"/>
                <w:sz w:val="16"/>
                <w:szCs w:val="16"/>
              </w:rPr>
              <w:t>36 787</w:t>
            </w:r>
          </w:p>
        </w:tc>
        <w:tc>
          <w:tcPr>
            <w:tcW w:w="703" w:type="dxa"/>
            <w:tcBorders>
              <w:top w:val="nil"/>
              <w:left w:val="nil"/>
              <w:bottom w:val="nil"/>
              <w:right w:val="nil"/>
            </w:tcBorders>
            <w:shd w:val="clear" w:color="auto" w:fill="auto"/>
            <w:vAlign w:val="center"/>
            <w:hideMark/>
          </w:tcPr>
          <w:p w14:paraId="777E9445" w14:textId="3C1C024D" w:rsidR="008259FD" w:rsidRPr="00D92E20" w:rsidRDefault="008259FD" w:rsidP="008259FD">
            <w:pPr>
              <w:spacing w:after="0" w:line="240" w:lineRule="auto"/>
              <w:jc w:val="right"/>
              <w:rPr>
                <w:rFonts w:cs="Arial"/>
                <w:color w:val="000000"/>
                <w:sz w:val="16"/>
                <w:szCs w:val="16"/>
              </w:rPr>
            </w:pPr>
            <w:r>
              <w:rPr>
                <w:rFonts w:cs="Arial"/>
                <w:sz w:val="16"/>
                <w:szCs w:val="16"/>
              </w:rPr>
              <w:t>16 662</w:t>
            </w:r>
          </w:p>
        </w:tc>
        <w:tc>
          <w:tcPr>
            <w:tcW w:w="704" w:type="dxa"/>
            <w:tcBorders>
              <w:top w:val="nil"/>
              <w:left w:val="nil"/>
              <w:bottom w:val="nil"/>
              <w:right w:val="nil"/>
            </w:tcBorders>
            <w:shd w:val="clear" w:color="auto" w:fill="auto"/>
            <w:vAlign w:val="center"/>
            <w:hideMark/>
          </w:tcPr>
          <w:p w14:paraId="4E0B1666" w14:textId="70931653" w:rsidR="008259FD" w:rsidRPr="00D92E20" w:rsidRDefault="008259FD" w:rsidP="008259FD">
            <w:pPr>
              <w:spacing w:after="0" w:line="240" w:lineRule="auto"/>
              <w:jc w:val="right"/>
              <w:rPr>
                <w:rFonts w:cs="Arial"/>
                <w:color w:val="000000"/>
                <w:sz w:val="16"/>
                <w:szCs w:val="16"/>
              </w:rPr>
            </w:pPr>
            <w:r>
              <w:rPr>
                <w:rFonts w:cs="Arial"/>
                <w:sz w:val="16"/>
                <w:szCs w:val="16"/>
              </w:rPr>
              <w:t>20 125</w:t>
            </w:r>
          </w:p>
        </w:tc>
        <w:tc>
          <w:tcPr>
            <w:tcW w:w="707" w:type="dxa"/>
            <w:tcBorders>
              <w:top w:val="nil"/>
              <w:left w:val="single" w:sz="4" w:space="0" w:color="auto"/>
              <w:bottom w:val="nil"/>
              <w:right w:val="nil"/>
            </w:tcBorders>
            <w:shd w:val="clear" w:color="auto" w:fill="auto"/>
            <w:vAlign w:val="center"/>
            <w:hideMark/>
          </w:tcPr>
          <w:p w14:paraId="1A67204C" w14:textId="1D67D99B" w:rsidR="008259FD" w:rsidRPr="00D92E20" w:rsidRDefault="008259FD" w:rsidP="008259FD">
            <w:pPr>
              <w:spacing w:after="0" w:line="240" w:lineRule="auto"/>
              <w:jc w:val="right"/>
              <w:rPr>
                <w:rFonts w:cs="Arial"/>
                <w:color w:val="000000"/>
                <w:sz w:val="16"/>
                <w:szCs w:val="16"/>
              </w:rPr>
            </w:pPr>
            <w:r>
              <w:rPr>
                <w:rFonts w:cs="Arial"/>
                <w:sz w:val="16"/>
                <w:szCs w:val="16"/>
              </w:rPr>
              <w:t>31 662</w:t>
            </w:r>
          </w:p>
        </w:tc>
        <w:tc>
          <w:tcPr>
            <w:tcW w:w="704" w:type="dxa"/>
            <w:tcBorders>
              <w:top w:val="nil"/>
              <w:left w:val="nil"/>
              <w:bottom w:val="nil"/>
              <w:right w:val="nil"/>
            </w:tcBorders>
            <w:shd w:val="clear" w:color="auto" w:fill="auto"/>
            <w:vAlign w:val="center"/>
            <w:hideMark/>
          </w:tcPr>
          <w:p w14:paraId="014EC3E7" w14:textId="771B740E" w:rsidR="008259FD" w:rsidRPr="00D92E20" w:rsidRDefault="008259FD" w:rsidP="008259FD">
            <w:pPr>
              <w:spacing w:after="0" w:line="240" w:lineRule="auto"/>
              <w:jc w:val="right"/>
              <w:rPr>
                <w:rFonts w:cs="Arial"/>
                <w:color w:val="000000"/>
                <w:sz w:val="16"/>
                <w:szCs w:val="16"/>
              </w:rPr>
            </w:pPr>
            <w:r>
              <w:rPr>
                <w:rFonts w:cs="Arial"/>
                <w:sz w:val="16"/>
                <w:szCs w:val="16"/>
              </w:rPr>
              <w:t>13 413</w:t>
            </w:r>
          </w:p>
        </w:tc>
        <w:tc>
          <w:tcPr>
            <w:tcW w:w="704" w:type="dxa"/>
            <w:tcBorders>
              <w:top w:val="nil"/>
              <w:left w:val="nil"/>
              <w:bottom w:val="nil"/>
              <w:right w:val="single" w:sz="4" w:space="0" w:color="auto"/>
            </w:tcBorders>
            <w:shd w:val="clear" w:color="auto" w:fill="auto"/>
            <w:vAlign w:val="center"/>
            <w:hideMark/>
          </w:tcPr>
          <w:p w14:paraId="45BE228D" w14:textId="0392E504" w:rsidR="008259FD" w:rsidRPr="00D92E20" w:rsidRDefault="008259FD" w:rsidP="008259FD">
            <w:pPr>
              <w:spacing w:after="0" w:line="240" w:lineRule="auto"/>
              <w:jc w:val="right"/>
              <w:rPr>
                <w:rFonts w:cs="Arial"/>
                <w:color w:val="000000"/>
                <w:sz w:val="16"/>
                <w:szCs w:val="16"/>
              </w:rPr>
            </w:pPr>
            <w:r>
              <w:rPr>
                <w:rFonts w:cs="Arial"/>
                <w:sz w:val="16"/>
                <w:szCs w:val="16"/>
              </w:rPr>
              <w:t>18 249</w:t>
            </w:r>
          </w:p>
        </w:tc>
        <w:tc>
          <w:tcPr>
            <w:tcW w:w="754" w:type="dxa"/>
            <w:tcBorders>
              <w:top w:val="nil"/>
              <w:left w:val="nil"/>
              <w:bottom w:val="nil"/>
              <w:right w:val="nil"/>
            </w:tcBorders>
            <w:shd w:val="clear" w:color="auto" w:fill="auto"/>
            <w:vAlign w:val="center"/>
            <w:hideMark/>
          </w:tcPr>
          <w:p w14:paraId="2A404674" w14:textId="023B8197" w:rsidR="008259FD" w:rsidRPr="00D92E20" w:rsidRDefault="008259FD" w:rsidP="008259FD">
            <w:pPr>
              <w:spacing w:after="0" w:line="240" w:lineRule="auto"/>
              <w:jc w:val="right"/>
              <w:rPr>
                <w:rFonts w:cs="Arial"/>
                <w:color w:val="000000"/>
                <w:sz w:val="16"/>
                <w:szCs w:val="16"/>
              </w:rPr>
            </w:pPr>
            <w:r>
              <w:rPr>
                <w:rFonts w:cs="Arial"/>
                <w:sz w:val="16"/>
                <w:szCs w:val="16"/>
              </w:rPr>
              <w:t>1 320</w:t>
            </w:r>
          </w:p>
        </w:tc>
        <w:tc>
          <w:tcPr>
            <w:tcW w:w="709" w:type="dxa"/>
            <w:tcBorders>
              <w:top w:val="nil"/>
              <w:left w:val="nil"/>
              <w:bottom w:val="nil"/>
              <w:right w:val="nil"/>
            </w:tcBorders>
            <w:shd w:val="clear" w:color="auto" w:fill="auto"/>
            <w:vAlign w:val="center"/>
            <w:hideMark/>
          </w:tcPr>
          <w:p w14:paraId="7EDB9D2A" w14:textId="212EB4A5" w:rsidR="008259FD" w:rsidRPr="00D92E20" w:rsidRDefault="008259FD" w:rsidP="008259FD">
            <w:pPr>
              <w:spacing w:after="0" w:line="240" w:lineRule="auto"/>
              <w:jc w:val="right"/>
              <w:rPr>
                <w:rFonts w:cs="Arial"/>
                <w:color w:val="000000"/>
                <w:sz w:val="16"/>
                <w:szCs w:val="16"/>
              </w:rPr>
            </w:pPr>
            <w:r>
              <w:rPr>
                <w:rFonts w:cs="Arial"/>
                <w:sz w:val="16"/>
                <w:szCs w:val="16"/>
              </w:rPr>
              <w:t>900</w:t>
            </w:r>
          </w:p>
        </w:tc>
        <w:tc>
          <w:tcPr>
            <w:tcW w:w="709" w:type="dxa"/>
            <w:tcBorders>
              <w:top w:val="nil"/>
              <w:left w:val="nil"/>
              <w:bottom w:val="nil"/>
              <w:right w:val="single" w:sz="4" w:space="0" w:color="auto"/>
            </w:tcBorders>
            <w:shd w:val="clear" w:color="auto" w:fill="auto"/>
            <w:vAlign w:val="center"/>
            <w:hideMark/>
          </w:tcPr>
          <w:p w14:paraId="4A2949F8" w14:textId="5CE84B38" w:rsidR="008259FD" w:rsidRPr="00D92E20" w:rsidRDefault="008259FD" w:rsidP="008259FD">
            <w:pPr>
              <w:spacing w:after="0" w:line="240" w:lineRule="auto"/>
              <w:jc w:val="right"/>
              <w:rPr>
                <w:rFonts w:cs="Arial"/>
                <w:color w:val="000000"/>
                <w:sz w:val="16"/>
                <w:szCs w:val="16"/>
              </w:rPr>
            </w:pPr>
            <w:r>
              <w:rPr>
                <w:rFonts w:cs="Arial"/>
                <w:sz w:val="16"/>
                <w:szCs w:val="16"/>
              </w:rPr>
              <w:t>421</w:t>
            </w:r>
          </w:p>
        </w:tc>
        <w:tc>
          <w:tcPr>
            <w:tcW w:w="709" w:type="dxa"/>
            <w:tcBorders>
              <w:top w:val="nil"/>
              <w:left w:val="nil"/>
              <w:bottom w:val="nil"/>
              <w:right w:val="nil"/>
            </w:tcBorders>
            <w:shd w:val="clear" w:color="auto" w:fill="auto"/>
            <w:vAlign w:val="center"/>
            <w:hideMark/>
          </w:tcPr>
          <w:p w14:paraId="2D0796B9" w14:textId="026A871A" w:rsidR="008259FD" w:rsidRPr="00D92E20" w:rsidRDefault="008259FD" w:rsidP="008259FD">
            <w:pPr>
              <w:spacing w:after="0" w:line="240" w:lineRule="auto"/>
              <w:jc w:val="right"/>
              <w:rPr>
                <w:rFonts w:cs="Arial"/>
                <w:color w:val="000000"/>
                <w:sz w:val="16"/>
                <w:szCs w:val="16"/>
              </w:rPr>
            </w:pPr>
            <w:r>
              <w:rPr>
                <w:rFonts w:cs="Arial"/>
                <w:sz w:val="16"/>
                <w:szCs w:val="16"/>
              </w:rPr>
              <w:t>3 805</w:t>
            </w:r>
          </w:p>
        </w:tc>
        <w:tc>
          <w:tcPr>
            <w:tcW w:w="709" w:type="dxa"/>
            <w:tcBorders>
              <w:top w:val="nil"/>
              <w:left w:val="nil"/>
              <w:bottom w:val="nil"/>
              <w:right w:val="nil"/>
            </w:tcBorders>
            <w:shd w:val="clear" w:color="auto" w:fill="auto"/>
            <w:vAlign w:val="center"/>
            <w:hideMark/>
          </w:tcPr>
          <w:p w14:paraId="172DF2B4" w14:textId="2861A594" w:rsidR="008259FD" w:rsidRPr="00D92E20" w:rsidRDefault="008259FD" w:rsidP="008259FD">
            <w:pPr>
              <w:spacing w:after="0" w:line="240" w:lineRule="auto"/>
              <w:jc w:val="right"/>
              <w:rPr>
                <w:rFonts w:cs="Arial"/>
                <w:color w:val="000000"/>
                <w:sz w:val="16"/>
                <w:szCs w:val="16"/>
              </w:rPr>
            </w:pPr>
            <w:r>
              <w:rPr>
                <w:rFonts w:cs="Arial"/>
                <w:sz w:val="16"/>
                <w:szCs w:val="16"/>
              </w:rPr>
              <w:t>2 349</w:t>
            </w:r>
          </w:p>
        </w:tc>
        <w:tc>
          <w:tcPr>
            <w:tcW w:w="709" w:type="dxa"/>
            <w:tcBorders>
              <w:top w:val="nil"/>
              <w:left w:val="nil"/>
              <w:bottom w:val="nil"/>
              <w:right w:val="nil"/>
            </w:tcBorders>
            <w:shd w:val="clear" w:color="auto" w:fill="auto"/>
            <w:vAlign w:val="center"/>
            <w:hideMark/>
          </w:tcPr>
          <w:p w14:paraId="58C49F68" w14:textId="0D60C6A5" w:rsidR="008259FD" w:rsidRPr="00D92E20" w:rsidRDefault="008259FD" w:rsidP="008259FD">
            <w:pPr>
              <w:spacing w:after="0" w:line="240" w:lineRule="auto"/>
              <w:jc w:val="right"/>
              <w:rPr>
                <w:rFonts w:cs="Arial"/>
                <w:color w:val="000000"/>
                <w:sz w:val="16"/>
                <w:szCs w:val="16"/>
              </w:rPr>
            </w:pPr>
            <w:r>
              <w:rPr>
                <w:rFonts w:cs="Arial"/>
                <w:sz w:val="16"/>
                <w:szCs w:val="16"/>
              </w:rPr>
              <w:t>1 455</w:t>
            </w:r>
          </w:p>
        </w:tc>
      </w:tr>
      <w:tr w:rsidR="008259FD" w:rsidRPr="00D92E20" w14:paraId="30696A73" w14:textId="77777777" w:rsidTr="0050059C">
        <w:trPr>
          <w:trHeight w:val="300"/>
        </w:trPr>
        <w:tc>
          <w:tcPr>
            <w:tcW w:w="1010" w:type="dxa"/>
            <w:tcBorders>
              <w:top w:val="nil"/>
              <w:left w:val="nil"/>
              <w:bottom w:val="nil"/>
              <w:right w:val="single" w:sz="4" w:space="0" w:color="auto"/>
            </w:tcBorders>
            <w:shd w:val="clear" w:color="auto" w:fill="auto"/>
            <w:vAlign w:val="center"/>
            <w:hideMark/>
          </w:tcPr>
          <w:p w14:paraId="2C8E0EB7" w14:textId="31C5384A" w:rsidR="008259FD" w:rsidRPr="00D92E20" w:rsidRDefault="008259FD" w:rsidP="008259FD">
            <w:pPr>
              <w:spacing w:after="0" w:line="240" w:lineRule="auto"/>
              <w:jc w:val="center"/>
              <w:rPr>
                <w:rFonts w:cs="Arial"/>
                <w:color w:val="000000"/>
                <w:sz w:val="16"/>
                <w:szCs w:val="16"/>
              </w:rPr>
            </w:pPr>
            <w:r>
              <w:rPr>
                <w:rFonts w:cs="Arial"/>
                <w:sz w:val="16"/>
                <w:szCs w:val="16"/>
              </w:rPr>
              <w:t>1. pol. 2017</w:t>
            </w:r>
          </w:p>
        </w:tc>
        <w:tc>
          <w:tcPr>
            <w:tcW w:w="711" w:type="dxa"/>
            <w:tcBorders>
              <w:top w:val="nil"/>
              <w:left w:val="nil"/>
              <w:bottom w:val="nil"/>
              <w:right w:val="nil"/>
            </w:tcBorders>
            <w:shd w:val="clear" w:color="auto" w:fill="auto"/>
            <w:vAlign w:val="center"/>
            <w:hideMark/>
          </w:tcPr>
          <w:p w14:paraId="60D7550D" w14:textId="7244E592" w:rsidR="008259FD" w:rsidRPr="00D92E20" w:rsidRDefault="008259FD" w:rsidP="008259FD">
            <w:pPr>
              <w:spacing w:after="0" w:line="240" w:lineRule="auto"/>
              <w:jc w:val="right"/>
              <w:rPr>
                <w:rFonts w:cs="Arial"/>
                <w:color w:val="000000"/>
                <w:sz w:val="16"/>
                <w:szCs w:val="16"/>
              </w:rPr>
            </w:pPr>
            <w:r>
              <w:rPr>
                <w:rFonts w:cs="Arial"/>
                <w:sz w:val="16"/>
                <w:szCs w:val="16"/>
              </w:rPr>
              <w:t>38 709</w:t>
            </w:r>
          </w:p>
        </w:tc>
        <w:tc>
          <w:tcPr>
            <w:tcW w:w="703" w:type="dxa"/>
            <w:tcBorders>
              <w:top w:val="nil"/>
              <w:left w:val="nil"/>
              <w:bottom w:val="nil"/>
              <w:right w:val="nil"/>
            </w:tcBorders>
            <w:shd w:val="clear" w:color="auto" w:fill="auto"/>
            <w:vAlign w:val="center"/>
            <w:hideMark/>
          </w:tcPr>
          <w:p w14:paraId="3FE6B401" w14:textId="14E61F8C" w:rsidR="008259FD" w:rsidRPr="00D92E20" w:rsidRDefault="008259FD" w:rsidP="008259FD">
            <w:pPr>
              <w:spacing w:after="0" w:line="240" w:lineRule="auto"/>
              <w:jc w:val="right"/>
              <w:rPr>
                <w:rFonts w:cs="Arial"/>
                <w:color w:val="000000"/>
                <w:sz w:val="16"/>
                <w:szCs w:val="16"/>
              </w:rPr>
            </w:pPr>
            <w:r>
              <w:rPr>
                <w:rFonts w:cs="Arial"/>
                <w:sz w:val="16"/>
                <w:szCs w:val="16"/>
              </w:rPr>
              <w:t>17 570</w:t>
            </w:r>
          </w:p>
        </w:tc>
        <w:tc>
          <w:tcPr>
            <w:tcW w:w="704" w:type="dxa"/>
            <w:tcBorders>
              <w:top w:val="nil"/>
              <w:left w:val="nil"/>
              <w:bottom w:val="nil"/>
              <w:right w:val="nil"/>
            </w:tcBorders>
            <w:shd w:val="clear" w:color="auto" w:fill="auto"/>
            <w:vAlign w:val="center"/>
            <w:hideMark/>
          </w:tcPr>
          <w:p w14:paraId="109473DE" w14:textId="6816BB3E" w:rsidR="008259FD" w:rsidRPr="00D92E20" w:rsidRDefault="008259FD" w:rsidP="008259FD">
            <w:pPr>
              <w:spacing w:after="0" w:line="240" w:lineRule="auto"/>
              <w:jc w:val="right"/>
              <w:rPr>
                <w:rFonts w:cs="Arial"/>
                <w:color w:val="000000"/>
                <w:sz w:val="16"/>
                <w:szCs w:val="16"/>
              </w:rPr>
            </w:pPr>
            <w:r>
              <w:rPr>
                <w:rFonts w:cs="Arial"/>
                <w:sz w:val="16"/>
                <w:szCs w:val="16"/>
              </w:rPr>
              <w:t>21 138</w:t>
            </w:r>
          </w:p>
        </w:tc>
        <w:tc>
          <w:tcPr>
            <w:tcW w:w="707" w:type="dxa"/>
            <w:tcBorders>
              <w:top w:val="nil"/>
              <w:left w:val="single" w:sz="4" w:space="0" w:color="auto"/>
              <w:bottom w:val="nil"/>
              <w:right w:val="nil"/>
            </w:tcBorders>
            <w:shd w:val="clear" w:color="auto" w:fill="auto"/>
            <w:vAlign w:val="center"/>
            <w:hideMark/>
          </w:tcPr>
          <w:p w14:paraId="2A2DB589" w14:textId="4764CEE8" w:rsidR="008259FD" w:rsidRPr="00D92E20" w:rsidRDefault="008259FD" w:rsidP="008259FD">
            <w:pPr>
              <w:spacing w:after="0" w:line="240" w:lineRule="auto"/>
              <w:jc w:val="right"/>
              <w:rPr>
                <w:rFonts w:cs="Arial"/>
                <w:color w:val="000000"/>
                <w:sz w:val="16"/>
                <w:szCs w:val="16"/>
              </w:rPr>
            </w:pPr>
            <w:r>
              <w:rPr>
                <w:rFonts w:cs="Arial"/>
                <w:sz w:val="16"/>
                <w:szCs w:val="16"/>
              </w:rPr>
              <w:t>33 259</w:t>
            </w:r>
          </w:p>
        </w:tc>
        <w:tc>
          <w:tcPr>
            <w:tcW w:w="704" w:type="dxa"/>
            <w:tcBorders>
              <w:top w:val="nil"/>
              <w:left w:val="nil"/>
              <w:bottom w:val="nil"/>
              <w:right w:val="nil"/>
            </w:tcBorders>
            <w:shd w:val="clear" w:color="auto" w:fill="auto"/>
            <w:vAlign w:val="center"/>
            <w:hideMark/>
          </w:tcPr>
          <w:p w14:paraId="369A10DA" w14:textId="3A1EAEA6" w:rsidR="008259FD" w:rsidRPr="00D92E20" w:rsidRDefault="008259FD" w:rsidP="008259FD">
            <w:pPr>
              <w:spacing w:after="0" w:line="240" w:lineRule="auto"/>
              <w:jc w:val="right"/>
              <w:rPr>
                <w:rFonts w:cs="Arial"/>
                <w:color w:val="000000"/>
                <w:sz w:val="16"/>
                <w:szCs w:val="16"/>
              </w:rPr>
            </w:pPr>
            <w:r>
              <w:rPr>
                <w:rFonts w:cs="Arial"/>
                <w:sz w:val="16"/>
                <w:szCs w:val="16"/>
              </w:rPr>
              <w:t>14 211</w:t>
            </w:r>
          </w:p>
        </w:tc>
        <w:tc>
          <w:tcPr>
            <w:tcW w:w="704" w:type="dxa"/>
            <w:tcBorders>
              <w:top w:val="nil"/>
              <w:left w:val="nil"/>
              <w:bottom w:val="nil"/>
              <w:right w:val="single" w:sz="4" w:space="0" w:color="auto"/>
            </w:tcBorders>
            <w:shd w:val="clear" w:color="auto" w:fill="auto"/>
            <w:vAlign w:val="center"/>
            <w:hideMark/>
          </w:tcPr>
          <w:p w14:paraId="4F854AFE" w14:textId="2AB086EF" w:rsidR="008259FD" w:rsidRPr="00D92E20" w:rsidRDefault="008259FD" w:rsidP="008259FD">
            <w:pPr>
              <w:spacing w:after="0" w:line="240" w:lineRule="auto"/>
              <w:jc w:val="right"/>
              <w:rPr>
                <w:rFonts w:cs="Arial"/>
                <w:color w:val="000000"/>
                <w:sz w:val="16"/>
                <w:szCs w:val="16"/>
              </w:rPr>
            </w:pPr>
            <w:r>
              <w:rPr>
                <w:rFonts w:cs="Arial"/>
                <w:sz w:val="16"/>
                <w:szCs w:val="16"/>
              </w:rPr>
              <w:t>19 048</w:t>
            </w:r>
          </w:p>
        </w:tc>
        <w:tc>
          <w:tcPr>
            <w:tcW w:w="754" w:type="dxa"/>
            <w:tcBorders>
              <w:top w:val="nil"/>
              <w:left w:val="nil"/>
              <w:bottom w:val="nil"/>
              <w:right w:val="nil"/>
            </w:tcBorders>
            <w:shd w:val="clear" w:color="auto" w:fill="auto"/>
            <w:vAlign w:val="center"/>
            <w:hideMark/>
          </w:tcPr>
          <w:p w14:paraId="479ADD45" w14:textId="04E25717" w:rsidR="008259FD" w:rsidRPr="00D92E20" w:rsidRDefault="008259FD" w:rsidP="008259FD">
            <w:pPr>
              <w:spacing w:after="0" w:line="240" w:lineRule="auto"/>
              <w:jc w:val="right"/>
              <w:rPr>
                <w:rFonts w:cs="Arial"/>
                <w:color w:val="000000"/>
                <w:sz w:val="16"/>
                <w:szCs w:val="16"/>
              </w:rPr>
            </w:pPr>
            <w:r>
              <w:rPr>
                <w:rFonts w:cs="Arial"/>
                <w:sz w:val="16"/>
                <w:szCs w:val="16"/>
              </w:rPr>
              <w:t>1 343</w:t>
            </w:r>
          </w:p>
        </w:tc>
        <w:tc>
          <w:tcPr>
            <w:tcW w:w="709" w:type="dxa"/>
            <w:tcBorders>
              <w:top w:val="nil"/>
              <w:left w:val="nil"/>
              <w:bottom w:val="nil"/>
              <w:right w:val="nil"/>
            </w:tcBorders>
            <w:shd w:val="clear" w:color="auto" w:fill="auto"/>
            <w:vAlign w:val="center"/>
            <w:hideMark/>
          </w:tcPr>
          <w:p w14:paraId="1B278898" w14:textId="304B281A" w:rsidR="008259FD" w:rsidRPr="00D92E20" w:rsidRDefault="008259FD" w:rsidP="008259FD">
            <w:pPr>
              <w:spacing w:after="0" w:line="240" w:lineRule="auto"/>
              <w:jc w:val="right"/>
              <w:rPr>
                <w:rFonts w:cs="Arial"/>
                <w:color w:val="000000"/>
                <w:sz w:val="16"/>
                <w:szCs w:val="16"/>
              </w:rPr>
            </w:pPr>
            <w:r>
              <w:rPr>
                <w:rFonts w:cs="Arial"/>
                <w:sz w:val="16"/>
                <w:szCs w:val="16"/>
              </w:rPr>
              <w:t>914</w:t>
            </w:r>
          </w:p>
        </w:tc>
        <w:tc>
          <w:tcPr>
            <w:tcW w:w="709" w:type="dxa"/>
            <w:tcBorders>
              <w:top w:val="nil"/>
              <w:left w:val="nil"/>
              <w:bottom w:val="nil"/>
              <w:right w:val="single" w:sz="4" w:space="0" w:color="auto"/>
            </w:tcBorders>
            <w:shd w:val="clear" w:color="auto" w:fill="auto"/>
            <w:vAlign w:val="center"/>
            <w:hideMark/>
          </w:tcPr>
          <w:p w14:paraId="56AFF19B" w14:textId="29B0289C" w:rsidR="008259FD" w:rsidRPr="00D92E20" w:rsidRDefault="008259FD" w:rsidP="008259FD">
            <w:pPr>
              <w:spacing w:after="0" w:line="240" w:lineRule="auto"/>
              <w:jc w:val="right"/>
              <w:rPr>
                <w:rFonts w:cs="Arial"/>
                <w:color w:val="000000"/>
                <w:sz w:val="16"/>
                <w:szCs w:val="16"/>
              </w:rPr>
            </w:pPr>
            <w:r>
              <w:rPr>
                <w:rFonts w:cs="Arial"/>
                <w:sz w:val="16"/>
                <w:szCs w:val="16"/>
              </w:rPr>
              <w:t>428</w:t>
            </w:r>
          </w:p>
        </w:tc>
        <w:tc>
          <w:tcPr>
            <w:tcW w:w="709" w:type="dxa"/>
            <w:tcBorders>
              <w:top w:val="nil"/>
              <w:left w:val="nil"/>
              <w:bottom w:val="nil"/>
              <w:right w:val="nil"/>
            </w:tcBorders>
            <w:shd w:val="clear" w:color="auto" w:fill="auto"/>
            <w:vAlign w:val="center"/>
            <w:hideMark/>
          </w:tcPr>
          <w:p w14:paraId="36D49E9A" w14:textId="775E3D09" w:rsidR="008259FD" w:rsidRPr="00D92E20" w:rsidRDefault="008259FD" w:rsidP="008259FD">
            <w:pPr>
              <w:spacing w:after="0" w:line="240" w:lineRule="auto"/>
              <w:jc w:val="right"/>
              <w:rPr>
                <w:rFonts w:cs="Arial"/>
                <w:color w:val="000000"/>
                <w:sz w:val="16"/>
                <w:szCs w:val="16"/>
              </w:rPr>
            </w:pPr>
            <w:r>
              <w:rPr>
                <w:rFonts w:cs="Arial"/>
                <w:sz w:val="16"/>
                <w:szCs w:val="16"/>
              </w:rPr>
              <w:t>4 107</w:t>
            </w:r>
          </w:p>
        </w:tc>
        <w:tc>
          <w:tcPr>
            <w:tcW w:w="709" w:type="dxa"/>
            <w:tcBorders>
              <w:top w:val="nil"/>
              <w:left w:val="nil"/>
              <w:bottom w:val="nil"/>
              <w:right w:val="nil"/>
            </w:tcBorders>
            <w:shd w:val="clear" w:color="auto" w:fill="auto"/>
            <w:vAlign w:val="center"/>
            <w:hideMark/>
          </w:tcPr>
          <w:p w14:paraId="15D544E0" w14:textId="601C277F" w:rsidR="008259FD" w:rsidRPr="00D92E20" w:rsidRDefault="008259FD" w:rsidP="008259FD">
            <w:pPr>
              <w:spacing w:after="0" w:line="240" w:lineRule="auto"/>
              <w:jc w:val="right"/>
              <w:rPr>
                <w:rFonts w:cs="Arial"/>
                <w:color w:val="000000"/>
                <w:sz w:val="16"/>
                <w:szCs w:val="16"/>
              </w:rPr>
            </w:pPr>
            <w:r>
              <w:rPr>
                <w:rFonts w:cs="Arial"/>
                <w:sz w:val="16"/>
                <w:szCs w:val="16"/>
              </w:rPr>
              <w:t>2 445</w:t>
            </w:r>
          </w:p>
        </w:tc>
        <w:tc>
          <w:tcPr>
            <w:tcW w:w="709" w:type="dxa"/>
            <w:tcBorders>
              <w:top w:val="nil"/>
              <w:left w:val="nil"/>
              <w:bottom w:val="nil"/>
              <w:right w:val="nil"/>
            </w:tcBorders>
            <w:shd w:val="clear" w:color="auto" w:fill="auto"/>
            <w:vAlign w:val="center"/>
            <w:hideMark/>
          </w:tcPr>
          <w:p w14:paraId="31C0116E" w14:textId="0929A376" w:rsidR="008259FD" w:rsidRPr="00D92E20" w:rsidRDefault="008259FD" w:rsidP="008259FD">
            <w:pPr>
              <w:spacing w:after="0" w:line="240" w:lineRule="auto"/>
              <w:jc w:val="right"/>
              <w:rPr>
                <w:rFonts w:cs="Arial"/>
                <w:color w:val="000000"/>
                <w:sz w:val="16"/>
                <w:szCs w:val="16"/>
              </w:rPr>
            </w:pPr>
            <w:r>
              <w:rPr>
                <w:rFonts w:cs="Arial"/>
                <w:sz w:val="16"/>
                <w:szCs w:val="16"/>
              </w:rPr>
              <w:t>1 662</w:t>
            </w:r>
          </w:p>
        </w:tc>
      </w:tr>
      <w:tr w:rsidR="008259FD" w:rsidRPr="00D92E20" w14:paraId="42551B74" w14:textId="77777777" w:rsidTr="0050059C">
        <w:trPr>
          <w:trHeight w:val="300"/>
        </w:trPr>
        <w:tc>
          <w:tcPr>
            <w:tcW w:w="1010" w:type="dxa"/>
            <w:tcBorders>
              <w:top w:val="nil"/>
              <w:left w:val="nil"/>
              <w:bottom w:val="nil"/>
              <w:right w:val="single" w:sz="4" w:space="0" w:color="auto"/>
            </w:tcBorders>
            <w:shd w:val="clear" w:color="auto" w:fill="auto"/>
            <w:vAlign w:val="center"/>
            <w:hideMark/>
          </w:tcPr>
          <w:p w14:paraId="57258E2D" w14:textId="04754E1C" w:rsidR="008259FD" w:rsidRPr="00D92E20" w:rsidRDefault="008259FD" w:rsidP="008259FD">
            <w:pPr>
              <w:spacing w:after="0" w:line="240" w:lineRule="auto"/>
              <w:jc w:val="center"/>
              <w:rPr>
                <w:rFonts w:cs="Arial"/>
                <w:color w:val="000000"/>
                <w:sz w:val="16"/>
                <w:szCs w:val="16"/>
              </w:rPr>
            </w:pPr>
            <w:r>
              <w:rPr>
                <w:rFonts w:cs="Arial"/>
                <w:sz w:val="16"/>
                <w:szCs w:val="16"/>
              </w:rPr>
              <w:t>1. pol. 2018</w:t>
            </w:r>
          </w:p>
        </w:tc>
        <w:tc>
          <w:tcPr>
            <w:tcW w:w="711" w:type="dxa"/>
            <w:tcBorders>
              <w:top w:val="nil"/>
              <w:left w:val="nil"/>
              <w:bottom w:val="nil"/>
              <w:right w:val="nil"/>
            </w:tcBorders>
            <w:shd w:val="clear" w:color="auto" w:fill="auto"/>
            <w:vAlign w:val="center"/>
            <w:hideMark/>
          </w:tcPr>
          <w:p w14:paraId="56CC2A5D" w14:textId="3E61A7B4" w:rsidR="008259FD" w:rsidRPr="00D92E20" w:rsidRDefault="008259FD" w:rsidP="008259FD">
            <w:pPr>
              <w:spacing w:after="0" w:line="240" w:lineRule="auto"/>
              <w:jc w:val="right"/>
              <w:rPr>
                <w:rFonts w:cs="Arial"/>
                <w:color w:val="000000"/>
                <w:sz w:val="16"/>
                <w:szCs w:val="16"/>
              </w:rPr>
            </w:pPr>
            <w:r>
              <w:rPr>
                <w:rFonts w:cs="Arial"/>
                <w:sz w:val="16"/>
                <w:szCs w:val="16"/>
              </w:rPr>
              <w:t>40 624</w:t>
            </w:r>
          </w:p>
        </w:tc>
        <w:tc>
          <w:tcPr>
            <w:tcW w:w="703" w:type="dxa"/>
            <w:tcBorders>
              <w:top w:val="nil"/>
              <w:left w:val="nil"/>
              <w:bottom w:val="nil"/>
              <w:right w:val="nil"/>
            </w:tcBorders>
            <w:shd w:val="clear" w:color="auto" w:fill="auto"/>
            <w:vAlign w:val="center"/>
            <w:hideMark/>
          </w:tcPr>
          <w:p w14:paraId="71821FB4" w14:textId="0B63CB4D" w:rsidR="008259FD" w:rsidRPr="00D92E20" w:rsidRDefault="008259FD" w:rsidP="008259FD">
            <w:pPr>
              <w:spacing w:after="0" w:line="240" w:lineRule="auto"/>
              <w:jc w:val="right"/>
              <w:rPr>
                <w:rFonts w:cs="Arial"/>
                <w:color w:val="000000"/>
                <w:sz w:val="16"/>
                <w:szCs w:val="16"/>
              </w:rPr>
            </w:pPr>
            <w:r>
              <w:rPr>
                <w:rFonts w:cs="Arial"/>
                <w:sz w:val="16"/>
                <w:szCs w:val="16"/>
              </w:rPr>
              <w:t>18 437</w:t>
            </w:r>
          </w:p>
        </w:tc>
        <w:tc>
          <w:tcPr>
            <w:tcW w:w="704" w:type="dxa"/>
            <w:tcBorders>
              <w:top w:val="nil"/>
              <w:left w:val="nil"/>
              <w:bottom w:val="nil"/>
              <w:right w:val="nil"/>
            </w:tcBorders>
            <w:shd w:val="clear" w:color="auto" w:fill="auto"/>
            <w:vAlign w:val="center"/>
            <w:hideMark/>
          </w:tcPr>
          <w:p w14:paraId="28072824" w14:textId="21897E8D" w:rsidR="008259FD" w:rsidRPr="00D92E20" w:rsidRDefault="008259FD" w:rsidP="008259FD">
            <w:pPr>
              <w:spacing w:after="0" w:line="240" w:lineRule="auto"/>
              <w:jc w:val="right"/>
              <w:rPr>
                <w:rFonts w:cs="Arial"/>
                <w:color w:val="000000"/>
                <w:sz w:val="16"/>
                <w:szCs w:val="16"/>
              </w:rPr>
            </w:pPr>
            <w:r>
              <w:rPr>
                <w:rFonts w:cs="Arial"/>
                <w:sz w:val="16"/>
                <w:szCs w:val="16"/>
              </w:rPr>
              <w:t>22 187</w:t>
            </w:r>
          </w:p>
        </w:tc>
        <w:tc>
          <w:tcPr>
            <w:tcW w:w="707" w:type="dxa"/>
            <w:tcBorders>
              <w:top w:val="nil"/>
              <w:left w:val="single" w:sz="4" w:space="0" w:color="auto"/>
              <w:bottom w:val="nil"/>
              <w:right w:val="nil"/>
            </w:tcBorders>
            <w:shd w:val="clear" w:color="auto" w:fill="auto"/>
            <w:vAlign w:val="center"/>
            <w:hideMark/>
          </w:tcPr>
          <w:p w14:paraId="359BA859" w14:textId="58982C05" w:rsidR="008259FD" w:rsidRPr="00D92E20" w:rsidRDefault="008259FD" w:rsidP="008259FD">
            <w:pPr>
              <w:spacing w:after="0" w:line="240" w:lineRule="auto"/>
              <w:jc w:val="right"/>
              <w:rPr>
                <w:rFonts w:cs="Arial"/>
                <w:color w:val="000000"/>
                <w:sz w:val="16"/>
                <w:szCs w:val="16"/>
              </w:rPr>
            </w:pPr>
            <w:r>
              <w:rPr>
                <w:rFonts w:cs="Arial"/>
                <w:sz w:val="16"/>
                <w:szCs w:val="16"/>
              </w:rPr>
              <w:t>35 167</w:t>
            </w:r>
          </w:p>
        </w:tc>
        <w:tc>
          <w:tcPr>
            <w:tcW w:w="704" w:type="dxa"/>
            <w:tcBorders>
              <w:top w:val="nil"/>
              <w:left w:val="nil"/>
              <w:bottom w:val="nil"/>
              <w:right w:val="nil"/>
            </w:tcBorders>
            <w:shd w:val="clear" w:color="auto" w:fill="auto"/>
            <w:vAlign w:val="center"/>
            <w:hideMark/>
          </w:tcPr>
          <w:p w14:paraId="2F962BCF" w14:textId="32DC7C03" w:rsidR="008259FD" w:rsidRPr="00D92E20" w:rsidRDefault="008259FD" w:rsidP="008259FD">
            <w:pPr>
              <w:spacing w:after="0" w:line="240" w:lineRule="auto"/>
              <w:jc w:val="right"/>
              <w:rPr>
                <w:rFonts w:cs="Arial"/>
                <w:color w:val="000000"/>
                <w:sz w:val="16"/>
                <w:szCs w:val="16"/>
              </w:rPr>
            </w:pPr>
            <w:r>
              <w:rPr>
                <w:rFonts w:cs="Arial"/>
                <w:sz w:val="16"/>
                <w:szCs w:val="16"/>
              </w:rPr>
              <w:t>15 078</w:t>
            </w:r>
          </w:p>
        </w:tc>
        <w:tc>
          <w:tcPr>
            <w:tcW w:w="704" w:type="dxa"/>
            <w:tcBorders>
              <w:top w:val="nil"/>
              <w:left w:val="nil"/>
              <w:bottom w:val="nil"/>
              <w:right w:val="single" w:sz="4" w:space="0" w:color="auto"/>
            </w:tcBorders>
            <w:shd w:val="clear" w:color="auto" w:fill="auto"/>
            <w:vAlign w:val="center"/>
            <w:hideMark/>
          </w:tcPr>
          <w:p w14:paraId="2F1B76FF" w14:textId="1F2ADFD9" w:rsidR="008259FD" w:rsidRPr="00D92E20" w:rsidRDefault="008259FD" w:rsidP="008259FD">
            <w:pPr>
              <w:spacing w:after="0" w:line="240" w:lineRule="auto"/>
              <w:jc w:val="right"/>
              <w:rPr>
                <w:rFonts w:cs="Arial"/>
                <w:color w:val="000000"/>
                <w:sz w:val="16"/>
                <w:szCs w:val="16"/>
              </w:rPr>
            </w:pPr>
            <w:r>
              <w:rPr>
                <w:rFonts w:cs="Arial"/>
                <w:sz w:val="16"/>
                <w:szCs w:val="16"/>
              </w:rPr>
              <w:t>20 089</w:t>
            </w:r>
          </w:p>
        </w:tc>
        <w:tc>
          <w:tcPr>
            <w:tcW w:w="754" w:type="dxa"/>
            <w:tcBorders>
              <w:top w:val="nil"/>
              <w:left w:val="nil"/>
              <w:bottom w:val="nil"/>
              <w:right w:val="nil"/>
            </w:tcBorders>
            <w:shd w:val="clear" w:color="auto" w:fill="auto"/>
            <w:vAlign w:val="center"/>
            <w:hideMark/>
          </w:tcPr>
          <w:p w14:paraId="4BB0E376" w14:textId="32D703B7" w:rsidR="008259FD" w:rsidRPr="00D92E20" w:rsidRDefault="008259FD" w:rsidP="008259FD">
            <w:pPr>
              <w:spacing w:after="0" w:line="240" w:lineRule="auto"/>
              <w:jc w:val="right"/>
              <w:rPr>
                <w:rFonts w:cs="Arial"/>
                <w:color w:val="000000"/>
                <w:sz w:val="16"/>
                <w:szCs w:val="16"/>
              </w:rPr>
            </w:pPr>
            <w:r>
              <w:rPr>
                <w:rFonts w:cs="Arial"/>
                <w:sz w:val="16"/>
                <w:szCs w:val="16"/>
              </w:rPr>
              <w:t>1 312</w:t>
            </w:r>
          </w:p>
        </w:tc>
        <w:tc>
          <w:tcPr>
            <w:tcW w:w="709" w:type="dxa"/>
            <w:tcBorders>
              <w:top w:val="nil"/>
              <w:left w:val="nil"/>
              <w:bottom w:val="nil"/>
              <w:right w:val="nil"/>
            </w:tcBorders>
            <w:shd w:val="clear" w:color="auto" w:fill="auto"/>
            <w:vAlign w:val="center"/>
            <w:hideMark/>
          </w:tcPr>
          <w:p w14:paraId="5C130300" w14:textId="5632BAF6" w:rsidR="008259FD" w:rsidRPr="00D92E20" w:rsidRDefault="008259FD" w:rsidP="008259FD">
            <w:pPr>
              <w:spacing w:after="0" w:line="240" w:lineRule="auto"/>
              <w:jc w:val="right"/>
              <w:rPr>
                <w:rFonts w:cs="Arial"/>
                <w:color w:val="000000"/>
                <w:sz w:val="16"/>
                <w:szCs w:val="16"/>
              </w:rPr>
            </w:pPr>
            <w:r>
              <w:rPr>
                <w:rFonts w:cs="Arial"/>
                <w:sz w:val="16"/>
                <w:szCs w:val="16"/>
              </w:rPr>
              <w:t>882</w:t>
            </w:r>
          </w:p>
        </w:tc>
        <w:tc>
          <w:tcPr>
            <w:tcW w:w="709" w:type="dxa"/>
            <w:tcBorders>
              <w:top w:val="nil"/>
              <w:left w:val="nil"/>
              <w:bottom w:val="nil"/>
              <w:right w:val="single" w:sz="4" w:space="0" w:color="auto"/>
            </w:tcBorders>
            <w:shd w:val="clear" w:color="auto" w:fill="auto"/>
            <w:vAlign w:val="center"/>
            <w:hideMark/>
          </w:tcPr>
          <w:p w14:paraId="60670EBC" w14:textId="485C9AEC" w:rsidR="008259FD" w:rsidRPr="00D92E20" w:rsidRDefault="008259FD" w:rsidP="008259FD">
            <w:pPr>
              <w:spacing w:after="0" w:line="240" w:lineRule="auto"/>
              <w:jc w:val="right"/>
              <w:rPr>
                <w:rFonts w:cs="Arial"/>
                <w:color w:val="000000"/>
                <w:sz w:val="16"/>
                <w:szCs w:val="16"/>
              </w:rPr>
            </w:pPr>
            <w:r>
              <w:rPr>
                <w:rFonts w:cs="Arial"/>
                <w:sz w:val="16"/>
                <w:szCs w:val="16"/>
              </w:rPr>
              <w:t>430</w:t>
            </w:r>
          </w:p>
        </w:tc>
        <w:tc>
          <w:tcPr>
            <w:tcW w:w="709" w:type="dxa"/>
            <w:tcBorders>
              <w:top w:val="nil"/>
              <w:left w:val="nil"/>
              <w:bottom w:val="nil"/>
              <w:right w:val="nil"/>
            </w:tcBorders>
            <w:shd w:val="clear" w:color="auto" w:fill="auto"/>
            <w:vAlign w:val="center"/>
            <w:hideMark/>
          </w:tcPr>
          <w:p w14:paraId="6CAD262D" w14:textId="35F8D7F1" w:rsidR="008259FD" w:rsidRPr="00D92E20" w:rsidRDefault="008259FD" w:rsidP="008259FD">
            <w:pPr>
              <w:spacing w:after="0" w:line="240" w:lineRule="auto"/>
              <w:jc w:val="right"/>
              <w:rPr>
                <w:rFonts w:cs="Arial"/>
                <w:color w:val="000000"/>
                <w:sz w:val="16"/>
                <w:szCs w:val="16"/>
              </w:rPr>
            </w:pPr>
            <w:r>
              <w:rPr>
                <w:rFonts w:cs="Arial"/>
                <w:sz w:val="16"/>
                <w:szCs w:val="16"/>
              </w:rPr>
              <w:t>4 144</w:t>
            </w:r>
          </w:p>
        </w:tc>
        <w:tc>
          <w:tcPr>
            <w:tcW w:w="709" w:type="dxa"/>
            <w:tcBorders>
              <w:top w:val="nil"/>
              <w:left w:val="nil"/>
              <w:bottom w:val="nil"/>
              <w:right w:val="nil"/>
            </w:tcBorders>
            <w:shd w:val="clear" w:color="auto" w:fill="auto"/>
            <w:vAlign w:val="center"/>
            <w:hideMark/>
          </w:tcPr>
          <w:p w14:paraId="499E6B0F" w14:textId="3DA33AEB" w:rsidR="008259FD" w:rsidRPr="00D92E20" w:rsidRDefault="008259FD" w:rsidP="008259FD">
            <w:pPr>
              <w:spacing w:after="0" w:line="240" w:lineRule="auto"/>
              <w:jc w:val="right"/>
              <w:rPr>
                <w:rFonts w:cs="Arial"/>
                <w:color w:val="000000"/>
                <w:sz w:val="16"/>
                <w:szCs w:val="16"/>
              </w:rPr>
            </w:pPr>
            <w:r>
              <w:rPr>
                <w:rFonts w:cs="Arial"/>
                <w:sz w:val="16"/>
                <w:szCs w:val="16"/>
              </w:rPr>
              <w:t>2 477</w:t>
            </w:r>
          </w:p>
        </w:tc>
        <w:tc>
          <w:tcPr>
            <w:tcW w:w="709" w:type="dxa"/>
            <w:tcBorders>
              <w:top w:val="nil"/>
              <w:left w:val="nil"/>
              <w:bottom w:val="nil"/>
              <w:right w:val="nil"/>
            </w:tcBorders>
            <w:shd w:val="clear" w:color="auto" w:fill="auto"/>
            <w:vAlign w:val="center"/>
            <w:hideMark/>
          </w:tcPr>
          <w:p w14:paraId="5D7DE8B4" w14:textId="4B0020CE" w:rsidR="008259FD" w:rsidRPr="00D92E20" w:rsidRDefault="008259FD" w:rsidP="008259FD">
            <w:pPr>
              <w:spacing w:after="0" w:line="240" w:lineRule="auto"/>
              <w:jc w:val="right"/>
              <w:rPr>
                <w:rFonts w:cs="Arial"/>
                <w:color w:val="000000"/>
                <w:sz w:val="16"/>
                <w:szCs w:val="16"/>
              </w:rPr>
            </w:pPr>
            <w:r>
              <w:rPr>
                <w:rFonts w:cs="Arial"/>
                <w:sz w:val="16"/>
                <w:szCs w:val="16"/>
              </w:rPr>
              <w:t>1 667</w:t>
            </w:r>
          </w:p>
        </w:tc>
      </w:tr>
      <w:tr w:rsidR="008259FD" w:rsidRPr="00D92E20" w14:paraId="6914002C" w14:textId="77777777" w:rsidTr="0050059C">
        <w:trPr>
          <w:trHeight w:val="300"/>
        </w:trPr>
        <w:tc>
          <w:tcPr>
            <w:tcW w:w="1010" w:type="dxa"/>
            <w:tcBorders>
              <w:top w:val="nil"/>
              <w:left w:val="nil"/>
              <w:bottom w:val="nil"/>
              <w:right w:val="single" w:sz="4" w:space="0" w:color="auto"/>
            </w:tcBorders>
            <w:shd w:val="clear" w:color="auto" w:fill="auto"/>
            <w:vAlign w:val="center"/>
            <w:hideMark/>
          </w:tcPr>
          <w:p w14:paraId="560B17B7" w14:textId="5478DAD8" w:rsidR="008259FD" w:rsidRPr="00D92E20" w:rsidRDefault="008259FD" w:rsidP="008259FD">
            <w:pPr>
              <w:spacing w:after="0" w:line="240" w:lineRule="auto"/>
              <w:jc w:val="center"/>
              <w:rPr>
                <w:rFonts w:cs="Arial"/>
                <w:color w:val="000000"/>
                <w:sz w:val="16"/>
                <w:szCs w:val="16"/>
              </w:rPr>
            </w:pPr>
            <w:r>
              <w:rPr>
                <w:rFonts w:cs="Arial"/>
                <w:sz w:val="16"/>
                <w:szCs w:val="16"/>
              </w:rPr>
              <w:t>1. pol. 2019</w:t>
            </w:r>
          </w:p>
        </w:tc>
        <w:tc>
          <w:tcPr>
            <w:tcW w:w="711" w:type="dxa"/>
            <w:tcBorders>
              <w:top w:val="nil"/>
              <w:left w:val="nil"/>
              <w:bottom w:val="nil"/>
              <w:right w:val="nil"/>
            </w:tcBorders>
            <w:shd w:val="clear" w:color="auto" w:fill="auto"/>
            <w:vAlign w:val="center"/>
            <w:hideMark/>
          </w:tcPr>
          <w:p w14:paraId="0299BAE0" w14:textId="62AB2A5F" w:rsidR="008259FD" w:rsidRPr="00D92E20" w:rsidRDefault="008259FD" w:rsidP="008259FD">
            <w:pPr>
              <w:spacing w:after="0" w:line="240" w:lineRule="auto"/>
              <w:jc w:val="right"/>
              <w:rPr>
                <w:rFonts w:cs="Arial"/>
                <w:color w:val="000000"/>
                <w:sz w:val="16"/>
                <w:szCs w:val="16"/>
              </w:rPr>
            </w:pPr>
            <w:r>
              <w:rPr>
                <w:rFonts w:cs="Arial"/>
                <w:sz w:val="16"/>
                <w:szCs w:val="16"/>
              </w:rPr>
              <w:t>41 578</w:t>
            </w:r>
          </w:p>
        </w:tc>
        <w:tc>
          <w:tcPr>
            <w:tcW w:w="703" w:type="dxa"/>
            <w:tcBorders>
              <w:top w:val="nil"/>
              <w:left w:val="nil"/>
              <w:bottom w:val="nil"/>
              <w:right w:val="nil"/>
            </w:tcBorders>
            <w:shd w:val="clear" w:color="auto" w:fill="auto"/>
            <w:vAlign w:val="center"/>
            <w:hideMark/>
          </w:tcPr>
          <w:p w14:paraId="5EA2CC5C" w14:textId="258A0725" w:rsidR="008259FD" w:rsidRPr="00D92E20" w:rsidRDefault="008259FD" w:rsidP="008259FD">
            <w:pPr>
              <w:spacing w:after="0" w:line="240" w:lineRule="auto"/>
              <w:jc w:val="right"/>
              <w:rPr>
                <w:rFonts w:cs="Arial"/>
                <w:color w:val="000000"/>
                <w:sz w:val="16"/>
                <w:szCs w:val="16"/>
              </w:rPr>
            </w:pPr>
            <w:r>
              <w:rPr>
                <w:rFonts w:cs="Arial"/>
                <w:sz w:val="16"/>
                <w:szCs w:val="16"/>
              </w:rPr>
              <w:t>18 828</w:t>
            </w:r>
          </w:p>
        </w:tc>
        <w:tc>
          <w:tcPr>
            <w:tcW w:w="704" w:type="dxa"/>
            <w:tcBorders>
              <w:top w:val="nil"/>
              <w:left w:val="nil"/>
              <w:bottom w:val="nil"/>
              <w:right w:val="nil"/>
            </w:tcBorders>
            <w:shd w:val="clear" w:color="auto" w:fill="auto"/>
            <w:vAlign w:val="center"/>
            <w:hideMark/>
          </w:tcPr>
          <w:p w14:paraId="2686CCFA" w14:textId="43326424" w:rsidR="008259FD" w:rsidRPr="00D92E20" w:rsidRDefault="008259FD" w:rsidP="008259FD">
            <w:pPr>
              <w:spacing w:after="0" w:line="240" w:lineRule="auto"/>
              <w:jc w:val="right"/>
              <w:rPr>
                <w:rFonts w:cs="Arial"/>
                <w:color w:val="000000"/>
                <w:sz w:val="16"/>
                <w:szCs w:val="16"/>
              </w:rPr>
            </w:pPr>
            <w:r>
              <w:rPr>
                <w:rFonts w:cs="Arial"/>
                <w:sz w:val="16"/>
                <w:szCs w:val="16"/>
              </w:rPr>
              <w:t>22 750</w:t>
            </w:r>
          </w:p>
        </w:tc>
        <w:tc>
          <w:tcPr>
            <w:tcW w:w="707" w:type="dxa"/>
            <w:tcBorders>
              <w:top w:val="nil"/>
              <w:left w:val="single" w:sz="4" w:space="0" w:color="auto"/>
              <w:bottom w:val="nil"/>
              <w:right w:val="nil"/>
            </w:tcBorders>
            <w:shd w:val="clear" w:color="auto" w:fill="auto"/>
            <w:vAlign w:val="center"/>
            <w:hideMark/>
          </w:tcPr>
          <w:p w14:paraId="1C725E5A" w14:textId="397746E3" w:rsidR="008259FD" w:rsidRPr="00D92E20" w:rsidRDefault="008259FD" w:rsidP="008259FD">
            <w:pPr>
              <w:spacing w:after="0" w:line="240" w:lineRule="auto"/>
              <w:jc w:val="right"/>
              <w:rPr>
                <w:rFonts w:cs="Arial"/>
                <w:color w:val="000000"/>
                <w:sz w:val="16"/>
                <w:szCs w:val="16"/>
              </w:rPr>
            </w:pPr>
            <w:r>
              <w:rPr>
                <w:rFonts w:cs="Arial"/>
                <w:sz w:val="16"/>
                <w:szCs w:val="16"/>
              </w:rPr>
              <w:t>35 860</w:t>
            </w:r>
          </w:p>
        </w:tc>
        <w:tc>
          <w:tcPr>
            <w:tcW w:w="704" w:type="dxa"/>
            <w:tcBorders>
              <w:top w:val="nil"/>
              <w:left w:val="nil"/>
              <w:bottom w:val="nil"/>
              <w:right w:val="nil"/>
            </w:tcBorders>
            <w:shd w:val="clear" w:color="auto" w:fill="auto"/>
            <w:vAlign w:val="center"/>
            <w:hideMark/>
          </w:tcPr>
          <w:p w14:paraId="6A9A59C4" w14:textId="56C62540" w:rsidR="008259FD" w:rsidRPr="00D92E20" w:rsidRDefault="008259FD" w:rsidP="008259FD">
            <w:pPr>
              <w:spacing w:after="0" w:line="240" w:lineRule="auto"/>
              <w:jc w:val="right"/>
              <w:rPr>
                <w:rFonts w:cs="Arial"/>
                <w:color w:val="000000"/>
                <w:sz w:val="16"/>
                <w:szCs w:val="16"/>
              </w:rPr>
            </w:pPr>
            <w:r>
              <w:rPr>
                <w:rFonts w:cs="Arial"/>
                <w:sz w:val="16"/>
                <w:szCs w:val="16"/>
              </w:rPr>
              <w:t>15 325</w:t>
            </w:r>
          </w:p>
        </w:tc>
        <w:tc>
          <w:tcPr>
            <w:tcW w:w="704" w:type="dxa"/>
            <w:tcBorders>
              <w:top w:val="nil"/>
              <w:left w:val="nil"/>
              <w:bottom w:val="nil"/>
              <w:right w:val="single" w:sz="4" w:space="0" w:color="auto"/>
            </w:tcBorders>
            <w:shd w:val="clear" w:color="auto" w:fill="auto"/>
            <w:vAlign w:val="center"/>
            <w:hideMark/>
          </w:tcPr>
          <w:p w14:paraId="3E72A173" w14:textId="4CE71DC5" w:rsidR="008259FD" w:rsidRPr="00D92E20" w:rsidRDefault="008259FD" w:rsidP="008259FD">
            <w:pPr>
              <w:spacing w:after="0" w:line="240" w:lineRule="auto"/>
              <w:jc w:val="right"/>
              <w:rPr>
                <w:rFonts w:cs="Arial"/>
                <w:color w:val="000000"/>
                <w:sz w:val="16"/>
                <w:szCs w:val="16"/>
              </w:rPr>
            </w:pPr>
            <w:r>
              <w:rPr>
                <w:rFonts w:cs="Arial"/>
                <w:sz w:val="16"/>
                <w:szCs w:val="16"/>
              </w:rPr>
              <w:t>20 536</w:t>
            </w:r>
          </w:p>
        </w:tc>
        <w:tc>
          <w:tcPr>
            <w:tcW w:w="754" w:type="dxa"/>
            <w:tcBorders>
              <w:top w:val="nil"/>
              <w:left w:val="nil"/>
              <w:bottom w:val="nil"/>
              <w:right w:val="nil"/>
            </w:tcBorders>
            <w:shd w:val="clear" w:color="auto" w:fill="auto"/>
            <w:vAlign w:val="center"/>
            <w:hideMark/>
          </w:tcPr>
          <w:p w14:paraId="4EA88C2C" w14:textId="672C3E74" w:rsidR="008259FD" w:rsidRPr="00D92E20" w:rsidRDefault="008259FD" w:rsidP="008259FD">
            <w:pPr>
              <w:spacing w:after="0" w:line="240" w:lineRule="auto"/>
              <w:jc w:val="right"/>
              <w:rPr>
                <w:rFonts w:cs="Arial"/>
                <w:color w:val="000000"/>
                <w:sz w:val="16"/>
                <w:szCs w:val="16"/>
              </w:rPr>
            </w:pPr>
            <w:r>
              <w:rPr>
                <w:rFonts w:cs="Arial"/>
                <w:sz w:val="16"/>
                <w:szCs w:val="16"/>
              </w:rPr>
              <w:t>1 325</w:t>
            </w:r>
          </w:p>
        </w:tc>
        <w:tc>
          <w:tcPr>
            <w:tcW w:w="709" w:type="dxa"/>
            <w:tcBorders>
              <w:top w:val="nil"/>
              <w:left w:val="nil"/>
              <w:bottom w:val="nil"/>
              <w:right w:val="nil"/>
            </w:tcBorders>
            <w:shd w:val="clear" w:color="auto" w:fill="auto"/>
            <w:vAlign w:val="center"/>
            <w:hideMark/>
          </w:tcPr>
          <w:p w14:paraId="33165432" w14:textId="6207AE1C" w:rsidR="008259FD" w:rsidRPr="00D92E20" w:rsidRDefault="008259FD" w:rsidP="008259FD">
            <w:pPr>
              <w:spacing w:after="0" w:line="240" w:lineRule="auto"/>
              <w:jc w:val="right"/>
              <w:rPr>
                <w:rFonts w:cs="Arial"/>
                <w:color w:val="000000"/>
                <w:sz w:val="16"/>
                <w:szCs w:val="16"/>
              </w:rPr>
            </w:pPr>
            <w:r>
              <w:rPr>
                <w:rFonts w:cs="Arial"/>
                <w:sz w:val="16"/>
                <w:szCs w:val="16"/>
              </w:rPr>
              <w:t>888</w:t>
            </w:r>
          </w:p>
        </w:tc>
        <w:tc>
          <w:tcPr>
            <w:tcW w:w="709" w:type="dxa"/>
            <w:tcBorders>
              <w:top w:val="nil"/>
              <w:left w:val="nil"/>
              <w:bottom w:val="nil"/>
              <w:right w:val="single" w:sz="4" w:space="0" w:color="auto"/>
            </w:tcBorders>
            <w:shd w:val="clear" w:color="auto" w:fill="auto"/>
            <w:vAlign w:val="center"/>
            <w:hideMark/>
          </w:tcPr>
          <w:p w14:paraId="7AA8BE54" w14:textId="6F222C23" w:rsidR="008259FD" w:rsidRPr="00D92E20" w:rsidRDefault="008259FD" w:rsidP="008259FD">
            <w:pPr>
              <w:spacing w:after="0" w:line="240" w:lineRule="auto"/>
              <w:jc w:val="right"/>
              <w:rPr>
                <w:rFonts w:cs="Arial"/>
                <w:color w:val="000000"/>
                <w:sz w:val="16"/>
                <w:szCs w:val="16"/>
              </w:rPr>
            </w:pPr>
            <w:r>
              <w:rPr>
                <w:rFonts w:cs="Arial"/>
                <w:sz w:val="16"/>
                <w:szCs w:val="16"/>
              </w:rPr>
              <w:t>437</w:t>
            </w:r>
          </w:p>
        </w:tc>
        <w:tc>
          <w:tcPr>
            <w:tcW w:w="709" w:type="dxa"/>
            <w:tcBorders>
              <w:top w:val="nil"/>
              <w:left w:val="nil"/>
              <w:bottom w:val="nil"/>
              <w:right w:val="nil"/>
            </w:tcBorders>
            <w:shd w:val="clear" w:color="auto" w:fill="auto"/>
            <w:vAlign w:val="center"/>
            <w:hideMark/>
          </w:tcPr>
          <w:p w14:paraId="369A9740" w14:textId="7391FAEE" w:rsidR="008259FD" w:rsidRPr="00D92E20" w:rsidRDefault="008259FD" w:rsidP="008259FD">
            <w:pPr>
              <w:spacing w:after="0" w:line="240" w:lineRule="auto"/>
              <w:jc w:val="right"/>
              <w:rPr>
                <w:rFonts w:cs="Arial"/>
                <w:color w:val="000000"/>
                <w:sz w:val="16"/>
                <w:szCs w:val="16"/>
              </w:rPr>
            </w:pPr>
            <w:r>
              <w:rPr>
                <w:rFonts w:cs="Arial"/>
                <w:sz w:val="16"/>
                <w:szCs w:val="16"/>
              </w:rPr>
              <w:t>4 392</w:t>
            </w:r>
          </w:p>
        </w:tc>
        <w:tc>
          <w:tcPr>
            <w:tcW w:w="709" w:type="dxa"/>
            <w:tcBorders>
              <w:top w:val="nil"/>
              <w:left w:val="nil"/>
              <w:bottom w:val="nil"/>
              <w:right w:val="nil"/>
            </w:tcBorders>
            <w:shd w:val="clear" w:color="auto" w:fill="auto"/>
            <w:vAlign w:val="center"/>
            <w:hideMark/>
          </w:tcPr>
          <w:p w14:paraId="63A93A1B" w14:textId="3BEC5233" w:rsidR="008259FD" w:rsidRPr="00D92E20" w:rsidRDefault="008259FD" w:rsidP="008259FD">
            <w:pPr>
              <w:spacing w:after="0" w:line="240" w:lineRule="auto"/>
              <w:jc w:val="right"/>
              <w:rPr>
                <w:rFonts w:cs="Arial"/>
                <w:color w:val="000000"/>
                <w:sz w:val="16"/>
                <w:szCs w:val="16"/>
              </w:rPr>
            </w:pPr>
            <w:r>
              <w:rPr>
                <w:rFonts w:cs="Arial"/>
                <w:sz w:val="16"/>
                <w:szCs w:val="16"/>
              </w:rPr>
              <w:t>2 615</w:t>
            </w:r>
          </w:p>
        </w:tc>
        <w:tc>
          <w:tcPr>
            <w:tcW w:w="709" w:type="dxa"/>
            <w:tcBorders>
              <w:top w:val="nil"/>
              <w:left w:val="nil"/>
              <w:bottom w:val="nil"/>
              <w:right w:val="nil"/>
            </w:tcBorders>
            <w:shd w:val="clear" w:color="auto" w:fill="auto"/>
            <w:vAlign w:val="center"/>
            <w:hideMark/>
          </w:tcPr>
          <w:p w14:paraId="6E26FF10" w14:textId="30A1A0F3" w:rsidR="008259FD" w:rsidRPr="00D92E20" w:rsidRDefault="008259FD" w:rsidP="008259FD">
            <w:pPr>
              <w:spacing w:after="0" w:line="240" w:lineRule="auto"/>
              <w:jc w:val="right"/>
              <w:rPr>
                <w:rFonts w:cs="Arial"/>
                <w:color w:val="000000"/>
                <w:sz w:val="16"/>
                <w:szCs w:val="16"/>
              </w:rPr>
            </w:pPr>
            <w:r>
              <w:rPr>
                <w:rFonts w:cs="Arial"/>
                <w:sz w:val="16"/>
                <w:szCs w:val="16"/>
              </w:rPr>
              <w:t>1 777</w:t>
            </w:r>
          </w:p>
        </w:tc>
      </w:tr>
      <w:tr w:rsidR="008259FD" w:rsidRPr="00D92E20" w14:paraId="24C88A49" w14:textId="77777777" w:rsidTr="0050059C">
        <w:trPr>
          <w:trHeight w:val="300"/>
        </w:trPr>
        <w:tc>
          <w:tcPr>
            <w:tcW w:w="1010" w:type="dxa"/>
            <w:tcBorders>
              <w:top w:val="nil"/>
              <w:left w:val="nil"/>
              <w:bottom w:val="nil"/>
              <w:right w:val="single" w:sz="4" w:space="0" w:color="auto"/>
            </w:tcBorders>
            <w:shd w:val="clear" w:color="auto" w:fill="auto"/>
            <w:vAlign w:val="center"/>
            <w:hideMark/>
          </w:tcPr>
          <w:p w14:paraId="3F577F76" w14:textId="2BFEFCA0" w:rsidR="008259FD" w:rsidRPr="00D92E20" w:rsidRDefault="008259FD" w:rsidP="008259FD">
            <w:pPr>
              <w:spacing w:after="0" w:line="240" w:lineRule="auto"/>
              <w:jc w:val="center"/>
              <w:rPr>
                <w:rFonts w:cs="Arial"/>
                <w:color w:val="000000"/>
                <w:sz w:val="16"/>
                <w:szCs w:val="16"/>
              </w:rPr>
            </w:pPr>
            <w:r>
              <w:rPr>
                <w:rFonts w:cs="Arial"/>
                <w:sz w:val="16"/>
                <w:szCs w:val="16"/>
              </w:rPr>
              <w:t>1. pol. 2020</w:t>
            </w:r>
          </w:p>
        </w:tc>
        <w:tc>
          <w:tcPr>
            <w:tcW w:w="711" w:type="dxa"/>
            <w:tcBorders>
              <w:top w:val="nil"/>
              <w:left w:val="nil"/>
              <w:bottom w:val="nil"/>
              <w:right w:val="nil"/>
            </w:tcBorders>
            <w:shd w:val="clear" w:color="auto" w:fill="auto"/>
            <w:vAlign w:val="center"/>
            <w:hideMark/>
          </w:tcPr>
          <w:p w14:paraId="1AC1A5CA" w14:textId="3DF65A79" w:rsidR="008259FD" w:rsidRPr="00D92E20" w:rsidRDefault="008259FD" w:rsidP="008259FD">
            <w:pPr>
              <w:spacing w:after="0" w:line="240" w:lineRule="auto"/>
              <w:jc w:val="right"/>
              <w:rPr>
                <w:rFonts w:cs="Arial"/>
                <w:color w:val="000000"/>
                <w:sz w:val="16"/>
                <w:szCs w:val="16"/>
              </w:rPr>
            </w:pPr>
            <w:r>
              <w:rPr>
                <w:rFonts w:cs="Arial"/>
                <w:sz w:val="16"/>
                <w:szCs w:val="16"/>
              </w:rPr>
              <w:t>47 402</w:t>
            </w:r>
          </w:p>
        </w:tc>
        <w:tc>
          <w:tcPr>
            <w:tcW w:w="703" w:type="dxa"/>
            <w:tcBorders>
              <w:top w:val="nil"/>
              <w:left w:val="nil"/>
              <w:bottom w:val="nil"/>
              <w:right w:val="nil"/>
            </w:tcBorders>
            <w:shd w:val="clear" w:color="auto" w:fill="auto"/>
            <w:vAlign w:val="center"/>
            <w:hideMark/>
          </w:tcPr>
          <w:p w14:paraId="1201FAA5" w14:textId="39E3CFEC" w:rsidR="008259FD" w:rsidRPr="00D92E20" w:rsidRDefault="008259FD" w:rsidP="008259FD">
            <w:pPr>
              <w:spacing w:after="0" w:line="240" w:lineRule="auto"/>
              <w:jc w:val="right"/>
              <w:rPr>
                <w:rFonts w:cs="Arial"/>
                <w:color w:val="000000"/>
                <w:sz w:val="16"/>
                <w:szCs w:val="16"/>
              </w:rPr>
            </w:pPr>
            <w:r>
              <w:rPr>
                <w:rFonts w:cs="Arial"/>
                <w:sz w:val="16"/>
                <w:szCs w:val="16"/>
              </w:rPr>
              <w:t>21 697</w:t>
            </w:r>
          </w:p>
        </w:tc>
        <w:tc>
          <w:tcPr>
            <w:tcW w:w="704" w:type="dxa"/>
            <w:tcBorders>
              <w:top w:val="nil"/>
              <w:left w:val="nil"/>
              <w:bottom w:val="nil"/>
              <w:right w:val="nil"/>
            </w:tcBorders>
            <w:shd w:val="clear" w:color="auto" w:fill="auto"/>
            <w:vAlign w:val="center"/>
            <w:hideMark/>
          </w:tcPr>
          <w:p w14:paraId="70F9519F" w14:textId="37DAA293" w:rsidR="008259FD" w:rsidRPr="00D92E20" w:rsidRDefault="008259FD" w:rsidP="008259FD">
            <w:pPr>
              <w:spacing w:after="0" w:line="240" w:lineRule="auto"/>
              <w:jc w:val="right"/>
              <w:rPr>
                <w:rFonts w:cs="Arial"/>
                <w:color w:val="000000"/>
                <w:sz w:val="16"/>
                <w:szCs w:val="16"/>
              </w:rPr>
            </w:pPr>
            <w:r>
              <w:rPr>
                <w:rFonts w:cs="Arial"/>
                <w:sz w:val="16"/>
                <w:szCs w:val="16"/>
              </w:rPr>
              <w:t>25 705</w:t>
            </w:r>
          </w:p>
        </w:tc>
        <w:tc>
          <w:tcPr>
            <w:tcW w:w="707" w:type="dxa"/>
            <w:tcBorders>
              <w:top w:val="nil"/>
              <w:left w:val="single" w:sz="4" w:space="0" w:color="auto"/>
              <w:bottom w:val="nil"/>
              <w:right w:val="nil"/>
            </w:tcBorders>
            <w:shd w:val="clear" w:color="auto" w:fill="auto"/>
            <w:vAlign w:val="center"/>
            <w:hideMark/>
          </w:tcPr>
          <w:p w14:paraId="27BD3E1E" w14:textId="47ACFCB6" w:rsidR="008259FD" w:rsidRPr="00D92E20" w:rsidRDefault="008259FD" w:rsidP="008259FD">
            <w:pPr>
              <w:spacing w:after="0" w:line="240" w:lineRule="auto"/>
              <w:jc w:val="right"/>
              <w:rPr>
                <w:rFonts w:cs="Arial"/>
                <w:color w:val="000000"/>
                <w:sz w:val="16"/>
                <w:szCs w:val="16"/>
              </w:rPr>
            </w:pPr>
            <w:r>
              <w:rPr>
                <w:rFonts w:cs="Arial"/>
                <w:sz w:val="16"/>
                <w:szCs w:val="16"/>
              </w:rPr>
              <w:t>41 551</w:t>
            </w:r>
          </w:p>
        </w:tc>
        <w:tc>
          <w:tcPr>
            <w:tcW w:w="704" w:type="dxa"/>
            <w:tcBorders>
              <w:top w:val="nil"/>
              <w:left w:val="nil"/>
              <w:bottom w:val="nil"/>
              <w:right w:val="nil"/>
            </w:tcBorders>
            <w:shd w:val="clear" w:color="auto" w:fill="auto"/>
            <w:vAlign w:val="center"/>
            <w:hideMark/>
          </w:tcPr>
          <w:p w14:paraId="2204DA65" w14:textId="6DFD6A85" w:rsidR="008259FD" w:rsidRPr="00D92E20" w:rsidRDefault="008259FD" w:rsidP="008259FD">
            <w:pPr>
              <w:spacing w:after="0" w:line="240" w:lineRule="auto"/>
              <w:jc w:val="right"/>
              <w:rPr>
                <w:rFonts w:cs="Arial"/>
                <w:color w:val="000000"/>
                <w:sz w:val="16"/>
                <w:szCs w:val="16"/>
              </w:rPr>
            </w:pPr>
            <w:r>
              <w:rPr>
                <w:rFonts w:cs="Arial"/>
                <w:sz w:val="16"/>
                <w:szCs w:val="16"/>
              </w:rPr>
              <w:t>18 098</w:t>
            </w:r>
          </w:p>
        </w:tc>
        <w:tc>
          <w:tcPr>
            <w:tcW w:w="704" w:type="dxa"/>
            <w:tcBorders>
              <w:top w:val="nil"/>
              <w:left w:val="nil"/>
              <w:bottom w:val="nil"/>
              <w:right w:val="single" w:sz="4" w:space="0" w:color="auto"/>
            </w:tcBorders>
            <w:shd w:val="clear" w:color="auto" w:fill="auto"/>
            <w:vAlign w:val="center"/>
            <w:hideMark/>
          </w:tcPr>
          <w:p w14:paraId="2F3B11D6" w14:textId="5EEB1AFF" w:rsidR="008259FD" w:rsidRPr="00D92E20" w:rsidRDefault="008259FD" w:rsidP="008259FD">
            <w:pPr>
              <w:spacing w:after="0" w:line="240" w:lineRule="auto"/>
              <w:jc w:val="right"/>
              <w:rPr>
                <w:rFonts w:cs="Arial"/>
                <w:color w:val="000000"/>
                <w:sz w:val="16"/>
                <w:szCs w:val="16"/>
              </w:rPr>
            </w:pPr>
            <w:r>
              <w:rPr>
                <w:rFonts w:cs="Arial"/>
                <w:sz w:val="16"/>
                <w:szCs w:val="16"/>
              </w:rPr>
              <w:t>23 453</w:t>
            </w:r>
          </w:p>
        </w:tc>
        <w:tc>
          <w:tcPr>
            <w:tcW w:w="754" w:type="dxa"/>
            <w:tcBorders>
              <w:top w:val="nil"/>
              <w:left w:val="nil"/>
              <w:bottom w:val="nil"/>
              <w:right w:val="nil"/>
            </w:tcBorders>
            <w:shd w:val="clear" w:color="auto" w:fill="auto"/>
            <w:vAlign w:val="center"/>
            <w:hideMark/>
          </w:tcPr>
          <w:p w14:paraId="0827FA9D" w14:textId="14A0BCC6" w:rsidR="008259FD" w:rsidRPr="00D92E20" w:rsidRDefault="008259FD" w:rsidP="008259FD">
            <w:pPr>
              <w:spacing w:after="0" w:line="240" w:lineRule="auto"/>
              <w:jc w:val="right"/>
              <w:rPr>
                <w:rFonts w:cs="Arial"/>
                <w:color w:val="000000"/>
                <w:sz w:val="16"/>
                <w:szCs w:val="16"/>
              </w:rPr>
            </w:pPr>
            <w:r>
              <w:rPr>
                <w:rFonts w:cs="Arial"/>
                <w:sz w:val="16"/>
                <w:szCs w:val="16"/>
              </w:rPr>
              <w:t>1 285</w:t>
            </w:r>
          </w:p>
        </w:tc>
        <w:tc>
          <w:tcPr>
            <w:tcW w:w="709" w:type="dxa"/>
            <w:tcBorders>
              <w:top w:val="nil"/>
              <w:left w:val="nil"/>
              <w:bottom w:val="nil"/>
              <w:right w:val="nil"/>
            </w:tcBorders>
            <w:shd w:val="clear" w:color="auto" w:fill="auto"/>
            <w:vAlign w:val="center"/>
            <w:hideMark/>
          </w:tcPr>
          <w:p w14:paraId="00C61189" w14:textId="654CBE6F" w:rsidR="008259FD" w:rsidRPr="00D92E20" w:rsidRDefault="008259FD" w:rsidP="008259FD">
            <w:pPr>
              <w:spacing w:after="0" w:line="240" w:lineRule="auto"/>
              <w:jc w:val="right"/>
              <w:rPr>
                <w:rFonts w:cs="Arial"/>
                <w:color w:val="000000"/>
                <w:sz w:val="16"/>
                <w:szCs w:val="16"/>
              </w:rPr>
            </w:pPr>
            <w:r>
              <w:rPr>
                <w:rFonts w:cs="Arial"/>
                <w:sz w:val="16"/>
                <w:szCs w:val="16"/>
              </w:rPr>
              <w:t>876</w:t>
            </w:r>
          </w:p>
        </w:tc>
        <w:tc>
          <w:tcPr>
            <w:tcW w:w="709" w:type="dxa"/>
            <w:tcBorders>
              <w:top w:val="nil"/>
              <w:left w:val="nil"/>
              <w:bottom w:val="nil"/>
              <w:right w:val="single" w:sz="4" w:space="0" w:color="auto"/>
            </w:tcBorders>
            <w:shd w:val="clear" w:color="auto" w:fill="auto"/>
            <w:vAlign w:val="center"/>
            <w:hideMark/>
          </w:tcPr>
          <w:p w14:paraId="499B6699" w14:textId="4A9B4134" w:rsidR="008259FD" w:rsidRPr="00D92E20" w:rsidRDefault="008259FD" w:rsidP="008259FD">
            <w:pPr>
              <w:spacing w:after="0" w:line="240" w:lineRule="auto"/>
              <w:jc w:val="right"/>
              <w:rPr>
                <w:rFonts w:cs="Arial"/>
                <w:color w:val="000000"/>
                <w:sz w:val="16"/>
                <w:szCs w:val="16"/>
              </w:rPr>
            </w:pPr>
            <w:r>
              <w:rPr>
                <w:rFonts w:cs="Arial"/>
                <w:sz w:val="16"/>
                <w:szCs w:val="16"/>
              </w:rPr>
              <w:t>409</w:t>
            </w:r>
          </w:p>
        </w:tc>
        <w:tc>
          <w:tcPr>
            <w:tcW w:w="709" w:type="dxa"/>
            <w:tcBorders>
              <w:top w:val="nil"/>
              <w:left w:val="nil"/>
              <w:bottom w:val="nil"/>
              <w:right w:val="nil"/>
            </w:tcBorders>
            <w:shd w:val="clear" w:color="auto" w:fill="auto"/>
            <w:vAlign w:val="center"/>
            <w:hideMark/>
          </w:tcPr>
          <w:p w14:paraId="69BBCD67" w14:textId="338D387C" w:rsidR="008259FD" w:rsidRPr="00D92E20" w:rsidRDefault="008259FD" w:rsidP="008259FD">
            <w:pPr>
              <w:spacing w:after="0" w:line="240" w:lineRule="auto"/>
              <w:jc w:val="right"/>
              <w:rPr>
                <w:rFonts w:cs="Arial"/>
                <w:color w:val="000000"/>
                <w:sz w:val="16"/>
                <w:szCs w:val="16"/>
              </w:rPr>
            </w:pPr>
            <w:r>
              <w:rPr>
                <w:rFonts w:cs="Arial"/>
                <w:sz w:val="16"/>
                <w:szCs w:val="16"/>
              </w:rPr>
              <w:t>4 565</w:t>
            </w:r>
          </w:p>
        </w:tc>
        <w:tc>
          <w:tcPr>
            <w:tcW w:w="709" w:type="dxa"/>
            <w:tcBorders>
              <w:top w:val="nil"/>
              <w:left w:val="nil"/>
              <w:bottom w:val="nil"/>
              <w:right w:val="nil"/>
            </w:tcBorders>
            <w:shd w:val="clear" w:color="auto" w:fill="auto"/>
            <w:vAlign w:val="center"/>
            <w:hideMark/>
          </w:tcPr>
          <w:p w14:paraId="64C3DB35" w14:textId="255D362C" w:rsidR="008259FD" w:rsidRPr="00D92E20" w:rsidRDefault="008259FD" w:rsidP="008259FD">
            <w:pPr>
              <w:spacing w:after="0" w:line="240" w:lineRule="auto"/>
              <w:jc w:val="right"/>
              <w:rPr>
                <w:rFonts w:cs="Arial"/>
                <w:color w:val="000000"/>
                <w:sz w:val="16"/>
                <w:szCs w:val="16"/>
              </w:rPr>
            </w:pPr>
            <w:r>
              <w:rPr>
                <w:rFonts w:cs="Arial"/>
                <w:sz w:val="16"/>
                <w:szCs w:val="16"/>
              </w:rPr>
              <w:t>2 723</w:t>
            </w:r>
          </w:p>
        </w:tc>
        <w:tc>
          <w:tcPr>
            <w:tcW w:w="709" w:type="dxa"/>
            <w:tcBorders>
              <w:top w:val="nil"/>
              <w:left w:val="nil"/>
              <w:bottom w:val="nil"/>
              <w:right w:val="nil"/>
            </w:tcBorders>
            <w:shd w:val="clear" w:color="auto" w:fill="auto"/>
            <w:vAlign w:val="center"/>
            <w:hideMark/>
          </w:tcPr>
          <w:p w14:paraId="48BD6495" w14:textId="41894BEF" w:rsidR="008259FD" w:rsidRPr="00D92E20" w:rsidRDefault="008259FD" w:rsidP="008259FD">
            <w:pPr>
              <w:spacing w:after="0" w:line="240" w:lineRule="auto"/>
              <w:jc w:val="right"/>
              <w:rPr>
                <w:rFonts w:cs="Arial"/>
                <w:color w:val="000000"/>
                <w:sz w:val="16"/>
                <w:szCs w:val="16"/>
              </w:rPr>
            </w:pPr>
            <w:r>
              <w:rPr>
                <w:rFonts w:cs="Arial"/>
                <w:sz w:val="16"/>
                <w:szCs w:val="16"/>
              </w:rPr>
              <w:t>1 843</w:t>
            </w:r>
          </w:p>
        </w:tc>
      </w:tr>
      <w:tr w:rsidR="008259FD" w:rsidRPr="00D92E20" w14:paraId="0F30FE5A" w14:textId="77777777" w:rsidTr="0050059C">
        <w:trPr>
          <w:trHeight w:val="300"/>
        </w:trPr>
        <w:tc>
          <w:tcPr>
            <w:tcW w:w="1010" w:type="dxa"/>
            <w:tcBorders>
              <w:top w:val="nil"/>
              <w:left w:val="nil"/>
              <w:bottom w:val="nil"/>
              <w:right w:val="single" w:sz="4" w:space="0" w:color="auto"/>
            </w:tcBorders>
            <w:shd w:val="clear" w:color="auto" w:fill="auto"/>
            <w:vAlign w:val="center"/>
            <w:hideMark/>
          </w:tcPr>
          <w:p w14:paraId="3C6DEA69" w14:textId="799D030D" w:rsidR="008259FD" w:rsidRPr="00D92E20" w:rsidRDefault="008259FD" w:rsidP="008259FD">
            <w:pPr>
              <w:spacing w:after="0" w:line="240" w:lineRule="auto"/>
              <w:jc w:val="center"/>
              <w:rPr>
                <w:rFonts w:cs="Arial"/>
                <w:color w:val="000000"/>
                <w:sz w:val="16"/>
                <w:szCs w:val="16"/>
              </w:rPr>
            </w:pPr>
            <w:r>
              <w:rPr>
                <w:rFonts w:cs="Arial"/>
                <w:sz w:val="16"/>
                <w:szCs w:val="16"/>
              </w:rPr>
              <w:t>1. pol. 2021</w:t>
            </w:r>
          </w:p>
        </w:tc>
        <w:tc>
          <w:tcPr>
            <w:tcW w:w="711" w:type="dxa"/>
            <w:tcBorders>
              <w:top w:val="nil"/>
              <w:left w:val="nil"/>
              <w:bottom w:val="nil"/>
              <w:right w:val="nil"/>
            </w:tcBorders>
            <w:shd w:val="clear" w:color="auto" w:fill="auto"/>
            <w:vAlign w:val="center"/>
            <w:hideMark/>
          </w:tcPr>
          <w:p w14:paraId="5FC69A74" w14:textId="48E97ECC" w:rsidR="008259FD" w:rsidRPr="00D92E20" w:rsidRDefault="008259FD" w:rsidP="008259FD">
            <w:pPr>
              <w:spacing w:after="0" w:line="240" w:lineRule="auto"/>
              <w:jc w:val="right"/>
              <w:rPr>
                <w:rFonts w:cs="Arial"/>
                <w:color w:val="000000"/>
                <w:sz w:val="16"/>
                <w:szCs w:val="16"/>
              </w:rPr>
            </w:pPr>
            <w:r>
              <w:rPr>
                <w:rFonts w:cs="Arial"/>
                <w:sz w:val="16"/>
                <w:szCs w:val="16"/>
              </w:rPr>
              <w:t>50 856</w:t>
            </w:r>
          </w:p>
        </w:tc>
        <w:tc>
          <w:tcPr>
            <w:tcW w:w="703" w:type="dxa"/>
            <w:tcBorders>
              <w:top w:val="nil"/>
              <w:left w:val="nil"/>
              <w:bottom w:val="nil"/>
              <w:right w:val="nil"/>
            </w:tcBorders>
            <w:shd w:val="clear" w:color="auto" w:fill="auto"/>
            <w:vAlign w:val="center"/>
            <w:hideMark/>
          </w:tcPr>
          <w:p w14:paraId="61204BF3" w14:textId="0F63E6C1" w:rsidR="008259FD" w:rsidRPr="00D92E20" w:rsidRDefault="008259FD" w:rsidP="008259FD">
            <w:pPr>
              <w:spacing w:after="0" w:line="240" w:lineRule="auto"/>
              <w:jc w:val="right"/>
              <w:rPr>
                <w:rFonts w:cs="Arial"/>
                <w:color w:val="000000"/>
                <w:sz w:val="16"/>
                <w:szCs w:val="16"/>
              </w:rPr>
            </w:pPr>
            <w:r>
              <w:rPr>
                <w:rFonts w:cs="Arial"/>
                <w:sz w:val="16"/>
                <w:szCs w:val="16"/>
              </w:rPr>
              <w:t>23 906</w:t>
            </w:r>
          </w:p>
        </w:tc>
        <w:tc>
          <w:tcPr>
            <w:tcW w:w="704" w:type="dxa"/>
            <w:tcBorders>
              <w:top w:val="nil"/>
              <w:left w:val="nil"/>
              <w:bottom w:val="nil"/>
              <w:right w:val="nil"/>
            </w:tcBorders>
            <w:shd w:val="clear" w:color="auto" w:fill="auto"/>
            <w:vAlign w:val="center"/>
            <w:hideMark/>
          </w:tcPr>
          <w:p w14:paraId="2F0E9420" w14:textId="180860CC" w:rsidR="008259FD" w:rsidRPr="00D92E20" w:rsidRDefault="008259FD" w:rsidP="008259FD">
            <w:pPr>
              <w:spacing w:after="0" w:line="240" w:lineRule="auto"/>
              <w:jc w:val="right"/>
              <w:rPr>
                <w:rFonts w:cs="Arial"/>
                <w:color w:val="000000"/>
                <w:sz w:val="16"/>
                <w:szCs w:val="16"/>
              </w:rPr>
            </w:pPr>
            <w:r>
              <w:rPr>
                <w:rFonts w:cs="Arial"/>
                <w:sz w:val="16"/>
                <w:szCs w:val="16"/>
              </w:rPr>
              <w:t>26 950</w:t>
            </w:r>
          </w:p>
        </w:tc>
        <w:tc>
          <w:tcPr>
            <w:tcW w:w="707" w:type="dxa"/>
            <w:tcBorders>
              <w:top w:val="nil"/>
              <w:left w:val="single" w:sz="4" w:space="0" w:color="auto"/>
              <w:bottom w:val="nil"/>
              <w:right w:val="nil"/>
            </w:tcBorders>
            <w:shd w:val="clear" w:color="auto" w:fill="auto"/>
            <w:vAlign w:val="center"/>
            <w:hideMark/>
          </w:tcPr>
          <w:p w14:paraId="5D556A36" w14:textId="13F71862" w:rsidR="008259FD" w:rsidRPr="00D92E20" w:rsidRDefault="008259FD" w:rsidP="008259FD">
            <w:pPr>
              <w:spacing w:after="0" w:line="240" w:lineRule="auto"/>
              <w:jc w:val="right"/>
              <w:rPr>
                <w:rFonts w:cs="Arial"/>
                <w:color w:val="000000"/>
                <w:sz w:val="16"/>
                <w:szCs w:val="16"/>
              </w:rPr>
            </w:pPr>
            <w:r>
              <w:rPr>
                <w:rFonts w:cs="Arial"/>
                <w:sz w:val="16"/>
                <w:szCs w:val="16"/>
              </w:rPr>
              <w:t>45 205</w:t>
            </w:r>
          </w:p>
        </w:tc>
        <w:tc>
          <w:tcPr>
            <w:tcW w:w="704" w:type="dxa"/>
            <w:tcBorders>
              <w:top w:val="nil"/>
              <w:left w:val="nil"/>
              <w:bottom w:val="nil"/>
              <w:right w:val="nil"/>
            </w:tcBorders>
            <w:shd w:val="clear" w:color="auto" w:fill="auto"/>
            <w:vAlign w:val="center"/>
            <w:hideMark/>
          </w:tcPr>
          <w:p w14:paraId="30D88A9C" w14:textId="0682BF09" w:rsidR="008259FD" w:rsidRPr="00D92E20" w:rsidRDefault="008259FD" w:rsidP="008259FD">
            <w:pPr>
              <w:spacing w:after="0" w:line="240" w:lineRule="auto"/>
              <w:jc w:val="right"/>
              <w:rPr>
                <w:rFonts w:cs="Arial"/>
                <w:color w:val="000000"/>
                <w:sz w:val="16"/>
                <w:szCs w:val="16"/>
              </w:rPr>
            </w:pPr>
            <w:r>
              <w:rPr>
                <w:rFonts w:cs="Arial"/>
                <w:sz w:val="16"/>
                <w:szCs w:val="16"/>
              </w:rPr>
              <w:t>20 513</w:t>
            </w:r>
          </w:p>
        </w:tc>
        <w:tc>
          <w:tcPr>
            <w:tcW w:w="704" w:type="dxa"/>
            <w:tcBorders>
              <w:top w:val="nil"/>
              <w:left w:val="nil"/>
              <w:bottom w:val="nil"/>
              <w:right w:val="single" w:sz="4" w:space="0" w:color="auto"/>
            </w:tcBorders>
            <w:shd w:val="clear" w:color="auto" w:fill="auto"/>
            <w:vAlign w:val="center"/>
            <w:hideMark/>
          </w:tcPr>
          <w:p w14:paraId="7E4A5936" w14:textId="2B129469" w:rsidR="008259FD" w:rsidRPr="00D92E20" w:rsidRDefault="008259FD" w:rsidP="008259FD">
            <w:pPr>
              <w:spacing w:after="0" w:line="240" w:lineRule="auto"/>
              <w:jc w:val="right"/>
              <w:rPr>
                <w:rFonts w:cs="Arial"/>
                <w:color w:val="000000"/>
                <w:sz w:val="16"/>
                <w:szCs w:val="16"/>
              </w:rPr>
            </w:pPr>
            <w:r>
              <w:rPr>
                <w:rFonts w:cs="Arial"/>
                <w:sz w:val="16"/>
                <w:szCs w:val="16"/>
              </w:rPr>
              <w:t>24 692</w:t>
            </w:r>
          </w:p>
        </w:tc>
        <w:tc>
          <w:tcPr>
            <w:tcW w:w="754" w:type="dxa"/>
            <w:tcBorders>
              <w:top w:val="nil"/>
              <w:left w:val="nil"/>
              <w:bottom w:val="nil"/>
              <w:right w:val="nil"/>
            </w:tcBorders>
            <w:shd w:val="clear" w:color="auto" w:fill="auto"/>
            <w:vAlign w:val="center"/>
            <w:hideMark/>
          </w:tcPr>
          <w:p w14:paraId="054D64F5" w14:textId="277E8ADE" w:rsidR="008259FD" w:rsidRPr="00D92E20" w:rsidRDefault="008259FD" w:rsidP="008259FD">
            <w:pPr>
              <w:spacing w:after="0" w:line="240" w:lineRule="auto"/>
              <w:jc w:val="right"/>
              <w:rPr>
                <w:rFonts w:cs="Arial"/>
                <w:color w:val="000000"/>
                <w:sz w:val="16"/>
                <w:szCs w:val="16"/>
              </w:rPr>
            </w:pPr>
            <w:r>
              <w:rPr>
                <w:rFonts w:cs="Arial"/>
                <w:sz w:val="16"/>
                <w:szCs w:val="16"/>
              </w:rPr>
              <w:t>1 337</w:t>
            </w:r>
          </w:p>
        </w:tc>
        <w:tc>
          <w:tcPr>
            <w:tcW w:w="709" w:type="dxa"/>
            <w:tcBorders>
              <w:top w:val="nil"/>
              <w:left w:val="nil"/>
              <w:bottom w:val="nil"/>
              <w:right w:val="nil"/>
            </w:tcBorders>
            <w:shd w:val="clear" w:color="auto" w:fill="auto"/>
            <w:vAlign w:val="center"/>
            <w:hideMark/>
          </w:tcPr>
          <w:p w14:paraId="0526B3B2" w14:textId="34D66383" w:rsidR="008259FD" w:rsidRPr="00D92E20" w:rsidRDefault="008259FD" w:rsidP="008259FD">
            <w:pPr>
              <w:spacing w:after="0" w:line="240" w:lineRule="auto"/>
              <w:jc w:val="right"/>
              <w:rPr>
                <w:rFonts w:cs="Arial"/>
                <w:color w:val="000000"/>
                <w:sz w:val="16"/>
                <w:szCs w:val="16"/>
              </w:rPr>
            </w:pPr>
            <w:r>
              <w:rPr>
                <w:rFonts w:cs="Arial"/>
                <w:sz w:val="16"/>
                <w:szCs w:val="16"/>
              </w:rPr>
              <w:t>919</w:t>
            </w:r>
          </w:p>
        </w:tc>
        <w:tc>
          <w:tcPr>
            <w:tcW w:w="709" w:type="dxa"/>
            <w:tcBorders>
              <w:top w:val="nil"/>
              <w:left w:val="nil"/>
              <w:bottom w:val="nil"/>
              <w:right w:val="single" w:sz="4" w:space="0" w:color="auto"/>
            </w:tcBorders>
            <w:shd w:val="clear" w:color="auto" w:fill="auto"/>
            <w:vAlign w:val="center"/>
            <w:hideMark/>
          </w:tcPr>
          <w:p w14:paraId="38C858FB" w14:textId="67C20133" w:rsidR="008259FD" w:rsidRPr="00D92E20" w:rsidRDefault="008259FD" w:rsidP="008259FD">
            <w:pPr>
              <w:spacing w:after="0" w:line="240" w:lineRule="auto"/>
              <w:jc w:val="right"/>
              <w:rPr>
                <w:rFonts w:cs="Arial"/>
                <w:color w:val="000000"/>
                <w:sz w:val="16"/>
                <w:szCs w:val="16"/>
              </w:rPr>
            </w:pPr>
            <w:r>
              <w:rPr>
                <w:rFonts w:cs="Arial"/>
                <w:sz w:val="16"/>
                <w:szCs w:val="16"/>
              </w:rPr>
              <w:t>418</w:t>
            </w:r>
          </w:p>
        </w:tc>
        <w:tc>
          <w:tcPr>
            <w:tcW w:w="709" w:type="dxa"/>
            <w:tcBorders>
              <w:top w:val="nil"/>
              <w:left w:val="nil"/>
              <w:bottom w:val="nil"/>
              <w:right w:val="nil"/>
            </w:tcBorders>
            <w:shd w:val="clear" w:color="auto" w:fill="auto"/>
            <w:vAlign w:val="center"/>
            <w:hideMark/>
          </w:tcPr>
          <w:p w14:paraId="790A5A30" w14:textId="72B438BE" w:rsidR="008259FD" w:rsidRPr="00D92E20" w:rsidRDefault="008259FD" w:rsidP="008259FD">
            <w:pPr>
              <w:spacing w:after="0" w:line="240" w:lineRule="auto"/>
              <w:jc w:val="right"/>
              <w:rPr>
                <w:rFonts w:cs="Arial"/>
                <w:color w:val="000000"/>
                <w:sz w:val="16"/>
                <w:szCs w:val="16"/>
              </w:rPr>
            </w:pPr>
            <w:r>
              <w:rPr>
                <w:rFonts w:cs="Arial"/>
                <w:sz w:val="16"/>
                <w:szCs w:val="16"/>
              </w:rPr>
              <w:t>4 314</w:t>
            </w:r>
          </w:p>
        </w:tc>
        <w:tc>
          <w:tcPr>
            <w:tcW w:w="709" w:type="dxa"/>
            <w:tcBorders>
              <w:top w:val="nil"/>
              <w:left w:val="nil"/>
              <w:bottom w:val="nil"/>
              <w:right w:val="nil"/>
            </w:tcBorders>
            <w:shd w:val="clear" w:color="auto" w:fill="auto"/>
            <w:vAlign w:val="center"/>
            <w:hideMark/>
          </w:tcPr>
          <w:p w14:paraId="1D32EECE" w14:textId="02A755D8" w:rsidR="008259FD" w:rsidRPr="00D92E20" w:rsidRDefault="008259FD" w:rsidP="008259FD">
            <w:pPr>
              <w:spacing w:after="0" w:line="240" w:lineRule="auto"/>
              <w:jc w:val="right"/>
              <w:rPr>
                <w:rFonts w:cs="Arial"/>
                <w:color w:val="000000"/>
                <w:sz w:val="16"/>
                <w:szCs w:val="16"/>
              </w:rPr>
            </w:pPr>
            <w:r>
              <w:rPr>
                <w:rFonts w:cs="Arial"/>
                <w:sz w:val="16"/>
                <w:szCs w:val="16"/>
              </w:rPr>
              <w:t>2 474</w:t>
            </w:r>
          </w:p>
        </w:tc>
        <w:tc>
          <w:tcPr>
            <w:tcW w:w="709" w:type="dxa"/>
            <w:tcBorders>
              <w:top w:val="nil"/>
              <w:left w:val="nil"/>
              <w:bottom w:val="nil"/>
              <w:right w:val="nil"/>
            </w:tcBorders>
            <w:shd w:val="clear" w:color="auto" w:fill="auto"/>
            <w:vAlign w:val="center"/>
            <w:hideMark/>
          </w:tcPr>
          <w:p w14:paraId="460028FB" w14:textId="33CBF004" w:rsidR="008259FD" w:rsidRPr="00D92E20" w:rsidRDefault="008259FD" w:rsidP="008259FD">
            <w:pPr>
              <w:spacing w:after="0" w:line="240" w:lineRule="auto"/>
              <w:jc w:val="right"/>
              <w:rPr>
                <w:rFonts w:cs="Arial"/>
                <w:color w:val="000000"/>
                <w:sz w:val="16"/>
                <w:szCs w:val="16"/>
              </w:rPr>
            </w:pPr>
            <w:r>
              <w:rPr>
                <w:rFonts w:cs="Arial"/>
                <w:sz w:val="16"/>
                <w:szCs w:val="16"/>
              </w:rPr>
              <w:t>1 841</w:t>
            </w:r>
          </w:p>
        </w:tc>
      </w:tr>
      <w:tr w:rsidR="008259FD" w:rsidRPr="00D92E20" w14:paraId="362816CD" w14:textId="77777777" w:rsidTr="0050059C">
        <w:trPr>
          <w:trHeight w:val="300"/>
        </w:trPr>
        <w:tc>
          <w:tcPr>
            <w:tcW w:w="1010" w:type="dxa"/>
            <w:tcBorders>
              <w:top w:val="nil"/>
              <w:left w:val="nil"/>
              <w:bottom w:val="nil"/>
              <w:right w:val="single" w:sz="4" w:space="0" w:color="auto"/>
            </w:tcBorders>
            <w:shd w:val="clear" w:color="auto" w:fill="auto"/>
            <w:vAlign w:val="center"/>
            <w:hideMark/>
          </w:tcPr>
          <w:p w14:paraId="659A7C03" w14:textId="34EFB8E0" w:rsidR="008259FD" w:rsidRPr="00D92E20" w:rsidRDefault="008259FD" w:rsidP="008259FD">
            <w:pPr>
              <w:spacing w:after="0" w:line="240" w:lineRule="auto"/>
              <w:jc w:val="center"/>
              <w:rPr>
                <w:rFonts w:cs="Arial"/>
                <w:color w:val="000000"/>
                <w:sz w:val="16"/>
                <w:szCs w:val="16"/>
              </w:rPr>
            </w:pPr>
            <w:r>
              <w:rPr>
                <w:rFonts w:cs="Arial"/>
                <w:sz w:val="16"/>
                <w:szCs w:val="16"/>
              </w:rPr>
              <w:t>1. pol. 2022</w:t>
            </w:r>
          </w:p>
        </w:tc>
        <w:tc>
          <w:tcPr>
            <w:tcW w:w="711" w:type="dxa"/>
            <w:tcBorders>
              <w:top w:val="nil"/>
              <w:left w:val="nil"/>
              <w:bottom w:val="nil"/>
              <w:right w:val="nil"/>
            </w:tcBorders>
            <w:shd w:val="clear" w:color="auto" w:fill="auto"/>
            <w:vAlign w:val="center"/>
            <w:hideMark/>
          </w:tcPr>
          <w:p w14:paraId="72947D91" w14:textId="2DEF942D" w:rsidR="008259FD" w:rsidRPr="00D92E20" w:rsidRDefault="008259FD" w:rsidP="008259FD">
            <w:pPr>
              <w:spacing w:after="0" w:line="240" w:lineRule="auto"/>
              <w:jc w:val="right"/>
              <w:rPr>
                <w:rFonts w:cs="Arial"/>
                <w:color w:val="000000"/>
                <w:sz w:val="16"/>
                <w:szCs w:val="16"/>
              </w:rPr>
            </w:pPr>
            <w:r>
              <w:rPr>
                <w:rFonts w:cs="Arial"/>
                <w:sz w:val="16"/>
                <w:szCs w:val="16"/>
              </w:rPr>
              <w:t>50 387</w:t>
            </w:r>
          </w:p>
        </w:tc>
        <w:tc>
          <w:tcPr>
            <w:tcW w:w="703" w:type="dxa"/>
            <w:tcBorders>
              <w:top w:val="nil"/>
              <w:left w:val="nil"/>
              <w:bottom w:val="nil"/>
              <w:right w:val="nil"/>
            </w:tcBorders>
            <w:shd w:val="clear" w:color="auto" w:fill="auto"/>
            <w:vAlign w:val="center"/>
            <w:hideMark/>
          </w:tcPr>
          <w:p w14:paraId="45A214E4" w14:textId="3601FC0B" w:rsidR="008259FD" w:rsidRPr="00D92E20" w:rsidRDefault="008259FD" w:rsidP="008259FD">
            <w:pPr>
              <w:spacing w:after="0" w:line="240" w:lineRule="auto"/>
              <w:jc w:val="right"/>
              <w:rPr>
                <w:rFonts w:cs="Arial"/>
                <w:color w:val="000000"/>
                <w:sz w:val="16"/>
                <w:szCs w:val="16"/>
              </w:rPr>
            </w:pPr>
            <w:r>
              <w:rPr>
                <w:rFonts w:cs="Arial"/>
                <w:sz w:val="16"/>
                <w:szCs w:val="16"/>
              </w:rPr>
              <w:t>22 845</w:t>
            </w:r>
          </w:p>
        </w:tc>
        <w:tc>
          <w:tcPr>
            <w:tcW w:w="704" w:type="dxa"/>
            <w:tcBorders>
              <w:top w:val="nil"/>
              <w:left w:val="nil"/>
              <w:bottom w:val="nil"/>
              <w:right w:val="nil"/>
            </w:tcBorders>
            <w:shd w:val="clear" w:color="auto" w:fill="auto"/>
            <w:vAlign w:val="center"/>
            <w:hideMark/>
          </w:tcPr>
          <w:p w14:paraId="76085A59" w14:textId="77593442" w:rsidR="008259FD" w:rsidRPr="00D92E20" w:rsidRDefault="008259FD" w:rsidP="008259FD">
            <w:pPr>
              <w:spacing w:after="0" w:line="240" w:lineRule="auto"/>
              <w:jc w:val="right"/>
              <w:rPr>
                <w:rFonts w:cs="Arial"/>
                <w:color w:val="000000"/>
                <w:sz w:val="16"/>
                <w:szCs w:val="16"/>
              </w:rPr>
            </w:pPr>
            <w:r>
              <w:rPr>
                <w:rFonts w:cs="Arial"/>
                <w:sz w:val="16"/>
                <w:szCs w:val="16"/>
              </w:rPr>
              <w:t>27 542</w:t>
            </w:r>
          </w:p>
        </w:tc>
        <w:tc>
          <w:tcPr>
            <w:tcW w:w="707" w:type="dxa"/>
            <w:tcBorders>
              <w:top w:val="nil"/>
              <w:left w:val="single" w:sz="4" w:space="0" w:color="auto"/>
              <w:bottom w:val="nil"/>
              <w:right w:val="nil"/>
            </w:tcBorders>
            <w:shd w:val="clear" w:color="auto" w:fill="auto"/>
            <w:vAlign w:val="center"/>
            <w:hideMark/>
          </w:tcPr>
          <w:p w14:paraId="397EFB46" w14:textId="33966AE0" w:rsidR="008259FD" w:rsidRPr="00D92E20" w:rsidRDefault="008259FD" w:rsidP="008259FD">
            <w:pPr>
              <w:spacing w:after="0" w:line="240" w:lineRule="auto"/>
              <w:jc w:val="right"/>
              <w:rPr>
                <w:rFonts w:cs="Arial"/>
                <w:color w:val="000000"/>
                <w:sz w:val="16"/>
                <w:szCs w:val="16"/>
              </w:rPr>
            </w:pPr>
            <w:r>
              <w:rPr>
                <w:rFonts w:cs="Arial"/>
                <w:sz w:val="16"/>
                <w:szCs w:val="16"/>
              </w:rPr>
              <w:t>44 376</w:t>
            </w:r>
          </w:p>
        </w:tc>
        <w:tc>
          <w:tcPr>
            <w:tcW w:w="704" w:type="dxa"/>
            <w:tcBorders>
              <w:top w:val="nil"/>
              <w:left w:val="nil"/>
              <w:bottom w:val="nil"/>
              <w:right w:val="nil"/>
            </w:tcBorders>
            <w:shd w:val="clear" w:color="auto" w:fill="auto"/>
            <w:vAlign w:val="center"/>
            <w:hideMark/>
          </w:tcPr>
          <w:p w14:paraId="577A787B" w14:textId="7F356AEC" w:rsidR="008259FD" w:rsidRPr="00D92E20" w:rsidRDefault="008259FD" w:rsidP="008259FD">
            <w:pPr>
              <w:spacing w:after="0" w:line="240" w:lineRule="auto"/>
              <w:jc w:val="right"/>
              <w:rPr>
                <w:rFonts w:cs="Arial"/>
                <w:color w:val="000000"/>
                <w:sz w:val="16"/>
                <w:szCs w:val="16"/>
              </w:rPr>
            </w:pPr>
            <w:r>
              <w:rPr>
                <w:rFonts w:cs="Arial"/>
                <w:sz w:val="16"/>
                <w:szCs w:val="16"/>
              </w:rPr>
              <w:t>19 246</w:t>
            </w:r>
          </w:p>
        </w:tc>
        <w:tc>
          <w:tcPr>
            <w:tcW w:w="704" w:type="dxa"/>
            <w:tcBorders>
              <w:top w:val="nil"/>
              <w:left w:val="nil"/>
              <w:bottom w:val="nil"/>
              <w:right w:val="single" w:sz="4" w:space="0" w:color="auto"/>
            </w:tcBorders>
            <w:shd w:val="clear" w:color="auto" w:fill="auto"/>
            <w:vAlign w:val="center"/>
            <w:hideMark/>
          </w:tcPr>
          <w:p w14:paraId="106CEE8A" w14:textId="0CA0CFF2" w:rsidR="008259FD" w:rsidRPr="00D92E20" w:rsidRDefault="008259FD" w:rsidP="008259FD">
            <w:pPr>
              <w:spacing w:after="0" w:line="240" w:lineRule="auto"/>
              <w:jc w:val="right"/>
              <w:rPr>
                <w:rFonts w:cs="Arial"/>
                <w:color w:val="000000"/>
                <w:sz w:val="16"/>
                <w:szCs w:val="16"/>
              </w:rPr>
            </w:pPr>
            <w:r>
              <w:rPr>
                <w:rFonts w:cs="Arial"/>
                <w:sz w:val="16"/>
                <w:szCs w:val="16"/>
              </w:rPr>
              <w:t>25 130</w:t>
            </w:r>
          </w:p>
        </w:tc>
        <w:tc>
          <w:tcPr>
            <w:tcW w:w="754" w:type="dxa"/>
            <w:tcBorders>
              <w:top w:val="nil"/>
              <w:left w:val="nil"/>
              <w:bottom w:val="nil"/>
              <w:right w:val="nil"/>
            </w:tcBorders>
            <w:shd w:val="clear" w:color="auto" w:fill="auto"/>
            <w:vAlign w:val="center"/>
            <w:hideMark/>
          </w:tcPr>
          <w:p w14:paraId="3E07CE2B" w14:textId="5468B2B7" w:rsidR="008259FD" w:rsidRPr="00D92E20" w:rsidRDefault="008259FD" w:rsidP="008259FD">
            <w:pPr>
              <w:spacing w:after="0" w:line="240" w:lineRule="auto"/>
              <w:jc w:val="right"/>
              <w:rPr>
                <w:rFonts w:cs="Arial"/>
                <w:color w:val="000000"/>
                <w:sz w:val="16"/>
                <w:szCs w:val="16"/>
              </w:rPr>
            </w:pPr>
            <w:r>
              <w:rPr>
                <w:rFonts w:cs="Arial"/>
                <w:sz w:val="16"/>
                <w:szCs w:val="16"/>
              </w:rPr>
              <w:t>1 301</w:t>
            </w:r>
          </w:p>
        </w:tc>
        <w:tc>
          <w:tcPr>
            <w:tcW w:w="709" w:type="dxa"/>
            <w:tcBorders>
              <w:top w:val="nil"/>
              <w:left w:val="nil"/>
              <w:bottom w:val="nil"/>
              <w:right w:val="nil"/>
            </w:tcBorders>
            <w:shd w:val="clear" w:color="auto" w:fill="auto"/>
            <w:vAlign w:val="center"/>
            <w:hideMark/>
          </w:tcPr>
          <w:p w14:paraId="4C7D1DA3" w14:textId="54239B4B" w:rsidR="008259FD" w:rsidRPr="00D92E20" w:rsidRDefault="008259FD" w:rsidP="008259FD">
            <w:pPr>
              <w:spacing w:after="0" w:line="240" w:lineRule="auto"/>
              <w:jc w:val="right"/>
              <w:rPr>
                <w:rFonts w:cs="Arial"/>
                <w:color w:val="000000"/>
                <w:sz w:val="16"/>
                <w:szCs w:val="16"/>
              </w:rPr>
            </w:pPr>
            <w:r>
              <w:rPr>
                <w:rFonts w:cs="Arial"/>
                <w:sz w:val="16"/>
                <w:szCs w:val="16"/>
              </w:rPr>
              <w:t>876</w:t>
            </w:r>
          </w:p>
        </w:tc>
        <w:tc>
          <w:tcPr>
            <w:tcW w:w="709" w:type="dxa"/>
            <w:tcBorders>
              <w:top w:val="nil"/>
              <w:left w:val="nil"/>
              <w:bottom w:val="nil"/>
              <w:right w:val="single" w:sz="4" w:space="0" w:color="auto"/>
            </w:tcBorders>
            <w:shd w:val="clear" w:color="auto" w:fill="auto"/>
            <w:vAlign w:val="center"/>
            <w:hideMark/>
          </w:tcPr>
          <w:p w14:paraId="76E6E422" w14:textId="07D7268D" w:rsidR="008259FD" w:rsidRPr="00D92E20" w:rsidRDefault="008259FD" w:rsidP="008259FD">
            <w:pPr>
              <w:spacing w:after="0" w:line="240" w:lineRule="auto"/>
              <w:jc w:val="right"/>
              <w:rPr>
                <w:rFonts w:cs="Arial"/>
                <w:color w:val="000000"/>
                <w:sz w:val="16"/>
                <w:szCs w:val="16"/>
              </w:rPr>
            </w:pPr>
            <w:r>
              <w:rPr>
                <w:rFonts w:cs="Arial"/>
                <w:sz w:val="16"/>
                <w:szCs w:val="16"/>
              </w:rPr>
              <w:t>424</w:t>
            </w:r>
          </w:p>
        </w:tc>
        <w:tc>
          <w:tcPr>
            <w:tcW w:w="709" w:type="dxa"/>
            <w:tcBorders>
              <w:top w:val="nil"/>
              <w:left w:val="nil"/>
              <w:bottom w:val="nil"/>
              <w:right w:val="nil"/>
            </w:tcBorders>
            <w:shd w:val="clear" w:color="auto" w:fill="auto"/>
            <w:vAlign w:val="center"/>
            <w:hideMark/>
          </w:tcPr>
          <w:p w14:paraId="12CAD81A" w14:textId="55D03418" w:rsidR="008259FD" w:rsidRPr="00D92E20" w:rsidRDefault="008259FD" w:rsidP="008259FD">
            <w:pPr>
              <w:spacing w:after="0" w:line="240" w:lineRule="auto"/>
              <w:jc w:val="right"/>
              <w:rPr>
                <w:rFonts w:cs="Arial"/>
                <w:color w:val="000000"/>
                <w:sz w:val="16"/>
                <w:szCs w:val="16"/>
              </w:rPr>
            </w:pPr>
            <w:r>
              <w:rPr>
                <w:rFonts w:cs="Arial"/>
                <w:sz w:val="16"/>
                <w:szCs w:val="16"/>
              </w:rPr>
              <w:t>4 711</w:t>
            </w:r>
          </w:p>
        </w:tc>
        <w:tc>
          <w:tcPr>
            <w:tcW w:w="709" w:type="dxa"/>
            <w:tcBorders>
              <w:top w:val="nil"/>
              <w:left w:val="nil"/>
              <w:bottom w:val="nil"/>
              <w:right w:val="nil"/>
            </w:tcBorders>
            <w:shd w:val="clear" w:color="auto" w:fill="auto"/>
            <w:vAlign w:val="center"/>
            <w:hideMark/>
          </w:tcPr>
          <w:p w14:paraId="0AD118B8" w14:textId="44ECF1B9" w:rsidR="008259FD" w:rsidRPr="00D92E20" w:rsidRDefault="008259FD" w:rsidP="008259FD">
            <w:pPr>
              <w:spacing w:after="0" w:line="240" w:lineRule="auto"/>
              <w:jc w:val="right"/>
              <w:rPr>
                <w:rFonts w:cs="Arial"/>
                <w:color w:val="000000"/>
                <w:sz w:val="16"/>
                <w:szCs w:val="16"/>
              </w:rPr>
            </w:pPr>
            <w:r>
              <w:rPr>
                <w:rFonts w:cs="Arial"/>
                <w:sz w:val="16"/>
                <w:szCs w:val="16"/>
              </w:rPr>
              <w:t>2 723</w:t>
            </w:r>
          </w:p>
        </w:tc>
        <w:tc>
          <w:tcPr>
            <w:tcW w:w="709" w:type="dxa"/>
            <w:tcBorders>
              <w:top w:val="nil"/>
              <w:left w:val="nil"/>
              <w:bottom w:val="nil"/>
              <w:right w:val="nil"/>
            </w:tcBorders>
            <w:shd w:val="clear" w:color="auto" w:fill="auto"/>
            <w:vAlign w:val="center"/>
            <w:hideMark/>
          </w:tcPr>
          <w:p w14:paraId="12ADF1F6" w14:textId="5A2F770C" w:rsidR="008259FD" w:rsidRPr="00D92E20" w:rsidRDefault="008259FD" w:rsidP="008259FD">
            <w:pPr>
              <w:spacing w:after="0" w:line="240" w:lineRule="auto"/>
              <w:jc w:val="right"/>
              <w:rPr>
                <w:rFonts w:cs="Arial"/>
                <w:color w:val="000000"/>
                <w:sz w:val="16"/>
                <w:szCs w:val="16"/>
              </w:rPr>
            </w:pPr>
            <w:r>
              <w:rPr>
                <w:rFonts w:cs="Arial"/>
                <w:sz w:val="16"/>
                <w:szCs w:val="16"/>
              </w:rPr>
              <w:t>1 988</w:t>
            </w:r>
          </w:p>
        </w:tc>
      </w:tr>
    </w:tbl>
    <w:p w14:paraId="3AFF854C" w14:textId="77777777" w:rsidR="00461B62" w:rsidRPr="00D92E20" w:rsidRDefault="00461B62" w:rsidP="00BA6B4E">
      <w:pPr>
        <w:spacing w:before="120" w:after="120"/>
        <w:rPr>
          <w:sz w:val="16"/>
        </w:rPr>
      </w:pPr>
      <w:r w:rsidRPr="00D92E20">
        <w:rPr>
          <w:sz w:val="16"/>
        </w:rPr>
        <w:t>Zdroj: ČSÚ</w:t>
      </w:r>
    </w:p>
    <w:p w14:paraId="3F491DC2" w14:textId="35AB361E" w:rsidR="003F1873" w:rsidRDefault="00DE263C" w:rsidP="009208D0">
      <w:pPr>
        <w:spacing w:before="120" w:after="120"/>
        <w:jc w:val="both"/>
      </w:pPr>
      <w:r w:rsidRPr="00D92E20">
        <w:t xml:space="preserve">Počet prostonaných dnů v jednotlivých pololetích </w:t>
      </w:r>
      <w:r w:rsidR="00982C1D" w:rsidRPr="00D92E20">
        <w:t>dokresluje tvrzení o značně vyšším počtu nahlášených případů pro nemoc během první poloviny roku.</w:t>
      </w:r>
      <w:r w:rsidRPr="00D92E20">
        <w:t xml:space="preserve"> </w:t>
      </w:r>
      <w:r w:rsidR="008259FD" w:rsidRPr="00D92E20">
        <w:t xml:space="preserve">Největší rozdíl mezi 1. a 2. pololetím byl </w:t>
      </w:r>
      <w:r w:rsidR="008259FD">
        <w:t xml:space="preserve">do roku 2021 </w:t>
      </w:r>
      <w:r w:rsidR="008259FD" w:rsidRPr="00D92E20">
        <w:t>zaznamenán</w:t>
      </w:r>
      <w:r w:rsidR="00982C1D" w:rsidRPr="00D92E20">
        <w:t xml:space="preserve"> v roce 2017 a činil 4,4 mil. dnů.</w:t>
      </w:r>
      <w:r w:rsidR="000D642E" w:rsidRPr="00D92E20">
        <w:t xml:space="preserve"> Postupně se však snižoval. Ve </w:t>
      </w:r>
      <w:r w:rsidR="00A80D3E">
        <w:t>2.</w:t>
      </w:r>
      <w:r w:rsidR="000D642E" w:rsidRPr="00D92E20">
        <w:t xml:space="preserve"> pololetí roku 2019 se počet dnů v </w:t>
      </w:r>
      <w:r w:rsidR="00705162" w:rsidRPr="00D92E20">
        <w:t>pracovní</w:t>
      </w:r>
      <w:r w:rsidR="000D642E" w:rsidRPr="00D92E20">
        <w:t xml:space="preserve"> neschopnosti zvýšil z důvodu zrušení karenční doby.</w:t>
      </w:r>
      <w:r w:rsidR="00982C1D" w:rsidRPr="00D92E20">
        <w:t xml:space="preserve"> </w:t>
      </w:r>
      <w:r w:rsidR="000D642E" w:rsidRPr="00D92E20">
        <w:t xml:space="preserve">V roce 2020 se počet dnů v pracovní neschopnosti pro nemoc v 1. a 2. pololetí lišil </w:t>
      </w:r>
      <w:r w:rsidR="003F7F34" w:rsidRPr="00D92E20">
        <w:t xml:space="preserve">pouze </w:t>
      </w:r>
      <w:r w:rsidR="000D642E" w:rsidRPr="00D92E20">
        <w:t>o 800 tis. Graf 2.7 dále značí skokový nárůst počtu kalendářních dnů pracovní neschopnosti pro nemoc mezi rok</w:t>
      </w:r>
      <w:r w:rsidR="003F7F34" w:rsidRPr="00D92E20">
        <w:t>em</w:t>
      </w:r>
      <w:r w:rsidR="000D642E" w:rsidRPr="00D92E20">
        <w:t xml:space="preserve"> 2019 a 2020</w:t>
      </w:r>
      <w:r w:rsidR="00143513">
        <w:t>, který pokračoval</w:t>
      </w:r>
      <w:r w:rsidR="000A0257">
        <w:t xml:space="preserve"> i v 1. pol. 2021. Při srovnání 1.</w:t>
      </w:r>
      <w:r w:rsidR="00CD63E8">
        <w:t> </w:t>
      </w:r>
      <w:r w:rsidR="000A0257">
        <w:t>pol. 2021 s 1. pololetími v letech 2018 a 2019 přibylo 10 mil. dnů strávených v dočasné pracovní neschopnosti.</w:t>
      </w:r>
    </w:p>
    <w:p w14:paraId="6F4EF1E3" w14:textId="384EB182" w:rsidR="00473D4E" w:rsidRDefault="0059291F" w:rsidP="009208D0">
      <w:pPr>
        <w:spacing w:before="120" w:after="120"/>
        <w:jc w:val="both"/>
      </w:pPr>
      <w:r>
        <w:t>V roce 2021 byl rozdíl v počtu dnů pracovní neschopnosti pro nemoc mezi první a druhou polovinou roku více než 7 mil. dnů. V prvním pololetí bylo vykázáno 45 mil. dnů pracovní neschopnosti, v druhém pololetí 38 mil. Dá se usuzovat, že za enormním nárůstem v 1. pol. 2021 stojí případy související s onemocněním covid-19, konkrétně i opatření proti šíření nákazy, změny v nárocích na testy, doba trvání karantény, odlišné podmínky pro očkované a neočkované apod. Počet kalendářních dnů pro nemoc v 1. pol. 2022 oproti situaci před rokem víceméně stagnoval.</w:t>
      </w:r>
    </w:p>
    <w:p w14:paraId="3DFCA091" w14:textId="77777777" w:rsidR="00473D4E" w:rsidRDefault="00473D4E">
      <w:pPr>
        <w:spacing w:after="0" w:line="240" w:lineRule="auto"/>
      </w:pPr>
      <w:r>
        <w:br w:type="page"/>
      </w:r>
    </w:p>
    <w:p w14:paraId="73077F81" w14:textId="027500DB" w:rsidR="003F1873" w:rsidRPr="00D92E20" w:rsidRDefault="003F1873" w:rsidP="00BA6B4E">
      <w:pPr>
        <w:spacing w:after="0"/>
        <w:jc w:val="both"/>
        <w:rPr>
          <w:b/>
        </w:rPr>
      </w:pPr>
      <w:r w:rsidRPr="00D92E20">
        <w:rPr>
          <w:b/>
        </w:rPr>
        <w:lastRenderedPageBreak/>
        <w:t xml:space="preserve">Graf 2.7: Kalendářní dny dočasné pracovní neschopnosti pro nemoc, </w:t>
      </w:r>
      <w:r w:rsidR="000A0257" w:rsidRPr="000A0257">
        <w:rPr>
          <w:b/>
        </w:rPr>
        <w:t>201</w:t>
      </w:r>
      <w:r w:rsidR="008259FD">
        <w:rPr>
          <w:b/>
        </w:rPr>
        <w:t>7–1. pol. 2022</w:t>
      </w:r>
    </w:p>
    <w:p w14:paraId="01B36483" w14:textId="2B21787A" w:rsidR="003F1873" w:rsidRPr="00D92E20" w:rsidRDefault="008259FD" w:rsidP="00461B62">
      <w:pPr>
        <w:jc w:val="both"/>
      </w:pPr>
      <w:r>
        <w:rPr>
          <w:noProof/>
        </w:rPr>
        <w:drawing>
          <wp:inline distT="0" distB="0" distL="0" distR="0" wp14:anchorId="3E17B25E" wp14:editId="0D3C16A6">
            <wp:extent cx="6067425" cy="2686050"/>
            <wp:effectExtent l="0" t="0" r="9525" b="0"/>
            <wp:docPr id="14" name="Graf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5A23B7C0" w14:textId="77777777" w:rsidR="003F1873" w:rsidRPr="00D92E20" w:rsidRDefault="003F1873" w:rsidP="00BA6B4E">
      <w:pPr>
        <w:spacing w:before="120" w:after="120"/>
        <w:rPr>
          <w:sz w:val="16"/>
        </w:rPr>
      </w:pPr>
      <w:r w:rsidRPr="00D92E20">
        <w:rPr>
          <w:sz w:val="16"/>
        </w:rPr>
        <w:t>Zdroj: ČSÚ</w:t>
      </w:r>
    </w:p>
    <w:p w14:paraId="274D2981" w14:textId="72A1C7CF" w:rsidR="000D642E" w:rsidRDefault="000D642E" w:rsidP="00BA6B4E">
      <w:pPr>
        <w:spacing w:before="120" w:after="120"/>
        <w:jc w:val="both"/>
      </w:pPr>
      <w:r w:rsidRPr="00D92E20">
        <w:t xml:space="preserve">Při pohledu na relativní ukazatel, který </w:t>
      </w:r>
      <w:r w:rsidR="00964EAF">
        <w:t>říká</w:t>
      </w:r>
      <w:r w:rsidRPr="00D92E20">
        <w:t xml:space="preserve">, jak dlouho v průměru </w:t>
      </w:r>
      <w:r w:rsidRPr="00D92E20">
        <w:rPr>
          <w:b/>
        </w:rPr>
        <w:t>trval 1 případ pracovní neschopnosti pro nemoc</w:t>
      </w:r>
      <w:r w:rsidRPr="00D92E20">
        <w:t xml:space="preserve">, zjistíme, že v prvním pololetí </w:t>
      </w:r>
      <w:r w:rsidR="0059291F">
        <w:t>už druhý rok po sobě</w:t>
      </w:r>
      <w:r w:rsidR="00964EAF">
        <w:t xml:space="preserve"> jeho hodnota</w:t>
      </w:r>
      <w:r w:rsidR="0059291F">
        <w:t xml:space="preserve"> klesá. A sice z 34,8 dne v 1. pol. 2021 na 22,8 dne v 1. pol. 2022. </w:t>
      </w:r>
      <w:r w:rsidRPr="00D92E20">
        <w:t>Dá se říci, že přibylo krátkodobých pracovních neschopností z důvodu nemoci</w:t>
      </w:r>
      <w:r w:rsidR="00285F60">
        <w:t>, tedy vč.</w:t>
      </w:r>
      <w:r w:rsidR="00CD63E8">
        <w:t> </w:t>
      </w:r>
      <w:r w:rsidR="00285F60">
        <w:t>neschopenek z důvodu karantén</w:t>
      </w:r>
      <w:r w:rsidRPr="00D92E20">
        <w:t>.</w:t>
      </w:r>
    </w:p>
    <w:p w14:paraId="504D7785" w14:textId="2ABE8AE0" w:rsidR="00350B58" w:rsidRPr="00D92E20" w:rsidRDefault="00350B58" w:rsidP="00350B58">
      <w:pPr>
        <w:jc w:val="both"/>
      </w:pPr>
      <w:r w:rsidRPr="00D92E20">
        <w:t>Průměrná délka trvání jednoho případu pracovní neschopnosti</w:t>
      </w:r>
      <w:r w:rsidR="0050059C">
        <w:t>,</w:t>
      </w:r>
      <w:r w:rsidRPr="00D92E20">
        <w:t xml:space="preserve"> ať už pro nemoc či úraz</w:t>
      </w:r>
      <w:r w:rsidR="0050059C">
        <w:t>,</w:t>
      </w:r>
      <w:r w:rsidRPr="00D92E20">
        <w:t xml:space="preserve"> meziročně klesla </w:t>
      </w:r>
      <w:r w:rsidR="0059291F">
        <w:t xml:space="preserve">téměř </w:t>
      </w:r>
      <w:r w:rsidRPr="00D92E20">
        <w:t>o </w:t>
      </w:r>
      <w:r w:rsidR="0059291F">
        <w:t>12</w:t>
      </w:r>
      <w:r w:rsidRPr="00D92E20">
        <w:t> dn</w:t>
      </w:r>
      <w:r>
        <w:t>ů</w:t>
      </w:r>
      <w:r w:rsidRPr="00D92E20">
        <w:t xml:space="preserve">. Ze </w:t>
      </w:r>
      <w:r>
        <w:t>3</w:t>
      </w:r>
      <w:r w:rsidR="0059291F">
        <w:t>6,3</w:t>
      </w:r>
      <w:r w:rsidRPr="00D92E20">
        <w:t xml:space="preserve"> dne v</w:t>
      </w:r>
      <w:r>
        <w:t> 1. pol. 202</w:t>
      </w:r>
      <w:r w:rsidR="0059291F">
        <w:t>1</w:t>
      </w:r>
      <w:r w:rsidRPr="00D92E20">
        <w:t xml:space="preserve"> na </w:t>
      </w:r>
      <w:r w:rsidR="0059291F">
        <w:t>24,5</w:t>
      </w:r>
      <w:r w:rsidRPr="00D92E20">
        <w:t xml:space="preserve"> dne v</w:t>
      </w:r>
      <w:r>
        <w:t> 1. pol. 202</w:t>
      </w:r>
      <w:r w:rsidR="0059291F">
        <w:t>2</w:t>
      </w:r>
      <w:r w:rsidRPr="00D92E20">
        <w:t xml:space="preserve">. Nachází se tak na nejnižší úrovni za </w:t>
      </w:r>
      <w:r w:rsidR="009A2109">
        <w:t>více než dvacet let.</w:t>
      </w:r>
      <w:r w:rsidRPr="00D92E20">
        <w:t xml:space="preserve"> </w:t>
      </w:r>
      <w:r w:rsidRPr="00AE4AEB">
        <w:rPr>
          <w:b/>
        </w:rPr>
        <w:t>Nemoc</w:t>
      </w:r>
      <w:r w:rsidRPr="00AE4AEB">
        <w:t xml:space="preserve"> </w:t>
      </w:r>
      <w:r w:rsidR="0050059C">
        <w:t xml:space="preserve">v </w:t>
      </w:r>
      <w:r w:rsidRPr="00AE4AEB">
        <w:t>1. pol. 202</w:t>
      </w:r>
      <w:r w:rsidR="0059291F">
        <w:t>2</w:t>
      </w:r>
      <w:r w:rsidRPr="00AE4AEB">
        <w:t xml:space="preserve"> způsobila pracovní neschopnost o průměrné délce </w:t>
      </w:r>
      <w:r w:rsidR="00BC1D43">
        <w:t>23</w:t>
      </w:r>
      <w:r w:rsidRPr="00AE4AEB">
        <w:t xml:space="preserve"> dnů, neschopnost pro</w:t>
      </w:r>
      <w:r w:rsidR="00CD63E8">
        <w:t> </w:t>
      </w:r>
      <w:r w:rsidRPr="00AE4AEB">
        <w:rPr>
          <w:b/>
        </w:rPr>
        <w:t>pracovní i mimopracovní úraz</w:t>
      </w:r>
      <w:r w:rsidRPr="00AE4AEB">
        <w:t xml:space="preserve"> trvala v prů</w:t>
      </w:r>
      <w:r w:rsidR="00BC1D43">
        <w:t>měru zhruba o 3</w:t>
      </w:r>
      <w:r w:rsidRPr="00AE4AEB">
        <w:t>2 dnů déle.</w:t>
      </w:r>
      <w:r w:rsidR="00BC1D43">
        <w:t xml:space="preserve"> V 1. pol. 2021 byl rozdíl v délce pracovní neschopnosti pro nemoc oproti úrazu 22 dní. Lze vidět, že úrazy se, co se týče délky pracovní indispozice, příliš nezměnily, došlo pouze k poklesu v délce neschopností z důvodu nemoci.</w:t>
      </w:r>
    </w:p>
    <w:p w14:paraId="46EF03AE" w14:textId="229423E8" w:rsidR="00350B58" w:rsidRPr="0050059C" w:rsidRDefault="00350B58" w:rsidP="00350B58">
      <w:pPr>
        <w:spacing w:after="0"/>
        <w:jc w:val="both"/>
        <w:rPr>
          <w:b/>
          <w:spacing w:val="-2"/>
        </w:rPr>
      </w:pPr>
      <w:r w:rsidRPr="0050059C">
        <w:rPr>
          <w:b/>
          <w:spacing w:val="-2"/>
        </w:rPr>
        <w:t>Tab. 2.5: Průměrná délka trvání dočasné pracovní neschopnosti podle pohlaví, 1. pol. 201</w:t>
      </w:r>
      <w:r w:rsidR="0059291F">
        <w:rPr>
          <w:b/>
          <w:spacing w:val="-2"/>
        </w:rPr>
        <w:t>2</w:t>
      </w:r>
      <w:r w:rsidRPr="0050059C">
        <w:rPr>
          <w:b/>
          <w:spacing w:val="-2"/>
        </w:rPr>
        <w:t xml:space="preserve"> až 1. pol. 202</w:t>
      </w:r>
      <w:r w:rsidR="0059291F">
        <w:rPr>
          <w:b/>
          <w:spacing w:val="-2"/>
        </w:rPr>
        <w:t>2</w:t>
      </w:r>
    </w:p>
    <w:tbl>
      <w:tblPr>
        <w:tblW w:w="9641" w:type="dxa"/>
        <w:tblCellMar>
          <w:left w:w="70" w:type="dxa"/>
          <w:right w:w="70" w:type="dxa"/>
        </w:tblCellMar>
        <w:tblLook w:val="04A0" w:firstRow="1" w:lastRow="0" w:firstColumn="1" w:lastColumn="0" w:noHBand="0" w:noVBand="1"/>
      </w:tblPr>
      <w:tblGrid>
        <w:gridCol w:w="907"/>
        <w:gridCol w:w="794"/>
        <w:gridCol w:w="794"/>
        <w:gridCol w:w="794"/>
        <w:gridCol w:w="794"/>
        <w:gridCol w:w="794"/>
        <w:gridCol w:w="794"/>
        <w:gridCol w:w="794"/>
        <w:gridCol w:w="794"/>
        <w:gridCol w:w="794"/>
        <w:gridCol w:w="794"/>
        <w:gridCol w:w="794"/>
      </w:tblGrid>
      <w:tr w:rsidR="0059291F" w:rsidRPr="00D92E20" w14:paraId="64911219" w14:textId="77777777" w:rsidTr="00107D20">
        <w:trPr>
          <w:trHeight w:val="300"/>
        </w:trPr>
        <w:tc>
          <w:tcPr>
            <w:tcW w:w="907" w:type="dxa"/>
            <w:tcBorders>
              <w:top w:val="single" w:sz="4" w:space="0" w:color="auto"/>
              <w:left w:val="nil"/>
              <w:bottom w:val="single" w:sz="4" w:space="0" w:color="auto"/>
              <w:right w:val="single" w:sz="4" w:space="0" w:color="auto"/>
            </w:tcBorders>
            <w:shd w:val="clear" w:color="000000" w:fill="F5DADD"/>
            <w:vAlign w:val="center"/>
            <w:hideMark/>
          </w:tcPr>
          <w:p w14:paraId="5A6D064C" w14:textId="77777777" w:rsidR="0059291F" w:rsidRPr="00D92E20" w:rsidRDefault="0059291F" w:rsidP="0059291F">
            <w:pPr>
              <w:spacing w:after="0" w:line="240" w:lineRule="auto"/>
              <w:jc w:val="center"/>
              <w:rPr>
                <w:rFonts w:cs="Arial"/>
                <w:sz w:val="16"/>
                <w:szCs w:val="16"/>
              </w:rPr>
            </w:pPr>
            <w:r>
              <w:rPr>
                <w:rFonts w:cs="Arial"/>
                <w:sz w:val="16"/>
                <w:szCs w:val="16"/>
              </w:rPr>
              <w:t>Období</w:t>
            </w:r>
          </w:p>
        </w:tc>
        <w:tc>
          <w:tcPr>
            <w:tcW w:w="794" w:type="dxa"/>
            <w:tcBorders>
              <w:top w:val="single" w:sz="4" w:space="0" w:color="auto"/>
              <w:left w:val="nil"/>
              <w:bottom w:val="single" w:sz="4" w:space="0" w:color="auto"/>
              <w:right w:val="nil"/>
            </w:tcBorders>
            <w:shd w:val="clear" w:color="000000" w:fill="F5DADD"/>
            <w:vAlign w:val="center"/>
            <w:hideMark/>
          </w:tcPr>
          <w:p w14:paraId="23977484" w14:textId="5AD06E7B" w:rsidR="0059291F" w:rsidRPr="00D92E20" w:rsidRDefault="0059291F" w:rsidP="0059291F">
            <w:pPr>
              <w:spacing w:after="0" w:line="240" w:lineRule="auto"/>
              <w:jc w:val="center"/>
              <w:rPr>
                <w:rFonts w:cs="Arial"/>
                <w:sz w:val="16"/>
                <w:szCs w:val="16"/>
              </w:rPr>
            </w:pPr>
            <w:r>
              <w:rPr>
                <w:rFonts w:cs="Arial"/>
                <w:sz w:val="16"/>
                <w:szCs w:val="16"/>
              </w:rPr>
              <w:t xml:space="preserve">1. pol. </w:t>
            </w:r>
            <w:r>
              <w:rPr>
                <w:rFonts w:cs="Arial"/>
                <w:sz w:val="16"/>
                <w:szCs w:val="16"/>
              </w:rPr>
              <w:br/>
              <w:t>2012</w:t>
            </w:r>
          </w:p>
        </w:tc>
        <w:tc>
          <w:tcPr>
            <w:tcW w:w="794" w:type="dxa"/>
            <w:tcBorders>
              <w:top w:val="single" w:sz="4" w:space="0" w:color="auto"/>
              <w:left w:val="nil"/>
              <w:bottom w:val="single" w:sz="4" w:space="0" w:color="auto"/>
              <w:right w:val="nil"/>
            </w:tcBorders>
            <w:shd w:val="clear" w:color="000000" w:fill="F5DADD"/>
            <w:vAlign w:val="center"/>
            <w:hideMark/>
          </w:tcPr>
          <w:p w14:paraId="045DBCCE" w14:textId="5C383EC5" w:rsidR="0059291F" w:rsidRPr="00D92E20" w:rsidRDefault="0059291F" w:rsidP="0059291F">
            <w:pPr>
              <w:spacing w:after="0" w:line="240" w:lineRule="auto"/>
              <w:jc w:val="center"/>
              <w:rPr>
                <w:rFonts w:cs="Arial"/>
                <w:sz w:val="16"/>
                <w:szCs w:val="16"/>
              </w:rPr>
            </w:pPr>
            <w:r>
              <w:rPr>
                <w:rFonts w:cs="Arial"/>
                <w:sz w:val="16"/>
                <w:szCs w:val="16"/>
              </w:rPr>
              <w:t xml:space="preserve">1. pol. </w:t>
            </w:r>
            <w:r>
              <w:rPr>
                <w:rFonts w:cs="Arial"/>
                <w:sz w:val="16"/>
                <w:szCs w:val="16"/>
              </w:rPr>
              <w:br/>
              <w:t>2013</w:t>
            </w:r>
          </w:p>
        </w:tc>
        <w:tc>
          <w:tcPr>
            <w:tcW w:w="794" w:type="dxa"/>
            <w:tcBorders>
              <w:top w:val="single" w:sz="4" w:space="0" w:color="auto"/>
              <w:left w:val="nil"/>
              <w:bottom w:val="single" w:sz="4" w:space="0" w:color="auto"/>
              <w:right w:val="nil"/>
            </w:tcBorders>
            <w:shd w:val="clear" w:color="000000" w:fill="F5DADD"/>
            <w:vAlign w:val="center"/>
            <w:hideMark/>
          </w:tcPr>
          <w:p w14:paraId="1B20DDF1" w14:textId="779D0981" w:rsidR="0059291F" w:rsidRPr="00D92E20" w:rsidRDefault="0059291F" w:rsidP="0059291F">
            <w:pPr>
              <w:spacing w:after="0" w:line="240" w:lineRule="auto"/>
              <w:jc w:val="center"/>
              <w:rPr>
                <w:rFonts w:cs="Arial"/>
                <w:sz w:val="16"/>
                <w:szCs w:val="16"/>
              </w:rPr>
            </w:pPr>
            <w:r>
              <w:rPr>
                <w:rFonts w:cs="Arial"/>
                <w:sz w:val="16"/>
                <w:szCs w:val="16"/>
              </w:rPr>
              <w:t xml:space="preserve">1. pol. </w:t>
            </w:r>
            <w:r>
              <w:rPr>
                <w:rFonts w:cs="Arial"/>
                <w:sz w:val="16"/>
                <w:szCs w:val="16"/>
              </w:rPr>
              <w:br/>
              <w:t>2014</w:t>
            </w:r>
          </w:p>
        </w:tc>
        <w:tc>
          <w:tcPr>
            <w:tcW w:w="794" w:type="dxa"/>
            <w:tcBorders>
              <w:top w:val="single" w:sz="4" w:space="0" w:color="auto"/>
              <w:left w:val="nil"/>
              <w:bottom w:val="single" w:sz="4" w:space="0" w:color="auto"/>
              <w:right w:val="nil"/>
            </w:tcBorders>
            <w:shd w:val="clear" w:color="000000" w:fill="F5DADD"/>
            <w:vAlign w:val="center"/>
            <w:hideMark/>
          </w:tcPr>
          <w:p w14:paraId="56EF1561" w14:textId="5357902E" w:rsidR="0059291F" w:rsidRPr="00D92E20" w:rsidRDefault="0059291F" w:rsidP="0059291F">
            <w:pPr>
              <w:spacing w:after="0" w:line="240" w:lineRule="auto"/>
              <w:jc w:val="center"/>
              <w:rPr>
                <w:rFonts w:cs="Arial"/>
                <w:sz w:val="16"/>
                <w:szCs w:val="16"/>
              </w:rPr>
            </w:pPr>
            <w:r>
              <w:rPr>
                <w:rFonts w:cs="Arial"/>
                <w:sz w:val="16"/>
                <w:szCs w:val="16"/>
              </w:rPr>
              <w:t xml:space="preserve">1. pol. </w:t>
            </w:r>
            <w:r>
              <w:rPr>
                <w:rFonts w:cs="Arial"/>
                <w:sz w:val="16"/>
                <w:szCs w:val="16"/>
              </w:rPr>
              <w:br/>
              <w:t>2015</w:t>
            </w:r>
          </w:p>
        </w:tc>
        <w:tc>
          <w:tcPr>
            <w:tcW w:w="794" w:type="dxa"/>
            <w:tcBorders>
              <w:top w:val="single" w:sz="4" w:space="0" w:color="auto"/>
              <w:left w:val="nil"/>
              <w:bottom w:val="single" w:sz="4" w:space="0" w:color="auto"/>
              <w:right w:val="nil"/>
            </w:tcBorders>
            <w:shd w:val="clear" w:color="000000" w:fill="F5DADD"/>
            <w:vAlign w:val="center"/>
            <w:hideMark/>
          </w:tcPr>
          <w:p w14:paraId="2D14183C" w14:textId="66C84F6A" w:rsidR="0059291F" w:rsidRPr="00D92E20" w:rsidRDefault="0059291F" w:rsidP="0059291F">
            <w:pPr>
              <w:spacing w:after="0" w:line="240" w:lineRule="auto"/>
              <w:jc w:val="center"/>
              <w:rPr>
                <w:rFonts w:cs="Arial"/>
                <w:sz w:val="16"/>
                <w:szCs w:val="16"/>
              </w:rPr>
            </w:pPr>
            <w:r>
              <w:rPr>
                <w:rFonts w:cs="Arial"/>
                <w:sz w:val="16"/>
                <w:szCs w:val="16"/>
              </w:rPr>
              <w:t xml:space="preserve">1. pol. </w:t>
            </w:r>
            <w:r>
              <w:rPr>
                <w:rFonts w:cs="Arial"/>
                <w:sz w:val="16"/>
                <w:szCs w:val="16"/>
              </w:rPr>
              <w:br/>
              <w:t>2016</w:t>
            </w:r>
          </w:p>
        </w:tc>
        <w:tc>
          <w:tcPr>
            <w:tcW w:w="794" w:type="dxa"/>
            <w:tcBorders>
              <w:top w:val="single" w:sz="4" w:space="0" w:color="auto"/>
              <w:left w:val="nil"/>
              <w:bottom w:val="single" w:sz="4" w:space="0" w:color="auto"/>
              <w:right w:val="nil"/>
            </w:tcBorders>
            <w:shd w:val="clear" w:color="000000" w:fill="F5DADD"/>
            <w:vAlign w:val="center"/>
            <w:hideMark/>
          </w:tcPr>
          <w:p w14:paraId="76F28225" w14:textId="43CB644D" w:rsidR="0059291F" w:rsidRPr="00D92E20" w:rsidRDefault="0059291F" w:rsidP="0059291F">
            <w:pPr>
              <w:spacing w:after="0" w:line="240" w:lineRule="auto"/>
              <w:jc w:val="center"/>
              <w:rPr>
                <w:rFonts w:cs="Arial"/>
                <w:sz w:val="16"/>
                <w:szCs w:val="16"/>
              </w:rPr>
            </w:pPr>
            <w:r>
              <w:rPr>
                <w:rFonts w:cs="Arial"/>
                <w:sz w:val="16"/>
                <w:szCs w:val="16"/>
              </w:rPr>
              <w:t xml:space="preserve">1. pol. </w:t>
            </w:r>
            <w:r>
              <w:rPr>
                <w:rFonts w:cs="Arial"/>
                <w:sz w:val="16"/>
                <w:szCs w:val="16"/>
              </w:rPr>
              <w:br/>
              <w:t>2017</w:t>
            </w:r>
          </w:p>
        </w:tc>
        <w:tc>
          <w:tcPr>
            <w:tcW w:w="794" w:type="dxa"/>
            <w:tcBorders>
              <w:top w:val="single" w:sz="4" w:space="0" w:color="auto"/>
              <w:left w:val="nil"/>
              <w:bottom w:val="single" w:sz="4" w:space="0" w:color="auto"/>
              <w:right w:val="nil"/>
            </w:tcBorders>
            <w:shd w:val="clear" w:color="000000" w:fill="F5DADD"/>
            <w:vAlign w:val="center"/>
            <w:hideMark/>
          </w:tcPr>
          <w:p w14:paraId="5077C92A" w14:textId="0EA7761D" w:rsidR="0059291F" w:rsidRPr="00D92E20" w:rsidRDefault="0059291F" w:rsidP="0059291F">
            <w:pPr>
              <w:spacing w:after="0" w:line="240" w:lineRule="auto"/>
              <w:jc w:val="center"/>
              <w:rPr>
                <w:rFonts w:cs="Arial"/>
                <w:sz w:val="16"/>
                <w:szCs w:val="16"/>
              </w:rPr>
            </w:pPr>
            <w:r>
              <w:rPr>
                <w:rFonts w:cs="Arial"/>
                <w:sz w:val="16"/>
                <w:szCs w:val="16"/>
              </w:rPr>
              <w:t xml:space="preserve">1. pol. </w:t>
            </w:r>
            <w:r>
              <w:rPr>
                <w:rFonts w:cs="Arial"/>
                <w:sz w:val="16"/>
                <w:szCs w:val="16"/>
              </w:rPr>
              <w:br/>
              <w:t>2018</w:t>
            </w:r>
          </w:p>
        </w:tc>
        <w:tc>
          <w:tcPr>
            <w:tcW w:w="794" w:type="dxa"/>
            <w:tcBorders>
              <w:top w:val="single" w:sz="4" w:space="0" w:color="auto"/>
              <w:left w:val="nil"/>
              <w:bottom w:val="single" w:sz="4" w:space="0" w:color="auto"/>
              <w:right w:val="nil"/>
            </w:tcBorders>
            <w:shd w:val="clear" w:color="000000" w:fill="F5DADD"/>
            <w:vAlign w:val="center"/>
            <w:hideMark/>
          </w:tcPr>
          <w:p w14:paraId="1E6D36B0" w14:textId="2480D3B2" w:rsidR="0059291F" w:rsidRPr="00D92E20" w:rsidRDefault="0059291F" w:rsidP="0059291F">
            <w:pPr>
              <w:spacing w:after="0" w:line="240" w:lineRule="auto"/>
              <w:jc w:val="center"/>
              <w:rPr>
                <w:rFonts w:cs="Arial"/>
                <w:sz w:val="16"/>
                <w:szCs w:val="16"/>
              </w:rPr>
            </w:pPr>
            <w:r>
              <w:rPr>
                <w:rFonts w:cs="Arial"/>
                <w:sz w:val="16"/>
                <w:szCs w:val="16"/>
              </w:rPr>
              <w:t>1. pol. 2019</w:t>
            </w:r>
          </w:p>
        </w:tc>
        <w:tc>
          <w:tcPr>
            <w:tcW w:w="794" w:type="dxa"/>
            <w:tcBorders>
              <w:top w:val="single" w:sz="4" w:space="0" w:color="auto"/>
              <w:left w:val="nil"/>
              <w:bottom w:val="single" w:sz="4" w:space="0" w:color="auto"/>
              <w:right w:val="nil"/>
            </w:tcBorders>
            <w:shd w:val="clear" w:color="000000" w:fill="F5DADD"/>
            <w:vAlign w:val="center"/>
            <w:hideMark/>
          </w:tcPr>
          <w:p w14:paraId="5ED7BD07" w14:textId="06BFD163" w:rsidR="0059291F" w:rsidRPr="00D92E20" w:rsidRDefault="0059291F" w:rsidP="0059291F">
            <w:pPr>
              <w:spacing w:after="0" w:line="240" w:lineRule="auto"/>
              <w:jc w:val="center"/>
              <w:rPr>
                <w:rFonts w:cs="Arial"/>
                <w:sz w:val="16"/>
                <w:szCs w:val="16"/>
              </w:rPr>
            </w:pPr>
            <w:r>
              <w:rPr>
                <w:rFonts w:cs="Arial"/>
                <w:sz w:val="16"/>
                <w:szCs w:val="16"/>
              </w:rPr>
              <w:t>1. pol. 2020</w:t>
            </w:r>
          </w:p>
        </w:tc>
        <w:tc>
          <w:tcPr>
            <w:tcW w:w="794" w:type="dxa"/>
            <w:tcBorders>
              <w:top w:val="single" w:sz="4" w:space="0" w:color="auto"/>
              <w:left w:val="nil"/>
              <w:bottom w:val="single" w:sz="4" w:space="0" w:color="auto"/>
              <w:right w:val="nil"/>
            </w:tcBorders>
            <w:shd w:val="clear" w:color="000000" w:fill="F5DADD"/>
            <w:vAlign w:val="center"/>
            <w:hideMark/>
          </w:tcPr>
          <w:p w14:paraId="157B8D23" w14:textId="6248AB23" w:rsidR="0059291F" w:rsidRPr="00D92E20" w:rsidRDefault="0059291F" w:rsidP="0059291F">
            <w:pPr>
              <w:spacing w:after="0" w:line="240" w:lineRule="auto"/>
              <w:jc w:val="center"/>
              <w:rPr>
                <w:rFonts w:cs="Arial"/>
                <w:sz w:val="16"/>
                <w:szCs w:val="16"/>
              </w:rPr>
            </w:pPr>
            <w:r>
              <w:rPr>
                <w:rFonts w:cs="Arial"/>
                <w:sz w:val="16"/>
                <w:szCs w:val="16"/>
              </w:rPr>
              <w:t>1. pol. 2021</w:t>
            </w:r>
          </w:p>
        </w:tc>
        <w:tc>
          <w:tcPr>
            <w:tcW w:w="794" w:type="dxa"/>
            <w:tcBorders>
              <w:top w:val="single" w:sz="4" w:space="0" w:color="auto"/>
              <w:left w:val="nil"/>
              <w:bottom w:val="single" w:sz="4" w:space="0" w:color="auto"/>
              <w:right w:val="nil"/>
            </w:tcBorders>
            <w:shd w:val="clear" w:color="000000" w:fill="F5DADD"/>
            <w:vAlign w:val="center"/>
            <w:hideMark/>
          </w:tcPr>
          <w:p w14:paraId="3FE23827" w14:textId="084CC058" w:rsidR="0059291F" w:rsidRPr="00D92E20" w:rsidRDefault="0059291F" w:rsidP="0059291F">
            <w:pPr>
              <w:spacing w:after="0" w:line="240" w:lineRule="auto"/>
              <w:jc w:val="center"/>
              <w:rPr>
                <w:rFonts w:cs="Arial"/>
                <w:sz w:val="16"/>
                <w:szCs w:val="16"/>
              </w:rPr>
            </w:pPr>
            <w:r>
              <w:rPr>
                <w:rFonts w:cs="Arial"/>
                <w:sz w:val="16"/>
                <w:szCs w:val="16"/>
              </w:rPr>
              <w:t>1. pol. 2022</w:t>
            </w:r>
          </w:p>
        </w:tc>
      </w:tr>
      <w:tr w:rsidR="0059291F" w:rsidRPr="00D92E20" w14:paraId="2DCC17CD" w14:textId="77777777" w:rsidTr="0059291F">
        <w:trPr>
          <w:trHeight w:val="300"/>
        </w:trPr>
        <w:tc>
          <w:tcPr>
            <w:tcW w:w="907" w:type="dxa"/>
            <w:tcBorders>
              <w:top w:val="nil"/>
              <w:left w:val="nil"/>
              <w:bottom w:val="nil"/>
              <w:right w:val="single" w:sz="4" w:space="0" w:color="auto"/>
            </w:tcBorders>
            <w:shd w:val="clear" w:color="auto" w:fill="auto"/>
            <w:noWrap/>
            <w:vAlign w:val="center"/>
            <w:hideMark/>
          </w:tcPr>
          <w:p w14:paraId="2C70326F" w14:textId="77777777" w:rsidR="0059291F" w:rsidRPr="00D92E20" w:rsidRDefault="0059291F" w:rsidP="0059291F">
            <w:pPr>
              <w:spacing w:after="0" w:line="240" w:lineRule="auto"/>
              <w:jc w:val="center"/>
              <w:rPr>
                <w:rFonts w:cs="Arial"/>
                <w:b/>
                <w:bCs/>
                <w:color w:val="000000"/>
                <w:sz w:val="16"/>
                <w:szCs w:val="16"/>
              </w:rPr>
            </w:pPr>
            <w:r>
              <w:rPr>
                <w:rFonts w:cs="Arial"/>
                <w:b/>
                <w:bCs/>
                <w:color w:val="000000"/>
                <w:sz w:val="16"/>
                <w:szCs w:val="16"/>
              </w:rPr>
              <w:t>Celkem</w:t>
            </w:r>
          </w:p>
        </w:tc>
        <w:tc>
          <w:tcPr>
            <w:tcW w:w="794" w:type="dxa"/>
            <w:tcBorders>
              <w:top w:val="nil"/>
              <w:left w:val="nil"/>
              <w:bottom w:val="nil"/>
              <w:right w:val="nil"/>
            </w:tcBorders>
            <w:shd w:val="clear" w:color="auto" w:fill="auto"/>
            <w:noWrap/>
            <w:vAlign w:val="center"/>
            <w:hideMark/>
          </w:tcPr>
          <w:p w14:paraId="674B8EA2" w14:textId="3BC9809A" w:rsidR="0059291F" w:rsidRPr="00D92E20" w:rsidRDefault="0059291F" w:rsidP="0059291F">
            <w:pPr>
              <w:spacing w:after="0" w:line="240" w:lineRule="auto"/>
              <w:jc w:val="center"/>
              <w:rPr>
                <w:rFonts w:cs="Arial"/>
                <w:b/>
                <w:bCs/>
                <w:color w:val="000000"/>
                <w:sz w:val="16"/>
                <w:szCs w:val="16"/>
              </w:rPr>
            </w:pPr>
            <w:r>
              <w:rPr>
                <w:rFonts w:cs="Arial"/>
                <w:b/>
                <w:bCs/>
                <w:color w:val="000000"/>
                <w:sz w:val="16"/>
                <w:szCs w:val="16"/>
              </w:rPr>
              <w:t>47,7</w:t>
            </w:r>
          </w:p>
        </w:tc>
        <w:tc>
          <w:tcPr>
            <w:tcW w:w="794" w:type="dxa"/>
            <w:tcBorders>
              <w:top w:val="nil"/>
              <w:left w:val="nil"/>
              <w:bottom w:val="nil"/>
              <w:right w:val="nil"/>
            </w:tcBorders>
            <w:shd w:val="clear" w:color="auto" w:fill="auto"/>
            <w:noWrap/>
            <w:vAlign w:val="center"/>
            <w:hideMark/>
          </w:tcPr>
          <w:p w14:paraId="58ABD389" w14:textId="7E35EB0E" w:rsidR="0059291F" w:rsidRPr="00D92E20" w:rsidRDefault="0059291F" w:rsidP="0059291F">
            <w:pPr>
              <w:spacing w:after="0" w:line="240" w:lineRule="auto"/>
              <w:jc w:val="center"/>
              <w:rPr>
                <w:rFonts w:cs="Arial"/>
                <w:b/>
                <w:bCs/>
                <w:color w:val="000000"/>
                <w:sz w:val="16"/>
                <w:szCs w:val="16"/>
              </w:rPr>
            </w:pPr>
            <w:r>
              <w:rPr>
                <w:rFonts w:cs="Arial"/>
                <w:b/>
                <w:bCs/>
                <w:color w:val="000000"/>
                <w:sz w:val="16"/>
                <w:szCs w:val="16"/>
              </w:rPr>
              <w:t>42,2</w:t>
            </w:r>
          </w:p>
        </w:tc>
        <w:tc>
          <w:tcPr>
            <w:tcW w:w="794" w:type="dxa"/>
            <w:tcBorders>
              <w:top w:val="nil"/>
              <w:left w:val="nil"/>
              <w:bottom w:val="nil"/>
              <w:right w:val="nil"/>
            </w:tcBorders>
            <w:shd w:val="clear" w:color="auto" w:fill="auto"/>
            <w:noWrap/>
            <w:vAlign w:val="center"/>
            <w:hideMark/>
          </w:tcPr>
          <w:p w14:paraId="52DF242E" w14:textId="67699449" w:rsidR="0059291F" w:rsidRPr="00D92E20" w:rsidRDefault="0059291F" w:rsidP="0059291F">
            <w:pPr>
              <w:spacing w:after="0" w:line="240" w:lineRule="auto"/>
              <w:jc w:val="center"/>
              <w:rPr>
                <w:rFonts w:cs="Arial"/>
                <w:b/>
                <w:bCs/>
                <w:color w:val="000000"/>
                <w:sz w:val="16"/>
                <w:szCs w:val="16"/>
              </w:rPr>
            </w:pPr>
            <w:r>
              <w:rPr>
                <w:rFonts w:cs="Arial"/>
                <w:b/>
                <w:bCs/>
                <w:color w:val="000000"/>
                <w:sz w:val="16"/>
                <w:szCs w:val="16"/>
              </w:rPr>
              <w:t>45,9</w:t>
            </w:r>
          </w:p>
        </w:tc>
        <w:tc>
          <w:tcPr>
            <w:tcW w:w="794" w:type="dxa"/>
            <w:tcBorders>
              <w:top w:val="nil"/>
              <w:left w:val="nil"/>
              <w:bottom w:val="nil"/>
              <w:right w:val="nil"/>
            </w:tcBorders>
            <w:shd w:val="clear" w:color="auto" w:fill="auto"/>
            <w:noWrap/>
            <w:vAlign w:val="center"/>
            <w:hideMark/>
          </w:tcPr>
          <w:p w14:paraId="557BEAC0" w14:textId="0DC40FFD" w:rsidR="0059291F" w:rsidRPr="00D92E20" w:rsidRDefault="0059291F" w:rsidP="0059291F">
            <w:pPr>
              <w:spacing w:after="0" w:line="240" w:lineRule="auto"/>
              <w:jc w:val="center"/>
              <w:rPr>
                <w:rFonts w:cs="Arial"/>
                <w:b/>
                <w:bCs/>
                <w:color w:val="000000"/>
                <w:sz w:val="16"/>
                <w:szCs w:val="16"/>
              </w:rPr>
            </w:pPr>
            <w:r>
              <w:rPr>
                <w:rFonts w:cs="Arial"/>
                <w:b/>
                <w:bCs/>
                <w:color w:val="000000"/>
                <w:sz w:val="16"/>
                <w:szCs w:val="16"/>
              </w:rPr>
              <w:t>40,1</w:t>
            </w:r>
          </w:p>
        </w:tc>
        <w:tc>
          <w:tcPr>
            <w:tcW w:w="794" w:type="dxa"/>
            <w:tcBorders>
              <w:top w:val="nil"/>
              <w:left w:val="nil"/>
              <w:bottom w:val="nil"/>
              <w:right w:val="nil"/>
            </w:tcBorders>
            <w:shd w:val="clear" w:color="auto" w:fill="auto"/>
            <w:noWrap/>
            <w:vAlign w:val="center"/>
            <w:hideMark/>
          </w:tcPr>
          <w:p w14:paraId="0DE9B320" w14:textId="419E174E" w:rsidR="0059291F" w:rsidRPr="00D92E20" w:rsidRDefault="0059291F" w:rsidP="0059291F">
            <w:pPr>
              <w:spacing w:after="0" w:line="240" w:lineRule="auto"/>
              <w:jc w:val="center"/>
              <w:rPr>
                <w:rFonts w:cs="Arial"/>
                <w:b/>
                <w:bCs/>
                <w:color w:val="000000"/>
                <w:sz w:val="16"/>
                <w:szCs w:val="16"/>
              </w:rPr>
            </w:pPr>
            <w:r>
              <w:rPr>
                <w:rFonts w:cs="Arial"/>
                <w:b/>
                <w:bCs/>
                <w:color w:val="000000"/>
                <w:sz w:val="16"/>
                <w:szCs w:val="16"/>
              </w:rPr>
              <w:t>42,0</w:t>
            </w:r>
          </w:p>
        </w:tc>
        <w:tc>
          <w:tcPr>
            <w:tcW w:w="794" w:type="dxa"/>
            <w:tcBorders>
              <w:top w:val="nil"/>
              <w:left w:val="nil"/>
              <w:bottom w:val="nil"/>
              <w:right w:val="nil"/>
            </w:tcBorders>
            <w:shd w:val="clear" w:color="auto" w:fill="auto"/>
            <w:noWrap/>
            <w:vAlign w:val="center"/>
            <w:hideMark/>
          </w:tcPr>
          <w:p w14:paraId="59899144" w14:textId="7D583839" w:rsidR="0059291F" w:rsidRPr="00D92E20" w:rsidRDefault="0059291F" w:rsidP="0059291F">
            <w:pPr>
              <w:spacing w:after="0" w:line="240" w:lineRule="auto"/>
              <w:jc w:val="center"/>
              <w:rPr>
                <w:rFonts w:cs="Arial"/>
                <w:b/>
                <w:bCs/>
                <w:color w:val="000000"/>
                <w:sz w:val="16"/>
                <w:szCs w:val="16"/>
              </w:rPr>
            </w:pPr>
            <w:r>
              <w:rPr>
                <w:rFonts w:cs="Arial"/>
                <w:b/>
                <w:bCs/>
                <w:color w:val="000000"/>
                <w:sz w:val="16"/>
                <w:szCs w:val="16"/>
              </w:rPr>
              <w:t>41,0</w:t>
            </w:r>
          </w:p>
        </w:tc>
        <w:tc>
          <w:tcPr>
            <w:tcW w:w="794" w:type="dxa"/>
            <w:tcBorders>
              <w:top w:val="nil"/>
              <w:left w:val="nil"/>
              <w:bottom w:val="nil"/>
              <w:right w:val="nil"/>
            </w:tcBorders>
            <w:shd w:val="clear" w:color="auto" w:fill="auto"/>
            <w:noWrap/>
            <w:vAlign w:val="center"/>
            <w:hideMark/>
          </w:tcPr>
          <w:p w14:paraId="0D96B1DA" w14:textId="76492B57" w:rsidR="0059291F" w:rsidRPr="00D92E20" w:rsidRDefault="0059291F" w:rsidP="0059291F">
            <w:pPr>
              <w:spacing w:after="0" w:line="240" w:lineRule="auto"/>
              <w:jc w:val="center"/>
              <w:rPr>
                <w:rFonts w:cs="Arial"/>
                <w:b/>
                <w:bCs/>
                <w:color w:val="000000"/>
                <w:sz w:val="16"/>
                <w:szCs w:val="16"/>
              </w:rPr>
            </w:pPr>
            <w:r>
              <w:rPr>
                <w:rFonts w:cs="Arial"/>
                <w:b/>
                <w:bCs/>
                <w:color w:val="000000"/>
                <w:sz w:val="16"/>
                <w:szCs w:val="16"/>
              </w:rPr>
              <w:t>39,1</w:t>
            </w:r>
          </w:p>
        </w:tc>
        <w:tc>
          <w:tcPr>
            <w:tcW w:w="794" w:type="dxa"/>
            <w:tcBorders>
              <w:top w:val="nil"/>
              <w:left w:val="nil"/>
              <w:bottom w:val="nil"/>
              <w:right w:val="nil"/>
            </w:tcBorders>
            <w:shd w:val="clear" w:color="auto" w:fill="auto"/>
            <w:noWrap/>
            <w:vAlign w:val="center"/>
            <w:hideMark/>
          </w:tcPr>
          <w:p w14:paraId="6931AAFF" w14:textId="47B35B31" w:rsidR="0059291F" w:rsidRPr="00D92E20" w:rsidRDefault="0059291F" w:rsidP="0059291F">
            <w:pPr>
              <w:spacing w:after="0" w:line="240" w:lineRule="auto"/>
              <w:jc w:val="center"/>
              <w:rPr>
                <w:rFonts w:cs="Arial"/>
                <w:b/>
                <w:bCs/>
                <w:color w:val="000000"/>
                <w:sz w:val="16"/>
                <w:szCs w:val="16"/>
              </w:rPr>
            </w:pPr>
            <w:r>
              <w:rPr>
                <w:rFonts w:cs="Arial"/>
                <w:b/>
                <w:bCs/>
                <w:color w:val="000000"/>
                <w:sz w:val="16"/>
                <w:szCs w:val="16"/>
              </w:rPr>
              <w:t>42,6</w:t>
            </w:r>
          </w:p>
        </w:tc>
        <w:tc>
          <w:tcPr>
            <w:tcW w:w="794" w:type="dxa"/>
            <w:tcBorders>
              <w:top w:val="nil"/>
              <w:left w:val="nil"/>
              <w:bottom w:val="nil"/>
              <w:right w:val="nil"/>
            </w:tcBorders>
            <w:shd w:val="clear" w:color="auto" w:fill="auto"/>
            <w:noWrap/>
            <w:vAlign w:val="center"/>
            <w:hideMark/>
          </w:tcPr>
          <w:p w14:paraId="3179D852" w14:textId="0EB9831C" w:rsidR="0059291F" w:rsidRPr="00D92E20" w:rsidRDefault="0059291F" w:rsidP="0059291F">
            <w:pPr>
              <w:spacing w:after="0" w:line="240" w:lineRule="auto"/>
              <w:jc w:val="center"/>
              <w:rPr>
                <w:rFonts w:cs="Arial"/>
                <w:b/>
                <w:bCs/>
                <w:color w:val="000000"/>
                <w:sz w:val="16"/>
                <w:szCs w:val="16"/>
              </w:rPr>
            </w:pPr>
            <w:r>
              <w:rPr>
                <w:rFonts w:cs="Arial"/>
                <w:b/>
                <w:bCs/>
                <w:color w:val="000000"/>
                <w:sz w:val="16"/>
                <w:szCs w:val="16"/>
              </w:rPr>
              <w:t>44,3</w:t>
            </w:r>
          </w:p>
        </w:tc>
        <w:tc>
          <w:tcPr>
            <w:tcW w:w="794" w:type="dxa"/>
            <w:tcBorders>
              <w:top w:val="nil"/>
              <w:left w:val="nil"/>
              <w:bottom w:val="nil"/>
              <w:right w:val="nil"/>
            </w:tcBorders>
            <w:shd w:val="clear" w:color="auto" w:fill="auto"/>
            <w:noWrap/>
            <w:vAlign w:val="center"/>
            <w:hideMark/>
          </w:tcPr>
          <w:p w14:paraId="2A6C99E8" w14:textId="38435456" w:rsidR="0059291F" w:rsidRPr="00D92E20" w:rsidRDefault="0059291F" w:rsidP="0059291F">
            <w:pPr>
              <w:spacing w:after="0" w:line="240" w:lineRule="auto"/>
              <w:jc w:val="center"/>
              <w:rPr>
                <w:rFonts w:cs="Arial"/>
                <w:b/>
                <w:bCs/>
                <w:color w:val="000000"/>
                <w:sz w:val="16"/>
                <w:szCs w:val="16"/>
              </w:rPr>
            </w:pPr>
            <w:r>
              <w:rPr>
                <w:rFonts w:cs="Arial"/>
                <w:b/>
                <w:bCs/>
                <w:color w:val="000000"/>
                <w:sz w:val="16"/>
                <w:szCs w:val="16"/>
              </w:rPr>
              <w:t>36,3</w:t>
            </w:r>
          </w:p>
        </w:tc>
        <w:tc>
          <w:tcPr>
            <w:tcW w:w="794" w:type="dxa"/>
            <w:tcBorders>
              <w:top w:val="nil"/>
              <w:left w:val="nil"/>
              <w:bottom w:val="nil"/>
              <w:right w:val="nil"/>
            </w:tcBorders>
            <w:shd w:val="clear" w:color="auto" w:fill="auto"/>
            <w:noWrap/>
            <w:vAlign w:val="center"/>
            <w:hideMark/>
          </w:tcPr>
          <w:p w14:paraId="23592423" w14:textId="4FE33C22" w:rsidR="0059291F" w:rsidRPr="00D92E20" w:rsidRDefault="0059291F" w:rsidP="0059291F">
            <w:pPr>
              <w:spacing w:after="0" w:line="240" w:lineRule="auto"/>
              <w:jc w:val="center"/>
              <w:rPr>
                <w:rFonts w:cs="Arial"/>
                <w:b/>
                <w:bCs/>
                <w:color w:val="000000"/>
                <w:sz w:val="16"/>
                <w:szCs w:val="16"/>
              </w:rPr>
            </w:pPr>
            <w:r>
              <w:rPr>
                <w:rFonts w:cs="Arial"/>
                <w:b/>
                <w:bCs/>
                <w:color w:val="000000"/>
                <w:sz w:val="16"/>
                <w:szCs w:val="16"/>
              </w:rPr>
              <w:t>24,5</w:t>
            </w:r>
          </w:p>
        </w:tc>
      </w:tr>
      <w:tr w:rsidR="0059291F" w:rsidRPr="00D92E20" w14:paraId="3D357401" w14:textId="77777777" w:rsidTr="0059291F">
        <w:trPr>
          <w:trHeight w:val="300"/>
        </w:trPr>
        <w:tc>
          <w:tcPr>
            <w:tcW w:w="907" w:type="dxa"/>
            <w:tcBorders>
              <w:top w:val="nil"/>
              <w:left w:val="nil"/>
              <w:bottom w:val="nil"/>
              <w:right w:val="single" w:sz="4" w:space="0" w:color="auto"/>
            </w:tcBorders>
            <w:shd w:val="clear" w:color="auto" w:fill="auto"/>
            <w:noWrap/>
            <w:vAlign w:val="center"/>
            <w:hideMark/>
          </w:tcPr>
          <w:p w14:paraId="09B9D916" w14:textId="77777777" w:rsidR="0059291F" w:rsidRPr="00D92E20" w:rsidRDefault="0059291F" w:rsidP="0059291F">
            <w:pPr>
              <w:spacing w:after="0" w:line="240" w:lineRule="auto"/>
              <w:ind w:firstLineChars="100" w:firstLine="160"/>
              <w:jc w:val="center"/>
              <w:rPr>
                <w:rFonts w:cs="Arial"/>
                <w:color w:val="000000"/>
                <w:sz w:val="16"/>
                <w:szCs w:val="16"/>
              </w:rPr>
            </w:pPr>
            <w:r>
              <w:rPr>
                <w:rFonts w:cs="Arial"/>
                <w:color w:val="000000"/>
                <w:sz w:val="16"/>
                <w:szCs w:val="16"/>
              </w:rPr>
              <w:t>muži</w:t>
            </w:r>
          </w:p>
        </w:tc>
        <w:tc>
          <w:tcPr>
            <w:tcW w:w="794" w:type="dxa"/>
            <w:tcBorders>
              <w:top w:val="nil"/>
              <w:left w:val="nil"/>
              <w:bottom w:val="nil"/>
              <w:right w:val="nil"/>
            </w:tcBorders>
            <w:shd w:val="clear" w:color="auto" w:fill="auto"/>
            <w:noWrap/>
            <w:vAlign w:val="center"/>
            <w:hideMark/>
          </w:tcPr>
          <w:p w14:paraId="39C9CAA7" w14:textId="5BA86A8F" w:rsidR="0059291F" w:rsidRPr="00D92E20" w:rsidRDefault="0059291F" w:rsidP="0059291F">
            <w:pPr>
              <w:spacing w:after="0" w:line="240" w:lineRule="auto"/>
              <w:jc w:val="center"/>
              <w:rPr>
                <w:rFonts w:cs="Arial"/>
                <w:color w:val="000000"/>
                <w:sz w:val="16"/>
                <w:szCs w:val="16"/>
              </w:rPr>
            </w:pPr>
            <w:r>
              <w:rPr>
                <w:rFonts w:cs="Arial"/>
                <w:color w:val="000000"/>
                <w:sz w:val="16"/>
                <w:szCs w:val="16"/>
              </w:rPr>
              <w:t>46,3</w:t>
            </w:r>
          </w:p>
        </w:tc>
        <w:tc>
          <w:tcPr>
            <w:tcW w:w="794" w:type="dxa"/>
            <w:tcBorders>
              <w:top w:val="nil"/>
              <w:left w:val="nil"/>
              <w:bottom w:val="nil"/>
              <w:right w:val="nil"/>
            </w:tcBorders>
            <w:shd w:val="clear" w:color="auto" w:fill="auto"/>
            <w:noWrap/>
            <w:vAlign w:val="center"/>
            <w:hideMark/>
          </w:tcPr>
          <w:p w14:paraId="0D704236" w14:textId="701C2242" w:rsidR="0059291F" w:rsidRPr="00D92E20" w:rsidRDefault="0059291F" w:rsidP="0059291F">
            <w:pPr>
              <w:spacing w:after="0" w:line="240" w:lineRule="auto"/>
              <w:jc w:val="center"/>
              <w:rPr>
                <w:rFonts w:cs="Arial"/>
                <w:color w:val="000000"/>
                <w:sz w:val="16"/>
                <w:szCs w:val="16"/>
              </w:rPr>
            </w:pPr>
            <w:r>
              <w:rPr>
                <w:rFonts w:cs="Arial"/>
                <w:color w:val="000000"/>
                <w:sz w:val="16"/>
                <w:szCs w:val="16"/>
              </w:rPr>
              <w:t>41,6</w:t>
            </w:r>
          </w:p>
        </w:tc>
        <w:tc>
          <w:tcPr>
            <w:tcW w:w="794" w:type="dxa"/>
            <w:tcBorders>
              <w:top w:val="nil"/>
              <w:left w:val="nil"/>
              <w:bottom w:val="nil"/>
              <w:right w:val="nil"/>
            </w:tcBorders>
            <w:shd w:val="clear" w:color="auto" w:fill="auto"/>
            <w:noWrap/>
            <w:vAlign w:val="center"/>
            <w:hideMark/>
          </w:tcPr>
          <w:p w14:paraId="26A8C76B" w14:textId="0241F2E4" w:rsidR="0059291F" w:rsidRPr="00D92E20" w:rsidRDefault="0059291F" w:rsidP="0059291F">
            <w:pPr>
              <w:spacing w:after="0" w:line="240" w:lineRule="auto"/>
              <w:jc w:val="center"/>
              <w:rPr>
                <w:rFonts w:cs="Arial"/>
                <w:color w:val="000000"/>
                <w:sz w:val="16"/>
                <w:szCs w:val="16"/>
              </w:rPr>
            </w:pPr>
            <w:r>
              <w:rPr>
                <w:rFonts w:cs="Arial"/>
                <w:color w:val="000000"/>
                <w:sz w:val="16"/>
                <w:szCs w:val="16"/>
              </w:rPr>
              <w:t>44,4</w:t>
            </w:r>
          </w:p>
        </w:tc>
        <w:tc>
          <w:tcPr>
            <w:tcW w:w="794" w:type="dxa"/>
            <w:tcBorders>
              <w:top w:val="nil"/>
              <w:left w:val="nil"/>
              <w:bottom w:val="nil"/>
              <w:right w:val="nil"/>
            </w:tcBorders>
            <w:shd w:val="clear" w:color="auto" w:fill="auto"/>
            <w:noWrap/>
            <w:vAlign w:val="center"/>
            <w:hideMark/>
          </w:tcPr>
          <w:p w14:paraId="33F71762" w14:textId="74C91264" w:rsidR="0059291F" w:rsidRPr="00D92E20" w:rsidRDefault="0059291F" w:rsidP="0059291F">
            <w:pPr>
              <w:spacing w:after="0" w:line="240" w:lineRule="auto"/>
              <w:jc w:val="center"/>
              <w:rPr>
                <w:rFonts w:cs="Arial"/>
                <w:color w:val="000000"/>
                <w:sz w:val="16"/>
                <w:szCs w:val="16"/>
              </w:rPr>
            </w:pPr>
            <w:r>
              <w:rPr>
                <w:rFonts w:cs="Arial"/>
                <w:color w:val="000000"/>
                <w:sz w:val="16"/>
                <w:szCs w:val="16"/>
              </w:rPr>
              <w:t>38,5</w:t>
            </w:r>
          </w:p>
        </w:tc>
        <w:tc>
          <w:tcPr>
            <w:tcW w:w="794" w:type="dxa"/>
            <w:tcBorders>
              <w:top w:val="nil"/>
              <w:left w:val="nil"/>
              <w:bottom w:val="nil"/>
              <w:right w:val="nil"/>
            </w:tcBorders>
            <w:shd w:val="clear" w:color="auto" w:fill="auto"/>
            <w:noWrap/>
            <w:vAlign w:val="center"/>
            <w:hideMark/>
          </w:tcPr>
          <w:p w14:paraId="2948D754" w14:textId="2A7E87F4" w:rsidR="0059291F" w:rsidRPr="00D92E20" w:rsidRDefault="0059291F" w:rsidP="0059291F">
            <w:pPr>
              <w:spacing w:after="0" w:line="240" w:lineRule="auto"/>
              <w:jc w:val="center"/>
              <w:rPr>
                <w:rFonts w:cs="Arial"/>
                <w:color w:val="000000"/>
                <w:sz w:val="16"/>
                <w:szCs w:val="16"/>
              </w:rPr>
            </w:pPr>
            <w:r>
              <w:rPr>
                <w:rFonts w:cs="Arial"/>
                <w:color w:val="000000"/>
                <w:sz w:val="16"/>
                <w:szCs w:val="16"/>
              </w:rPr>
              <w:t>40,2</w:t>
            </w:r>
          </w:p>
        </w:tc>
        <w:tc>
          <w:tcPr>
            <w:tcW w:w="794" w:type="dxa"/>
            <w:tcBorders>
              <w:top w:val="nil"/>
              <w:left w:val="nil"/>
              <w:bottom w:val="nil"/>
              <w:right w:val="nil"/>
            </w:tcBorders>
            <w:shd w:val="clear" w:color="auto" w:fill="auto"/>
            <w:noWrap/>
            <w:vAlign w:val="center"/>
            <w:hideMark/>
          </w:tcPr>
          <w:p w14:paraId="6A798B5A" w14:textId="4E598951" w:rsidR="0059291F" w:rsidRPr="00D92E20" w:rsidRDefault="0059291F" w:rsidP="0059291F">
            <w:pPr>
              <w:spacing w:after="0" w:line="240" w:lineRule="auto"/>
              <w:jc w:val="center"/>
              <w:rPr>
                <w:rFonts w:cs="Arial"/>
                <w:color w:val="000000"/>
                <w:sz w:val="16"/>
                <w:szCs w:val="16"/>
              </w:rPr>
            </w:pPr>
            <w:r>
              <w:rPr>
                <w:rFonts w:cs="Arial"/>
                <w:color w:val="000000"/>
                <w:sz w:val="16"/>
                <w:szCs w:val="16"/>
              </w:rPr>
              <w:t>39,6</w:t>
            </w:r>
          </w:p>
        </w:tc>
        <w:tc>
          <w:tcPr>
            <w:tcW w:w="794" w:type="dxa"/>
            <w:tcBorders>
              <w:top w:val="nil"/>
              <w:left w:val="nil"/>
              <w:bottom w:val="nil"/>
              <w:right w:val="nil"/>
            </w:tcBorders>
            <w:shd w:val="clear" w:color="auto" w:fill="auto"/>
            <w:noWrap/>
            <w:vAlign w:val="center"/>
            <w:hideMark/>
          </w:tcPr>
          <w:p w14:paraId="53E3F3BB" w14:textId="7F35D058" w:rsidR="0059291F" w:rsidRPr="00D92E20" w:rsidRDefault="0059291F" w:rsidP="0059291F">
            <w:pPr>
              <w:spacing w:after="0" w:line="240" w:lineRule="auto"/>
              <w:jc w:val="center"/>
              <w:rPr>
                <w:rFonts w:cs="Arial"/>
                <w:color w:val="000000"/>
                <w:sz w:val="16"/>
                <w:szCs w:val="16"/>
              </w:rPr>
            </w:pPr>
            <w:r>
              <w:rPr>
                <w:rFonts w:cs="Arial"/>
                <w:color w:val="000000"/>
                <w:sz w:val="16"/>
                <w:szCs w:val="16"/>
              </w:rPr>
              <w:t>38,1</w:t>
            </w:r>
          </w:p>
        </w:tc>
        <w:tc>
          <w:tcPr>
            <w:tcW w:w="794" w:type="dxa"/>
            <w:tcBorders>
              <w:top w:val="nil"/>
              <w:left w:val="nil"/>
              <w:bottom w:val="nil"/>
              <w:right w:val="nil"/>
            </w:tcBorders>
            <w:shd w:val="clear" w:color="auto" w:fill="auto"/>
            <w:noWrap/>
            <w:vAlign w:val="center"/>
            <w:hideMark/>
          </w:tcPr>
          <w:p w14:paraId="6B0A2652" w14:textId="228449F0" w:rsidR="0059291F" w:rsidRPr="00D92E20" w:rsidRDefault="0059291F" w:rsidP="0059291F">
            <w:pPr>
              <w:spacing w:after="0" w:line="240" w:lineRule="auto"/>
              <w:jc w:val="center"/>
              <w:rPr>
                <w:rFonts w:cs="Arial"/>
                <w:color w:val="000000"/>
                <w:sz w:val="16"/>
                <w:szCs w:val="16"/>
              </w:rPr>
            </w:pPr>
            <w:r>
              <w:rPr>
                <w:rFonts w:cs="Arial"/>
                <w:color w:val="000000"/>
                <w:sz w:val="16"/>
                <w:szCs w:val="16"/>
              </w:rPr>
              <w:t>41,5</w:t>
            </w:r>
          </w:p>
        </w:tc>
        <w:tc>
          <w:tcPr>
            <w:tcW w:w="794" w:type="dxa"/>
            <w:tcBorders>
              <w:top w:val="nil"/>
              <w:left w:val="nil"/>
              <w:bottom w:val="nil"/>
              <w:right w:val="nil"/>
            </w:tcBorders>
            <w:shd w:val="clear" w:color="auto" w:fill="auto"/>
            <w:noWrap/>
            <w:vAlign w:val="center"/>
            <w:hideMark/>
          </w:tcPr>
          <w:p w14:paraId="7F6D0C60" w14:textId="7275E009" w:rsidR="0059291F" w:rsidRPr="00D92E20" w:rsidRDefault="0059291F" w:rsidP="0059291F">
            <w:pPr>
              <w:spacing w:after="0" w:line="240" w:lineRule="auto"/>
              <w:jc w:val="center"/>
              <w:rPr>
                <w:rFonts w:cs="Arial"/>
                <w:color w:val="000000"/>
                <w:sz w:val="16"/>
                <w:szCs w:val="16"/>
              </w:rPr>
            </w:pPr>
            <w:r>
              <w:rPr>
                <w:rFonts w:cs="Arial"/>
                <w:color w:val="000000"/>
                <w:sz w:val="16"/>
                <w:szCs w:val="16"/>
              </w:rPr>
              <w:t>42,5</w:t>
            </w:r>
          </w:p>
        </w:tc>
        <w:tc>
          <w:tcPr>
            <w:tcW w:w="794" w:type="dxa"/>
            <w:tcBorders>
              <w:top w:val="nil"/>
              <w:left w:val="nil"/>
              <w:bottom w:val="nil"/>
              <w:right w:val="nil"/>
            </w:tcBorders>
            <w:shd w:val="clear" w:color="auto" w:fill="auto"/>
            <w:noWrap/>
            <w:vAlign w:val="center"/>
            <w:hideMark/>
          </w:tcPr>
          <w:p w14:paraId="1580B0FE" w14:textId="13FF9993" w:rsidR="0059291F" w:rsidRPr="00D92E20" w:rsidRDefault="0059291F" w:rsidP="0059291F">
            <w:pPr>
              <w:spacing w:after="0" w:line="240" w:lineRule="auto"/>
              <w:jc w:val="center"/>
              <w:rPr>
                <w:rFonts w:cs="Arial"/>
                <w:color w:val="000000"/>
                <w:sz w:val="16"/>
                <w:szCs w:val="16"/>
              </w:rPr>
            </w:pPr>
            <w:r>
              <w:rPr>
                <w:rFonts w:cs="Arial"/>
                <w:color w:val="000000"/>
                <w:sz w:val="16"/>
                <w:szCs w:val="16"/>
              </w:rPr>
              <w:t>34,1</w:t>
            </w:r>
          </w:p>
        </w:tc>
        <w:tc>
          <w:tcPr>
            <w:tcW w:w="794" w:type="dxa"/>
            <w:tcBorders>
              <w:top w:val="nil"/>
              <w:left w:val="nil"/>
              <w:bottom w:val="nil"/>
              <w:right w:val="nil"/>
            </w:tcBorders>
            <w:shd w:val="clear" w:color="auto" w:fill="auto"/>
            <w:noWrap/>
            <w:vAlign w:val="center"/>
            <w:hideMark/>
          </w:tcPr>
          <w:p w14:paraId="0512CC54" w14:textId="2D655867" w:rsidR="0059291F" w:rsidRPr="00D92E20" w:rsidRDefault="0059291F" w:rsidP="0059291F">
            <w:pPr>
              <w:spacing w:after="0" w:line="240" w:lineRule="auto"/>
              <w:jc w:val="center"/>
              <w:rPr>
                <w:rFonts w:cs="Arial"/>
                <w:color w:val="000000"/>
                <w:sz w:val="16"/>
                <w:szCs w:val="16"/>
              </w:rPr>
            </w:pPr>
            <w:r>
              <w:rPr>
                <w:rFonts w:cs="Arial"/>
                <w:color w:val="000000"/>
                <w:sz w:val="16"/>
                <w:szCs w:val="16"/>
              </w:rPr>
              <w:t>24,1</w:t>
            </w:r>
          </w:p>
        </w:tc>
      </w:tr>
      <w:tr w:rsidR="0059291F" w:rsidRPr="00D92E20" w14:paraId="08E1DDAB" w14:textId="77777777" w:rsidTr="0059291F">
        <w:trPr>
          <w:trHeight w:val="300"/>
        </w:trPr>
        <w:tc>
          <w:tcPr>
            <w:tcW w:w="907" w:type="dxa"/>
            <w:tcBorders>
              <w:top w:val="nil"/>
              <w:left w:val="nil"/>
              <w:bottom w:val="nil"/>
              <w:right w:val="single" w:sz="4" w:space="0" w:color="auto"/>
            </w:tcBorders>
            <w:shd w:val="clear" w:color="auto" w:fill="auto"/>
            <w:noWrap/>
            <w:vAlign w:val="center"/>
            <w:hideMark/>
          </w:tcPr>
          <w:p w14:paraId="46B01AC3" w14:textId="77777777" w:rsidR="0059291F" w:rsidRPr="00D92E20" w:rsidRDefault="0059291F" w:rsidP="0059291F">
            <w:pPr>
              <w:spacing w:after="0" w:line="240" w:lineRule="auto"/>
              <w:ind w:firstLineChars="100" w:firstLine="160"/>
              <w:jc w:val="center"/>
              <w:rPr>
                <w:rFonts w:cs="Arial"/>
                <w:color w:val="000000"/>
                <w:sz w:val="16"/>
                <w:szCs w:val="16"/>
              </w:rPr>
            </w:pPr>
            <w:r>
              <w:rPr>
                <w:rFonts w:cs="Arial"/>
                <w:color w:val="000000"/>
                <w:sz w:val="16"/>
                <w:szCs w:val="16"/>
              </w:rPr>
              <w:t>ženy</w:t>
            </w:r>
          </w:p>
        </w:tc>
        <w:tc>
          <w:tcPr>
            <w:tcW w:w="794" w:type="dxa"/>
            <w:tcBorders>
              <w:top w:val="nil"/>
              <w:left w:val="nil"/>
              <w:bottom w:val="nil"/>
              <w:right w:val="nil"/>
            </w:tcBorders>
            <w:shd w:val="clear" w:color="auto" w:fill="auto"/>
            <w:noWrap/>
            <w:vAlign w:val="center"/>
            <w:hideMark/>
          </w:tcPr>
          <w:p w14:paraId="6CFF80DB" w14:textId="43C64948" w:rsidR="0059291F" w:rsidRPr="00D92E20" w:rsidRDefault="0059291F" w:rsidP="0059291F">
            <w:pPr>
              <w:spacing w:after="0" w:line="240" w:lineRule="auto"/>
              <w:jc w:val="center"/>
              <w:rPr>
                <w:rFonts w:cs="Arial"/>
                <w:color w:val="000000"/>
                <w:sz w:val="16"/>
                <w:szCs w:val="16"/>
              </w:rPr>
            </w:pPr>
            <w:r>
              <w:rPr>
                <w:rFonts w:cs="Arial"/>
                <w:color w:val="000000"/>
                <w:sz w:val="16"/>
                <w:szCs w:val="16"/>
              </w:rPr>
              <w:t>49,0</w:t>
            </w:r>
          </w:p>
        </w:tc>
        <w:tc>
          <w:tcPr>
            <w:tcW w:w="794" w:type="dxa"/>
            <w:tcBorders>
              <w:top w:val="nil"/>
              <w:left w:val="nil"/>
              <w:bottom w:val="nil"/>
              <w:right w:val="nil"/>
            </w:tcBorders>
            <w:shd w:val="clear" w:color="auto" w:fill="auto"/>
            <w:noWrap/>
            <w:vAlign w:val="center"/>
            <w:hideMark/>
          </w:tcPr>
          <w:p w14:paraId="20FF3F7B" w14:textId="05563E69" w:rsidR="0059291F" w:rsidRPr="00D92E20" w:rsidRDefault="0059291F" w:rsidP="0059291F">
            <w:pPr>
              <w:spacing w:after="0" w:line="240" w:lineRule="auto"/>
              <w:jc w:val="center"/>
              <w:rPr>
                <w:rFonts w:cs="Arial"/>
                <w:color w:val="000000"/>
                <w:sz w:val="16"/>
                <w:szCs w:val="16"/>
              </w:rPr>
            </w:pPr>
            <w:r>
              <w:rPr>
                <w:rFonts w:cs="Arial"/>
                <w:color w:val="000000"/>
                <w:sz w:val="16"/>
                <w:szCs w:val="16"/>
              </w:rPr>
              <w:t>42,8</w:t>
            </w:r>
          </w:p>
        </w:tc>
        <w:tc>
          <w:tcPr>
            <w:tcW w:w="794" w:type="dxa"/>
            <w:tcBorders>
              <w:top w:val="nil"/>
              <w:left w:val="nil"/>
              <w:bottom w:val="nil"/>
              <w:right w:val="nil"/>
            </w:tcBorders>
            <w:shd w:val="clear" w:color="auto" w:fill="auto"/>
            <w:noWrap/>
            <w:vAlign w:val="center"/>
            <w:hideMark/>
          </w:tcPr>
          <w:p w14:paraId="7B331724" w14:textId="49B21A7B" w:rsidR="0059291F" w:rsidRPr="00D92E20" w:rsidRDefault="0059291F" w:rsidP="0059291F">
            <w:pPr>
              <w:spacing w:after="0" w:line="240" w:lineRule="auto"/>
              <w:jc w:val="center"/>
              <w:rPr>
                <w:rFonts w:cs="Arial"/>
                <w:color w:val="000000"/>
                <w:sz w:val="16"/>
                <w:szCs w:val="16"/>
              </w:rPr>
            </w:pPr>
            <w:r>
              <w:rPr>
                <w:rFonts w:cs="Arial"/>
                <w:color w:val="000000"/>
                <w:sz w:val="16"/>
                <w:szCs w:val="16"/>
              </w:rPr>
              <w:t>47,4</w:t>
            </w:r>
          </w:p>
        </w:tc>
        <w:tc>
          <w:tcPr>
            <w:tcW w:w="794" w:type="dxa"/>
            <w:tcBorders>
              <w:top w:val="nil"/>
              <w:left w:val="nil"/>
              <w:bottom w:val="nil"/>
              <w:right w:val="nil"/>
            </w:tcBorders>
            <w:shd w:val="clear" w:color="auto" w:fill="auto"/>
            <w:noWrap/>
            <w:vAlign w:val="center"/>
            <w:hideMark/>
          </w:tcPr>
          <w:p w14:paraId="720BA887" w14:textId="5822B047" w:rsidR="0059291F" w:rsidRPr="00D92E20" w:rsidRDefault="0059291F" w:rsidP="0059291F">
            <w:pPr>
              <w:spacing w:after="0" w:line="240" w:lineRule="auto"/>
              <w:jc w:val="center"/>
              <w:rPr>
                <w:rFonts w:cs="Arial"/>
                <w:color w:val="000000"/>
                <w:sz w:val="16"/>
                <w:szCs w:val="16"/>
              </w:rPr>
            </w:pPr>
            <w:r>
              <w:rPr>
                <w:rFonts w:cs="Arial"/>
                <w:color w:val="000000"/>
                <w:sz w:val="16"/>
                <w:szCs w:val="16"/>
              </w:rPr>
              <w:t>41,5</w:t>
            </w:r>
          </w:p>
        </w:tc>
        <w:tc>
          <w:tcPr>
            <w:tcW w:w="794" w:type="dxa"/>
            <w:tcBorders>
              <w:top w:val="nil"/>
              <w:left w:val="nil"/>
              <w:bottom w:val="nil"/>
              <w:right w:val="nil"/>
            </w:tcBorders>
            <w:shd w:val="clear" w:color="auto" w:fill="auto"/>
            <w:noWrap/>
            <w:vAlign w:val="center"/>
            <w:hideMark/>
          </w:tcPr>
          <w:p w14:paraId="444D24F9" w14:textId="0D9B9AB5" w:rsidR="0059291F" w:rsidRPr="00D92E20" w:rsidRDefault="0059291F" w:rsidP="0059291F">
            <w:pPr>
              <w:spacing w:after="0" w:line="240" w:lineRule="auto"/>
              <w:jc w:val="center"/>
              <w:rPr>
                <w:rFonts w:cs="Arial"/>
                <w:color w:val="000000"/>
                <w:sz w:val="16"/>
                <w:szCs w:val="16"/>
              </w:rPr>
            </w:pPr>
            <w:r>
              <w:rPr>
                <w:rFonts w:cs="Arial"/>
                <w:color w:val="000000"/>
                <w:sz w:val="16"/>
                <w:szCs w:val="16"/>
              </w:rPr>
              <w:t>43,5</w:t>
            </w:r>
          </w:p>
        </w:tc>
        <w:tc>
          <w:tcPr>
            <w:tcW w:w="794" w:type="dxa"/>
            <w:tcBorders>
              <w:top w:val="nil"/>
              <w:left w:val="nil"/>
              <w:bottom w:val="nil"/>
              <w:right w:val="nil"/>
            </w:tcBorders>
            <w:shd w:val="clear" w:color="auto" w:fill="auto"/>
            <w:noWrap/>
            <w:vAlign w:val="center"/>
            <w:hideMark/>
          </w:tcPr>
          <w:p w14:paraId="5E904DE1" w14:textId="5B46B15E" w:rsidR="0059291F" w:rsidRPr="00D92E20" w:rsidRDefault="0059291F" w:rsidP="0059291F">
            <w:pPr>
              <w:spacing w:after="0" w:line="240" w:lineRule="auto"/>
              <w:jc w:val="center"/>
              <w:rPr>
                <w:rFonts w:cs="Arial"/>
                <w:color w:val="000000"/>
                <w:sz w:val="16"/>
                <w:szCs w:val="16"/>
              </w:rPr>
            </w:pPr>
            <w:r>
              <w:rPr>
                <w:rFonts w:cs="Arial"/>
                <w:color w:val="000000"/>
                <w:sz w:val="16"/>
                <w:szCs w:val="16"/>
              </w:rPr>
              <w:t>42,2</w:t>
            </w:r>
          </w:p>
        </w:tc>
        <w:tc>
          <w:tcPr>
            <w:tcW w:w="794" w:type="dxa"/>
            <w:tcBorders>
              <w:top w:val="nil"/>
              <w:left w:val="nil"/>
              <w:bottom w:val="nil"/>
              <w:right w:val="nil"/>
            </w:tcBorders>
            <w:shd w:val="clear" w:color="auto" w:fill="auto"/>
            <w:noWrap/>
            <w:vAlign w:val="center"/>
            <w:hideMark/>
          </w:tcPr>
          <w:p w14:paraId="6108A061" w14:textId="5E80DD9F" w:rsidR="0059291F" w:rsidRPr="00D92E20" w:rsidRDefault="0059291F" w:rsidP="0059291F">
            <w:pPr>
              <w:spacing w:after="0" w:line="240" w:lineRule="auto"/>
              <w:jc w:val="center"/>
              <w:rPr>
                <w:rFonts w:cs="Arial"/>
                <w:color w:val="000000"/>
                <w:sz w:val="16"/>
                <w:szCs w:val="16"/>
              </w:rPr>
            </w:pPr>
            <w:r>
              <w:rPr>
                <w:rFonts w:cs="Arial"/>
                <w:color w:val="000000"/>
                <w:sz w:val="16"/>
                <w:szCs w:val="16"/>
              </w:rPr>
              <w:t>39,9</w:t>
            </w:r>
          </w:p>
        </w:tc>
        <w:tc>
          <w:tcPr>
            <w:tcW w:w="794" w:type="dxa"/>
            <w:tcBorders>
              <w:top w:val="nil"/>
              <w:left w:val="nil"/>
              <w:bottom w:val="nil"/>
              <w:right w:val="nil"/>
            </w:tcBorders>
            <w:shd w:val="clear" w:color="auto" w:fill="auto"/>
            <w:noWrap/>
            <w:vAlign w:val="center"/>
            <w:hideMark/>
          </w:tcPr>
          <w:p w14:paraId="22FD9BCE" w14:textId="269A3428" w:rsidR="0059291F" w:rsidRPr="00D92E20" w:rsidRDefault="0059291F" w:rsidP="0059291F">
            <w:pPr>
              <w:spacing w:after="0" w:line="240" w:lineRule="auto"/>
              <w:jc w:val="center"/>
              <w:rPr>
                <w:rFonts w:cs="Arial"/>
                <w:color w:val="000000"/>
                <w:sz w:val="16"/>
                <w:szCs w:val="16"/>
              </w:rPr>
            </w:pPr>
            <w:r>
              <w:rPr>
                <w:rFonts w:cs="Arial"/>
                <w:color w:val="000000"/>
                <w:sz w:val="16"/>
                <w:szCs w:val="16"/>
              </w:rPr>
              <w:t>43,7</w:t>
            </w:r>
          </w:p>
        </w:tc>
        <w:tc>
          <w:tcPr>
            <w:tcW w:w="794" w:type="dxa"/>
            <w:tcBorders>
              <w:top w:val="nil"/>
              <w:left w:val="nil"/>
              <w:bottom w:val="nil"/>
              <w:right w:val="nil"/>
            </w:tcBorders>
            <w:shd w:val="clear" w:color="auto" w:fill="auto"/>
            <w:noWrap/>
            <w:vAlign w:val="center"/>
            <w:hideMark/>
          </w:tcPr>
          <w:p w14:paraId="764EFD42" w14:textId="2DF95706" w:rsidR="0059291F" w:rsidRPr="00D92E20" w:rsidRDefault="0059291F" w:rsidP="0059291F">
            <w:pPr>
              <w:spacing w:after="0" w:line="240" w:lineRule="auto"/>
              <w:jc w:val="center"/>
              <w:rPr>
                <w:rFonts w:cs="Arial"/>
                <w:color w:val="000000"/>
                <w:sz w:val="16"/>
                <w:szCs w:val="16"/>
              </w:rPr>
            </w:pPr>
            <w:r>
              <w:rPr>
                <w:rFonts w:cs="Arial"/>
                <w:color w:val="000000"/>
                <w:sz w:val="16"/>
                <w:szCs w:val="16"/>
              </w:rPr>
              <w:t>45,9</w:t>
            </w:r>
          </w:p>
        </w:tc>
        <w:tc>
          <w:tcPr>
            <w:tcW w:w="794" w:type="dxa"/>
            <w:tcBorders>
              <w:top w:val="nil"/>
              <w:left w:val="nil"/>
              <w:bottom w:val="nil"/>
              <w:right w:val="nil"/>
            </w:tcBorders>
            <w:shd w:val="clear" w:color="auto" w:fill="auto"/>
            <w:noWrap/>
            <w:vAlign w:val="center"/>
            <w:hideMark/>
          </w:tcPr>
          <w:p w14:paraId="4F56BB7F" w14:textId="1039443E" w:rsidR="0059291F" w:rsidRPr="00D92E20" w:rsidRDefault="0059291F" w:rsidP="0059291F">
            <w:pPr>
              <w:spacing w:after="0" w:line="240" w:lineRule="auto"/>
              <w:jc w:val="center"/>
              <w:rPr>
                <w:rFonts w:cs="Arial"/>
                <w:color w:val="000000"/>
                <w:sz w:val="16"/>
                <w:szCs w:val="16"/>
              </w:rPr>
            </w:pPr>
            <w:r>
              <w:rPr>
                <w:rFonts w:cs="Arial"/>
                <w:color w:val="000000"/>
                <w:sz w:val="16"/>
                <w:szCs w:val="16"/>
              </w:rPr>
              <w:t>38,6</w:t>
            </w:r>
          </w:p>
        </w:tc>
        <w:tc>
          <w:tcPr>
            <w:tcW w:w="794" w:type="dxa"/>
            <w:tcBorders>
              <w:top w:val="nil"/>
              <w:left w:val="nil"/>
              <w:bottom w:val="nil"/>
              <w:right w:val="nil"/>
            </w:tcBorders>
            <w:shd w:val="clear" w:color="auto" w:fill="auto"/>
            <w:noWrap/>
            <w:vAlign w:val="center"/>
            <w:hideMark/>
          </w:tcPr>
          <w:p w14:paraId="4D63CDFA" w14:textId="7680D4D1" w:rsidR="0059291F" w:rsidRPr="00D92E20" w:rsidRDefault="0059291F" w:rsidP="0059291F">
            <w:pPr>
              <w:spacing w:after="0" w:line="240" w:lineRule="auto"/>
              <w:jc w:val="center"/>
              <w:rPr>
                <w:rFonts w:cs="Arial"/>
                <w:color w:val="000000"/>
                <w:sz w:val="16"/>
                <w:szCs w:val="16"/>
              </w:rPr>
            </w:pPr>
            <w:r>
              <w:rPr>
                <w:rFonts w:cs="Arial"/>
                <w:color w:val="000000"/>
                <w:sz w:val="16"/>
                <w:szCs w:val="16"/>
              </w:rPr>
              <w:t>24,9</w:t>
            </w:r>
          </w:p>
        </w:tc>
      </w:tr>
    </w:tbl>
    <w:p w14:paraId="5C01A789" w14:textId="1B4F1759" w:rsidR="00350B58" w:rsidRDefault="00350B58" w:rsidP="00350B58">
      <w:pPr>
        <w:spacing w:before="120" w:after="120"/>
        <w:rPr>
          <w:sz w:val="16"/>
        </w:rPr>
      </w:pPr>
      <w:r w:rsidRPr="00D92E20">
        <w:rPr>
          <w:sz w:val="16"/>
        </w:rPr>
        <w:t>Zdroj: ČSÚ</w:t>
      </w:r>
    </w:p>
    <w:p w14:paraId="443F6781" w14:textId="4B0718AB" w:rsidR="00473D4E" w:rsidRDefault="00473D4E" w:rsidP="00473D4E">
      <w:pPr>
        <w:spacing w:after="120"/>
        <w:jc w:val="both"/>
      </w:pPr>
      <w:r w:rsidRPr="00AE4AEB">
        <w:t xml:space="preserve">Průměrný počet dnů pracovní neschopnosti </w:t>
      </w:r>
      <w:r w:rsidRPr="00AE4AEB">
        <w:rPr>
          <w:b/>
        </w:rPr>
        <w:t>u žen</w:t>
      </w:r>
      <w:r>
        <w:t xml:space="preserve"> meziročně klesl z </w:t>
      </w:r>
      <w:r w:rsidRPr="00AE4AEB">
        <w:t>38,6</w:t>
      </w:r>
      <w:r>
        <w:t xml:space="preserve"> </w:t>
      </w:r>
      <w:r w:rsidRPr="00AE4AEB">
        <w:t>dne v 1. pol. 202</w:t>
      </w:r>
      <w:r>
        <w:t>1</w:t>
      </w:r>
      <w:r w:rsidRPr="00AE4AEB">
        <w:t xml:space="preserve"> na </w:t>
      </w:r>
      <w:r>
        <w:t>24,9</w:t>
      </w:r>
      <w:r w:rsidRPr="00AE4AEB">
        <w:t xml:space="preserve"> dne. </w:t>
      </w:r>
      <w:r w:rsidRPr="00AE4AEB">
        <w:rPr>
          <w:b/>
        </w:rPr>
        <w:t>V případě mužů</w:t>
      </w:r>
      <w:r w:rsidRPr="00AE4AEB">
        <w:t xml:space="preserve"> se snížil ze 34,1 dne na </w:t>
      </w:r>
      <w:r>
        <w:t xml:space="preserve">24,1 </w:t>
      </w:r>
      <w:r w:rsidRPr="00AE4AEB">
        <w:t xml:space="preserve">dne. Ženy tak byly v pracovní neschopnosti v průměru o </w:t>
      </w:r>
      <w:r>
        <w:t>0,7 </w:t>
      </w:r>
      <w:r w:rsidRPr="00AE4AEB">
        <w:t>dne déle n</w:t>
      </w:r>
      <w:r>
        <w:t>ež muži, což je zdaleka nejmenší</w:t>
      </w:r>
      <w:r w:rsidRPr="00AE4AEB">
        <w:t xml:space="preserve"> rozdíl za posledních 10 let.</w:t>
      </w:r>
      <w:r>
        <w:t xml:space="preserve"> Ženám se meziročně snížila průměrná délka pobytu v pracovní neschopnosti o necelých 14 dní, mužům o 10.</w:t>
      </w:r>
    </w:p>
    <w:p w14:paraId="29705D5E" w14:textId="5684C016" w:rsidR="00473D4E" w:rsidRDefault="00473D4E" w:rsidP="00473D4E">
      <w:pPr>
        <w:spacing w:before="120" w:after="120"/>
        <w:jc w:val="both"/>
      </w:pPr>
      <w:r w:rsidRPr="0064296A">
        <w:t>Nejvíce dnů dočasné pracovní neschopnosti bylo v 1. pol. 202</w:t>
      </w:r>
      <w:r>
        <w:t>2</w:t>
      </w:r>
      <w:r w:rsidRPr="0064296A">
        <w:t xml:space="preserve"> zaznamenáno ve zpracovatelském průmyslu (</w:t>
      </w:r>
      <w:r>
        <w:t xml:space="preserve">16 458 </w:t>
      </w:r>
      <w:r w:rsidRPr="0064296A">
        <w:t>tis.), kde je nejvíce pojištěnců, a tím pádem také nejvyšší počet případů pracovní neschopnosti. Naopak nejnižší počet dnů pracovní neschopnosti byl hlášen v</w:t>
      </w:r>
      <w:r>
        <w:t xml:space="preserve"> sekci Těžba a dobývání (249 tis.). </w:t>
      </w:r>
      <w:r w:rsidRPr="0064296A">
        <w:t>Nejméně dnů pracovní neschopnosti z důvodu pracovních úrazů vykazovaly odvětvové sekce Peněžnictví a</w:t>
      </w:r>
      <w:r w:rsidR="003E64F4">
        <w:t> </w:t>
      </w:r>
      <w:r w:rsidRPr="0064296A">
        <w:t>pojišťovnictví (1,</w:t>
      </w:r>
      <w:r>
        <w:t>1</w:t>
      </w:r>
      <w:r w:rsidRPr="0064296A">
        <w:t xml:space="preserve"> tis.) a Informační a komunikační činnosti (3,</w:t>
      </w:r>
      <w:r>
        <w:t>8</w:t>
      </w:r>
      <w:r w:rsidRPr="0064296A">
        <w:t> tis.).</w:t>
      </w:r>
    </w:p>
    <w:p w14:paraId="6A4A466A" w14:textId="31B240EB" w:rsidR="00473D4E" w:rsidRDefault="00473D4E">
      <w:pPr>
        <w:spacing w:after="0" w:line="240" w:lineRule="auto"/>
      </w:pPr>
      <w:r>
        <w:br w:type="page"/>
      </w:r>
    </w:p>
    <w:p w14:paraId="563E01CB" w14:textId="3A080B9E" w:rsidR="000D642E" w:rsidRPr="00D92E20" w:rsidRDefault="000D642E" w:rsidP="00BA6B4E">
      <w:pPr>
        <w:spacing w:after="0"/>
        <w:jc w:val="both"/>
        <w:rPr>
          <w:b/>
        </w:rPr>
      </w:pPr>
      <w:r w:rsidRPr="00D92E20">
        <w:rPr>
          <w:b/>
        </w:rPr>
        <w:lastRenderedPageBreak/>
        <w:t xml:space="preserve">Graf 2.8: Průměrná délka trvání dočasné pracovní neschopnosti pro nemoc, </w:t>
      </w:r>
      <w:r w:rsidR="00285F60" w:rsidRPr="00285F60">
        <w:rPr>
          <w:b/>
        </w:rPr>
        <w:t>201</w:t>
      </w:r>
      <w:r w:rsidR="0059291F">
        <w:rPr>
          <w:b/>
        </w:rPr>
        <w:t>7–1. pol. 2022</w:t>
      </w:r>
    </w:p>
    <w:p w14:paraId="23D7B0F9" w14:textId="520BF4B7" w:rsidR="000D642E" w:rsidRPr="00D92E20" w:rsidRDefault="0059291F" w:rsidP="00461B62">
      <w:pPr>
        <w:jc w:val="both"/>
        <w:rPr>
          <w:b/>
        </w:rPr>
      </w:pPr>
      <w:r>
        <w:rPr>
          <w:noProof/>
        </w:rPr>
        <w:drawing>
          <wp:inline distT="0" distB="0" distL="0" distR="0" wp14:anchorId="2FB7FAF4" wp14:editId="6DCD314F">
            <wp:extent cx="6038850" cy="2819400"/>
            <wp:effectExtent l="0" t="0" r="0" b="0"/>
            <wp:docPr id="15" name="Graf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24AD0D56" w14:textId="31A51009" w:rsidR="000D642E" w:rsidRDefault="000D642E" w:rsidP="00BA6B4E">
      <w:pPr>
        <w:spacing w:before="120" w:after="120"/>
        <w:rPr>
          <w:sz w:val="16"/>
        </w:rPr>
      </w:pPr>
      <w:r w:rsidRPr="00D92E20">
        <w:rPr>
          <w:sz w:val="16"/>
        </w:rPr>
        <w:t>Zdroj: ČSÚ</w:t>
      </w:r>
    </w:p>
    <w:p w14:paraId="7973FD37" w14:textId="43F1134E" w:rsidR="004A31C1" w:rsidRDefault="004A31C1" w:rsidP="004A31C1">
      <w:pPr>
        <w:spacing w:before="120" w:after="120"/>
        <w:jc w:val="both"/>
      </w:pPr>
      <w:r w:rsidRPr="0064296A">
        <w:t>Jak již bylo zmíněno výše, dočasná pracovní neschopnost v 1. pol. 202</w:t>
      </w:r>
      <w:r w:rsidR="00BC1D43">
        <w:t>2</w:t>
      </w:r>
      <w:r w:rsidRPr="0064296A">
        <w:t xml:space="preserve"> trvala v průměru </w:t>
      </w:r>
      <w:r w:rsidR="00BC1D43">
        <w:t>25</w:t>
      </w:r>
      <w:r w:rsidRPr="0064296A">
        <w:t xml:space="preserve"> dnů. </w:t>
      </w:r>
      <w:r w:rsidRPr="0064296A">
        <w:rPr>
          <w:b/>
        </w:rPr>
        <w:t xml:space="preserve">Odvětvím </w:t>
      </w:r>
      <w:r w:rsidRPr="0064296A">
        <w:t>s</w:t>
      </w:r>
      <w:r>
        <w:t xml:space="preserve"> nejvyšší</w:t>
      </w:r>
      <w:r w:rsidRPr="0064296A">
        <w:t xml:space="preserve"> průměrnou délkou trvání případu </w:t>
      </w:r>
      <w:r>
        <w:t xml:space="preserve">bylo </w:t>
      </w:r>
      <w:r w:rsidR="00CF385D">
        <w:t>Zemědělství, lesnictví, rybářství</w:t>
      </w:r>
      <w:r w:rsidRPr="0064296A">
        <w:t xml:space="preserve"> (</w:t>
      </w:r>
      <w:r w:rsidR="00CF385D">
        <w:t>35</w:t>
      </w:r>
      <w:r>
        <w:t xml:space="preserve"> dnů)</w:t>
      </w:r>
      <w:r w:rsidR="00CF385D">
        <w:t xml:space="preserve"> spolu se sekcí Ubytování, stravování a pohostinství (34 dnů)</w:t>
      </w:r>
      <w:r>
        <w:t xml:space="preserve">. </w:t>
      </w:r>
      <w:r w:rsidR="00185E38">
        <w:t xml:space="preserve">Dalšími odvětvími s průměrnou délkou dočasné pracovní neschopnosti nad 30 dnů bylo Stavebnictví (33) a Administrativní a podpůrné činnosti (31). </w:t>
      </w:r>
    </w:p>
    <w:p w14:paraId="30B64F1E" w14:textId="46ED321F" w:rsidR="00767C3C" w:rsidRPr="00671960" w:rsidRDefault="00767C3C" w:rsidP="00BA6B4E">
      <w:pPr>
        <w:spacing w:after="0"/>
        <w:jc w:val="both"/>
        <w:rPr>
          <w:b/>
          <w:spacing w:val="-2"/>
        </w:rPr>
      </w:pPr>
      <w:r w:rsidRPr="00671960">
        <w:rPr>
          <w:b/>
          <w:spacing w:val="-2"/>
        </w:rPr>
        <w:t xml:space="preserve">Graf 2.9: Průměrná délka trvání dočasné pracovní neschopnosti podle pohlaví, </w:t>
      </w:r>
      <w:r w:rsidR="009F34CD" w:rsidRPr="00671960">
        <w:rPr>
          <w:b/>
          <w:spacing w:val="-2"/>
        </w:rPr>
        <w:t>1. pol. 2012 až 1. pol. 2022</w:t>
      </w:r>
    </w:p>
    <w:p w14:paraId="5D05F170" w14:textId="5814A750" w:rsidR="00767C3C" w:rsidRPr="00D92E20" w:rsidRDefault="00CF385D" w:rsidP="003F1873">
      <w:pPr>
        <w:jc w:val="both"/>
        <w:rPr>
          <w:b/>
        </w:rPr>
      </w:pPr>
      <w:r>
        <w:rPr>
          <w:noProof/>
        </w:rPr>
        <w:drawing>
          <wp:inline distT="0" distB="0" distL="0" distR="0" wp14:anchorId="2B637EFB" wp14:editId="330FDBDA">
            <wp:extent cx="6115050" cy="3276600"/>
            <wp:effectExtent l="0" t="0" r="0" b="0"/>
            <wp:docPr id="17" name="Graf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480C30BA" w14:textId="77777777" w:rsidR="00767C3C" w:rsidRPr="00D92E20" w:rsidRDefault="00767C3C" w:rsidP="00BA6B4E">
      <w:pPr>
        <w:spacing w:before="120" w:after="120"/>
        <w:rPr>
          <w:sz w:val="16"/>
        </w:rPr>
      </w:pPr>
      <w:r w:rsidRPr="00D92E20">
        <w:rPr>
          <w:sz w:val="16"/>
        </w:rPr>
        <w:t>Zdroj: ČSÚ</w:t>
      </w:r>
    </w:p>
    <w:p w14:paraId="1CE15FB4" w14:textId="77777777" w:rsidR="00473D4E" w:rsidRDefault="00473D4E">
      <w:pPr>
        <w:spacing w:after="0" w:line="240" w:lineRule="auto"/>
        <w:rPr>
          <w:b/>
        </w:rPr>
      </w:pPr>
      <w:r>
        <w:rPr>
          <w:b/>
        </w:rPr>
        <w:br w:type="page"/>
      </w:r>
    </w:p>
    <w:p w14:paraId="1FD3E2D2" w14:textId="27FFD6D5" w:rsidR="00767C3C" w:rsidRPr="00D92E20" w:rsidRDefault="00767C3C" w:rsidP="00BA6B4E">
      <w:pPr>
        <w:spacing w:after="0"/>
        <w:jc w:val="both"/>
        <w:rPr>
          <w:b/>
        </w:rPr>
      </w:pPr>
      <w:r w:rsidRPr="00D92E20">
        <w:rPr>
          <w:b/>
        </w:rPr>
        <w:lastRenderedPageBreak/>
        <w:t xml:space="preserve">Graf 2.10: Průměrná délka trvání dočasné pracovní neschopnosti podle odvětví (sekce CZ-NACE), </w:t>
      </w:r>
      <w:r w:rsidR="0064296A">
        <w:rPr>
          <w:b/>
        </w:rPr>
        <w:br/>
      </w:r>
      <w:r w:rsidR="0064296A" w:rsidRPr="0064296A">
        <w:rPr>
          <w:b/>
        </w:rPr>
        <w:t>1. pol. 202</w:t>
      </w:r>
      <w:r w:rsidR="00CF385D">
        <w:rPr>
          <w:b/>
        </w:rPr>
        <w:t>2</w:t>
      </w:r>
    </w:p>
    <w:p w14:paraId="1EB14791" w14:textId="222BD3CF" w:rsidR="00184B5C" w:rsidRPr="00D92E20" w:rsidRDefault="00CF385D" w:rsidP="00184B5C">
      <w:r>
        <w:rPr>
          <w:noProof/>
        </w:rPr>
        <w:drawing>
          <wp:inline distT="0" distB="0" distL="0" distR="0" wp14:anchorId="06696752" wp14:editId="405DCBD2">
            <wp:extent cx="6115050" cy="4648200"/>
            <wp:effectExtent l="0" t="0" r="0" b="0"/>
            <wp:docPr id="44" name="Graf 44"/>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12133EC6" w14:textId="77777777" w:rsidR="00767C3C" w:rsidRPr="00D92E20" w:rsidRDefault="00767C3C" w:rsidP="00BA6B4E">
      <w:pPr>
        <w:spacing w:before="120" w:after="120"/>
        <w:rPr>
          <w:sz w:val="16"/>
        </w:rPr>
      </w:pPr>
      <w:r w:rsidRPr="00D92E20">
        <w:rPr>
          <w:sz w:val="16"/>
        </w:rPr>
        <w:t>Zdroj: ČSÚ</w:t>
      </w:r>
    </w:p>
    <w:p w14:paraId="29C3F421" w14:textId="013B8B8D" w:rsidR="004A31C1" w:rsidRPr="00CF385D" w:rsidRDefault="00404BB0" w:rsidP="004A31C1">
      <w:pPr>
        <w:spacing w:before="120" w:after="120"/>
        <w:jc w:val="both"/>
      </w:pPr>
      <w:r>
        <w:t>Nejkratší</w:t>
      </w:r>
      <w:r w:rsidR="004A31C1" w:rsidRPr="00CF385D">
        <w:t xml:space="preserve"> </w:t>
      </w:r>
      <w:r w:rsidR="00CF385D" w:rsidRPr="00CF385D">
        <w:t>doba (16, resp. 17</w:t>
      </w:r>
      <w:r w:rsidR="004A31C1" w:rsidRPr="00CF385D">
        <w:t xml:space="preserve"> dnů) připadala na pracovní neschopnost v odvětví </w:t>
      </w:r>
      <w:r w:rsidR="00CF385D" w:rsidRPr="00CF385D">
        <w:t xml:space="preserve">Vzdělávání a </w:t>
      </w:r>
      <w:r w:rsidR="004A31C1" w:rsidRPr="00CF385D">
        <w:t>Informační a</w:t>
      </w:r>
      <w:r w:rsidR="00CF385D" w:rsidRPr="00CF385D">
        <w:t> </w:t>
      </w:r>
      <w:r w:rsidR="004A31C1" w:rsidRPr="00CF385D">
        <w:t>komunikační činnosti. Dalším odvětvím s poměrně nízkou průměrnou d</w:t>
      </w:r>
      <w:r w:rsidR="00CF385D" w:rsidRPr="00CF385D">
        <w:t>élkou pracovní neschopnosti byla sekce Veřejná správa a obrana, povinné sociální zabezpečení</w:t>
      </w:r>
      <w:r w:rsidR="004A31C1" w:rsidRPr="00CF385D">
        <w:t xml:space="preserve"> (2</w:t>
      </w:r>
      <w:r w:rsidR="00CF385D" w:rsidRPr="00CF385D">
        <w:t>0</w:t>
      </w:r>
      <w:r w:rsidR="004A31C1" w:rsidRPr="00CF385D">
        <w:t xml:space="preserve"> dnů). Podrobněji viz graf 2.10 a tab. 2.6.</w:t>
      </w:r>
    </w:p>
    <w:p w14:paraId="6DD83D4B" w14:textId="2C8DD05E" w:rsidR="00502EDF" w:rsidRPr="00CF385D" w:rsidRDefault="00CF385D" w:rsidP="00BA6B4E">
      <w:pPr>
        <w:spacing w:after="120"/>
        <w:jc w:val="both"/>
      </w:pPr>
      <w:r w:rsidRPr="00CF385D">
        <w:t>Ve všech</w:t>
      </w:r>
      <w:r w:rsidR="00945181" w:rsidRPr="00CF385D">
        <w:t xml:space="preserve"> odvětví</w:t>
      </w:r>
      <w:r w:rsidRPr="00CF385D">
        <w:t>ch</w:t>
      </w:r>
      <w:r w:rsidR="00945181" w:rsidRPr="00CF385D">
        <w:t xml:space="preserve"> došlo </w:t>
      </w:r>
      <w:r w:rsidR="00270278" w:rsidRPr="00CF385D">
        <w:t xml:space="preserve">meziročně </w:t>
      </w:r>
      <w:r w:rsidR="00945181" w:rsidRPr="00CF385D">
        <w:t xml:space="preserve">ke </w:t>
      </w:r>
      <w:r w:rsidR="00126E91" w:rsidRPr="00CF385D">
        <w:t>zkrácení</w:t>
      </w:r>
      <w:r w:rsidR="00945181" w:rsidRPr="00CF385D">
        <w:t xml:space="preserve"> </w:t>
      </w:r>
      <w:r w:rsidR="00BE43F5" w:rsidRPr="00CF385D">
        <w:t xml:space="preserve">průměrné délky </w:t>
      </w:r>
      <w:r w:rsidR="00945181" w:rsidRPr="00CF385D">
        <w:t xml:space="preserve">pracovní neschopnosti. </w:t>
      </w:r>
      <w:r w:rsidRPr="00CF385D">
        <w:t>K</w:t>
      </w:r>
      <w:r w:rsidR="0044223A" w:rsidRPr="00CF385D">
        <w:t xml:space="preserve"> největšímu meziročnímu poklesu – o </w:t>
      </w:r>
      <w:r w:rsidRPr="00CF385D">
        <w:t>26</w:t>
      </w:r>
      <w:r w:rsidR="0044223A" w:rsidRPr="00CF385D">
        <w:t xml:space="preserve"> dnů, tedy o </w:t>
      </w:r>
      <w:r w:rsidRPr="00CF385D">
        <w:t>43 %</w:t>
      </w:r>
      <w:r w:rsidR="0044223A" w:rsidRPr="00CF385D">
        <w:t xml:space="preserve"> – došlo v odvětví </w:t>
      </w:r>
      <w:r w:rsidRPr="00CF385D">
        <w:rPr>
          <w:b/>
        </w:rPr>
        <w:t>Ubytování, stravování a pohostinství</w:t>
      </w:r>
      <w:r w:rsidRPr="00CF385D">
        <w:t>.</w:t>
      </w:r>
      <w:r w:rsidR="0044223A" w:rsidRPr="00CF385D">
        <w:t xml:space="preserve"> </w:t>
      </w:r>
      <w:r w:rsidR="00BA34E3">
        <w:t>D</w:t>
      </w:r>
      <w:r w:rsidR="0044223A" w:rsidRPr="00CF385D">
        <w:t xml:space="preserve">élka trvání pracovní neschopnosti </w:t>
      </w:r>
      <w:r w:rsidR="00BA34E3">
        <w:t xml:space="preserve">zde </w:t>
      </w:r>
      <w:r w:rsidR="0044223A" w:rsidRPr="00CF385D">
        <w:t xml:space="preserve">činila </w:t>
      </w:r>
      <w:r w:rsidRPr="00CF385D">
        <w:t xml:space="preserve">již zmíněných 34 dnů, </w:t>
      </w:r>
      <w:r w:rsidR="0044223A" w:rsidRPr="00CF385D">
        <w:t xml:space="preserve">tedy o </w:t>
      </w:r>
      <w:r w:rsidRPr="00CF385D">
        <w:t>9</w:t>
      </w:r>
      <w:r w:rsidR="00BE43F5" w:rsidRPr="00CF385D">
        <w:t xml:space="preserve"> dní</w:t>
      </w:r>
      <w:r w:rsidR="0044223A" w:rsidRPr="00CF385D">
        <w:t xml:space="preserve"> </w:t>
      </w:r>
      <w:r w:rsidR="008C0BDB" w:rsidRPr="00CF385D">
        <w:t>více</w:t>
      </w:r>
      <w:r w:rsidR="0044223A" w:rsidRPr="00CF385D">
        <w:t xml:space="preserve"> než byl průměr za všechna odvětví.</w:t>
      </w:r>
    </w:p>
    <w:p w14:paraId="1BB45092" w14:textId="1E2A5B88" w:rsidR="00473D4E" w:rsidRDefault="006C7D54" w:rsidP="00BA6B4E">
      <w:pPr>
        <w:spacing w:after="120"/>
        <w:jc w:val="both"/>
      </w:pPr>
      <w:r w:rsidRPr="00DE09A0">
        <w:t>V </w:t>
      </w:r>
      <w:r w:rsidRPr="00DE09A0">
        <w:rPr>
          <w:b/>
        </w:rPr>
        <w:t>regionálním</w:t>
      </w:r>
      <w:r w:rsidRPr="00DE09A0">
        <w:t xml:space="preserve"> srovnání</w:t>
      </w:r>
      <w:r w:rsidR="00BA6B4E" w:rsidRPr="00DE09A0">
        <w:t xml:space="preserve"> byla v</w:t>
      </w:r>
      <w:r w:rsidR="00DC0DB3" w:rsidRPr="00DE09A0">
        <w:t> 1. pol. 202</w:t>
      </w:r>
      <w:r w:rsidR="00CF385D" w:rsidRPr="00DE09A0">
        <w:t>2</w:t>
      </w:r>
      <w:r w:rsidR="00BA6B4E" w:rsidRPr="00DE09A0">
        <w:t xml:space="preserve"> nejdelší průměrná doba trvání dočasné pracovní neschopnosti zaznamenána v </w:t>
      </w:r>
      <w:r w:rsidR="00CF385D" w:rsidRPr="00DE09A0">
        <w:t>Moravskoslezském (28,2 dne) a Zlínském kraji (27,0 dne)</w:t>
      </w:r>
      <w:r w:rsidR="00BA6B4E" w:rsidRPr="00DE09A0">
        <w:t>. Kraji s nejkratší délkou trvání pracovní ne</w:t>
      </w:r>
      <w:r w:rsidR="00DC0DB3" w:rsidRPr="00DE09A0">
        <w:t>schopnosti byly Královéhradecký</w:t>
      </w:r>
      <w:r w:rsidR="00E10DD4" w:rsidRPr="00DE09A0">
        <w:t xml:space="preserve"> (</w:t>
      </w:r>
      <w:r w:rsidR="00CF385D" w:rsidRPr="00DE09A0">
        <w:t>22,6</w:t>
      </w:r>
      <w:r w:rsidR="00E10DD4" w:rsidRPr="00DE09A0">
        <w:t>)</w:t>
      </w:r>
      <w:r w:rsidR="00DC0DB3" w:rsidRPr="00DE09A0">
        <w:t>,</w:t>
      </w:r>
      <w:r w:rsidR="00BA6B4E" w:rsidRPr="00DE09A0">
        <w:t xml:space="preserve"> </w:t>
      </w:r>
      <w:r w:rsidR="00DC0DB3" w:rsidRPr="00DE09A0">
        <w:t>L</w:t>
      </w:r>
      <w:r w:rsidR="00BA6B4E" w:rsidRPr="00DE09A0">
        <w:t xml:space="preserve">iberecký </w:t>
      </w:r>
      <w:r w:rsidR="00E10DD4" w:rsidRPr="00DE09A0">
        <w:t>(</w:t>
      </w:r>
      <w:r w:rsidR="00CF385D" w:rsidRPr="00DE09A0">
        <w:t>2</w:t>
      </w:r>
      <w:r w:rsidR="00E10DD4" w:rsidRPr="00DE09A0">
        <w:t>2,</w:t>
      </w:r>
      <w:r w:rsidR="00CF385D" w:rsidRPr="00DE09A0">
        <w:t>8</w:t>
      </w:r>
      <w:r w:rsidR="00E10DD4" w:rsidRPr="00DE09A0">
        <w:t xml:space="preserve">) </w:t>
      </w:r>
      <w:r w:rsidR="00DC0DB3" w:rsidRPr="00DE09A0">
        <w:t xml:space="preserve">a Středočeský </w:t>
      </w:r>
      <w:r w:rsidR="00BA6B4E" w:rsidRPr="00DE09A0">
        <w:t>kraj</w:t>
      </w:r>
      <w:r w:rsidR="00E10DD4" w:rsidRPr="00DE09A0">
        <w:t xml:space="preserve"> (</w:t>
      </w:r>
      <w:r w:rsidR="00CF385D" w:rsidRPr="00DE09A0">
        <w:t>2</w:t>
      </w:r>
      <w:r w:rsidR="00E10DD4" w:rsidRPr="00DE09A0">
        <w:t>3,</w:t>
      </w:r>
      <w:r w:rsidR="00CF385D" w:rsidRPr="00DE09A0">
        <w:t>0</w:t>
      </w:r>
      <w:r w:rsidR="00E10DD4" w:rsidRPr="00DE09A0">
        <w:t>)</w:t>
      </w:r>
      <w:r w:rsidR="00DC0DB3" w:rsidRPr="00DE09A0">
        <w:t>.</w:t>
      </w:r>
      <w:r w:rsidR="00BA6B4E" w:rsidRPr="00DE09A0">
        <w:t xml:space="preserve"> </w:t>
      </w:r>
      <w:r w:rsidR="00E10DD4" w:rsidRPr="00DE09A0">
        <w:t>Dlouhodobě se mezi kraji s nejkratší dobou trvání pracovní neschopnosti</w:t>
      </w:r>
      <w:r w:rsidR="00DE09A0" w:rsidRPr="00DE09A0">
        <w:t xml:space="preserve"> pohybovala Praha, v 1. pol. 2022</w:t>
      </w:r>
      <w:r w:rsidR="00E10DD4" w:rsidRPr="00DE09A0">
        <w:t xml:space="preserve"> ji však s hodnotou </w:t>
      </w:r>
      <w:r w:rsidR="00DE09A0" w:rsidRPr="00DE09A0">
        <w:t xml:space="preserve">23,3 dne </w:t>
      </w:r>
      <w:r w:rsidR="00E10DD4" w:rsidRPr="00DE09A0">
        <w:t xml:space="preserve">patřilo </w:t>
      </w:r>
      <w:r w:rsidR="00DE09A0" w:rsidRPr="00DE09A0">
        <w:t>5</w:t>
      </w:r>
      <w:r w:rsidR="00E10DD4" w:rsidRPr="00DE09A0">
        <w:t xml:space="preserve">. místo. </w:t>
      </w:r>
      <w:r w:rsidR="00BA6B4E" w:rsidRPr="00DE09A0">
        <w:t xml:space="preserve">Ve všech krajích ČR hodnoty tohoto ukazatele </w:t>
      </w:r>
      <w:r w:rsidR="00185E38">
        <w:t xml:space="preserve">za poslední 3 roky </w:t>
      </w:r>
      <w:r w:rsidR="00BA6B4E" w:rsidRPr="00DE09A0">
        <w:t>poklesly.</w:t>
      </w:r>
      <w:r w:rsidR="00185E38">
        <w:t xml:space="preserve"> Nejvíce ve Zlínském (-22 dnů, tj. 45 %) a nejméně v Karlovarském kraji (-16 dnů, 38 %).</w:t>
      </w:r>
    </w:p>
    <w:p w14:paraId="4A5E492F" w14:textId="21393109" w:rsidR="00BA6B4E" w:rsidRPr="00E10DD4" w:rsidRDefault="00473D4E" w:rsidP="00473D4E">
      <w:pPr>
        <w:spacing w:after="0" w:line="240" w:lineRule="auto"/>
      </w:pPr>
      <w:r>
        <w:br w:type="page"/>
      </w:r>
    </w:p>
    <w:p w14:paraId="17909FC9" w14:textId="647CDB20" w:rsidR="00502EDF" w:rsidRPr="00DC0DB3" w:rsidRDefault="00502EDF" w:rsidP="00BA6B4E">
      <w:pPr>
        <w:spacing w:after="0"/>
        <w:jc w:val="both"/>
        <w:rPr>
          <w:b/>
        </w:rPr>
      </w:pPr>
      <w:r w:rsidRPr="00DC0DB3">
        <w:rPr>
          <w:b/>
        </w:rPr>
        <w:lastRenderedPageBreak/>
        <w:t xml:space="preserve">Tab. 2.6: Průměrná délka trvání dočasné pracovní neschopnosti podle odvětví (sekce CZ-NACE), </w:t>
      </w:r>
      <w:r w:rsidR="00DC0DB3">
        <w:rPr>
          <w:b/>
        </w:rPr>
        <w:br/>
      </w:r>
      <w:r w:rsidR="009F34CD" w:rsidRPr="0050059C">
        <w:rPr>
          <w:b/>
          <w:spacing w:val="-2"/>
        </w:rPr>
        <w:t>1. pol. 201</w:t>
      </w:r>
      <w:r w:rsidR="009F34CD">
        <w:rPr>
          <w:b/>
          <w:spacing w:val="-2"/>
        </w:rPr>
        <w:t>2</w:t>
      </w:r>
      <w:r w:rsidR="009F34CD" w:rsidRPr="0050059C">
        <w:rPr>
          <w:b/>
          <w:spacing w:val="-2"/>
        </w:rPr>
        <w:t xml:space="preserve"> až 1. pol. 202</w:t>
      </w:r>
      <w:r w:rsidR="009F34CD">
        <w:rPr>
          <w:b/>
          <w:spacing w:val="-2"/>
        </w:rPr>
        <w:t>2</w:t>
      </w:r>
    </w:p>
    <w:tbl>
      <w:tblPr>
        <w:tblW w:w="9720" w:type="dxa"/>
        <w:tblCellMar>
          <w:left w:w="70" w:type="dxa"/>
          <w:right w:w="70" w:type="dxa"/>
        </w:tblCellMar>
        <w:tblLook w:val="04A0" w:firstRow="1" w:lastRow="0" w:firstColumn="1" w:lastColumn="0" w:noHBand="0" w:noVBand="1"/>
      </w:tblPr>
      <w:tblGrid>
        <w:gridCol w:w="3175"/>
        <w:gridCol w:w="595"/>
        <w:gridCol w:w="595"/>
        <w:gridCol w:w="595"/>
        <w:gridCol w:w="595"/>
        <w:gridCol w:w="595"/>
        <w:gridCol w:w="595"/>
        <w:gridCol w:w="595"/>
        <w:gridCol w:w="595"/>
        <w:gridCol w:w="595"/>
        <w:gridCol w:w="595"/>
        <w:gridCol w:w="595"/>
      </w:tblGrid>
      <w:tr w:rsidR="00DE09A0" w:rsidRPr="00D92E20" w14:paraId="6A890C8A" w14:textId="77777777" w:rsidTr="00DC0DB3">
        <w:trPr>
          <w:trHeight w:val="300"/>
        </w:trPr>
        <w:tc>
          <w:tcPr>
            <w:tcW w:w="3175" w:type="dxa"/>
            <w:tcBorders>
              <w:top w:val="single" w:sz="4" w:space="0" w:color="auto"/>
              <w:left w:val="nil"/>
              <w:bottom w:val="single" w:sz="4" w:space="0" w:color="auto"/>
              <w:right w:val="single" w:sz="4" w:space="0" w:color="auto"/>
            </w:tcBorders>
            <w:shd w:val="clear" w:color="000000" w:fill="F5DADD"/>
            <w:vAlign w:val="center"/>
            <w:hideMark/>
          </w:tcPr>
          <w:p w14:paraId="224E9BF1" w14:textId="77777777" w:rsidR="00DE09A0" w:rsidRPr="00D92E20" w:rsidRDefault="00DE09A0" w:rsidP="00DE09A0">
            <w:pPr>
              <w:spacing w:after="0" w:line="240" w:lineRule="auto"/>
              <w:jc w:val="center"/>
              <w:rPr>
                <w:rFonts w:cs="Arial"/>
                <w:color w:val="000000"/>
                <w:sz w:val="16"/>
                <w:szCs w:val="16"/>
              </w:rPr>
            </w:pPr>
            <w:r w:rsidRPr="00D92E20">
              <w:rPr>
                <w:rFonts w:cs="Arial"/>
                <w:color w:val="000000"/>
                <w:sz w:val="16"/>
                <w:szCs w:val="16"/>
              </w:rPr>
              <w:t>Sekce CZ-NACE</w:t>
            </w:r>
          </w:p>
        </w:tc>
        <w:tc>
          <w:tcPr>
            <w:tcW w:w="595" w:type="dxa"/>
            <w:tcBorders>
              <w:top w:val="single" w:sz="4" w:space="0" w:color="auto"/>
              <w:left w:val="nil"/>
              <w:bottom w:val="single" w:sz="4" w:space="0" w:color="auto"/>
              <w:right w:val="nil"/>
            </w:tcBorders>
            <w:shd w:val="clear" w:color="000000" w:fill="F5DADD"/>
            <w:noWrap/>
            <w:vAlign w:val="bottom"/>
            <w:hideMark/>
          </w:tcPr>
          <w:p w14:paraId="3CC12FB0" w14:textId="2708EF81" w:rsidR="00DE09A0" w:rsidRPr="00D92E20" w:rsidRDefault="00DE09A0" w:rsidP="00DE09A0">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2012</w:t>
            </w:r>
          </w:p>
        </w:tc>
        <w:tc>
          <w:tcPr>
            <w:tcW w:w="595" w:type="dxa"/>
            <w:tcBorders>
              <w:top w:val="single" w:sz="4" w:space="0" w:color="auto"/>
              <w:left w:val="nil"/>
              <w:bottom w:val="single" w:sz="4" w:space="0" w:color="auto"/>
              <w:right w:val="nil"/>
            </w:tcBorders>
            <w:shd w:val="clear" w:color="000000" w:fill="F5DADD"/>
            <w:noWrap/>
            <w:vAlign w:val="bottom"/>
            <w:hideMark/>
          </w:tcPr>
          <w:p w14:paraId="5A4F432F" w14:textId="470A22C7" w:rsidR="00DE09A0" w:rsidRPr="00D92E20" w:rsidRDefault="00DE09A0" w:rsidP="00DE09A0">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2013</w:t>
            </w:r>
          </w:p>
        </w:tc>
        <w:tc>
          <w:tcPr>
            <w:tcW w:w="595" w:type="dxa"/>
            <w:tcBorders>
              <w:top w:val="single" w:sz="4" w:space="0" w:color="auto"/>
              <w:left w:val="nil"/>
              <w:bottom w:val="single" w:sz="4" w:space="0" w:color="auto"/>
              <w:right w:val="nil"/>
            </w:tcBorders>
            <w:shd w:val="clear" w:color="000000" w:fill="F5DADD"/>
            <w:noWrap/>
            <w:vAlign w:val="bottom"/>
            <w:hideMark/>
          </w:tcPr>
          <w:p w14:paraId="2DD15085" w14:textId="6DC4A80F" w:rsidR="00DE09A0" w:rsidRPr="00D92E20" w:rsidRDefault="00DE09A0" w:rsidP="00DE09A0">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2014</w:t>
            </w:r>
          </w:p>
        </w:tc>
        <w:tc>
          <w:tcPr>
            <w:tcW w:w="595" w:type="dxa"/>
            <w:tcBorders>
              <w:top w:val="single" w:sz="4" w:space="0" w:color="auto"/>
              <w:left w:val="nil"/>
              <w:bottom w:val="single" w:sz="4" w:space="0" w:color="auto"/>
              <w:right w:val="nil"/>
            </w:tcBorders>
            <w:shd w:val="clear" w:color="000000" w:fill="F5DADD"/>
            <w:noWrap/>
            <w:vAlign w:val="bottom"/>
            <w:hideMark/>
          </w:tcPr>
          <w:p w14:paraId="520ACE1D" w14:textId="6685D0EF" w:rsidR="00DE09A0" w:rsidRPr="00D92E20" w:rsidRDefault="00DE09A0" w:rsidP="00DE09A0">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2015</w:t>
            </w:r>
          </w:p>
        </w:tc>
        <w:tc>
          <w:tcPr>
            <w:tcW w:w="595" w:type="dxa"/>
            <w:tcBorders>
              <w:top w:val="single" w:sz="4" w:space="0" w:color="auto"/>
              <w:left w:val="nil"/>
              <w:bottom w:val="single" w:sz="4" w:space="0" w:color="auto"/>
              <w:right w:val="nil"/>
            </w:tcBorders>
            <w:shd w:val="clear" w:color="000000" w:fill="F5DADD"/>
            <w:noWrap/>
            <w:vAlign w:val="bottom"/>
            <w:hideMark/>
          </w:tcPr>
          <w:p w14:paraId="03921989" w14:textId="34563C61" w:rsidR="00DE09A0" w:rsidRPr="00D92E20" w:rsidRDefault="00DE09A0" w:rsidP="00DE09A0">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2016</w:t>
            </w:r>
          </w:p>
        </w:tc>
        <w:tc>
          <w:tcPr>
            <w:tcW w:w="595" w:type="dxa"/>
            <w:tcBorders>
              <w:top w:val="single" w:sz="4" w:space="0" w:color="auto"/>
              <w:left w:val="nil"/>
              <w:bottom w:val="single" w:sz="4" w:space="0" w:color="auto"/>
              <w:right w:val="nil"/>
            </w:tcBorders>
            <w:shd w:val="clear" w:color="000000" w:fill="F5DADD"/>
            <w:noWrap/>
            <w:vAlign w:val="bottom"/>
            <w:hideMark/>
          </w:tcPr>
          <w:p w14:paraId="16EA5EEF" w14:textId="0A73C6EA" w:rsidR="00DE09A0" w:rsidRPr="00D92E20" w:rsidRDefault="00DE09A0" w:rsidP="00DE09A0">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2017</w:t>
            </w:r>
          </w:p>
        </w:tc>
        <w:tc>
          <w:tcPr>
            <w:tcW w:w="595" w:type="dxa"/>
            <w:tcBorders>
              <w:top w:val="single" w:sz="4" w:space="0" w:color="auto"/>
              <w:left w:val="nil"/>
              <w:bottom w:val="single" w:sz="4" w:space="0" w:color="auto"/>
              <w:right w:val="nil"/>
            </w:tcBorders>
            <w:shd w:val="clear" w:color="000000" w:fill="F5DADD"/>
            <w:noWrap/>
            <w:vAlign w:val="bottom"/>
            <w:hideMark/>
          </w:tcPr>
          <w:p w14:paraId="3848B936" w14:textId="7D4C7232" w:rsidR="00DE09A0" w:rsidRPr="00D92E20" w:rsidRDefault="00DE09A0" w:rsidP="00DE09A0">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2018</w:t>
            </w:r>
          </w:p>
        </w:tc>
        <w:tc>
          <w:tcPr>
            <w:tcW w:w="595" w:type="dxa"/>
            <w:tcBorders>
              <w:top w:val="single" w:sz="4" w:space="0" w:color="auto"/>
              <w:left w:val="nil"/>
              <w:bottom w:val="single" w:sz="4" w:space="0" w:color="auto"/>
              <w:right w:val="nil"/>
            </w:tcBorders>
            <w:shd w:val="clear" w:color="000000" w:fill="F5DADD"/>
            <w:noWrap/>
            <w:vAlign w:val="bottom"/>
            <w:hideMark/>
          </w:tcPr>
          <w:p w14:paraId="58F623E8" w14:textId="595987F3" w:rsidR="00DE09A0" w:rsidRPr="00D92E20" w:rsidRDefault="00DE09A0" w:rsidP="00DE09A0">
            <w:pPr>
              <w:spacing w:after="0" w:line="240" w:lineRule="auto"/>
              <w:jc w:val="center"/>
              <w:rPr>
                <w:rFonts w:cs="Arial"/>
                <w:color w:val="000000"/>
                <w:sz w:val="16"/>
                <w:szCs w:val="16"/>
              </w:rPr>
            </w:pPr>
            <w:r>
              <w:rPr>
                <w:rFonts w:cs="Arial"/>
                <w:sz w:val="16"/>
                <w:szCs w:val="16"/>
              </w:rPr>
              <w:t>1. pol. 2019</w:t>
            </w:r>
          </w:p>
        </w:tc>
        <w:tc>
          <w:tcPr>
            <w:tcW w:w="595" w:type="dxa"/>
            <w:tcBorders>
              <w:top w:val="single" w:sz="4" w:space="0" w:color="auto"/>
              <w:left w:val="nil"/>
              <w:bottom w:val="single" w:sz="4" w:space="0" w:color="auto"/>
              <w:right w:val="nil"/>
            </w:tcBorders>
            <w:shd w:val="clear" w:color="000000" w:fill="F5DADD"/>
            <w:noWrap/>
            <w:vAlign w:val="bottom"/>
            <w:hideMark/>
          </w:tcPr>
          <w:p w14:paraId="75CC6C92" w14:textId="45E5397C" w:rsidR="00DE09A0" w:rsidRPr="00D92E20" w:rsidRDefault="00DE09A0" w:rsidP="00DE09A0">
            <w:pPr>
              <w:spacing w:after="0" w:line="240" w:lineRule="auto"/>
              <w:jc w:val="center"/>
              <w:rPr>
                <w:rFonts w:cs="Arial"/>
                <w:color w:val="000000"/>
                <w:sz w:val="16"/>
                <w:szCs w:val="16"/>
              </w:rPr>
            </w:pPr>
            <w:r>
              <w:rPr>
                <w:rFonts w:cs="Arial"/>
                <w:sz w:val="16"/>
                <w:szCs w:val="16"/>
              </w:rPr>
              <w:t>1. pol. 2020</w:t>
            </w:r>
          </w:p>
        </w:tc>
        <w:tc>
          <w:tcPr>
            <w:tcW w:w="595" w:type="dxa"/>
            <w:tcBorders>
              <w:top w:val="single" w:sz="4" w:space="0" w:color="auto"/>
              <w:left w:val="nil"/>
              <w:bottom w:val="single" w:sz="4" w:space="0" w:color="auto"/>
              <w:right w:val="nil"/>
            </w:tcBorders>
            <w:shd w:val="clear" w:color="000000" w:fill="F5DADD"/>
            <w:noWrap/>
            <w:vAlign w:val="bottom"/>
            <w:hideMark/>
          </w:tcPr>
          <w:p w14:paraId="3E6E0F74" w14:textId="40BDA701" w:rsidR="00DE09A0" w:rsidRPr="00D92E20" w:rsidRDefault="00DE09A0" w:rsidP="00DE09A0">
            <w:pPr>
              <w:spacing w:after="0" w:line="240" w:lineRule="auto"/>
              <w:jc w:val="center"/>
              <w:rPr>
                <w:rFonts w:cs="Arial"/>
                <w:color w:val="000000"/>
                <w:sz w:val="16"/>
                <w:szCs w:val="16"/>
              </w:rPr>
            </w:pPr>
            <w:r>
              <w:rPr>
                <w:rFonts w:cs="Arial"/>
                <w:sz w:val="16"/>
                <w:szCs w:val="16"/>
              </w:rPr>
              <w:t>1. pol. 2021</w:t>
            </w:r>
          </w:p>
        </w:tc>
        <w:tc>
          <w:tcPr>
            <w:tcW w:w="595" w:type="dxa"/>
            <w:tcBorders>
              <w:top w:val="single" w:sz="4" w:space="0" w:color="auto"/>
              <w:left w:val="nil"/>
              <w:bottom w:val="single" w:sz="4" w:space="0" w:color="auto"/>
              <w:right w:val="nil"/>
            </w:tcBorders>
            <w:shd w:val="clear" w:color="000000" w:fill="F5DADD"/>
            <w:noWrap/>
            <w:vAlign w:val="bottom"/>
            <w:hideMark/>
          </w:tcPr>
          <w:p w14:paraId="1F53BD12" w14:textId="4BF89E7B" w:rsidR="00DE09A0" w:rsidRPr="00D92E20" w:rsidRDefault="00DE09A0" w:rsidP="00DE09A0">
            <w:pPr>
              <w:spacing w:after="0" w:line="240" w:lineRule="auto"/>
              <w:jc w:val="center"/>
              <w:rPr>
                <w:rFonts w:cs="Arial"/>
                <w:color w:val="000000"/>
                <w:sz w:val="16"/>
                <w:szCs w:val="16"/>
              </w:rPr>
            </w:pPr>
            <w:r>
              <w:rPr>
                <w:rFonts w:cs="Arial"/>
                <w:sz w:val="16"/>
                <w:szCs w:val="16"/>
              </w:rPr>
              <w:t>1. pol. 2022</w:t>
            </w:r>
          </w:p>
        </w:tc>
      </w:tr>
      <w:tr w:rsidR="00DE09A0" w:rsidRPr="00D92E20" w14:paraId="7279222D" w14:textId="77777777" w:rsidTr="00DC0DB3">
        <w:trPr>
          <w:trHeight w:val="300"/>
        </w:trPr>
        <w:tc>
          <w:tcPr>
            <w:tcW w:w="3175" w:type="dxa"/>
            <w:tcBorders>
              <w:top w:val="nil"/>
              <w:left w:val="nil"/>
              <w:bottom w:val="nil"/>
              <w:right w:val="single" w:sz="4" w:space="0" w:color="auto"/>
            </w:tcBorders>
            <w:shd w:val="clear" w:color="auto" w:fill="auto"/>
            <w:vAlign w:val="center"/>
            <w:hideMark/>
          </w:tcPr>
          <w:p w14:paraId="26B30265" w14:textId="77777777" w:rsidR="00DE09A0" w:rsidRPr="00D92E20" w:rsidRDefault="00DE09A0" w:rsidP="00DE09A0">
            <w:pPr>
              <w:spacing w:after="0" w:line="240" w:lineRule="auto"/>
              <w:rPr>
                <w:rFonts w:cs="Arial"/>
                <w:b/>
                <w:bCs/>
                <w:color w:val="000000"/>
                <w:sz w:val="16"/>
                <w:szCs w:val="16"/>
              </w:rPr>
            </w:pPr>
            <w:r w:rsidRPr="00D92E20">
              <w:rPr>
                <w:rFonts w:cs="Arial"/>
                <w:b/>
                <w:bCs/>
                <w:color w:val="000000"/>
                <w:sz w:val="16"/>
                <w:szCs w:val="16"/>
              </w:rPr>
              <w:t>Celkem</w:t>
            </w:r>
          </w:p>
        </w:tc>
        <w:tc>
          <w:tcPr>
            <w:tcW w:w="595" w:type="dxa"/>
            <w:tcBorders>
              <w:top w:val="nil"/>
              <w:left w:val="nil"/>
              <w:bottom w:val="nil"/>
              <w:right w:val="nil"/>
            </w:tcBorders>
            <w:shd w:val="clear" w:color="auto" w:fill="auto"/>
            <w:noWrap/>
            <w:vAlign w:val="center"/>
            <w:hideMark/>
          </w:tcPr>
          <w:p w14:paraId="3C6FA4A0" w14:textId="2EFC9CDF" w:rsidR="00DE09A0" w:rsidRPr="00D92E20" w:rsidRDefault="00DE09A0" w:rsidP="00DE09A0">
            <w:pPr>
              <w:spacing w:after="0" w:line="240" w:lineRule="auto"/>
              <w:jc w:val="center"/>
              <w:rPr>
                <w:rFonts w:cs="Arial"/>
                <w:b/>
                <w:bCs/>
                <w:color w:val="000000"/>
                <w:sz w:val="16"/>
                <w:szCs w:val="16"/>
              </w:rPr>
            </w:pPr>
            <w:r>
              <w:rPr>
                <w:rFonts w:cs="Arial"/>
                <w:b/>
                <w:bCs/>
                <w:sz w:val="16"/>
                <w:szCs w:val="16"/>
              </w:rPr>
              <w:t>47,7</w:t>
            </w:r>
          </w:p>
        </w:tc>
        <w:tc>
          <w:tcPr>
            <w:tcW w:w="595" w:type="dxa"/>
            <w:tcBorders>
              <w:top w:val="nil"/>
              <w:left w:val="nil"/>
              <w:bottom w:val="nil"/>
              <w:right w:val="nil"/>
            </w:tcBorders>
            <w:shd w:val="clear" w:color="auto" w:fill="auto"/>
            <w:noWrap/>
            <w:vAlign w:val="center"/>
            <w:hideMark/>
          </w:tcPr>
          <w:p w14:paraId="220B4FFD" w14:textId="1D3E1369" w:rsidR="00DE09A0" w:rsidRPr="00D92E20" w:rsidRDefault="00DE09A0" w:rsidP="00DE09A0">
            <w:pPr>
              <w:spacing w:after="0" w:line="240" w:lineRule="auto"/>
              <w:jc w:val="center"/>
              <w:rPr>
                <w:rFonts w:cs="Arial"/>
                <w:b/>
                <w:bCs/>
                <w:color w:val="000000"/>
                <w:sz w:val="16"/>
                <w:szCs w:val="16"/>
              </w:rPr>
            </w:pPr>
            <w:r>
              <w:rPr>
                <w:rFonts w:cs="Arial"/>
                <w:b/>
                <w:bCs/>
                <w:sz w:val="16"/>
                <w:szCs w:val="16"/>
              </w:rPr>
              <w:t>42,2</w:t>
            </w:r>
          </w:p>
        </w:tc>
        <w:tc>
          <w:tcPr>
            <w:tcW w:w="595" w:type="dxa"/>
            <w:tcBorders>
              <w:top w:val="nil"/>
              <w:left w:val="nil"/>
              <w:bottom w:val="nil"/>
              <w:right w:val="nil"/>
            </w:tcBorders>
            <w:shd w:val="clear" w:color="auto" w:fill="auto"/>
            <w:noWrap/>
            <w:vAlign w:val="center"/>
            <w:hideMark/>
          </w:tcPr>
          <w:p w14:paraId="270869CA" w14:textId="23B6E370" w:rsidR="00DE09A0" w:rsidRPr="00D92E20" w:rsidRDefault="00DE09A0" w:rsidP="00DE09A0">
            <w:pPr>
              <w:spacing w:after="0" w:line="240" w:lineRule="auto"/>
              <w:jc w:val="center"/>
              <w:rPr>
                <w:rFonts w:cs="Arial"/>
                <w:b/>
                <w:bCs/>
                <w:color w:val="000000"/>
                <w:sz w:val="16"/>
                <w:szCs w:val="16"/>
              </w:rPr>
            </w:pPr>
            <w:r>
              <w:rPr>
                <w:rFonts w:cs="Arial"/>
                <w:b/>
                <w:bCs/>
                <w:sz w:val="16"/>
                <w:szCs w:val="16"/>
              </w:rPr>
              <w:t>45,9</w:t>
            </w:r>
          </w:p>
        </w:tc>
        <w:tc>
          <w:tcPr>
            <w:tcW w:w="595" w:type="dxa"/>
            <w:tcBorders>
              <w:top w:val="nil"/>
              <w:left w:val="nil"/>
              <w:bottom w:val="nil"/>
              <w:right w:val="nil"/>
            </w:tcBorders>
            <w:shd w:val="clear" w:color="auto" w:fill="auto"/>
            <w:noWrap/>
            <w:vAlign w:val="center"/>
            <w:hideMark/>
          </w:tcPr>
          <w:p w14:paraId="08CF2BCD" w14:textId="4254E472" w:rsidR="00DE09A0" w:rsidRPr="00D92E20" w:rsidRDefault="00DE09A0" w:rsidP="00DE09A0">
            <w:pPr>
              <w:spacing w:after="0" w:line="240" w:lineRule="auto"/>
              <w:jc w:val="center"/>
              <w:rPr>
                <w:rFonts w:cs="Arial"/>
                <w:b/>
                <w:bCs/>
                <w:color w:val="000000"/>
                <w:sz w:val="16"/>
                <w:szCs w:val="16"/>
              </w:rPr>
            </w:pPr>
            <w:r>
              <w:rPr>
                <w:rFonts w:cs="Arial"/>
                <w:b/>
                <w:bCs/>
                <w:sz w:val="16"/>
                <w:szCs w:val="16"/>
              </w:rPr>
              <w:t>40,1</w:t>
            </w:r>
          </w:p>
        </w:tc>
        <w:tc>
          <w:tcPr>
            <w:tcW w:w="595" w:type="dxa"/>
            <w:tcBorders>
              <w:top w:val="nil"/>
              <w:left w:val="nil"/>
              <w:bottom w:val="nil"/>
              <w:right w:val="nil"/>
            </w:tcBorders>
            <w:shd w:val="clear" w:color="auto" w:fill="auto"/>
            <w:noWrap/>
            <w:vAlign w:val="center"/>
            <w:hideMark/>
          </w:tcPr>
          <w:p w14:paraId="0ECFFA8B" w14:textId="45D28A9C" w:rsidR="00DE09A0" w:rsidRPr="00D92E20" w:rsidRDefault="00DE09A0" w:rsidP="00DE09A0">
            <w:pPr>
              <w:spacing w:after="0" w:line="240" w:lineRule="auto"/>
              <w:jc w:val="center"/>
              <w:rPr>
                <w:rFonts w:cs="Arial"/>
                <w:b/>
                <w:bCs/>
                <w:color w:val="000000"/>
                <w:sz w:val="16"/>
                <w:szCs w:val="16"/>
              </w:rPr>
            </w:pPr>
            <w:r>
              <w:rPr>
                <w:rFonts w:cs="Arial"/>
                <w:b/>
                <w:bCs/>
                <w:color w:val="000000"/>
                <w:sz w:val="16"/>
                <w:szCs w:val="16"/>
              </w:rPr>
              <w:t>42,0</w:t>
            </w:r>
          </w:p>
        </w:tc>
        <w:tc>
          <w:tcPr>
            <w:tcW w:w="595" w:type="dxa"/>
            <w:tcBorders>
              <w:top w:val="nil"/>
              <w:left w:val="nil"/>
              <w:bottom w:val="nil"/>
              <w:right w:val="nil"/>
            </w:tcBorders>
            <w:shd w:val="clear" w:color="auto" w:fill="auto"/>
            <w:noWrap/>
            <w:vAlign w:val="center"/>
            <w:hideMark/>
          </w:tcPr>
          <w:p w14:paraId="5BCB5A45" w14:textId="1015DF44" w:rsidR="00DE09A0" w:rsidRPr="00D92E20" w:rsidRDefault="00DE09A0" w:rsidP="00DE09A0">
            <w:pPr>
              <w:spacing w:after="0" w:line="240" w:lineRule="auto"/>
              <w:jc w:val="center"/>
              <w:rPr>
                <w:rFonts w:cs="Arial"/>
                <w:b/>
                <w:bCs/>
                <w:color w:val="000000"/>
                <w:sz w:val="16"/>
                <w:szCs w:val="16"/>
              </w:rPr>
            </w:pPr>
            <w:r>
              <w:rPr>
                <w:rFonts w:cs="Arial"/>
                <w:b/>
                <w:bCs/>
                <w:color w:val="000000"/>
                <w:sz w:val="16"/>
                <w:szCs w:val="16"/>
              </w:rPr>
              <w:t>41,0</w:t>
            </w:r>
          </w:p>
        </w:tc>
        <w:tc>
          <w:tcPr>
            <w:tcW w:w="595" w:type="dxa"/>
            <w:tcBorders>
              <w:top w:val="nil"/>
              <w:left w:val="nil"/>
              <w:bottom w:val="nil"/>
              <w:right w:val="nil"/>
            </w:tcBorders>
            <w:shd w:val="clear" w:color="auto" w:fill="auto"/>
            <w:noWrap/>
            <w:vAlign w:val="center"/>
            <w:hideMark/>
          </w:tcPr>
          <w:p w14:paraId="2352F69D" w14:textId="7FFA6228" w:rsidR="00DE09A0" w:rsidRPr="00D92E20" w:rsidRDefault="00DE09A0" w:rsidP="00DE09A0">
            <w:pPr>
              <w:spacing w:after="0" w:line="240" w:lineRule="auto"/>
              <w:jc w:val="center"/>
              <w:rPr>
                <w:rFonts w:cs="Arial"/>
                <w:b/>
                <w:bCs/>
                <w:color w:val="000000"/>
                <w:sz w:val="16"/>
                <w:szCs w:val="16"/>
              </w:rPr>
            </w:pPr>
            <w:r>
              <w:rPr>
                <w:rFonts w:cs="Arial"/>
                <w:b/>
                <w:bCs/>
                <w:color w:val="000000"/>
                <w:sz w:val="16"/>
                <w:szCs w:val="16"/>
              </w:rPr>
              <w:t>39,1</w:t>
            </w:r>
          </w:p>
        </w:tc>
        <w:tc>
          <w:tcPr>
            <w:tcW w:w="595" w:type="dxa"/>
            <w:tcBorders>
              <w:top w:val="nil"/>
              <w:left w:val="nil"/>
              <w:bottom w:val="nil"/>
              <w:right w:val="nil"/>
            </w:tcBorders>
            <w:shd w:val="clear" w:color="auto" w:fill="auto"/>
            <w:noWrap/>
            <w:vAlign w:val="center"/>
            <w:hideMark/>
          </w:tcPr>
          <w:p w14:paraId="40CBADF1" w14:textId="3497CE5C" w:rsidR="00DE09A0" w:rsidRPr="00D92E20" w:rsidRDefault="00DE09A0" w:rsidP="00DE09A0">
            <w:pPr>
              <w:spacing w:after="0" w:line="240" w:lineRule="auto"/>
              <w:jc w:val="center"/>
              <w:rPr>
                <w:rFonts w:cs="Arial"/>
                <w:b/>
                <w:bCs/>
                <w:color w:val="000000"/>
                <w:sz w:val="16"/>
                <w:szCs w:val="16"/>
              </w:rPr>
            </w:pPr>
            <w:r>
              <w:rPr>
                <w:rFonts w:cs="Arial"/>
                <w:b/>
                <w:bCs/>
                <w:color w:val="000000"/>
                <w:sz w:val="16"/>
                <w:szCs w:val="16"/>
              </w:rPr>
              <w:t>42,6</w:t>
            </w:r>
          </w:p>
        </w:tc>
        <w:tc>
          <w:tcPr>
            <w:tcW w:w="595" w:type="dxa"/>
            <w:tcBorders>
              <w:top w:val="nil"/>
              <w:left w:val="nil"/>
              <w:bottom w:val="nil"/>
              <w:right w:val="nil"/>
            </w:tcBorders>
            <w:shd w:val="clear" w:color="auto" w:fill="auto"/>
            <w:noWrap/>
            <w:vAlign w:val="center"/>
            <w:hideMark/>
          </w:tcPr>
          <w:p w14:paraId="60DCC646" w14:textId="74969B0A" w:rsidR="00DE09A0" w:rsidRPr="00D92E20" w:rsidRDefault="00DE09A0" w:rsidP="00DE09A0">
            <w:pPr>
              <w:spacing w:after="0" w:line="240" w:lineRule="auto"/>
              <w:jc w:val="center"/>
              <w:rPr>
                <w:rFonts w:cs="Arial"/>
                <w:b/>
                <w:bCs/>
                <w:color w:val="000000"/>
                <w:sz w:val="16"/>
                <w:szCs w:val="16"/>
              </w:rPr>
            </w:pPr>
            <w:r>
              <w:rPr>
                <w:rFonts w:cs="Arial"/>
                <w:b/>
                <w:bCs/>
                <w:color w:val="000000"/>
                <w:sz w:val="16"/>
                <w:szCs w:val="16"/>
              </w:rPr>
              <w:t>44,3</w:t>
            </w:r>
          </w:p>
        </w:tc>
        <w:tc>
          <w:tcPr>
            <w:tcW w:w="595" w:type="dxa"/>
            <w:tcBorders>
              <w:top w:val="nil"/>
              <w:left w:val="nil"/>
              <w:bottom w:val="nil"/>
              <w:right w:val="nil"/>
            </w:tcBorders>
            <w:shd w:val="clear" w:color="auto" w:fill="auto"/>
            <w:noWrap/>
            <w:vAlign w:val="center"/>
            <w:hideMark/>
          </w:tcPr>
          <w:p w14:paraId="10AF4F76" w14:textId="75672002" w:rsidR="00DE09A0" w:rsidRPr="00D92E20" w:rsidRDefault="00DE09A0" w:rsidP="00DE09A0">
            <w:pPr>
              <w:spacing w:after="0" w:line="240" w:lineRule="auto"/>
              <w:jc w:val="center"/>
              <w:rPr>
                <w:rFonts w:cs="Arial"/>
                <w:b/>
                <w:bCs/>
                <w:color w:val="000000"/>
                <w:sz w:val="16"/>
                <w:szCs w:val="16"/>
              </w:rPr>
            </w:pPr>
            <w:r>
              <w:rPr>
                <w:rFonts w:cs="Arial"/>
                <w:b/>
                <w:bCs/>
                <w:color w:val="000000"/>
                <w:sz w:val="16"/>
                <w:szCs w:val="16"/>
              </w:rPr>
              <w:t>36,3</w:t>
            </w:r>
          </w:p>
        </w:tc>
        <w:tc>
          <w:tcPr>
            <w:tcW w:w="595" w:type="dxa"/>
            <w:tcBorders>
              <w:top w:val="nil"/>
              <w:left w:val="nil"/>
              <w:bottom w:val="nil"/>
              <w:right w:val="nil"/>
            </w:tcBorders>
            <w:shd w:val="clear" w:color="auto" w:fill="auto"/>
            <w:noWrap/>
            <w:vAlign w:val="center"/>
            <w:hideMark/>
          </w:tcPr>
          <w:p w14:paraId="30882827" w14:textId="15D47B97" w:rsidR="00DE09A0" w:rsidRPr="00D92E20" w:rsidRDefault="00DE09A0" w:rsidP="00DE09A0">
            <w:pPr>
              <w:spacing w:after="0" w:line="240" w:lineRule="auto"/>
              <w:jc w:val="center"/>
              <w:rPr>
                <w:rFonts w:cs="Arial"/>
                <w:b/>
                <w:bCs/>
                <w:color w:val="000000"/>
                <w:sz w:val="16"/>
                <w:szCs w:val="16"/>
              </w:rPr>
            </w:pPr>
            <w:r>
              <w:rPr>
                <w:rFonts w:cs="Arial"/>
                <w:b/>
                <w:bCs/>
                <w:color w:val="000000"/>
                <w:sz w:val="16"/>
                <w:szCs w:val="16"/>
              </w:rPr>
              <w:t>24,5</w:t>
            </w:r>
          </w:p>
        </w:tc>
      </w:tr>
      <w:tr w:rsidR="00DE09A0" w:rsidRPr="00D92E20" w14:paraId="62FE7293" w14:textId="77777777" w:rsidTr="00DC0DB3">
        <w:trPr>
          <w:trHeight w:val="300"/>
        </w:trPr>
        <w:tc>
          <w:tcPr>
            <w:tcW w:w="3175" w:type="dxa"/>
            <w:tcBorders>
              <w:top w:val="nil"/>
              <w:left w:val="nil"/>
              <w:bottom w:val="nil"/>
              <w:right w:val="single" w:sz="4" w:space="0" w:color="auto"/>
            </w:tcBorders>
            <w:shd w:val="clear" w:color="auto" w:fill="auto"/>
            <w:vAlign w:val="center"/>
            <w:hideMark/>
          </w:tcPr>
          <w:p w14:paraId="2C211987" w14:textId="77777777" w:rsidR="00DE09A0" w:rsidRPr="00D92E20" w:rsidRDefault="00DE09A0" w:rsidP="00DE09A0">
            <w:pPr>
              <w:spacing w:after="0" w:line="240" w:lineRule="auto"/>
              <w:ind w:firstLineChars="100" w:firstLine="160"/>
              <w:rPr>
                <w:rFonts w:cs="Arial"/>
                <w:color w:val="000000"/>
                <w:sz w:val="16"/>
                <w:szCs w:val="16"/>
              </w:rPr>
            </w:pPr>
            <w:r w:rsidRPr="00D92E20">
              <w:rPr>
                <w:rFonts w:cs="Arial"/>
                <w:color w:val="000000"/>
                <w:sz w:val="16"/>
                <w:szCs w:val="16"/>
              </w:rPr>
              <w:t>A – Zemědělství, lesnictví a rybářství</w:t>
            </w:r>
          </w:p>
        </w:tc>
        <w:tc>
          <w:tcPr>
            <w:tcW w:w="595" w:type="dxa"/>
            <w:tcBorders>
              <w:top w:val="nil"/>
              <w:left w:val="nil"/>
              <w:bottom w:val="nil"/>
              <w:right w:val="nil"/>
            </w:tcBorders>
            <w:shd w:val="clear" w:color="auto" w:fill="auto"/>
            <w:noWrap/>
            <w:vAlign w:val="center"/>
            <w:hideMark/>
          </w:tcPr>
          <w:p w14:paraId="0CDD0937" w14:textId="00F018AE" w:rsidR="00DE09A0" w:rsidRPr="00D92E20" w:rsidRDefault="00DE09A0" w:rsidP="00DE09A0">
            <w:pPr>
              <w:spacing w:after="0" w:line="240" w:lineRule="auto"/>
              <w:jc w:val="center"/>
              <w:rPr>
                <w:rFonts w:cs="Arial"/>
                <w:color w:val="000000"/>
                <w:sz w:val="16"/>
                <w:szCs w:val="16"/>
              </w:rPr>
            </w:pPr>
            <w:r>
              <w:rPr>
                <w:rFonts w:cs="Arial"/>
                <w:sz w:val="16"/>
                <w:szCs w:val="16"/>
              </w:rPr>
              <w:t>63,8</w:t>
            </w:r>
          </w:p>
        </w:tc>
        <w:tc>
          <w:tcPr>
            <w:tcW w:w="595" w:type="dxa"/>
            <w:tcBorders>
              <w:top w:val="nil"/>
              <w:left w:val="nil"/>
              <w:bottom w:val="nil"/>
              <w:right w:val="nil"/>
            </w:tcBorders>
            <w:shd w:val="clear" w:color="auto" w:fill="auto"/>
            <w:noWrap/>
            <w:vAlign w:val="center"/>
            <w:hideMark/>
          </w:tcPr>
          <w:p w14:paraId="16B74D2A" w14:textId="1E356AA0" w:rsidR="00DE09A0" w:rsidRPr="00D92E20" w:rsidRDefault="00DE09A0" w:rsidP="00DE09A0">
            <w:pPr>
              <w:spacing w:after="0" w:line="240" w:lineRule="auto"/>
              <w:jc w:val="center"/>
              <w:rPr>
                <w:rFonts w:cs="Arial"/>
                <w:color w:val="000000"/>
                <w:sz w:val="16"/>
                <w:szCs w:val="16"/>
              </w:rPr>
            </w:pPr>
            <w:r>
              <w:rPr>
                <w:rFonts w:cs="Arial"/>
                <w:sz w:val="16"/>
                <w:szCs w:val="16"/>
              </w:rPr>
              <w:t>57,8</w:t>
            </w:r>
          </w:p>
        </w:tc>
        <w:tc>
          <w:tcPr>
            <w:tcW w:w="595" w:type="dxa"/>
            <w:tcBorders>
              <w:top w:val="nil"/>
              <w:left w:val="nil"/>
              <w:bottom w:val="nil"/>
              <w:right w:val="nil"/>
            </w:tcBorders>
            <w:shd w:val="clear" w:color="auto" w:fill="auto"/>
            <w:noWrap/>
            <w:vAlign w:val="center"/>
            <w:hideMark/>
          </w:tcPr>
          <w:p w14:paraId="1117F0FE" w14:textId="26CB6362" w:rsidR="00DE09A0" w:rsidRPr="00D92E20" w:rsidRDefault="00DE09A0" w:rsidP="00DE09A0">
            <w:pPr>
              <w:spacing w:after="0" w:line="240" w:lineRule="auto"/>
              <w:jc w:val="center"/>
              <w:rPr>
                <w:rFonts w:cs="Arial"/>
                <w:color w:val="000000"/>
                <w:sz w:val="16"/>
                <w:szCs w:val="16"/>
              </w:rPr>
            </w:pPr>
            <w:r>
              <w:rPr>
                <w:rFonts w:cs="Arial"/>
                <w:sz w:val="16"/>
                <w:szCs w:val="16"/>
              </w:rPr>
              <w:t>62,0</w:t>
            </w:r>
          </w:p>
        </w:tc>
        <w:tc>
          <w:tcPr>
            <w:tcW w:w="595" w:type="dxa"/>
            <w:tcBorders>
              <w:top w:val="nil"/>
              <w:left w:val="nil"/>
              <w:bottom w:val="nil"/>
              <w:right w:val="nil"/>
            </w:tcBorders>
            <w:shd w:val="clear" w:color="auto" w:fill="auto"/>
            <w:noWrap/>
            <w:vAlign w:val="center"/>
            <w:hideMark/>
          </w:tcPr>
          <w:p w14:paraId="5E85049B" w14:textId="004740D4" w:rsidR="00DE09A0" w:rsidRPr="00D92E20" w:rsidRDefault="00DE09A0" w:rsidP="00DE09A0">
            <w:pPr>
              <w:spacing w:after="0" w:line="240" w:lineRule="auto"/>
              <w:jc w:val="center"/>
              <w:rPr>
                <w:rFonts w:cs="Arial"/>
                <w:color w:val="000000"/>
                <w:sz w:val="16"/>
                <w:szCs w:val="16"/>
              </w:rPr>
            </w:pPr>
            <w:r>
              <w:rPr>
                <w:rFonts w:cs="Arial"/>
                <w:sz w:val="16"/>
                <w:szCs w:val="16"/>
              </w:rPr>
              <w:t>54,9</w:t>
            </w:r>
          </w:p>
        </w:tc>
        <w:tc>
          <w:tcPr>
            <w:tcW w:w="595" w:type="dxa"/>
            <w:tcBorders>
              <w:top w:val="nil"/>
              <w:left w:val="nil"/>
              <w:bottom w:val="nil"/>
              <w:right w:val="nil"/>
            </w:tcBorders>
            <w:shd w:val="clear" w:color="auto" w:fill="auto"/>
            <w:noWrap/>
            <w:vAlign w:val="center"/>
            <w:hideMark/>
          </w:tcPr>
          <w:p w14:paraId="300EA153" w14:textId="246E40CA" w:rsidR="00DE09A0" w:rsidRPr="00D92E20" w:rsidRDefault="00DE09A0" w:rsidP="00DE09A0">
            <w:pPr>
              <w:spacing w:after="0" w:line="240" w:lineRule="auto"/>
              <w:jc w:val="center"/>
              <w:rPr>
                <w:rFonts w:cs="Arial"/>
                <w:color w:val="000000"/>
                <w:sz w:val="16"/>
                <w:szCs w:val="16"/>
              </w:rPr>
            </w:pPr>
            <w:r>
              <w:rPr>
                <w:rFonts w:cs="Arial"/>
                <w:color w:val="000000"/>
                <w:sz w:val="16"/>
                <w:szCs w:val="16"/>
              </w:rPr>
              <w:t>58,5</w:t>
            </w:r>
          </w:p>
        </w:tc>
        <w:tc>
          <w:tcPr>
            <w:tcW w:w="595" w:type="dxa"/>
            <w:tcBorders>
              <w:top w:val="nil"/>
              <w:left w:val="nil"/>
              <w:bottom w:val="nil"/>
              <w:right w:val="nil"/>
            </w:tcBorders>
            <w:shd w:val="clear" w:color="auto" w:fill="auto"/>
            <w:noWrap/>
            <w:vAlign w:val="center"/>
            <w:hideMark/>
          </w:tcPr>
          <w:p w14:paraId="3C4FC006" w14:textId="1AEB7BC7" w:rsidR="00DE09A0" w:rsidRPr="00D92E20" w:rsidRDefault="00DE09A0" w:rsidP="00DE09A0">
            <w:pPr>
              <w:spacing w:after="0" w:line="240" w:lineRule="auto"/>
              <w:jc w:val="center"/>
              <w:rPr>
                <w:rFonts w:cs="Arial"/>
                <w:color w:val="000000"/>
                <w:sz w:val="16"/>
                <w:szCs w:val="16"/>
              </w:rPr>
            </w:pPr>
            <w:r>
              <w:rPr>
                <w:rFonts w:cs="Arial"/>
                <w:color w:val="000000"/>
                <w:sz w:val="16"/>
                <w:szCs w:val="16"/>
              </w:rPr>
              <w:t>56,6</w:t>
            </w:r>
          </w:p>
        </w:tc>
        <w:tc>
          <w:tcPr>
            <w:tcW w:w="595" w:type="dxa"/>
            <w:tcBorders>
              <w:top w:val="nil"/>
              <w:left w:val="nil"/>
              <w:bottom w:val="nil"/>
              <w:right w:val="nil"/>
            </w:tcBorders>
            <w:shd w:val="clear" w:color="auto" w:fill="auto"/>
            <w:noWrap/>
            <w:vAlign w:val="center"/>
            <w:hideMark/>
          </w:tcPr>
          <w:p w14:paraId="5A867BF9" w14:textId="0BF05106" w:rsidR="00DE09A0" w:rsidRPr="00D92E20" w:rsidRDefault="00DE09A0" w:rsidP="00DE09A0">
            <w:pPr>
              <w:spacing w:after="0" w:line="240" w:lineRule="auto"/>
              <w:jc w:val="center"/>
              <w:rPr>
                <w:rFonts w:cs="Arial"/>
                <w:color w:val="000000"/>
                <w:sz w:val="16"/>
                <w:szCs w:val="16"/>
              </w:rPr>
            </w:pPr>
            <w:r>
              <w:rPr>
                <w:rFonts w:cs="Arial"/>
                <w:color w:val="000000"/>
                <w:sz w:val="16"/>
                <w:szCs w:val="16"/>
              </w:rPr>
              <w:t>53,4</w:t>
            </w:r>
          </w:p>
        </w:tc>
        <w:tc>
          <w:tcPr>
            <w:tcW w:w="595" w:type="dxa"/>
            <w:tcBorders>
              <w:top w:val="nil"/>
              <w:left w:val="nil"/>
              <w:bottom w:val="nil"/>
              <w:right w:val="nil"/>
            </w:tcBorders>
            <w:shd w:val="clear" w:color="auto" w:fill="auto"/>
            <w:noWrap/>
            <w:vAlign w:val="center"/>
            <w:hideMark/>
          </w:tcPr>
          <w:p w14:paraId="744ED878" w14:textId="312BEB78" w:rsidR="00DE09A0" w:rsidRPr="00D92E20" w:rsidRDefault="00DE09A0" w:rsidP="00DE09A0">
            <w:pPr>
              <w:spacing w:after="0" w:line="240" w:lineRule="auto"/>
              <w:jc w:val="center"/>
              <w:rPr>
                <w:rFonts w:cs="Arial"/>
                <w:color w:val="000000"/>
                <w:sz w:val="16"/>
                <w:szCs w:val="16"/>
              </w:rPr>
            </w:pPr>
            <w:r>
              <w:rPr>
                <w:rFonts w:cs="Arial"/>
                <w:color w:val="000000"/>
                <w:sz w:val="16"/>
                <w:szCs w:val="16"/>
              </w:rPr>
              <w:t>58,3</w:t>
            </w:r>
          </w:p>
        </w:tc>
        <w:tc>
          <w:tcPr>
            <w:tcW w:w="595" w:type="dxa"/>
            <w:tcBorders>
              <w:top w:val="nil"/>
              <w:left w:val="nil"/>
              <w:bottom w:val="nil"/>
              <w:right w:val="nil"/>
            </w:tcBorders>
            <w:shd w:val="clear" w:color="auto" w:fill="auto"/>
            <w:noWrap/>
            <w:vAlign w:val="center"/>
            <w:hideMark/>
          </w:tcPr>
          <w:p w14:paraId="0FD36BB5" w14:textId="625A20FE" w:rsidR="00DE09A0" w:rsidRPr="00D92E20" w:rsidRDefault="00DE09A0" w:rsidP="00DE09A0">
            <w:pPr>
              <w:spacing w:after="0" w:line="240" w:lineRule="auto"/>
              <w:jc w:val="center"/>
              <w:rPr>
                <w:rFonts w:cs="Arial"/>
                <w:color w:val="000000"/>
                <w:sz w:val="16"/>
                <w:szCs w:val="16"/>
              </w:rPr>
            </w:pPr>
            <w:r>
              <w:rPr>
                <w:rFonts w:cs="Arial"/>
                <w:color w:val="000000"/>
                <w:sz w:val="16"/>
                <w:szCs w:val="16"/>
              </w:rPr>
              <w:t>58,1</w:t>
            </w:r>
          </w:p>
        </w:tc>
        <w:tc>
          <w:tcPr>
            <w:tcW w:w="595" w:type="dxa"/>
            <w:tcBorders>
              <w:top w:val="nil"/>
              <w:left w:val="nil"/>
              <w:bottom w:val="nil"/>
              <w:right w:val="nil"/>
            </w:tcBorders>
            <w:shd w:val="clear" w:color="auto" w:fill="auto"/>
            <w:noWrap/>
            <w:vAlign w:val="center"/>
            <w:hideMark/>
          </w:tcPr>
          <w:p w14:paraId="3CD7B8D3" w14:textId="2DEE895D" w:rsidR="00DE09A0" w:rsidRPr="00D92E20" w:rsidRDefault="00DE09A0" w:rsidP="00DE09A0">
            <w:pPr>
              <w:spacing w:after="0" w:line="240" w:lineRule="auto"/>
              <w:jc w:val="center"/>
              <w:rPr>
                <w:rFonts w:cs="Arial"/>
                <w:color w:val="000000"/>
                <w:sz w:val="16"/>
                <w:szCs w:val="16"/>
              </w:rPr>
            </w:pPr>
            <w:r>
              <w:rPr>
                <w:rFonts w:cs="Arial"/>
                <w:color w:val="000000"/>
                <w:sz w:val="16"/>
                <w:szCs w:val="16"/>
              </w:rPr>
              <w:t>43,5</w:t>
            </w:r>
          </w:p>
        </w:tc>
        <w:tc>
          <w:tcPr>
            <w:tcW w:w="595" w:type="dxa"/>
            <w:tcBorders>
              <w:top w:val="nil"/>
              <w:left w:val="nil"/>
              <w:bottom w:val="nil"/>
              <w:right w:val="nil"/>
            </w:tcBorders>
            <w:shd w:val="clear" w:color="auto" w:fill="auto"/>
            <w:noWrap/>
            <w:vAlign w:val="center"/>
            <w:hideMark/>
          </w:tcPr>
          <w:p w14:paraId="3ADA47BA" w14:textId="4DFC7AA0" w:rsidR="00DE09A0" w:rsidRPr="00D92E20" w:rsidRDefault="00DE09A0" w:rsidP="00DE09A0">
            <w:pPr>
              <w:spacing w:after="0" w:line="240" w:lineRule="auto"/>
              <w:jc w:val="center"/>
              <w:rPr>
                <w:rFonts w:cs="Arial"/>
                <w:color w:val="000000"/>
                <w:sz w:val="16"/>
                <w:szCs w:val="16"/>
              </w:rPr>
            </w:pPr>
            <w:r>
              <w:rPr>
                <w:rFonts w:cs="Arial"/>
                <w:color w:val="000000"/>
                <w:sz w:val="16"/>
                <w:szCs w:val="16"/>
              </w:rPr>
              <w:t>34,6</w:t>
            </w:r>
          </w:p>
        </w:tc>
      </w:tr>
      <w:tr w:rsidR="00DE09A0" w:rsidRPr="00D92E20" w14:paraId="3947DDA0" w14:textId="77777777" w:rsidTr="00DC0DB3">
        <w:trPr>
          <w:trHeight w:val="300"/>
        </w:trPr>
        <w:tc>
          <w:tcPr>
            <w:tcW w:w="3175" w:type="dxa"/>
            <w:tcBorders>
              <w:top w:val="nil"/>
              <w:left w:val="nil"/>
              <w:bottom w:val="nil"/>
              <w:right w:val="single" w:sz="4" w:space="0" w:color="auto"/>
            </w:tcBorders>
            <w:shd w:val="clear" w:color="auto" w:fill="auto"/>
            <w:vAlign w:val="center"/>
            <w:hideMark/>
          </w:tcPr>
          <w:p w14:paraId="567E6098" w14:textId="77777777" w:rsidR="00DE09A0" w:rsidRPr="00D92E20" w:rsidRDefault="00DE09A0" w:rsidP="00DE09A0">
            <w:pPr>
              <w:spacing w:after="0" w:line="240" w:lineRule="auto"/>
              <w:ind w:firstLineChars="100" w:firstLine="160"/>
              <w:rPr>
                <w:rFonts w:cs="Arial"/>
                <w:color w:val="000000"/>
                <w:sz w:val="16"/>
                <w:szCs w:val="16"/>
              </w:rPr>
            </w:pPr>
            <w:r w:rsidRPr="00D92E20">
              <w:rPr>
                <w:rFonts w:cs="Arial"/>
                <w:color w:val="000000"/>
                <w:sz w:val="16"/>
                <w:szCs w:val="16"/>
              </w:rPr>
              <w:t>B – Těžba a dobývání</w:t>
            </w:r>
          </w:p>
        </w:tc>
        <w:tc>
          <w:tcPr>
            <w:tcW w:w="595" w:type="dxa"/>
            <w:tcBorders>
              <w:top w:val="nil"/>
              <w:left w:val="nil"/>
              <w:bottom w:val="nil"/>
              <w:right w:val="nil"/>
            </w:tcBorders>
            <w:shd w:val="clear" w:color="auto" w:fill="auto"/>
            <w:noWrap/>
            <w:vAlign w:val="center"/>
            <w:hideMark/>
          </w:tcPr>
          <w:p w14:paraId="494C9656" w14:textId="19B8DDCC" w:rsidR="00DE09A0" w:rsidRPr="00D92E20" w:rsidRDefault="00DE09A0" w:rsidP="00DE09A0">
            <w:pPr>
              <w:spacing w:after="0" w:line="240" w:lineRule="auto"/>
              <w:jc w:val="center"/>
              <w:rPr>
                <w:rFonts w:cs="Arial"/>
                <w:color w:val="000000"/>
                <w:sz w:val="16"/>
                <w:szCs w:val="16"/>
              </w:rPr>
            </w:pPr>
            <w:r>
              <w:rPr>
                <w:rFonts w:cs="Arial"/>
                <w:sz w:val="16"/>
                <w:szCs w:val="16"/>
              </w:rPr>
              <w:t>43,3</w:t>
            </w:r>
          </w:p>
        </w:tc>
        <w:tc>
          <w:tcPr>
            <w:tcW w:w="595" w:type="dxa"/>
            <w:tcBorders>
              <w:top w:val="nil"/>
              <w:left w:val="nil"/>
              <w:bottom w:val="nil"/>
              <w:right w:val="nil"/>
            </w:tcBorders>
            <w:shd w:val="clear" w:color="auto" w:fill="auto"/>
            <w:noWrap/>
            <w:vAlign w:val="center"/>
            <w:hideMark/>
          </w:tcPr>
          <w:p w14:paraId="1A304965" w14:textId="77E35117" w:rsidR="00DE09A0" w:rsidRPr="00D92E20" w:rsidRDefault="00DE09A0" w:rsidP="00DE09A0">
            <w:pPr>
              <w:spacing w:after="0" w:line="240" w:lineRule="auto"/>
              <w:jc w:val="center"/>
              <w:rPr>
                <w:rFonts w:cs="Arial"/>
                <w:color w:val="000000"/>
                <w:sz w:val="16"/>
                <w:szCs w:val="16"/>
              </w:rPr>
            </w:pPr>
            <w:r>
              <w:rPr>
                <w:rFonts w:cs="Arial"/>
                <w:sz w:val="16"/>
                <w:szCs w:val="16"/>
              </w:rPr>
              <w:t>41,8</w:t>
            </w:r>
          </w:p>
        </w:tc>
        <w:tc>
          <w:tcPr>
            <w:tcW w:w="595" w:type="dxa"/>
            <w:tcBorders>
              <w:top w:val="nil"/>
              <w:left w:val="nil"/>
              <w:bottom w:val="nil"/>
              <w:right w:val="nil"/>
            </w:tcBorders>
            <w:shd w:val="clear" w:color="auto" w:fill="auto"/>
            <w:noWrap/>
            <w:vAlign w:val="center"/>
            <w:hideMark/>
          </w:tcPr>
          <w:p w14:paraId="497C6D99" w14:textId="43358F5F" w:rsidR="00DE09A0" w:rsidRPr="00D92E20" w:rsidRDefault="00DE09A0" w:rsidP="00DE09A0">
            <w:pPr>
              <w:spacing w:after="0" w:line="240" w:lineRule="auto"/>
              <w:jc w:val="center"/>
              <w:rPr>
                <w:rFonts w:cs="Arial"/>
                <w:color w:val="000000"/>
                <w:sz w:val="16"/>
                <w:szCs w:val="16"/>
              </w:rPr>
            </w:pPr>
            <w:r>
              <w:rPr>
                <w:rFonts w:cs="Arial"/>
                <w:sz w:val="16"/>
                <w:szCs w:val="16"/>
              </w:rPr>
              <w:t>49,7</w:t>
            </w:r>
          </w:p>
        </w:tc>
        <w:tc>
          <w:tcPr>
            <w:tcW w:w="595" w:type="dxa"/>
            <w:tcBorders>
              <w:top w:val="nil"/>
              <w:left w:val="nil"/>
              <w:bottom w:val="nil"/>
              <w:right w:val="nil"/>
            </w:tcBorders>
            <w:shd w:val="clear" w:color="auto" w:fill="auto"/>
            <w:noWrap/>
            <w:vAlign w:val="center"/>
            <w:hideMark/>
          </w:tcPr>
          <w:p w14:paraId="4585727B" w14:textId="78180769" w:rsidR="00DE09A0" w:rsidRPr="00D92E20" w:rsidRDefault="00DE09A0" w:rsidP="00DE09A0">
            <w:pPr>
              <w:spacing w:after="0" w:line="240" w:lineRule="auto"/>
              <w:jc w:val="center"/>
              <w:rPr>
                <w:rFonts w:cs="Arial"/>
                <w:color w:val="000000"/>
                <w:sz w:val="16"/>
                <w:szCs w:val="16"/>
              </w:rPr>
            </w:pPr>
            <w:r>
              <w:rPr>
                <w:rFonts w:cs="Arial"/>
                <w:sz w:val="16"/>
                <w:szCs w:val="16"/>
              </w:rPr>
              <w:t>43,6</w:t>
            </w:r>
          </w:p>
        </w:tc>
        <w:tc>
          <w:tcPr>
            <w:tcW w:w="595" w:type="dxa"/>
            <w:tcBorders>
              <w:top w:val="nil"/>
              <w:left w:val="nil"/>
              <w:bottom w:val="nil"/>
              <w:right w:val="nil"/>
            </w:tcBorders>
            <w:shd w:val="clear" w:color="auto" w:fill="auto"/>
            <w:noWrap/>
            <w:vAlign w:val="center"/>
            <w:hideMark/>
          </w:tcPr>
          <w:p w14:paraId="2B85A1BE" w14:textId="776A0ADF" w:rsidR="00DE09A0" w:rsidRPr="00D92E20" w:rsidRDefault="00DE09A0" w:rsidP="00DE09A0">
            <w:pPr>
              <w:spacing w:after="0" w:line="240" w:lineRule="auto"/>
              <w:jc w:val="center"/>
              <w:rPr>
                <w:rFonts w:cs="Arial"/>
                <w:color w:val="000000"/>
                <w:sz w:val="16"/>
                <w:szCs w:val="16"/>
              </w:rPr>
            </w:pPr>
            <w:r>
              <w:rPr>
                <w:rFonts w:cs="Arial"/>
                <w:color w:val="000000"/>
                <w:sz w:val="16"/>
                <w:szCs w:val="16"/>
              </w:rPr>
              <w:t>51,1</w:t>
            </w:r>
          </w:p>
        </w:tc>
        <w:tc>
          <w:tcPr>
            <w:tcW w:w="595" w:type="dxa"/>
            <w:tcBorders>
              <w:top w:val="nil"/>
              <w:left w:val="nil"/>
              <w:bottom w:val="nil"/>
              <w:right w:val="nil"/>
            </w:tcBorders>
            <w:shd w:val="clear" w:color="auto" w:fill="auto"/>
            <w:noWrap/>
            <w:vAlign w:val="center"/>
            <w:hideMark/>
          </w:tcPr>
          <w:p w14:paraId="409AAD52" w14:textId="6018ED11" w:rsidR="00DE09A0" w:rsidRPr="00D92E20" w:rsidRDefault="00DE09A0" w:rsidP="00DE09A0">
            <w:pPr>
              <w:spacing w:after="0" w:line="240" w:lineRule="auto"/>
              <w:jc w:val="center"/>
              <w:rPr>
                <w:rFonts w:cs="Arial"/>
                <w:color w:val="000000"/>
                <w:sz w:val="16"/>
                <w:szCs w:val="16"/>
              </w:rPr>
            </w:pPr>
            <w:r>
              <w:rPr>
                <w:rFonts w:cs="Arial"/>
                <w:color w:val="000000"/>
                <w:sz w:val="16"/>
                <w:szCs w:val="16"/>
              </w:rPr>
              <w:t>55,6</w:t>
            </w:r>
          </w:p>
        </w:tc>
        <w:tc>
          <w:tcPr>
            <w:tcW w:w="595" w:type="dxa"/>
            <w:tcBorders>
              <w:top w:val="nil"/>
              <w:left w:val="nil"/>
              <w:bottom w:val="nil"/>
              <w:right w:val="nil"/>
            </w:tcBorders>
            <w:shd w:val="clear" w:color="auto" w:fill="auto"/>
            <w:noWrap/>
            <w:vAlign w:val="center"/>
            <w:hideMark/>
          </w:tcPr>
          <w:p w14:paraId="08F7FE94" w14:textId="6B7BF2C3" w:rsidR="00DE09A0" w:rsidRPr="00D92E20" w:rsidRDefault="00DE09A0" w:rsidP="00DE09A0">
            <w:pPr>
              <w:spacing w:after="0" w:line="240" w:lineRule="auto"/>
              <w:jc w:val="center"/>
              <w:rPr>
                <w:rFonts w:cs="Arial"/>
                <w:color w:val="000000"/>
                <w:sz w:val="16"/>
                <w:szCs w:val="16"/>
              </w:rPr>
            </w:pPr>
            <w:r>
              <w:rPr>
                <w:rFonts w:cs="Arial"/>
                <w:color w:val="000000"/>
                <w:sz w:val="16"/>
                <w:szCs w:val="16"/>
              </w:rPr>
              <w:t>45,4</w:t>
            </w:r>
          </w:p>
        </w:tc>
        <w:tc>
          <w:tcPr>
            <w:tcW w:w="595" w:type="dxa"/>
            <w:tcBorders>
              <w:top w:val="nil"/>
              <w:left w:val="nil"/>
              <w:bottom w:val="nil"/>
              <w:right w:val="nil"/>
            </w:tcBorders>
            <w:shd w:val="clear" w:color="auto" w:fill="auto"/>
            <w:noWrap/>
            <w:vAlign w:val="center"/>
            <w:hideMark/>
          </w:tcPr>
          <w:p w14:paraId="2CEE3ACD" w14:textId="3001A3C0" w:rsidR="00DE09A0" w:rsidRPr="00D92E20" w:rsidRDefault="00DE09A0" w:rsidP="00DE09A0">
            <w:pPr>
              <w:spacing w:after="0" w:line="240" w:lineRule="auto"/>
              <w:jc w:val="center"/>
              <w:rPr>
                <w:rFonts w:cs="Arial"/>
                <w:color w:val="000000"/>
                <w:sz w:val="16"/>
                <w:szCs w:val="16"/>
              </w:rPr>
            </w:pPr>
            <w:r>
              <w:rPr>
                <w:rFonts w:cs="Arial"/>
                <w:color w:val="000000"/>
                <w:sz w:val="16"/>
                <w:szCs w:val="16"/>
              </w:rPr>
              <w:t>50,3</w:t>
            </w:r>
          </w:p>
        </w:tc>
        <w:tc>
          <w:tcPr>
            <w:tcW w:w="595" w:type="dxa"/>
            <w:tcBorders>
              <w:top w:val="nil"/>
              <w:left w:val="nil"/>
              <w:bottom w:val="nil"/>
              <w:right w:val="nil"/>
            </w:tcBorders>
            <w:shd w:val="clear" w:color="auto" w:fill="auto"/>
            <w:noWrap/>
            <w:vAlign w:val="center"/>
            <w:hideMark/>
          </w:tcPr>
          <w:p w14:paraId="4A528571" w14:textId="279971C4" w:rsidR="00DE09A0" w:rsidRPr="00D92E20" w:rsidRDefault="00DE09A0" w:rsidP="00DE09A0">
            <w:pPr>
              <w:spacing w:after="0" w:line="240" w:lineRule="auto"/>
              <w:jc w:val="center"/>
              <w:rPr>
                <w:rFonts w:cs="Arial"/>
                <w:color w:val="000000"/>
                <w:sz w:val="16"/>
                <w:szCs w:val="16"/>
              </w:rPr>
            </w:pPr>
            <w:r>
              <w:rPr>
                <w:rFonts w:cs="Arial"/>
                <w:color w:val="000000"/>
                <w:sz w:val="16"/>
                <w:szCs w:val="16"/>
              </w:rPr>
              <w:t>42,0</w:t>
            </w:r>
          </w:p>
        </w:tc>
        <w:tc>
          <w:tcPr>
            <w:tcW w:w="595" w:type="dxa"/>
            <w:tcBorders>
              <w:top w:val="nil"/>
              <w:left w:val="nil"/>
              <w:bottom w:val="nil"/>
              <w:right w:val="nil"/>
            </w:tcBorders>
            <w:shd w:val="clear" w:color="auto" w:fill="auto"/>
            <w:noWrap/>
            <w:vAlign w:val="center"/>
            <w:hideMark/>
          </w:tcPr>
          <w:p w14:paraId="5AD61804" w14:textId="6A6EE070" w:rsidR="00DE09A0" w:rsidRPr="00D92E20" w:rsidRDefault="00DE09A0" w:rsidP="00DE09A0">
            <w:pPr>
              <w:spacing w:after="0" w:line="240" w:lineRule="auto"/>
              <w:jc w:val="center"/>
              <w:rPr>
                <w:rFonts w:cs="Arial"/>
                <w:color w:val="000000"/>
                <w:sz w:val="16"/>
                <w:szCs w:val="16"/>
              </w:rPr>
            </w:pPr>
            <w:r>
              <w:rPr>
                <w:rFonts w:cs="Arial"/>
                <w:color w:val="000000"/>
                <w:sz w:val="16"/>
                <w:szCs w:val="16"/>
              </w:rPr>
              <w:t>39,3</w:t>
            </w:r>
          </w:p>
        </w:tc>
        <w:tc>
          <w:tcPr>
            <w:tcW w:w="595" w:type="dxa"/>
            <w:tcBorders>
              <w:top w:val="nil"/>
              <w:left w:val="nil"/>
              <w:bottom w:val="nil"/>
              <w:right w:val="nil"/>
            </w:tcBorders>
            <w:shd w:val="clear" w:color="auto" w:fill="auto"/>
            <w:noWrap/>
            <w:vAlign w:val="center"/>
            <w:hideMark/>
          </w:tcPr>
          <w:p w14:paraId="626434BB" w14:textId="68A957D7" w:rsidR="00DE09A0" w:rsidRPr="00D92E20" w:rsidRDefault="00DE09A0" w:rsidP="00DE09A0">
            <w:pPr>
              <w:spacing w:after="0" w:line="240" w:lineRule="auto"/>
              <w:jc w:val="center"/>
              <w:rPr>
                <w:rFonts w:cs="Arial"/>
                <w:color w:val="000000"/>
                <w:sz w:val="16"/>
                <w:szCs w:val="16"/>
              </w:rPr>
            </w:pPr>
            <w:r>
              <w:rPr>
                <w:rFonts w:cs="Arial"/>
                <w:color w:val="000000"/>
                <w:sz w:val="16"/>
                <w:szCs w:val="16"/>
              </w:rPr>
              <w:t>28,7</w:t>
            </w:r>
          </w:p>
        </w:tc>
      </w:tr>
      <w:tr w:rsidR="00DE09A0" w:rsidRPr="00D92E20" w14:paraId="4D2AFF92" w14:textId="77777777" w:rsidTr="00DC0DB3">
        <w:trPr>
          <w:trHeight w:val="300"/>
        </w:trPr>
        <w:tc>
          <w:tcPr>
            <w:tcW w:w="3175" w:type="dxa"/>
            <w:tcBorders>
              <w:top w:val="nil"/>
              <w:left w:val="nil"/>
              <w:bottom w:val="nil"/>
              <w:right w:val="single" w:sz="4" w:space="0" w:color="auto"/>
            </w:tcBorders>
            <w:shd w:val="clear" w:color="auto" w:fill="auto"/>
            <w:vAlign w:val="center"/>
            <w:hideMark/>
          </w:tcPr>
          <w:p w14:paraId="150E07FD" w14:textId="77777777" w:rsidR="00DE09A0" w:rsidRPr="00D92E20" w:rsidRDefault="00DE09A0" w:rsidP="00DE09A0">
            <w:pPr>
              <w:spacing w:after="0" w:line="240" w:lineRule="auto"/>
              <w:ind w:firstLineChars="100" w:firstLine="160"/>
              <w:rPr>
                <w:rFonts w:cs="Arial"/>
                <w:color w:val="000000"/>
                <w:sz w:val="16"/>
                <w:szCs w:val="16"/>
              </w:rPr>
            </w:pPr>
            <w:r w:rsidRPr="00D92E20">
              <w:rPr>
                <w:rFonts w:cs="Arial"/>
                <w:color w:val="000000"/>
                <w:sz w:val="16"/>
                <w:szCs w:val="16"/>
              </w:rPr>
              <w:t>C – Zpracovatelský průmysl</w:t>
            </w:r>
          </w:p>
        </w:tc>
        <w:tc>
          <w:tcPr>
            <w:tcW w:w="595" w:type="dxa"/>
            <w:tcBorders>
              <w:top w:val="nil"/>
              <w:left w:val="nil"/>
              <w:bottom w:val="nil"/>
              <w:right w:val="nil"/>
            </w:tcBorders>
            <w:shd w:val="clear" w:color="auto" w:fill="auto"/>
            <w:noWrap/>
            <w:vAlign w:val="center"/>
            <w:hideMark/>
          </w:tcPr>
          <w:p w14:paraId="5655259D" w14:textId="49ECC78E" w:rsidR="00DE09A0" w:rsidRPr="00D92E20" w:rsidRDefault="00DE09A0" w:rsidP="00DE09A0">
            <w:pPr>
              <w:spacing w:after="0" w:line="240" w:lineRule="auto"/>
              <w:jc w:val="center"/>
              <w:rPr>
                <w:rFonts w:cs="Arial"/>
                <w:color w:val="000000"/>
                <w:sz w:val="16"/>
                <w:szCs w:val="16"/>
              </w:rPr>
            </w:pPr>
            <w:r>
              <w:rPr>
                <w:rFonts w:cs="Arial"/>
                <w:sz w:val="16"/>
                <w:szCs w:val="16"/>
              </w:rPr>
              <w:t>45,1</w:t>
            </w:r>
          </w:p>
        </w:tc>
        <w:tc>
          <w:tcPr>
            <w:tcW w:w="595" w:type="dxa"/>
            <w:tcBorders>
              <w:top w:val="nil"/>
              <w:left w:val="nil"/>
              <w:bottom w:val="nil"/>
              <w:right w:val="nil"/>
            </w:tcBorders>
            <w:shd w:val="clear" w:color="auto" w:fill="auto"/>
            <w:noWrap/>
            <w:vAlign w:val="center"/>
            <w:hideMark/>
          </w:tcPr>
          <w:p w14:paraId="1B90D46D" w14:textId="5AAC7E39" w:rsidR="00DE09A0" w:rsidRPr="00D92E20" w:rsidRDefault="00DE09A0" w:rsidP="00DE09A0">
            <w:pPr>
              <w:spacing w:after="0" w:line="240" w:lineRule="auto"/>
              <w:jc w:val="center"/>
              <w:rPr>
                <w:rFonts w:cs="Arial"/>
                <w:color w:val="000000"/>
                <w:sz w:val="16"/>
                <w:szCs w:val="16"/>
              </w:rPr>
            </w:pPr>
            <w:r>
              <w:rPr>
                <w:rFonts w:cs="Arial"/>
                <w:sz w:val="16"/>
                <w:szCs w:val="16"/>
              </w:rPr>
              <w:t>41,4</w:t>
            </w:r>
          </w:p>
        </w:tc>
        <w:tc>
          <w:tcPr>
            <w:tcW w:w="595" w:type="dxa"/>
            <w:tcBorders>
              <w:top w:val="nil"/>
              <w:left w:val="nil"/>
              <w:bottom w:val="nil"/>
              <w:right w:val="nil"/>
            </w:tcBorders>
            <w:shd w:val="clear" w:color="auto" w:fill="auto"/>
            <w:noWrap/>
            <w:vAlign w:val="center"/>
            <w:hideMark/>
          </w:tcPr>
          <w:p w14:paraId="1E320BA7" w14:textId="2FCBB9A3" w:rsidR="00DE09A0" w:rsidRPr="00D92E20" w:rsidRDefault="00DE09A0" w:rsidP="00DE09A0">
            <w:pPr>
              <w:spacing w:after="0" w:line="240" w:lineRule="auto"/>
              <w:jc w:val="center"/>
              <w:rPr>
                <w:rFonts w:cs="Arial"/>
                <w:color w:val="000000"/>
                <w:sz w:val="16"/>
                <w:szCs w:val="16"/>
              </w:rPr>
            </w:pPr>
            <w:r>
              <w:rPr>
                <w:rFonts w:cs="Arial"/>
                <w:sz w:val="16"/>
                <w:szCs w:val="16"/>
              </w:rPr>
              <w:t>44,3</w:t>
            </w:r>
          </w:p>
        </w:tc>
        <w:tc>
          <w:tcPr>
            <w:tcW w:w="595" w:type="dxa"/>
            <w:tcBorders>
              <w:top w:val="nil"/>
              <w:left w:val="nil"/>
              <w:bottom w:val="nil"/>
              <w:right w:val="nil"/>
            </w:tcBorders>
            <w:shd w:val="clear" w:color="auto" w:fill="auto"/>
            <w:noWrap/>
            <w:vAlign w:val="center"/>
            <w:hideMark/>
          </w:tcPr>
          <w:p w14:paraId="00F5C609" w14:textId="75FA9343" w:rsidR="00DE09A0" w:rsidRPr="00D92E20" w:rsidRDefault="00DE09A0" w:rsidP="00DE09A0">
            <w:pPr>
              <w:spacing w:after="0" w:line="240" w:lineRule="auto"/>
              <w:jc w:val="center"/>
              <w:rPr>
                <w:rFonts w:cs="Arial"/>
                <w:color w:val="000000"/>
                <w:sz w:val="16"/>
                <w:szCs w:val="16"/>
              </w:rPr>
            </w:pPr>
            <w:r>
              <w:rPr>
                <w:rFonts w:cs="Arial"/>
                <w:sz w:val="16"/>
                <w:szCs w:val="16"/>
              </w:rPr>
              <w:t>38,8</w:t>
            </w:r>
          </w:p>
        </w:tc>
        <w:tc>
          <w:tcPr>
            <w:tcW w:w="595" w:type="dxa"/>
            <w:tcBorders>
              <w:top w:val="nil"/>
              <w:left w:val="nil"/>
              <w:bottom w:val="nil"/>
              <w:right w:val="nil"/>
            </w:tcBorders>
            <w:shd w:val="clear" w:color="auto" w:fill="auto"/>
            <w:noWrap/>
            <w:vAlign w:val="center"/>
            <w:hideMark/>
          </w:tcPr>
          <w:p w14:paraId="6FBAFBDE" w14:textId="2BC20D5A" w:rsidR="00DE09A0" w:rsidRPr="00D92E20" w:rsidRDefault="00DE09A0" w:rsidP="00DE09A0">
            <w:pPr>
              <w:spacing w:after="0" w:line="240" w:lineRule="auto"/>
              <w:jc w:val="center"/>
              <w:rPr>
                <w:rFonts w:cs="Arial"/>
                <w:color w:val="000000"/>
                <w:sz w:val="16"/>
                <w:szCs w:val="16"/>
              </w:rPr>
            </w:pPr>
            <w:r>
              <w:rPr>
                <w:rFonts w:cs="Arial"/>
                <w:color w:val="000000"/>
                <w:sz w:val="16"/>
                <w:szCs w:val="16"/>
              </w:rPr>
              <w:t>40,8</w:t>
            </w:r>
          </w:p>
        </w:tc>
        <w:tc>
          <w:tcPr>
            <w:tcW w:w="595" w:type="dxa"/>
            <w:tcBorders>
              <w:top w:val="nil"/>
              <w:left w:val="nil"/>
              <w:bottom w:val="nil"/>
              <w:right w:val="nil"/>
            </w:tcBorders>
            <w:shd w:val="clear" w:color="auto" w:fill="auto"/>
            <w:noWrap/>
            <w:vAlign w:val="center"/>
            <w:hideMark/>
          </w:tcPr>
          <w:p w14:paraId="735D611E" w14:textId="298F2471" w:rsidR="00DE09A0" w:rsidRPr="00D92E20" w:rsidRDefault="00DE09A0" w:rsidP="00DE09A0">
            <w:pPr>
              <w:spacing w:after="0" w:line="240" w:lineRule="auto"/>
              <w:jc w:val="center"/>
              <w:rPr>
                <w:rFonts w:cs="Arial"/>
                <w:color w:val="000000"/>
                <w:sz w:val="16"/>
                <w:szCs w:val="16"/>
              </w:rPr>
            </w:pPr>
            <w:r>
              <w:rPr>
                <w:rFonts w:cs="Arial"/>
                <w:color w:val="000000"/>
                <w:sz w:val="16"/>
                <w:szCs w:val="16"/>
              </w:rPr>
              <w:t>40,0</w:t>
            </w:r>
          </w:p>
        </w:tc>
        <w:tc>
          <w:tcPr>
            <w:tcW w:w="595" w:type="dxa"/>
            <w:tcBorders>
              <w:top w:val="nil"/>
              <w:left w:val="nil"/>
              <w:bottom w:val="nil"/>
              <w:right w:val="nil"/>
            </w:tcBorders>
            <w:shd w:val="clear" w:color="auto" w:fill="auto"/>
            <w:noWrap/>
            <w:vAlign w:val="center"/>
            <w:hideMark/>
          </w:tcPr>
          <w:p w14:paraId="6063AFD0" w14:textId="08CAE97B" w:rsidR="00DE09A0" w:rsidRPr="00D92E20" w:rsidRDefault="00DE09A0" w:rsidP="00DE09A0">
            <w:pPr>
              <w:spacing w:after="0" w:line="240" w:lineRule="auto"/>
              <w:jc w:val="center"/>
              <w:rPr>
                <w:rFonts w:cs="Arial"/>
                <w:color w:val="000000"/>
                <w:sz w:val="16"/>
                <w:szCs w:val="16"/>
              </w:rPr>
            </w:pPr>
            <w:r>
              <w:rPr>
                <w:rFonts w:cs="Arial"/>
                <w:color w:val="000000"/>
                <w:sz w:val="16"/>
                <w:szCs w:val="16"/>
              </w:rPr>
              <w:t>38,3</w:t>
            </w:r>
          </w:p>
        </w:tc>
        <w:tc>
          <w:tcPr>
            <w:tcW w:w="595" w:type="dxa"/>
            <w:tcBorders>
              <w:top w:val="nil"/>
              <w:left w:val="nil"/>
              <w:bottom w:val="nil"/>
              <w:right w:val="nil"/>
            </w:tcBorders>
            <w:shd w:val="clear" w:color="auto" w:fill="auto"/>
            <w:noWrap/>
            <w:vAlign w:val="center"/>
            <w:hideMark/>
          </w:tcPr>
          <w:p w14:paraId="6B5C9866" w14:textId="22F7A838" w:rsidR="00DE09A0" w:rsidRPr="00D92E20" w:rsidRDefault="00DE09A0" w:rsidP="00DE09A0">
            <w:pPr>
              <w:spacing w:after="0" w:line="240" w:lineRule="auto"/>
              <w:jc w:val="center"/>
              <w:rPr>
                <w:rFonts w:cs="Arial"/>
                <w:color w:val="000000"/>
                <w:sz w:val="16"/>
                <w:szCs w:val="16"/>
              </w:rPr>
            </w:pPr>
            <w:r>
              <w:rPr>
                <w:rFonts w:cs="Arial"/>
                <w:color w:val="000000"/>
                <w:sz w:val="16"/>
                <w:szCs w:val="16"/>
              </w:rPr>
              <w:t>42,0</w:t>
            </w:r>
          </w:p>
        </w:tc>
        <w:tc>
          <w:tcPr>
            <w:tcW w:w="595" w:type="dxa"/>
            <w:tcBorders>
              <w:top w:val="nil"/>
              <w:left w:val="nil"/>
              <w:bottom w:val="nil"/>
              <w:right w:val="nil"/>
            </w:tcBorders>
            <w:shd w:val="clear" w:color="auto" w:fill="auto"/>
            <w:noWrap/>
            <w:vAlign w:val="center"/>
            <w:hideMark/>
          </w:tcPr>
          <w:p w14:paraId="5A4F7917" w14:textId="3C1E4EE3" w:rsidR="00DE09A0" w:rsidRPr="00D92E20" w:rsidRDefault="00DE09A0" w:rsidP="00DE09A0">
            <w:pPr>
              <w:spacing w:after="0" w:line="240" w:lineRule="auto"/>
              <w:jc w:val="center"/>
              <w:rPr>
                <w:rFonts w:cs="Arial"/>
                <w:color w:val="000000"/>
                <w:sz w:val="16"/>
                <w:szCs w:val="16"/>
              </w:rPr>
            </w:pPr>
            <w:r>
              <w:rPr>
                <w:rFonts w:cs="Arial"/>
                <w:color w:val="000000"/>
                <w:sz w:val="16"/>
                <w:szCs w:val="16"/>
              </w:rPr>
              <w:t>43,6</w:t>
            </w:r>
          </w:p>
        </w:tc>
        <w:tc>
          <w:tcPr>
            <w:tcW w:w="595" w:type="dxa"/>
            <w:tcBorders>
              <w:top w:val="nil"/>
              <w:left w:val="nil"/>
              <w:bottom w:val="nil"/>
              <w:right w:val="nil"/>
            </w:tcBorders>
            <w:shd w:val="clear" w:color="auto" w:fill="auto"/>
            <w:noWrap/>
            <w:vAlign w:val="center"/>
            <w:hideMark/>
          </w:tcPr>
          <w:p w14:paraId="35E540E5" w14:textId="32274C08" w:rsidR="00DE09A0" w:rsidRPr="00D92E20" w:rsidRDefault="00DE09A0" w:rsidP="00DE09A0">
            <w:pPr>
              <w:spacing w:after="0" w:line="240" w:lineRule="auto"/>
              <w:jc w:val="center"/>
              <w:rPr>
                <w:rFonts w:cs="Arial"/>
                <w:color w:val="000000"/>
                <w:sz w:val="16"/>
                <w:szCs w:val="16"/>
              </w:rPr>
            </w:pPr>
            <w:r>
              <w:rPr>
                <w:rFonts w:cs="Arial"/>
                <w:color w:val="000000"/>
                <w:sz w:val="16"/>
                <w:szCs w:val="16"/>
              </w:rPr>
              <w:t>34,0</w:t>
            </w:r>
          </w:p>
        </w:tc>
        <w:tc>
          <w:tcPr>
            <w:tcW w:w="595" w:type="dxa"/>
            <w:tcBorders>
              <w:top w:val="nil"/>
              <w:left w:val="nil"/>
              <w:bottom w:val="nil"/>
              <w:right w:val="nil"/>
            </w:tcBorders>
            <w:shd w:val="clear" w:color="auto" w:fill="auto"/>
            <w:noWrap/>
            <w:vAlign w:val="center"/>
            <w:hideMark/>
          </w:tcPr>
          <w:p w14:paraId="36F76D5B" w14:textId="1A8A1583" w:rsidR="00DE09A0" w:rsidRPr="00D92E20" w:rsidRDefault="00DE09A0" w:rsidP="00DE09A0">
            <w:pPr>
              <w:spacing w:after="0" w:line="240" w:lineRule="auto"/>
              <w:jc w:val="center"/>
              <w:rPr>
                <w:rFonts w:cs="Arial"/>
                <w:color w:val="000000"/>
                <w:sz w:val="16"/>
                <w:szCs w:val="16"/>
              </w:rPr>
            </w:pPr>
            <w:r>
              <w:rPr>
                <w:rFonts w:cs="Arial"/>
                <w:color w:val="000000"/>
                <w:sz w:val="16"/>
                <w:szCs w:val="16"/>
              </w:rPr>
              <w:t>24,4</w:t>
            </w:r>
          </w:p>
        </w:tc>
      </w:tr>
      <w:tr w:rsidR="00DE09A0" w:rsidRPr="00D92E20" w14:paraId="3795D5D1" w14:textId="77777777" w:rsidTr="00DC0DB3">
        <w:trPr>
          <w:trHeight w:val="480"/>
        </w:trPr>
        <w:tc>
          <w:tcPr>
            <w:tcW w:w="3175" w:type="dxa"/>
            <w:tcBorders>
              <w:top w:val="nil"/>
              <w:left w:val="nil"/>
              <w:bottom w:val="nil"/>
              <w:right w:val="single" w:sz="4" w:space="0" w:color="auto"/>
            </w:tcBorders>
            <w:shd w:val="clear" w:color="auto" w:fill="auto"/>
            <w:vAlign w:val="center"/>
            <w:hideMark/>
          </w:tcPr>
          <w:p w14:paraId="059B50C5" w14:textId="77777777" w:rsidR="00DE09A0" w:rsidRPr="00D92E20" w:rsidRDefault="00DE09A0" w:rsidP="00DE09A0">
            <w:pPr>
              <w:spacing w:after="0" w:line="240" w:lineRule="auto"/>
              <w:ind w:firstLineChars="100" w:firstLine="160"/>
              <w:rPr>
                <w:rFonts w:cs="Arial"/>
                <w:color w:val="000000"/>
                <w:sz w:val="16"/>
                <w:szCs w:val="16"/>
              </w:rPr>
            </w:pPr>
            <w:r w:rsidRPr="00D92E20">
              <w:rPr>
                <w:rFonts w:cs="Arial"/>
                <w:color w:val="000000"/>
                <w:sz w:val="16"/>
                <w:szCs w:val="16"/>
              </w:rPr>
              <w:t xml:space="preserve">D – Výroba a rozvod elektřiny, plynu, </w:t>
            </w:r>
            <w:r w:rsidRPr="00D92E20">
              <w:rPr>
                <w:rFonts w:cs="Arial"/>
                <w:color w:val="000000"/>
                <w:sz w:val="16"/>
                <w:szCs w:val="16"/>
              </w:rPr>
              <w:br/>
              <w:t xml:space="preserve">          tepla a klimatizovaného vzduchu</w:t>
            </w:r>
          </w:p>
        </w:tc>
        <w:tc>
          <w:tcPr>
            <w:tcW w:w="595" w:type="dxa"/>
            <w:tcBorders>
              <w:top w:val="nil"/>
              <w:left w:val="nil"/>
              <w:bottom w:val="nil"/>
              <w:right w:val="nil"/>
            </w:tcBorders>
            <w:shd w:val="clear" w:color="auto" w:fill="auto"/>
            <w:noWrap/>
            <w:vAlign w:val="center"/>
            <w:hideMark/>
          </w:tcPr>
          <w:p w14:paraId="3276490B" w14:textId="38E9D2B9" w:rsidR="00DE09A0" w:rsidRPr="00D92E20" w:rsidRDefault="00DE09A0" w:rsidP="00DE09A0">
            <w:pPr>
              <w:spacing w:after="0" w:line="240" w:lineRule="auto"/>
              <w:jc w:val="center"/>
              <w:rPr>
                <w:rFonts w:cs="Arial"/>
                <w:color w:val="000000"/>
                <w:sz w:val="16"/>
                <w:szCs w:val="16"/>
              </w:rPr>
            </w:pPr>
            <w:r>
              <w:rPr>
                <w:rFonts w:cs="Arial"/>
                <w:sz w:val="16"/>
                <w:szCs w:val="16"/>
              </w:rPr>
              <w:t>44,1</w:t>
            </w:r>
          </w:p>
        </w:tc>
        <w:tc>
          <w:tcPr>
            <w:tcW w:w="595" w:type="dxa"/>
            <w:tcBorders>
              <w:top w:val="nil"/>
              <w:left w:val="nil"/>
              <w:bottom w:val="nil"/>
              <w:right w:val="nil"/>
            </w:tcBorders>
            <w:shd w:val="clear" w:color="auto" w:fill="auto"/>
            <w:noWrap/>
            <w:vAlign w:val="center"/>
            <w:hideMark/>
          </w:tcPr>
          <w:p w14:paraId="7EDCFCAA" w14:textId="7B40F269" w:rsidR="00DE09A0" w:rsidRPr="00D92E20" w:rsidRDefault="00DE09A0" w:rsidP="00DE09A0">
            <w:pPr>
              <w:spacing w:after="0" w:line="240" w:lineRule="auto"/>
              <w:jc w:val="center"/>
              <w:rPr>
                <w:rFonts w:cs="Arial"/>
                <w:color w:val="000000"/>
                <w:sz w:val="16"/>
                <w:szCs w:val="16"/>
              </w:rPr>
            </w:pPr>
            <w:r>
              <w:rPr>
                <w:rFonts w:cs="Arial"/>
                <w:sz w:val="16"/>
                <w:szCs w:val="16"/>
              </w:rPr>
              <w:t>36,5</w:t>
            </w:r>
          </w:p>
        </w:tc>
        <w:tc>
          <w:tcPr>
            <w:tcW w:w="595" w:type="dxa"/>
            <w:tcBorders>
              <w:top w:val="nil"/>
              <w:left w:val="nil"/>
              <w:bottom w:val="nil"/>
              <w:right w:val="nil"/>
            </w:tcBorders>
            <w:shd w:val="clear" w:color="auto" w:fill="auto"/>
            <w:noWrap/>
            <w:vAlign w:val="center"/>
            <w:hideMark/>
          </w:tcPr>
          <w:p w14:paraId="7ED60582" w14:textId="7BEA1ACE" w:rsidR="00DE09A0" w:rsidRPr="00D92E20" w:rsidRDefault="00DE09A0" w:rsidP="00DE09A0">
            <w:pPr>
              <w:spacing w:after="0" w:line="240" w:lineRule="auto"/>
              <w:jc w:val="center"/>
              <w:rPr>
                <w:rFonts w:cs="Arial"/>
                <w:color w:val="000000"/>
                <w:sz w:val="16"/>
                <w:szCs w:val="16"/>
              </w:rPr>
            </w:pPr>
            <w:r>
              <w:rPr>
                <w:rFonts w:cs="Arial"/>
                <w:sz w:val="16"/>
                <w:szCs w:val="16"/>
              </w:rPr>
              <w:t>40,7</w:t>
            </w:r>
          </w:p>
        </w:tc>
        <w:tc>
          <w:tcPr>
            <w:tcW w:w="595" w:type="dxa"/>
            <w:tcBorders>
              <w:top w:val="nil"/>
              <w:left w:val="nil"/>
              <w:bottom w:val="nil"/>
              <w:right w:val="nil"/>
            </w:tcBorders>
            <w:shd w:val="clear" w:color="auto" w:fill="auto"/>
            <w:noWrap/>
            <w:vAlign w:val="center"/>
            <w:hideMark/>
          </w:tcPr>
          <w:p w14:paraId="739E40E3" w14:textId="013E73CC" w:rsidR="00DE09A0" w:rsidRPr="00D92E20" w:rsidRDefault="00DE09A0" w:rsidP="00DE09A0">
            <w:pPr>
              <w:spacing w:after="0" w:line="240" w:lineRule="auto"/>
              <w:jc w:val="center"/>
              <w:rPr>
                <w:rFonts w:cs="Arial"/>
                <w:color w:val="000000"/>
                <w:sz w:val="16"/>
                <w:szCs w:val="16"/>
              </w:rPr>
            </w:pPr>
            <w:r>
              <w:rPr>
                <w:rFonts w:cs="Arial"/>
                <w:sz w:val="16"/>
                <w:szCs w:val="16"/>
              </w:rPr>
              <w:t>37,5</w:t>
            </w:r>
          </w:p>
        </w:tc>
        <w:tc>
          <w:tcPr>
            <w:tcW w:w="595" w:type="dxa"/>
            <w:tcBorders>
              <w:top w:val="nil"/>
              <w:left w:val="nil"/>
              <w:bottom w:val="nil"/>
              <w:right w:val="nil"/>
            </w:tcBorders>
            <w:shd w:val="clear" w:color="auto" w:fill="auto"/>
            <w:noWrap/>
            <w:vAlign w:val="center"/>
            <w:hideMark/>
          </w:tcPr>
          <w:p w14:paraId="192C3DA0" w14:textId="4878C31F" w:rsidR="00DE09A0" w:rsidRPr="00D92E20" w:rsidRDefault="00DE09A0" w:rsidP="00DE09A0">
            <w:pPr>
              <w:spacing w:after="0" w:line="240" w:lineRule="auto"/>
              <w:jc w:val="center"/>
              <w:rPr>
                <w:rFonts w:cs="Arial"/>
                <w:color w:val="000000"/>
                <w:sz w:val="16"/>
                <w:szCs w:val="16"/>
              </w:rPr>
            </w:pPr>
            <w:r>
              <w:rPr>
                <w:rFonts w:cs="Arial"/>
                <w:color w:val="000000"/>
                <w:sz w:val="16"/>
                <w:szCs w:val="16"/>
              </w:rPr>
              <w:t>40,8</w:t>
            </w:r>
          </w:p>
        </w:tc>
        <w:tc>
          <w:tcPr>
            <w:tcW w:w="595" w:type="dxa"/>
            <w:tcBorders>
              <w:top w:val="nil"/>
              <w:left w:val="nil"/>
              <w:bottom w:val="nil"/>
              <w:right w:val="nil"/>
            </w:tcBorders>
            <w:shd w:val="clear" w:color="auto" w:fill="auto"/>
            <w:noWrap/>
            <w:vAlign w:val="center"/>
            <w:hideMark/>
          </w:tcPr>
          <w:p w14:paraId="5144F206" w14:textId="159DAEA7" w:rsidR="00DE09A0" w:rsidRPr="00D92E20" w:rsidRDefault="00DE09A0" w:rsidP="00DE09A0">
            <w:pPr>
              <w:spacing w:after="0" w:line="240" w:lineRule="auto"/>
              <w:jc w:val="center"/>
              <w:rPr>
                <w:rFonts w:cs="Arial"/>
                <w:color w:val="000000"/>
                <w:sz w:val="16"/>
                <w:szCs w:val="16"/>
              </w:rPr>
            </w:pPr>
            <w:r>
              <w:rPr>
                <w:rFonts w:cs="Arial"/>
                <w:color w:val="000000"/>
                <w:sz w:val="16"/>
                <w:szCs w:val="16"/>
              </w:rPr>
              <w:t>39,0</w:t>
            </w:r>
          </w:p>
        </w:tc>
        <w:tc>
          <w:tcPr>
            <w:tcW w:w="595" w:type="dxa"/>
            <w:tcBorders>
              <w:top w:val="nil"/>
              <w:left w:val="nil"/>
              <w:bottom w:val="nil"/>
              <w:right w:val="nil"/>
            </w:tcBorders>
            <w:shd w:val="clear" w:color="auto" w:fill="auto"/>
            <w:noWrap/>
            <w:vAlign w:val="center"/>
            <w:hideMark/>
          </w:tcPr>
          <w:p w14:paraId="5D05B448" w14:textId="4932E43F" w:rsidR="00DE09A0" w:rsidRPr="00D92E20" w:rsidRDefault="00DE09A0" w:rsidP="00DE09A0">
            <w:pPr>
              <w:spacing w:after="0" w:line="240" w:lineRule="auto"/>
              <w:jc w:val="center"/>
              <w:rPr>
                <w:rFonts w:cs="Arial"/>
                <w:color w:val="000000"/>
                <w:sz w:val="16"/>
                <w:szCs w:val="16"/>
              </w:rPr>
            </w:pPr>
            <w:r>
              <w:rPr>
                <w:rFonts w:cs="Arial"/>
                <w:color w:val="000000"/>
                <w:sz w:val="16"/>
                <w:szCs w:val="16"/>
              </w:rPr>
              <w:t>33,6</w:t>
            </w:r>
          </w:p>
        </w:tc>
        <w:tc>
          <w:tcPr>
            <w:tcW w:w="595" w:type="dxa"/>
            <w:tcBorders>
              <w:top w:val="nil"/>
              <w:left w:val="nil"/>
              <w:bottom w:val="nil"/>
              <w:right w:val="nil"/>
            </w:tcBorders>
            <w:shd w:val="clear" w:color="auto" w:fill="auto"/>
            <w:noWrap/>
            <w:vAlign w:val="center"/>
            <w:hideMark/>
          </w:tcPr>
          <w:p w14:paraId="3EE221C5" w14:textId="68C5D465" w:rsidR="00DE09A0" w:rsidRPr="00D92E20" w:rsidRDefault="00DE09A0" w:rsidP="00DE09A0">
            <w:pPr>
              <w:spacing w:after="0" w:line="240" w:lineRule="auto"/>
              <w:jc w:val="center"/>
              <w:rPr>
                <w:rFonts w:cs="Arial"/>
                <w:color w:val="000000"/>
                <w:sz w:val="16"/>
                <w:szCs w:val="16"/>
              </w:rPr>
            </w:pPr>
            <w:r>
              <w:rPr>
                <w:rFonts w:cs="Arial"/>
                <w:color w:val="000000"/>
                <w:sz w:val="16"/>
                <w:szCs w:val="16"/>
              </w:rPr>
              <w:t>37,8</w:t>
            </w:r>
          </w:p>
        </w:tc>
        <w:tc>
          <w:tcPr>
            <w:tcW w:w="595" w:type="dxa"/>
            <w:tcBorders>
              <w:top w:val="nil"/>
              <w:left w:val="nil"/>
              <w:bottom w:val="nil"/>
              <w:right w:val="nil"/>
            </w:tcBorders>
            <w:shd w:val="clear" w:color="auto" w:fill="auto"/>
            <w:noWrap/>
            <w:vAlign w:val="center"/>
            <w:hideMark/>
          </w:tcPr>
          <w:p w14:paraId="043666D3" w14:textId="1C2309B2" w:rsidR="00DE09A0" w:rsidRPr="00D92E20" w:rsidRDefault="00DE09A0" w:rsidP="00DE09A0">
            <w:pPr>
              <w:spacing w:after="0" w:line="240" w:lineRule="auto"/>
              <w:jc w:val="center"/>
              <w:rPr>
                <w:rFonts w:cs="Arial"/>
                <w:color w:val="000000"/>
                <w:sz w:val="16"/>
                <w:szCs w:val="16"/>
              </w:rPr>
            </w:pPr>
            <w:r>
              <w:rPr>
                <w:rFonts w:cs="Arial"/>
                <w:color w:val="000000"/>
                <w:sz w:val="16"/>
                <w:szCs w:val="16"/>
              </w:rPr>
              <w:t>39,4</w:t>
            </w:r>
          </w:p>
        </w:tc>
        <w:tc>
          <w:tcPr>
            <w:tcW w:w="595" w:type="dxa"/>
            <w:tcBorders>
              <w:top w:val="nil"/>
              <w:left w:val="nil"/>
              <w:bottom w:val="nil"/>
              <w:right w:val="nil"/>
            </w:tcBorders>
            <w:shd w:val="clear" w:color="auto" w:fill="auto"/>
            <w:noWrap/>
            <w:vAlign w:val="center"/>
            <w:hideMark/>
          </w:tcPr>
          <w:p w14:paraId="3613617A" w14:textId="004DBF25" w:rsidR="00DE09A0" w:rsidRPr="00D92E20" w:rsidRDefault="00DE09A0" w:rsidP="00DE09A0">
            <w:pPr>
              <w:spacing w:after="0" w:line="240" w:lineRule="auto"/>
              <w:jc w:val="center"/>
              <w:rPr>
                <w:rFonts w:cs="Arial"/>
                <w:color w:val="000000"/>
                <w:sz w:val="16"/>
                <w:szCs w:val="16"/>
              </w:rPr>
            </w:pPr>
            <w:r>
              <w:rPr>
                <w:rFonts w:cs="Arial"/>
                <w:color w:val="000000"/>
                <w:sz w:val="16"/>
                <w:szCs w:val="16"/>
              </w:rPr>
              <w:t>32,1</w:t>
            </w:r>
          </w:p>
        </w:tc>
        <w:tc>
          <w:tcPr>
            <w:tcW w:w="595" w:type="dxa"/>
            <w:tcBorders>
              <w:top w:val="nil"/>
              <w:left w:val="nil"/>
              <w:bottom w:val="nil"/>
              <w:right w:val="nil"/>
            </w:tcBorders>
            <w:shd w:val="clear" w:color="auto" w:fill="auto"/>
            <w:noWrap/>
            <w:vAlign w:val="center"/>
            <w:hideMark/>
          </w:tcPr>
          <w:p w14:paraId="208F6156" w14:textId="4B8DF4F9" w:rsidR="00DE09A0" w:rsidRPr="00D92E20" w:rsidRDefault="00DE09A0" w:rsidP="00DE09A0">
            <w:pPr>
              <w:spacing w:after="0" w:line="240" w:lineRule="auto"/>
              <w:jc w:val="center"/>
              <w:rPr>
                <w:rFonts w:cs="Arial"/>
                <w:color w:val="000000"/>
                <w:sz w:val="16"/>
                <w:szCs w:val="16"/>
              </w:rPr>
            </w:pPr>
            <w:r>
              <w:rPr>
                <w:rFonts w:cs="Arial"/>
                <w:color w:val="000000"/>
                <w:sz w:val="16"/>
                <w:szCs w:val="16"/>
              </w:rPr>
              <w:t>22,7</w:t>
            </w:r>
          </w:p>
        </w:tc>
      </w:tr>
      <w:tr w:rsidR="00DE09A0" w:rsidRPr="00D92E20" w14:paraId="4473F322" w14:textId="77777777" w:rsidTr="00DC0DB3">
        <w:trPr>
          <w:trHeight w:val="480"/>
        </w:trPr>
        <w:tc>
          <w:tcPr>
            <w:tcW w:w="3175" w:type="dxa"/>
            <w:tcBorders>
              <w:top w:val="nil"/>
              <w:left w:val="nil"/>
              <w:bottom w:val="nil"/>
              <w:right w:val="single" w:sz="4" w:space="0" w:color="auto"/>
            </w:tcBorders>
            <w:shd w:val="clear" w:color="auto" w:fill="auto"/>
            <w:vAlign w:val="center"/>
            <w:hideMark/>
          </w:tcPr>
          <w:p w14:paraId="0A3887E6" w14:textId="77777777" w:rsidR="00DE09A0" w:rsidRPr="00D92E20" w:rsidRDefault="00DE09A0" w:rsidP="00DE09A0">
            <w:pPr>
              <w:spacing w:after="0" w:line="240" w:lineRule="auto"/>
              <w:ind w:firstLineChars="100" w:firstLine="160"/>
              <w:rPr>
                <w:rFonts w:cs="Arial"/>
                <w:color w:val="000000"/>
                <w:sz w:val="16"/>
                <w:szCs w:val="16"/>
              </w:rPr>
            </w:pPr>
            <w:r w:rsidRPr="00D92E20">
              <w:rPr>
                <w:rFonts w:cs="Arial"/>
                <w:color w:val="000000"/>
                <w:sz w:val="16"/>
                <w:szCs w:val="16"/>
              </w:rPr>
              <w:t xml:space="preserve">E – Zásobování vodou; činnosti </w:t>
            </w:r>
            <w:r w:rsidRPr="00D92E20">
              <w:rPr>
                <w:rFonts w:cs="Arial"/>
                <w:color w:val="000000"/>
                <w:sz w:val="16"/>
                <w:szCs w:val="16"/>
              </w:rPr>
              <w:br/>
              <w:t xml:space="preserve">          související s odpady a sanacemi</w:t>
            </w:r>
          </w:p>
        </w:tc>
        <w:tc>
          <w:tcPr>
            <w:tcW w:w="595" w:type="dxa"/>
            <w:tcBorders>
              <w:top w:val="nil"/>
              <w:left w:val="nil"/>
              <w:bottom w:val="nil"/>
              <w:right w:val="nil"/>
            </w:tcBorders>
            <w:shd w:val="clear" w:color="auto" w:fill="auto"/>
            <w:noWrap/>
            <w:vAlign w:val="center"/>
            <w:hideMark/>
          </w:tcPr>
          <w:p w14:paraId="35C23548" w14:textId="1B343F21" w:rsidR="00DE09A0" w:rsidRPr="00D92E20" w:rsidRDefault="00DE09A0" w:rsidP="00DE09A0">
            <w:pPr>
              <w:spacing w:after="0" w:line="240" w:lineRule="auto"/>
              <w:jc w:val="center"/>
              <w:rPr>
                <w:rFonts w:cs="Arial"/>
                <w:color w:val="000000"/>
                <w:sz w:val="16"/>
                <w:szCs w:val="16"/>
              </w:rPr>
            </w:pPr>
            <w:r>
              <w:rPr>
                <w:rFonts w:cs="Arial"/>
                <w:sz w:val="16"/>
                <w:szCs w:val="16"/>
              </w:rPr>
              <w:t>49,1</w:t>
            </w:r>
          </w:p>
        </w:tc>
        <w:tc>
          <w:tcPr>
            <w:tcW w:w="595" w:type="dxa"/>
            <w:tcBorders>
              <w:top w:val="nil"/>
              <w:left w:val="nil"/>
              <w:bottom w:val="nil"/>
              <w:right w:val="nil"/>
            </w:tcBorders>
            <w:shd w:val="clear" w:color="auto" w:fill="auto"/>
            <w:noWrap/>
            <w:vAlign w:val="center"/>
            <w:hideMark/>
          </w:tcPr>
          <w:p w14:paraId="7682E3DE" w14:textId="7DED1624" w:rsidR="00DE09A0" w:rsidRPr="00D92E20" w:rsidRDefault="00DE09A0" w:rsidP="00DE09A0">
            <w:pPr>
              <w:spacing w:after="0" w:line="240" w:lineRule="auto"/>
              <w:jc w:val="center"/>
              <w:rPr>
                <w:rFonts w:cs="Arial"/>
                <w:color w:val="000000"/>
                <w:sz w:val="16"/>
                <w:szCs w:val="16"/>
              </w:rPr>
            </w:pPr>
            <w:r>
              <w:rPr>
                <w:rFonts w:cs="Arial"/>
                <w:sz w:val="16"/>
                <w:szCs w:val="16"/>
              </w:rPr>
              <w:t>42,8</w:t>
            </w:r>
          </w:p>
        </w:tc>
        <w:tc>
          <w:tcPr>
            <w:tcW w:w="595" w:type="dxa"/>
            <w:tcBorders>
              <w:top w:val="nil"/>
              <w:left w:val="nil"/>
              <w:bottom w:val="nil"/>
              <w:right w:val="nil"/>
            </w:tcBorders>
            <w:shd w:val="clear" w:color="auto" w:fill="auto"/>
            <w:noWrap/>
            <w:vAlign w:val="center"/>
            <w:hideMark/>
          </w:tcPr>
          <w:p w14:paraId="166CBE40" w14:textId="7E2E52A4" w:rsidR="00DE09A0" w:rsidRPr="00D92E20" w:rsidRDefault="00DE09A0" w:rsidP="00DE09A0">
            <w:pPr>
              <w:spacing w:after="0" w:line="240" w:lineRule="auto"/>
              <w:jc w:val="center"/>
              <w:rPr>
                <w:rFonts w:cs="Arial"/>
                <w:color w:val="000000"/>
                <w:sz w:val="16"/>
                <w:szCs w:val="16"/>
              </w:rPr>
            </w:pPr>
            <w:r>
              <w:rPr>
                <w:rFonts w:cs="Arial"/>
                <w:sz w:val="16"/>
                <w:szCs w:val="16"/>
              </w:rPr>
              <w:t>48,7</w:t>
            </w:r>
          </w:p>
        </w:tc>
        <w:tc>
          <w:tcPr>
            <w:tcW w:w="595" w:type="dxa"/>
            <w:tcBorders>
              <w:top w:val="nil"/>
              <w:left w:val="nil"/>
              <w:bottom w:val="nil"/>
              <w:right w:val="nil"/>
            </w:tcBorders>
            <w:shd w:val="clear" w:color="auto" w:fill="auto"/>
            <w:noWrap/>
            <w:vAlign w:val="center"/>
            <w:hideMark/>
          </w:tcPr>
          <w:p w14:paraId="64CB67CD" w14:textId="7E49764D" w:rsidR="00DE09A0" w:rsidRPr="00D92E20" w:rsidRDefault="00DE09A0" w:rsidP="00DE09A0">
            <w:pPr>
              <w:spacing w:after="0" w:line="240" w:lineRule="auto"/>
              <w:jc w:val="center"/>
              <w:rPr>
                <w:rFonts w:cs="Arial"/>
                <w:color w:val="000000"/>
                <w:sz w:val="16"/>
                <w:szCs w:val="16"/>
              </w:rPr>
            </w:pPr>
            <w:r>
              <w:rPr>
                <w:rFonts w:cs="Arial"/>
                <w:sz w:val="16"/>
                <w:szCs w:val="16"/>
              </w:rPr>
              <w:t>43,0</w:t>
            </w:r>
          </w:p>
        </w:tc>
        <w:tc>
          <w:tcPr>
            <w:tcW w:w="595" w:type="dxa"/>
            <w:tcBorders>
              <w:top w:val="nil"/>
              <w:left w:val="nil"/>
              <w:bottom w:val="nil"/>
              <w:right w:val="nil"/>
            </w:tcBorders>
            <w:shd w:val="clear" w:color="auto" w:fill="auto"/>
            <w:noWrap/>
            <w:vAlign w:val="center"/>
            <w:hideMark/>
          </w:tcPr>
          <w:p w14:paraId="6A5A1968" w14:textId="02291BFF" w:rsidR="00DE09A0" w:rsidRPr="00D92E20" w:rsidRDefault="00DE09A0" w:rsidP="00DE09A0">
            <w:pPr>
              <w:spacing w:after="0" w:line="240" w:lineRule="auto"/>
              <w:jc w:val="center"/>
              <w:rPr>
                <w:rFonts w:cs="Arial"/>
                <w:color w:val="000000"/>
                <w:sz w:val="16"/>
                <w:szCs w:val="16"/>
              </w:rPr>
            </w:pPr>
            <w:r>
              <w:rPr>
                <w:rFonts w:cs="Arial"/>
                <w:color w:val="000000"/>
                <w:sz w:val="16"/>
                <w:szCs w:val="16"/>
              </w:rPr>
              <w:t>44,1</w:t>
            </w:r>
          </w:p>
        </w:tc>
        <w:tc>
          <w:tcPr>
            <w:tcW w:w="595" w:type="dxa"/>
            <w:tcBorders>
              <w:top w:val="nil"/>
              <w:left w:val="nil"/>
              <w:bottom w:val="nil"/>
              <w:right w:val="nil"/>
            </w:tcBorders>
            <w:shd w:val="clear" w:color="auto" w:fill="auto"/>
            <w:noWrap/>
            <w:vAlign w:val="center"/>
            <w:hideMark/>
          </w:tcPr>
          <w:p w14:paraId="1D8DA73D" w14:textId="3C1F7819" w:rsidR="00DE09A0" w:rsidRPr="00D92E20" w:rsidRDefault="00DE09A0" w:rsidP="00DE09A0">
            <w:pPr>
              <w:spacing w:after="0" w:line="240" w:lineRule="auto"/>
              <w:jc w:val="center"/>
              <w:rPr>
                <w:rFonts w:cs="Arial"/>
                <w:color w:val="000000"/>
                <w:sz w:val="16"/>
                <w:szCs w:val="16"/>
              </w:rPr>
            </w:pPr>
            <w:r>
              <w:rPr>
                <w:rFonts w:cs="Arial"/>
                <w:color w:val="000000"/>
                <w:sz w:val="16"/>
                <w:szCs w:val="16"/>
              </w:rPr>
              <w:t>43,4</w:t>
            </w:r>
          </w:p>
        </w:tc>
        <w:tc>
          <w:tcPr>
            <w:tcW w:w="595" w:type="dxa"/>
            <w:tcBorders>
              <w:top w:val="nil"/>
              <w:left w:val="nil"/>
              <w:bottom w:val="nil"/>
              <w:right w:val="nil"/>
            </w:tcBorders>
            <w:shd w:val="clear" w:color="auto" w:fill="auto"/>
            <w:noWrap/>
            <w:vAlign w:val="center"/>
            <w:hideMark/>
          </w:tcPr>
          <w:p w14:paraId="5E559DAF" w14:textId="5D3D349D" w:rsidR="00DE09A0" w:rsidRPr="00D92E20" w:rsidRDefault="00DE09A0" w:rsidP="00DE09A0">
            <w:pPr>
              <w:spacing w:after="0" w:line="240" w:lineRule="auto"/>
              <w:jc w:val="center"/>
              <w:rPr>
                <w:rFonts w:cs="Arial"/>
                <w:color w:val="000000"/>
                <w:sz w:val="16"/>
                <w:szCs w:val="16"/>
              </w:rPr>
            </w:pPr>
            <w:r>
              <w:rPr>
                <w:rFonts w:cs="Arial"/>
                <w:color w:val="000000"/>
                <w:sz w:val="16"/>
                <w:szCs w:val="16"/>
              </w:rPr>
              <w:t>41,4</w:t>
            </w:r>
          </w:p>
        </w:tc>
        <w:tc>
          <w:tcPr>
            <w:tcW w:w="595" w:type="dxa"/>
            <w:tcBorders>
              <w:top w:val="nil"/>
              <w:left w:val="nil"/>
              <w:bottom w:val="nil"/>
              <w:right w:val="nil"/>
            </w:tcBorders>
            <w:shd w:val="clear" w:color="auto" w:fill="auto"/>
            <w:noWrap/>
            <w:vAlign w:val="center"/>
            <w:hideMark/>
          </w:tcPr>
          <w:p w14:paraId="158F2A34" w14:textId="11922EF5" w:rsidR="00DE09A0" w:rsidRPr="00D92E20" w:rsidRDefault="00DE09A0" w:rsidP="00DE09A0">
            <w:pPr>
              <w:spacing w:after="0" w:line="240" w:lineRule="auto"/>
              <w:jc w:val="center"/>
              <w:rPr>
                <w:rFonts w:cs="Arial"/>
                <w:color w:val="000000"/>
                <w:sz w:val="16"/>
                <w:szCs w:val="16"/>
              </w:rPr>
            </w:pPr>
            <w:r>
              <w:rPr>
                <w:rFonts w:cs="Arial"/>
                <w:color w:val="000000"/>
                <w:sz w:val="16"/>
                <w:szCs w:val="16"/>
              </w:rPr>
              <w:t>46,0</w:t>
            </w:r>
          </w:p>
        </w:tc>
        <w:tc>
          <w:tcPr>
            <w:tcW w:w="595" w:type="dxa"/>
            <w:tcBorders>
              <w:top w:val="nil"/>
              <w:left w:val="nil"/>
              <w:bottom w:val="nil"/>
              <w:right w:val="nil"/>
            </w:tcBorders>
            <w:shd w:val="clear" w:color="auto" w:fill="auto"/>
            <w:noWrap/>
            <w:vAlign w:val="center"/>
            <w:hideMark/>
          </w:tcPr>
          <w:p w14:paraId="3052C863" w14:textId="5F7EB2D5" w:rsidR="00DE09A0" w:rsidRPr="00D92E20" w:rsidRDefault="00DE09A0" w:rsidP="00DE09A0">
            <w:pPr>
              <w:spacing w:after="0" w:line="240" w:lineRule="auto"/>
              <w:jc w:val="center"/>
              <w:rPr>
                <w:rFonts w:cs="Arial"/>
                <w:color w:val="000000"/>
                <w:sz w:val="16"/>
                <w:szCs w:val="16"/>
              </w:rPr>
            </w:pPr>
            <w:r>
              <w:rPr>
                <w:rFonts w:cs="Arial"/>
                <w:color w:val="000000"/>
                <w:sz w:val="16"/>
                <w:szCs w:val="16"/>
              </w:rPr>
              <w:t>47,8</w:t>
            </w:r>
          </w:p>
        </w:tc>
        <w:tc>
          <w:tcPr>
            <w:tcW w:w="595" w:type="dxa"/>
            <w:tcBorders>
              <w:top w:val="nil"/>
              <w:left w:val="nil"/>
              <w:bottom w:val="nil"/>
              <w:right w:val="nil"/>
            </w:tcBorders>
            <w:shd w:val="clear" w:color="auto" w:fill="auto"/>
            <w:noWrap/>
            <w:vAlign w:val="center"/>
            <w:hideMark/>
          </w:tcPr>
          <w:p w14:paraId="72DE39FB" w14:textId="727D3D60" w:rsidR="00DE09A0" w:rsidRPr="00D92E20" w:rsidRDefault="00DE09A0" w:rsidP="00DE09A0">
            <w:pPr>
              <w:spacing w:after="0" w:line="240" w:lineRule="auto"/>
              <w:jc w:val="center"/>
              <w:rPr>
                <w:rFonts w:cs="Arial"/>
                <w:color w:val="000000"/>
                <w:sz w:val="16"/>
                <w:szCs w:val="16"/>
              </w:rPr>
            </w:pPr>
            <w:r>
              <w:rPr>
                <w:rFonts w:cs="Arial"/>
                <w:color w:val="000000"/>
                <w:sz w:val="16"/>
                <w:szCs w:val="16"/>
              </w:rPr>
              <w:t>36,7</w:t>
            </w:r>
          </w:p>
        </w:tc>
        <w:tc>
          <w:tcPr>
            <w:tcW w:w="595" w:type="dxa"/>
            <w:tcBorders>
              <w:top w:val="nil"/>
              <w:left w:val="nil"/>
              <w:bottom w:val="nil"/>
              <w:right w:val="nil"/>
            </w:tcBorders>
            <w:shd w:val="clear" w:color="auto" w:fill="auto"/>
            <w:noWrap/>
            <w:vAlign w:val="center"/>
            <w:hideMark/>
          </w:tcPr>
          <w:p w14:paraId="52633EFB" w14:textId="5E2A5A04" w:rsidR="00DE09A0" w:rsidRPr="00D92E20" w:rsidRDefault="00DE09A0" w:rsidP="00DE09A0">
            <w:pPr>
              <w:spacing w:after="0" w:line="240" w:lineRule="auto"/>
              <w:jc w:val="center"/>
              <w:rPr>
                <w:rFonts w:cs="Arial"/>
                <w:color w:val="000000"/>
                <w:sz w:val="16"/>
                <w:szCs w:val="16"/>
              </w:rPr>
            </w:pPr>
            <w:r>
              <w:rPr>
                <w:rFonts w:cs="Arial"/>
                <w:color w:val="000000"/>
                <w:sz w:val="16"/>
                <w:szCs w:val="16"/>
              </w:rPr>
              <w:t>27,4</w:t>
            </w:r>
          </w:p>
        </w:tc>
      </w:tr>
      <w:tr w:rsidR="00DE09A0" w:rsidRPr="00D92E20" w14:paraId="4ECECA9E" w14:textId="77777777" w:rsidTr="00DC0DB3">
        <w:trPr>
          <w:trHeight w:val="300"/>
        </w:trPr>
        <w:tc>
          <w:tcPr>
            <w:tcW w:w="3175" w:type="dxa"/>
            <w:tcBorders>
              <w:top w:val="nil"/>
              <w:left w:val="nil"/>
              <w:bottom w:val="nil"/>
              <w:right w:val="single" w:sz="4" w:space="0" w:color="auto"/>
            </w:tcBorders>
            <w:shd w:val="clear" w:color="auto" w:fill="auto"/>
            <w:vAlign w:val="center"/>
            <w:hideMark/>
          </w:tcPr>
          <w:p w14:paraId="2F4331ED" w14:textId="77777777" w:rsidR="00DE09A0" w:rsidRPr="00D92E20" w:rsidRDefault="00DE09A0" w:rsidP="00DE09A0">
            <w:pPr>
              <w:spacing w:after="0" w:line="240" w:lineRule="auto"/>
              <w:ind w:firstLineChars="100" w:firstLine="160"/>
              <w:rPr>
                <w:rFonts w:cs="Arial"/>
                <w:color w:val="000000"/>
                <w:sz w:val="16"/>
                <w:szCs w:val="16"/>
              </w:rPr>
            </w:pPr>
            <w:r w:rsidRPr="00D92E20">
              <w:rPr>
                <w:rFonts w:cs="Arial"/>
                <w:color w:val="000000"/>
                <w:sz w:val="16"/>
                <w:szCs w:val="16"/>
              </w:rPr>
              <w:t>F – Stavebnictví</w:t>
            </w:r>
          </w:p>
        </w:tc>
        <w:tc>
          <w:tcPr>
            <w:tcW w:w="595" w:type="dxa"/>
            <w:tcBorders>
              <w:top w:val="nil"/>
              <w:left w:val="nil"/>
              <w:bottom w:val="nil"/>
              <w:right w:val="nil"/>
            </w:tcBorders>
            <w:shd w:val="clear" w:color="auto" w:fill="auto"/>
            <w:noWrap/>
            <w:vAlign w:val="center"/>
            <w:hideMark/>
          </w:tcPr>
          <w:p w14:paraId="3FDF0B04" w14:textId="4AECFB52" w:rsidR="00DE09A0" w:rsidRPr="00D92E20" w:rsidRDefault="00DE09A0" w:rsidP="00DE09A0">
            <w:pPr>
              <w:spacing w:after="0" w:line="240" w:lineRule="auto"/>
              <w:jc w:val="center"/>
              <w:rPr>
                <w:rFonts w:cs="Arial"/>
                <w:color w:val="000000"/>
                <w:sz w:val="16"/>
                <w:szCs w:val="16"/>
              </w:rPr>
            </w:pPr>
            <w:r>
              <w:rPr>
                <w:rFonts w:cs="Arial"/>
                <w:sz w:val="16"/>
                <w:szCs w:val="16"/>
              </w:rPr>
              <w:t>63,6</w:t>
            </w:r>
          </w:p>
        </w:tc>
        <w:tc>
          <w:tcPr>
            <w:tcW w:w="595" w:type="dxa"/>
            <w:tcBorders>
              <w:top w:val="nil"/>
              <w:left w:val="nil"/>
              <w:bottom w:val="nil"/>
              <w:right w:val="nil"/>
            </w:tcBorders>
            <w:shd w:val="clear" w:color="auto" w:fill="auto"/>
            <w:noWrap/>
            <w:vAlign w:val="center"/>
            <w:hideMark/>
          </w:tcPr>
          <w:p w14:paraId="6AB681F3" w14:textId="3A7A3773" w:rsidR="00DE09A0" w:rsidRPr="00D92E20" w:rsidRDefault="00DE09A0" w:rsidP="00DE09A0">
            <w:pPr>
              <w:spacing w:after="0" w:line="240" w:lineRule="auto"/>
              <w:jc w:val="center"/>
              <w:rPr>
                <w:rFonts w:cs="Arial"/>
                <w:color w:val="000000"/>
                <w:sz w:val="16"/>
                <w:szCs w:val="16"/>
              </w:rPr>
            </w:pPr>
            <w:r>
              <w:rPr>
                <w:rFonts w:cs="Arial"/>
                <w:sz w:val="16"/>
                <w:szCs w:val="16"/>
              </w:rPr>
              <w:t>59,7</w:t>
            </w:r>
          </w:p>
        </w:tc>
        <w:tc>
          <w:tcPr>
            <w:tcW w:w="595" w:type="dxa"/>
            <w:tcBorders>
              <w:top w:val="nil"/>
              <w:left w:val="nil"/>
              <w:bottom w:val="nil"/>
              <w:right w:val="nil"/>
            </w:tcBorders>
            <w:shd w:val="clear" w:color="auto" w:fill="auto"/>
            <w:noWrap/>
            <w:vAlign w:val="center"/>
            <w:hideMark/>
          </w:tcPr>
          <w:p w14:paraId="76A43DE3" w14:textId="17C3916E" w:rsidR="00DE09A0" w:rsidRPr="00D92E20" w:rsidRDefault="00DE09A0" w:rsidP="00DE09A0">
            <w:pPr>
              <w:spacing w:after="0" w:line="240" w:lineRule="auto"/>
              <w:jc w:val="center"/>
              <w:rPr>
                <w:rFonts w:cs="Arial"/>
                <w:color w:val="000000"/>
                <w:sz w:val="16"/>
                <w:szCs w:val="16"/>
              </w:rPr>
            </w:pPr>
            <w:r>
              <w:rPr>
                <w:rFonts w:cs="Arial"/>
                <w:sz w:val="16"/>
                <w:szCs w:val="16"/>
              </w:rPr>
              <w:t>64,6</w:t>
            </w:r>
          </w:p>
        </w:tc>
        <w:tc>
          <w:tcPr>
            <w:tcW w:w="595" w:type="dxa"/>
            <w:tcBorders>
              <w:top w:val="nil"/>
              <w:left w:val="nil"/>
              <w:bottom w:val="nil"/>
              <w:right w:val="nil"/>
            </w:tcBorders>
            <w:shd w:val="clear" w:color="auto" w:fill="auto"/>
            <w:noWrap/>
            <w:vAlign w:val="center"/>
            <w:hideMark/>
          </w:tcPr>
          <w:p w14:paraId="15E71BE9" w14:textId="022093D0" w:rsidR="00DE09A0" w:rsidRPr="00D92E20" w:rsidRDefault="00DE09A0" w:rsidP="00DE09A0">
            <w:pPr>
              <w:spacing w:after="0" w:line="240" w:lineRule="auto"/>
              <w:jc w:val="center"/>
              <w:rPr>
                <w:rFonts w:cs="Arial"/>
                <w:color w:val="000000"/>
                <w:sz w:val="16"/>
                <w:szCs w:val="16"/>
              </w:rPr>
            </w:pPr>
            <w:r>
              <w:rPr>
                <w:rFonts w:cs="Arial"/>
                <w:sz w:val="16"/>
                <w:szCs w:val="16"/>
              </w:rPr>
              <w:t>53,9</w:t>
            </w:r>
          </w:p>
        </w:tc>
        <w:tc>
          <w:tcPr>
            <w:tcW w:w="595" w:type="dxa"/>
            <w:tcBorders>
              <w:top w:val="nil"/>
              <w:left w:val="nil"/>
              <w:bottom w:val="nil"/>
              <w:right w:val="nil"/>
            </w:tcBorders>
            <w:shd w:val="clear" w:color="auto" w:fill="auto"/>
            <w:noWrap/>
            <w:vAlign w:val="center"/>
            <w:hideMark/>
          </w:tcPr>
          <w:p w14:paraId="5E268997" w14:textId="631E74B3" w:rsidR="00DE09A0" w:rsidRPr="00D92E20" w:rsidRDefault="00DE09A0" w:rsidP="00DE09A0">
            <w:pPr>
              <w:spacing w:after="0" w:line="240" w:lineRule="auto"/>
              <w:jc w:val="center"/>
              <w:rPr>
                <w:rFonts w:cs="Arial"/>
                <w:color w:val="000000"/>
                <w:sz w:val="16"/>
                <w:szCs w:val="16"/>
              </w:rPr>
            </w:pPr>
            <w:r>
              <w:rPr>
                <w:rFonts w:cs="Arial"/>
                <w:color w:val="000000"/>
                <w:sz w:val="16"/>
                <w:szCs w:val="16"/>
              </w:rPr>
              <w:t>56,6</w:t>
            </w:r>
          </w:p>
        </w:tc>
        <w:tc>
          <w:tcPr>
            <w:tcW w:w="595" w:type="dxa"/>
            <w:tcBorders>
              <w:top w:val="nil"/>
              <w:left w:val="nil"/>
              <w:bottom w:val="nil"/>
              <w:right w:val="nil"/>
            </w:tcBorders>
            <w:shd w:val="clear" w:color="auto" w:fill="auto"/>
            <w:noWrap/>
            <w:vAlign w:val="center"/>
            <w:hideMark/>
          </w:tcPr>
          <w:p w14:paraId="07795ECB" w14:textId="3B2792B8" w:rsidR="00DE09A0" w:rsidRPr="00D92E20" w:rsidRDefault="00DE09A0" w:rsidP="00DE09A0">
            <w:pPr>
              <w:spacing w:after="0" w:line="240" w:lineRule="auto"/>
              <w:jc w:val="center"/>
              <w:rPr>
                <w:rFonts w:cs="Arial"/>
                <w:color w:val="000000"/>
                <w:sz w:val="16"/>
                <w:szCs w:val="16"/>
              </w:rPr>
            </w:pPr>
            <w:r>
              <w:rPr>
                <w:rFonts w:cs="Arial"/>
                <w:color w:val="000000"/>
                <w:sz w:val="16"/>
                <w:szCs w:val="16"/>
              </w:rPr>
              <w:t>55,1</w:t>
            </w:r>
          </w:p>
        </w:tc>
        <w:tc>
          <w:tcPr>
            <w:tcW w:w="595" w:type="dxa"/>
            <w:tcBorders>
              <w:top w:val="nil"/>
              <w:left w:val="nil"/>
              <w:bottom w:val="nil"/>
              <w:right w:val="nil"/>
            </w:tcBorders>
            <w:shd w:val="clear" w:color="auto" w:fill="auto"/>
            <w:noWrap/>
            <w:vAlign w:val="center"/>
            <w:hideMark/>
          </w:tcPr>
          <w:p w14:paraId="56364BAA" w14:textId="1074C0D8" w:rsidR="00DE09A0" w:rsidRPr="00D92E20" w:rsidRDefault="00DE09A0" w:rsidP="00DE09A0">
            <w:pPr>
              <w:spacing w:after="0" w:line="240" w:lineRule="auto"/>
              <w:jc w:val="center"/>
              <w:rPr>
                <w:rFonts w:cs="Arial"/>
                <w:color w:val="000000"/>
                <w:sz w:val="16"/>
                <w:szCs w:val="16"/>
              </w:rPr>
            </w:pPr>
            <w:r>
              <w:rPr>
                <w:rFonts w:cs="Arial"/>
                <w:color w:val="000000"/>
                <w:sz w:val="16"/>
                <w:szCs w:val="16"/>
              </w:rPr>
              <w:t>51,8</w:t>
            </w:r>
          </w:p>
        </w:tc>
        <w:tc>
          <w:tcPr>
            <w:tcW w:w="595" w:type="dxa"/>
            <w:tcBorders>
              <w:top w:val="nil"/>
              <w:left w:val="nil"/>
              <w:bottom w:val="nil"/>
              <w:right w:val="nil"/>
            </w:tcBorders>
            <w:shd w:val="clear" w:color="auto" w:fill="auto"/>
            <w:noWrap/>
            <w:vAlign w:val="center"/>
            <w:hideMark/>
          </w:tcPr>
          <w:p w14:paraId="7C01A241" w14:textId="088C8213" w:rsidR="00DE09A0" w:rsidRPr="00D92E20" w:rsidRDefault="00DE09A0" w:rsidP="00DE09A0">
            <w:pPr>
              <w:spacing w:after="0" w:line="240" w:lineRule="auto"/>
              <w:jc w:val="center"/>
              <w:rPr>
                <w:rFonts w:cs="Arial"/>
                <w:color w:val="000000"/>
                <w:sz w:val="16"/>
                <w:szCs w:val="16"/>
              </w:rPr>
            </w:pPr>
            <w:r>
              <w:rPr>
                <w:rFonts w:cs="Arial"/>
                <w:color w:val="000000"/>
                <w:sz w:val="16"/>
                <w:szCs w:val="16"/>
              </w:rPr>
              <w:t>55,0</w:t>
            </w:r>
          </w:p>
        </w:tc>
        <w:tc>
          <w:tcPr>
            <w:tcW w:w="595" w:type="dxa"/>
            <w:tcBorders>
              <w:top w:val="nil"/>
              <w:left w:val="nil"/>
              <w:bottom w:val="nil"/>
              <w:right w:val="nil"/>
            </w:tcBorders>
            <w:shd w:val="clear" w:color="auto" w:fill="auto"/>
            <w:noWrap/>
            <w:vAlign w:val="center"/>
            <w:hideMark/>
          </w:tcPr>
          <w:p w14:paraId="65BA8E39" w14:textId="2C4BA624" w:rsidR="00DE09A0" w:rsidRPr="00D92E20" w:rsidRDefault="00DE09A0" w:rsidP="00DE09A0">
            <w:pPr>
              <w:spacing w:after="0" w:line="240" w:lineRule="auto"/>
              <w:jc w:val="center"/>
              <w:rPr>
                <w:rFonts w:cs="Arial"/>
                <w:color w:val="000000"/>
                <w:sz w:val="16"/>
                <w:szCs w:val="16"/>
              </w:rPr>
            </w:pPr>
            <w:r>
              <w:rPr>
                <w:rFonts w:cs="Arial"/>
                <w:color w:val="000000"/>
                <w:sz w:val="16"/>
                <w:szCs w:val="16"/>
              </w:rPr>
              <w:t>54,1</w:t>
            </w:r>
          </w:p>
        </w:tc>
        <w:tc>
          <w:tcPr>
            <w:tcW w:w="595" w:type="dxa"/>
            <w:tcBorders>
              <w:top w:val="nil"/>
              <w:left w:val="nil"/>
              <w:bottom w:val="nil"/>
              <w:right w:val="nil"/>
            </w:tcBorders>
            <w:shd w:val="clear" w:color="auto" w:fill="auto"/>
            <w:noWrap/>
            <w:vAlign w:val="center"/>
            <w:hideMark/>
          </w:tcPr>
          <w:p w14:paraId="40EF0F3A" w14:textId="1CBF15AC" w:rsidR="00DE09A0" w:rsidRPr="00D92E20" w:rsidRDefault="00DE09A0" w:rsidP="00DE09A0">
            <w:pPr>
              <w:spacing w:after="0" w:line="240" w:lineRule="auto"/>
              <w:jc w:val="center"/>
              <w:rPr>
                <w:rFonts w:cs="Arial"/>
                <w:color w:val="000000"/>
                <w:sz w:val="16"/>
                <w:szCs w:val="16"/>
              </w:rPr>
            </w:pPr>
            <w:r>
              <w:rPr>
                <w:rFonts w:cs="Arial"/>
                <w:color w:val="000000"/>
                <w:sz w:val="16"/>
                <w:szCs w:val="16"/>
              </w:rPr>
              <w:t>41,4</w:t>
            </w:r>
          </w:p>
        </w:tc>
        <w:tc>
          <w:tcPr>
            <w:tcW w:w="595" w:type="dxa"/>
            <w:tcBorders>
              <w:top w:val="nil"/>
              <w:left w:val="nil"/>
              <w:bottom w:val="nil"/>
              <w:right w:val="nil"/>
            </w:tcBorders>
            <w:shd w:val="clear" w:color="auto" w:fill="auto"/>
            <w:noWrap/>
            <w:vAlign w:val="center"/>
            <w:hideMark/>
          </w:tcPr>
          <w:p w14:paraId="2E27FAD7" w14:textId="7FDD87B0" w:rsidR="00DE09A0" w:rsidRPr="00D92E20" w:rsidRDefault="00DE09A0" w:rsidP="00DE09A0">
            <w:pPr>
              <w:spacing w:after="0" w:line="240" w:lineRule="auto"/>
              <w:jc w:val="center"/>
              <w:rPr>
                <w:rFonts w:cs="Arial"/>
                <w:color w:val="000000"/>
                <w:sz w:val="16"/>
                <w:szCs w:val="16"/>
              </w:rPr>
            </w:pPr>
            <w:r>
              <w:rPr>
                <w:rFonts w:cs="Arial"/>
                <w:color w:val="000000"/>
                <w:sz w:val="16"/>
                <w:szCs w:val="16"/>
              </w:rPr>
              <w:t>32,5</w:t>
            </w:r>
          </w:p>
        </w:tc>
      </w:tr>
      <w:tr w:rsidR="00DE09A0" w:rsidRPr="00D92E20" w14:paraId="1E9B0713" w14:textId="77777777" w:rsidTr="00DC0DB3">
        <w:trPr>
          <w:trHeight w:val="480"/>
        </w:trPr>
        <w:tc>
          <w:tcPr>
            <w:tcW w:w="3175" w:type="dxa"/>
            <w:tcBorders>
              <w:top w:val="nil"/>
              <w:left w:val="nil"/>
              <w:bottom w:val="nil"/>
              <w:right w:val="single" w:sz="4" w:space="0" w:color="auto"/>
            </w:tcBorders>
            <w:shd w:val="clear" w:color="auto" w:fill="auto"/>
            <w:vAlign w:val="center"/>
            <w:hideMark/>
          </w:tcPr>
          <w:p w14:paraId="6E3FF84C" w14:textId="77777777" w:rsidR="00DE09A0" w:rsidRPr="00D92E20" w:rsidRDefault="00DE09A0" w:rsidP="00DE09A0">
            <w:pPr>
              <w:spacing w:after="0" w:line="240" w:lineRule="auto"/>
              <w:ind w:firstLineChars="100" w:firstLine="160"/>
              <w:rPr>
                <w:rFonts w:cs="Arial"/>
                <w:color w:val="000000"/>
                <w:sz w:val="16"/>
                <w:szCs w:val="16"/>
              </w:rPr>
            </w:pPr>
            <w:r w:rsidRPr="00D92E20">
              <w:rPr>
                <w:rFonts w:cs="Arial"/>
                <w:color w:val="000000"/>
                <w:sz w:val="16"/>
                <w:szCs w:val="16"/>
              </w:rPr>
              <w:t xml:space="preserve">G – Velkoobchod a maloobchod; </w:t>
            </w:r>
            <w:r w:rsidRPr="00D92E20">
              <w:rPr>
                <w:rFonts w:cs="Arial"/>
                <w:color w:val="000000"/>
                <w:sz w:val="16"/>
                <w:szCs w:val="16"/>
              </w:rPr>
              <w:br/>
              <w:t xml:space="preserve">          opravy a údržba motorových vozidel</w:t>
            </w:r>
          </w:p>
        </w:tc>
        <w:tc>
          <w:tcPr>
            <w:tcW w:w="595" w:type="dxa"/>
            <w:tcBorders>
              <w:top w:val="nil"/>
              <w:left w:val="nil"/>
              <w:bottom w:val="nil"/>
              <w:right w:val="nil"/>
            </w:tcBorders>
            <w:shd w:val="clear" w:color="auto" w:fill="auto"/>
            <w:noWrap/>
            <w:vAlign w:val="center"/>
            <w:hideMark/>
          </w:tcPr>
          <w:p w14:paraId="272560D7" w14:textId="7AD85A38" w:rsidR="00DE09A0" w:rsidRPr="00D92E20" w:rsidRDefault="00DE09A0" w:rsidP="00DE09A0">
            <w:pPr>
              <w:spacing w:after="0" w:line="240" w:lineRule="auto"/>
              <w:jc w:val="center"/>
              <w:rPr>
                <w:rFonts w:cs="Arial"/>
                <w:color w:val="000000"/>
                <w:sz w:val="16"/>
                <w:szCs w:val="16"/>
              </w:rPr>
            </w:pPr>
            <w:r>
              <w:rPr>
                <w:rFonts w:cs="Arial"/>
                <w:sz w:val="16"/>
                <w:szCs w:val="16"/>
              </w:rPr>
              <w:t>51,9</w:t>
            </w:r>
          </w:p>
        </w:tc>
        <w:tc>
          <w:tcPr>
            <w:tcW w:w="595" w:type="dxa"/>
            <w:tcBorders>
              <w:top w:val="nil"/>
              <w:left w:val="nil"/>
              <w:bottom w:val="nil"/>
              <w:right w:val="nil"/>
            </w:tcBorders>
            <w:shd w:val="clear" w:color="auto" w:fill="auto"/>
            <w:noWrap/>
            <w:vAlign w:val="center"/>
            <w:hideMark/>
          </w:tcPr>
          <w:p w14:paraId="6000DADD" w14:textId="720D163E" w:rsidR="00DE09A0" w:rsidRPr="00D92E20" w:rsidRDefault="00DE09A0" w:rsidP="00DE09A0">
            <w:pPr>
              <w:spacing w:after="0" w:line="240" w:lineRule="auto"/>
              <w:jc w:val="center"/>
              <w:rPr>
                <w:rFonts w:cs="Arial"/>
                <w:color w:val="000000"/>
                <w:sz w:val="16"/>
                <w:szCs w:val="16"/>
              </w:rPr>
            </w:pPr>
            <w:r>
              <w:rPr>
                <w:rFonts w:cs="Arial"/>
                <w:sz w:val="16"/>
                <w:szCs w:val="16"/>
              </w:rPr>
              <w:t>46,6</w:t>
            </w:r>
          </w:p>
        </w:tc>
        <w:tc>
          <w:tcPr>
            <w:tcW w:w="595" w:type="dxa"/>
            <w:tcBorders>
              <w:top w:val="nil"/>
              <w:left w:val="nil"/>
              <w:bottom w:val="nil"/>
              <w:right w:val="nil"/>
            </w:tcBorders>
            <w:shd w:val="clear" w:color="auto" w:fill="auto"/>
            <w:noWrap/>
            <w:vAlign w:val="center"/>
            <w:hideMark/>
          </w:tcPr>
          <w:p w14:paraId="1BD94A6C" w14:textId="5FD343F9" w:rsidR="00DE09A0" w:rsidRPr="00D92E20" w:rsidRDefault="00DE09A0" w:rsidP="00DE09A0">
            <w:pPr>
              <w:spacing w:after="0" w:line="240" w:lineRule="auto"/>
              <w:jc w:val="center"/>
              <w:rPr>
                <w:rFonts w:cs="Arial"/>
                <w:color w:val="000000"/>
                <w:sz w:val="16"/>
                <w:szCs w:val="16"/>
              </w:rPr>
            </w:pPr>
            <w:r>
              <w:rPr>
                <w:rFonts w:cs="Arial"/>
                <w:sz w:val="16"/>
                <w:szCs w:val="16"/>
              </w:rPr>
              <w:t>50,9</w:t>
            </w:r>
          </w:p>
        </w:tc>
        <w:tc>
          <w:tcPr>
            <w:tcW w:w="595" w:type="dxa"/>
            <w:tcBorders>
              <w:top w:val="nil"/>
              <w:left w:val="nil"/>
              <w:bottom w:val="nil"/>
              <w:right w:val="nil"/>
            </w:tcBorders>
            <w:shd w:val="clear" w:color="auto" w:fill="auto"/>
            <w:noWrap/>
            <w:vAlign w:val="center"/>
            <w:hideMark/>
          </w:tcPr>
          <w:p w14:paraId="7A08C78E" w14:textId="2619D647" w:rsidR="00DE09A0" w:rsidRPr="00D92E20" w:rsidRDefault="00DE09A0" w:rsidP="00DE09A0">
            <w:pPr>
              <w:spacing w:after="0" w:line="240" w:lineRule="auto"/>
              <w:jc w:val="center"/>
              <w:rPr>
                <w:rFonts w:cs="Arial"/>
                <w:color w:val="000000"/>
                <w:sz w:val="16"/>
                <w:szCs w:val="16"/>
              </w:rPr>
            </w:pPr>
            <w:r>
              <w:rPr>
                <w:rFonts w:cs="Arial"/>
                <w:sz w:val="16"/>
                <w:szCs w:val="16"/>
              </w:rPr>
              <w:t>44,4</w:t>
            </w:r>
          </w:p>
        </w:tc>
        <w:tc>
          <w:tcPr>
            <w:tcW w:w="595" w:type="dxa"/>
            <w:tcBorders>
              <w:top w:val="nil"/>
              <w:left w:val="nil"/>
              <w:bottom w:val="nil"/>
              <w:right w:val="nil"/>
            </w:tcBorders>
            <w:shd w:val="clear" w:color="auto" w:fill="auto"/>
            <w:noWrap/>
            <w:vAlign w:val="center"/>
            <w:hideMark/>
          </w:tcPr>
          <w:p w14:paraId="3DDC86E0" w14:textId="1197802C" w:rsidR="00DE09A0" w:rsidRPr="00D92E20" w:rsidRDefault="00DE09A0" w:rsidP="00DE09A0">
            <w:pPr>
              <w:spacing w:after="0" w:line="240" w:lineRule="auto"/>
              <w:jc w:val="center"/>
              <w:rPr>
                <w:rFonts w:cs="Arial"/>
                <w:color w:val="000000"/>
                <w:sz w:val="16"/>
                <w:szCs w:val="16"/>
              </w:rPr>
            </w:pPr>
            <w:r>
              <w:rPr>
                <w:rFonts w:cs="Arial"/>
                <w:color w:val="000000"/>
                <w:sz w:val="16"/>
                <w:szCs w:val="16"/>
              </w:rPr>
              <w:t>44,5</w:t>
            </w:r>
          </w:p>
        </w:tc>
        <w:tc>
          <w:tcPr>
            <w:tcW w:w="595" w:type="dxa"/>
            <w:tcBorders>
              <w:top w:val="nil"/>
              <w:left w:val="nil"/>
              <w:bottom w:val="nil"/>
              <w:right w:val="nil"/>
            </w:tcBorders>
            <w:shd w:val="clear" w:color="auto" w:fill="auto"/>
            <w:noWrap/>
            <w:vAlign w:val="center"/>
            <w:hideMark/>
          </w:tcPr>
          <w:p w14:paraId="502F159E" w14:textId="77EFBCF3" w:rsidR="00DE09A0" w:rsidRPr="00D92E20" w:rsidRDefault="00DE09A0" w:rsidP="00DE09A0">
            <w:pPr>
              <w:spacing w:after="0" w:line="240" w:lineRule="auto"/>
              <w:jc w:val="center"/>
              <w:rPr>
                <w:rFonts w:cs="Arial"/>
                <w:color w:val="000000"/>
                <w:sz w:val="16"/>
                <w:szCs w:val="16"/>
              </w:rPr>
            </w:pPr>
            <w:r>
              <w:rPr>
                <w:rFonts w:cs="Arial"/>
                <w:color w:val="000000"/>
                <w:sz w:val="16"/>
                <w:szCs w:val="16"/>
              </w:rPr>
              <w:t>43,4</w:t>
            </w:r>
          </w:p>
        </w:tc>
        <w:tc>
          <w:tcPr>
            <w:tcW w:w="595" w:type="dxa"/>
            <w:tcBorders>
              <w:top w:val="nil"/>
              <w:left w:val="nil"/>
              <w:bottom w:val="nil"/>
              <w:right w:val="nil"/>
            </w:tcBorders>
            <w:shd w:val="clear" w:color="auto" w:fill="auto"/>
            <w:noWrap/>
            <w:vAlign w:val="center"/>
            <w:hideMark/>
          </w:tcPr>
          <w:p w14:paraId="395D2ADC" w14:textId="3DEF68C7" w:rsidR="00DE09A0" w:rsidRPr="00D92E20" w:rsidRDefault="00DE09A0" w:rsidP="00DE09A0">
            <w:pPr>
              <w:spacing w:after="0" w:line="240" w:lineRule="auto"/>
              <w:jc w:val="center"/>
              <w:rPr>
                <w:rFonts w:cs="Arial"/>
                <w:color w:val="000000"/>
                <w:sz w:val="16"/>
                <w:szCs w:val="16"/>
              </w:rPr>
            </w:pPr>
            <w:r>
              <w:rPr>
                <w:rFonts w:cs="Arial"/>
                <w:color w:val="000000"/>
                <w:sz w:val="16"/>
                <w:szCs w:val="16"/>
              </w:rPr>
              <w:t>41,9</w:t>
            </w:r>
          </w:p>
        </w:tc>
        <w:tc>
          <w:tcPr>
            <w:tcW w:w="595" w:type="dxa"/>
            <w:tcBorders>
              <w:top w:val="nil"/>
              <w:left w:val="nil"/>
              <w:bottom w:val="nil"/>
              <w:right w:val="nil"/>
            </w:tcBorders>
            <w:shd w:val="clear" w:color="auto" w:fill="auto"/>
            <w:noWrap/>
            <w:vAlign w:val="center"/>
            <w:hideMark/>
          </w:tcPr>
          <w:p w14:paraId="4642194E" w14:textId="467F3DAC" w:rsidR="00DE09A0" w:rsidRPr="00D92E20" w:rsidRDefault="00DE09A0" w:rsidP="00DE09A0">
            <w:pPr>
              <w:spacing w:after="0" w:line="240" w:lineRule="auto"/>
              <w:jc w:val="center"/>
              <w:rPr>
                <w:rFonts w:cs="Arial"/>
                <w:color w:val="000000"/>
                <w:sz w:val="16"/>
                <w:szCs w:val="16"/>
              </w:rPr>
            </w:pPr>
            <w:r>
              <w:rPr>
                <w:rFonts w:cs="Arial"/>
                <w:color w:val="000000"/>
                <w:sz w:val="16"/>
                <w:szCs w:val="16"/>
              </w:rPr>
              <w:t>45,0</w:t>
            </w:r>
          </w:p>
        </w:tc>
        <w:tc>
          <w:tcPr>
            <w:tcW w:w="595" w:type="dxa"/>
            <w:tcBorders>
              <w:top w:val="nil"/>
              <w:left w:val="nil"/>
              <w:bottom w:val="nil"/>
              <w:right w:val="nil"/>
            </w:tcBorders>
            <w:shd w:val="clear" w:color="auto" w:fill="auto"/>
            <w:noWrap/>
            <w:vAlign w:val="center"/>
            <w:hideMark/>
          </w:tcPr>
          <w:p w14:paraId="70D1A7F0" w14:textId="00BD27BC" w:rsidR="00DE09A0" w:rsidRPr="00D92E20" w:rsidRDefault="00DE09A0" w:rsidP="00DE09A0">
            <w:pPr>
              <w:spacing w:after="0" w:line="240" w:lineRule="auto"/>
              <w:jc w:val="center"/>
              <w:rPr>
                <w:rFonts w:cs="Arial"/>
                <w:color w:val="000000"/>
                <w:sz w:val="16"/>
                <w:szCs w:val="16"/>
              </w:rPr>
            </w:pPr>
            <w:r>
              <w:rPr>
                <w:rFonts w:cs="Arial"/>
                <w:color w:val="000000"/>
                <w:sz w:val="16"/>
                <w:szCs w:val="16"/>
              </w:rPr>
              <w:t>46,4</w:t>
            </w:r>
          </w:p>
        </w:tc>
        <w:tc>
          <w:tcPr>
            <w:tcW w:w="595" w:type="dxa"/>
            <w:tcBorders>
              <w:top w:val="nil"/>
              <w:left w:val="nil"/>
              <w:bottom w:val="nil"/>
              <w:right w:val="nil"/>
            </w:tcBorders>
            <w:shd w:val="clear" w:color="auto" w:fill="auto"/>
            <w:noWrap/>
            <w:vAlign w:val="center"/>
            <w:hideMark/>
          </w:tcPr>
          <w:p w14:paraId="3624A3E4" w14:textId="5BEDD0CD" w:rsidR="00DE09A0" w:rsidRPr="00D92E20" w:rsidRDefault="00DE09A0" w:rsidP="00DE09A0">
            <w:pPr>
              <w:spacing w:after="0" w:line="240" w:lineRule="auto"/>
              <w:jc w:val="center"/>
              <w:rPr>
                <w:rFonts w:cs="Arial"/>
                <w:color w:val="000000"/>
                <w:sz w:val="16"/>
                <w:szCs w:val="16"/>
              </w:rPr>
            </w:pPr>
            <w:r>
              <w:rPr>
                <w:rFonts w:cs="Arial"/>
                <w:color w:val="000000"/>
                <w:sz w:val="16"/>
                <w:szCs w:val="16"/>
              </w:rPr>
              <w:t>39,8</w:t>
            </w:r>
          </w:p>
        </w:tc>
        <w:tc>
          <w:tcPr>
            <w:tcW w:w="595" w:type="dxa"/>
            <w:tcBorders>
              <w:top w:val="nil"/>
              <w:left w:val="nil"/>
              <w:bottom w:val="nil"/>
              <w:right w:val="nil"/>
            </w:tcBorders>
            <w:shd w:val="clear" w:color="auto" w:fill="auto"/>
            <w:noWrap/>
            <w:vAlign w:val="center"/>
            <w:hideMark/>
          </w:tcPr>
          <w:p w14:paraId="36B0257D" w14:textId="65340274" w:rsidR="00DE09A0" w:rsidRPr="00D92E20" w:rsidRDefault="00DE09A0" w:rsidP="00DE09A0">
            <w:pPr>
              <w:spacing w:after="0" w:line="240" w:lineRule="auto"/>
              <w:jc w:val="center"/>
              <w:rPr>
                <w:rFonts w:cs="Arial"/>
                <w:color w:val="000000"/>
                <w:sz w:val="16"/>
                <w:szCs w:val="16"/>
              </w:rPr>
            </w:pPr>
            <w:r>
              <w:rPr>
                <w:rFonts w:cs="Arial"/>
                <w:color w:val="000000"/>
                <w:sz w:val="16"/>
                <w:szCs w:val="16"/>
              </w:rPr>
              <w:t>26,2</w:t>
            </w:r>
          </w:p>
        </w:tc>
      </w:tr>
      <w:tr w:rsidR="00DE09A0" w:rsidRPr="00D92E20" w14:paraId="0F54AC66" w14:textId="77777777" w:rsidTr="00DC0DB3">
        <w:trPr>
          <w:trHeight w:val="300"/>
        </w:trPr>
        <w:tc>
          <w:tcPr>
            <w:tcW w:w="3175" w:type="dxa"/>
            <w:tcBorders>
              <w:top w:val="nil"/>
              <w:left w:val="nil"/>
              <w:bottom w:val="nil"/>
              <w:right w:val="single" w:sz="4" w:space="0" w:color="auto"/>
            </w:tcBorders>
            <w:shd w:val="clear" w:color="auto" w:fill="auto"/>
            <w:vAlign w:val="center"/>
            <w:hideMark/>
          </w:tcPr>
          <w:p w14:paraId="3C6B3580" w14:textId="77777777" w:rsidR="00DE09A0" w:rsidRPr="00D92E20" w:rsidRDefault="00DE09A0" w:rsidP="00DE09A0">
            <w:pPr>
              <w:spacing w:after="0" w:line="240" w:lineRule="auto"/>
              <w:ind w:firstLineChars="100" w:firstLine="160"/>
              <w:rPr>
                <w:rFonts w:cs="Arial"/>
                <w:color w:val="000000"/>
                <w:sz w:val="16"/>
                <w:szCs w:val="16"/>
              </w:rPr>
            </w:pPr>
            <w:r w:rsidRPr="00D92E20">
              <w:rPr>
                <w:rFonts w:cs="Arial"/>
                <w:color w:val="000000"/>
                <w:sz w:val="16"/>
                <w:szCs w:val="16"/>
              </w:rPr>
              <w:t>H – Doprava a skladování</w:t>
            </w:r>
          </w:p>
        </w:tc>
        <w:tc>
          <w:tcPr>
            <w:tcW w:w="595" w:type="dxa"/>
            <w:tcBorders>
              <w:top w:val="nil"/>
              <w:left w:val="nil"/>
              <w:bottom w:val="nil"/>
              <w:right w:val="nil"/>
            </w:tcBorders>
            <w:shd w:val="clear" w:color="auto" w:fill="auto"/>
            <w:noWrap/>
            <w:vAlign w:val="center"/>
            <w:hideMark/>
          </w:tcPr>
          <w:p w14:paraId="77F041EB" w14:textId="4C59232E" w:rsidR="00DE09A0" w:rsidRPr="00D92E20" w:rsidRDefault="00DE09A0" w:rsidP="00DE09A0">
            <w:pPr>
              <w:spacing w:after="0" w:line="240" w:lineRule="auto"/>
              <w:jc w:val="center"/>
              <w:rPr>
                <w:rFonts w:cs="Arial"/>
                <w:color w:val="000000"/>
                <w:sz w:val="16"/>
                <w:szCs w:val="16"/>
              </w:rPr>
            </w:pPr>
            <w:r>
              <w:rPr>
                <w:rFonts w:cs="Arial"/>
                <w:sz w:val="16"/>
                <w:szCs w:val="16"/>
              </w:rPr>
              <w:t>52,5</w:t>
            </w:r>
          </w:p>
        </w:tc>
        <w:tc>
          <w:tcPr>
            <w:tcW w:w="595" w:type="dxa"/>
            <w:tcBorders>
              <w:top w:val="nil"/>
              <w:left w:val="nil"/>
              <w:bottom w:val="nil"/>
              <w:right w:val="nil"/>
            </w:tcBorders>
            <w:shd w:val="clear" w:color="auto" w:fill="auto"/>
            <w:noWrap/>
            <w:vAlign w:val="center"/>
            <w:hideMark/>
          </w:tcPr>
          <w:p w14:paraId="571DCD14" w14:textId="3FFBD560" w:rsidR="00DE09A0" w:rsidRPr="00D92E20" w:rsidRDefault="00DE09A0" w:rsidP="00DE09A0">
            <w:pPr>
              <w:spacing w:after="0" w:line="240" w:lineRule="auto"/>
              <w:jc w:val="center"/>
              <w:rPr>
                <w:rFonts w:cs="Arial"/>
                <w:color w:val="000000"/>
                <w:sz w:val="16"/>
                <w:szCs w:val="16"/>
              </w:rPr>
            </w:pPr>
            <w:r>
              <w:rPr>
                <w:rFonts w:cs="Arial"/>
                <w:sz w:val="16"/>
                <w:szCs w:val="16"/>
              </w:rPr>
              <w:t>48,4</w:t>
            </w:r>
          </w:p>
        </w:tc>
        <w:tc>
          <w:tcPr>
            <w:tcW w:w="595" w:type="dxa"/>
            <w:tcBorders>
              <w:top w:val="nil"/>
              <w:left w:val="nil"/>
              <w:bottom w:val="nil"/>
              <w:right w:val="nil"/>
            </w:tcBorders>
            <w:shd w:val="clear" w:color="auto" w:fill="auto"/>
            <w:noWrap/>
            <w:vAlign w:val="center"/>
            <w:hideMark/>
          </w:tcPr>
          <w:p w14:paraId="2D516A15" w14:textId="10D99F36" w:rsidR="00DE09A0" w:rsidRPr="00D92E20" w:rsidRDefault="00DE09A0" w:rsidP="00DE09A0">
            <w:pPr>
              <w:spacing w:after="0" w:line="240" w:lineRule="auto"/>
              <w:jc w:val="center"/>
              <w:rPr>
                <w:rFonts w:cs="Arial"/>
                <w:color w:val="000000"/>
                <w:sz w:val="16"/>
                <w:szCs w:val="16"/>
              </w:rPr>
            </w:pPr>
            <w:r>
              <w:rPr>
                <w:rFonts w:cs="Arial"/>
                <w:sz w:val="16"/>
                <w:szCs w:val="16"/>
              </w:rPr>
              <w:t>52,5</w:t>
            </w:r>
          </w:p>
        </w:tc>
        <w:tc>
          <w:tcPr>
            <w:tcW w:w="595" w:type="dxa"/>
            <w:tcBorders>
              <w:top w:val="nil"/>
              <w:left w:val="nil"/>
              <w:bottom w:val="nil"/>
              <w:right w:val="nil"/>
            </w:tcBorders>
            <w:shd w:val="clear" w:color="auto" w:fill="auto"/>
            <w:noWrap/>
            <w:vAlign w:val="center"/>
            <w:hideMark/>
          </w:tcPr>
          <w:p w14:paraId="275F7E19" w14:textId="0DD30277" w:rsidR="00DE09A0" w:rsidRPr="00D92E20" w:rsidRDefault="00DE09A0" w:rsidP="00DE09A0">
            <w:pPr>
              <w:spacing w:after="0" w:line="240" w:lineRule="auto"/>
              <w:jc w:val="center"/>
              <w:rPr>
                <w:rFonts w:cs="Arial"/>
                <w:color w:val="000000"/>
                <w:sz w:val="16"/>
                <w:szCs w:val="16"/>
              </w:rPr>
            </w:pPr>
            <w:r>
              <w:rPr>
                <w:rFonts w:cs="Arial"/>
                <w:sz w:val="16"/>
                <w:szCs w:val="16"/>
              </w:rPr>
              <w:t>43,9</w:t>
            </w:r>
          </w:p>
        </w:tc>
        <w:tc>
          <w:tcPr>
            <w:tcW w:w="595" w:type="dxa"/>
            <w:tcBorders>
              <w:top w:val="nil"/>
              <w:left w:val="nil"/>
              <w:bottom w:val="nil"/>
              <w:right w:val="nil"/>
            </w:tcBorders>
            <w:shd w:val="clear" w:color="auto" w:fill="auto"/>
            <w:noWrap/>
            <w:vAlign w:val="center"/>
            <w:hideMark/>
          </w:tcPr>
          <w:p w14:paraId="15755017" w14:textId="1CE6BED4" w:rsidR="00DE09A0" w:rsidRPr="00D92E20" w:rsidRDefault="00DE09A0" w:rsidP="00DE09A0">
            <w:pPr>
              <w:spacing w:after="0" w:line="240" w:lineRule="auto"/>
              <w:jc w:val="center"/>
              <w:rPr>
                <w:rFonts w:cs="Arial"/>
                <w:color w:val="000000"/>
                <w:sz w:val="16"/>
                <w:szCs w:val="16"/>
              </w:rPr>
            </w:pPr>
            <w:r>
              <w:rPr>
                <w:rFonts w:cs="Arial"/>
                <w:color w:val="000000"/>
                <w:sz w:val="16"/>
                <w:szCs w:val="16"/>
              </w:rPr>
              <w:t>46,0</w:t>
            </w:r>
          </w:p>
        </w:tc>
        <w:tc>
          <w:tcPr>
            <w:tcW w:w="595" w:type="dxa"/>
            <w:tcBorders>
              <w:top w:val="nil"/>
              <w:left w:val="nil"/>
              <w:bottom w:val="nil"/>
              <w:right w:val="nil"/>
            </w:tcBorders>
            <w:shd w:val="clear" w:color="auto" w:fill="auto"/>
            <w:noWrap/>
            <w:vAlign w:val="center"/>
            <w:hideMark/>
          </w:tcPr>
          <w:p w14:paraId="508E2F03" w14:textId="621DF2B8" w:rsidR="00DE09A0" w:rsidRPr="00D92E20" w:rsidRDefault="00DE09A0" w:rsidP="00DE09A0">
            <w:pPr>
              <w:spacing w:after="0" w:line="240" w:lineRule="auto"/>
              <w:jc w:val="center"/>
              <w:rPr>
                <w:rFonts w:cs="Arial"/>
                <w:color w:val="000000"/>
                <w:sz w:val="16"/>
                <w:szCs w:val="16"/>
              </w:rPr>
            </w:pPr>
            <w:r>
              <w:rPr>
                <w:rFonts w:cs="Arial"/>
                <w:color w:val="000000"/>
                <w:sz w:val="16"/>
                <w:szCs w:val="16"/>
              </w:rPr>
              <w:t>44,1</w:t>
            </w:r>
          </w:p>
        </w:tc>
        <w:tc>
          <w:tcPr>
            <w:tcW w:w="595" w:type="dxa"/>
            <w:tcBorders>
              <w:top w:val="nil"/>
              <w:left w:val="nil"/>
              <w:bottom w:val="nil"/>
              <w:right w:val="nil"/>
            </w:tcBorders>
            <w:shd w:val="clear" w:color="auto" w:fill="auto"/>
            <w:noWrap/>
            <w:vAlign w:val="center"/>
            <w:hideMark/>
          </w:tcPr>
          <w:p w14:paraId="79AE69D1" w14:textId="2E5B6E9B" w:rsidR="00DE09A0" w:rsidRPr="00D92E20" w:rsidRDefault="00DE09A0" w:rsidP="00DE09A0">
            <w:pPr>
              <w:spacing w:after="0" w:line="240" w:lineRule="auto"/>
              <w:jc w:val="center"/>
              <w:rPr>
                <w:rFonts w:cs="Arial"/>
                <w:color w:val="000000"/>
                <w:sz w:val="16"/>
                <w:szCs w:val="16"/>
              </w:rPr>
            </w:pPr>
            <w:r>
              <w:rPr>
                <w:rFonts w:cs="Arial"/>
                <w:color w:val="000000"/>
                <w:sz w:val="16"/>
                <w:szCs w:val="16"/>
              </w:rPr>
              <w:t>41,8</w:t>
            </w:r>
          </w:p>
        </w:tc>
        <w:tc>
          <w:tcPr>
            <w:tcW w:w="595" w:type="dxa"/>
            <w:tcBorders>
              <w:top w:val="nil"/>
              <w:left w:val="nil"/>
              <w:bottom w:val="nil"/>
              <w:right w:val="nil"/>
            </w:tcBorders>
            <w:shd w:val="clear" w:color="auto" w:fill="auto"/>
            <w:noWrap/>
            <w:vAlign w:val="center"/>
            <w:hideMark/>
          </w:tcPr>
          <w:p w14:paraId="331E6E10" w14:textId="49562ECA" w:rsidR="00DE09A0" w:rsidRPr="00D92E20" w:rsidRDefault="00DE09A0" w:rsidP="00DE09A0">
            <w:pPr>
              <w:spacing w:after="0" w:line="240" w:lineRule="auto"/>
              <w:jc w:val="center"/>
              <w:rPr>
                <w:rFonts w:cs="Arial"/>
                <w:color w:val="000000"/>
                <w:sz w:val="16"/>
                <w:szCs w:val="16"/>
              </w:rPr>
            </w:pPr>
            <w:r>
              <w:rPr>
                <w:rFonts w:cs="Arial"/>
                <w:color w:val="000000"/>
                <w:sz w:val="16"/>
                <w:szCs w:val="16"/>
              </w:rPr>
              <w:t>45,9</w:t>
            </w:r>
          </w:p>
        </w:tc>
        <w:tc>
          <w:tcPr>
            <w:tcW w:w="595" w:type="dxa"/>
            <w:tcBorders>
              <w:top w:val="nil"/>
              <w:left w:val="nil"/>
              <w:bottom w:val="nil"/>
              <w:right w:val="nil"/>
            </w:tcBorders>
            <w:shd w:val="clear" w:color="auto" w:fill="auto"/>
            <w:noWrap/>
            <w:vAlign w:val="center"/>
            <w:hideMark/>
          </w:tcPr>
          <w:p w14:paraId="31712E76" w14:textId="65618FBE" w:rsidR="00DE09A0" w:rsidRPr="00D92E20" w:rsidRDefault="00DE09A0" w:rsidP="00DE09A0">
            <w:pPr>
              <w:spacing w:after="0" w:line="240" w:lineRule="auto"/>
              <w:jc w:val="center"/>
              <w:rPr>
                <w:rFonts w:cs="Arial"/>
                <w:color w:val="000000"/>
                <w:sz w:val="16"/>
                <w:szCs w:val="16"/>
              </w:rPr>
            </w:pPr>
            <w:r>
              <w:rPr>
                <w:rFonts w:cs="Arial"/>
                <w:color w:val="000000"/>
                <w:sz w:val="16"/>
                <w:szCs w:val="16"/>
              </w:rPr>
              <w:t>47,4</w:t>
            </w:r>
          </w:p>
        </w:tc>
        <w:tc>
          <w:tcPr>
            <w:tcW w:w="595" w:type="dxa"/>
            <w:tcBorders>
              <w:top w:val="nil"/>
              <w:left w:val="nil"/>
              <w:bottom w:val="nil"/>
              <w:right w:val="nil"/>
            </w:tcBorders>
            <w:shd w:val="clear" w:color="auto" w:fill="auto"/>
            <w:noWrap/>
            <w:vAlign w:val="center"/>
            <w:hideMark/>
          </w:tcPr>
          <w:p w14:paraId="5E1025C1" w14:textId="6DED70EB" w:rsidR="00DE09A0" w:rsidRPr="00D92E20" w:rsidRDefault="00DE09A0" w:rsidP="00DE09A0">
            <w:pPr>
              <w:spacing w:after="0" w:line="240" w:lineRule="auto"/>
              <w:jc w:val="center"/>
              <w:rPr>
                <w:rFonts w:cs="Arial"/>
                <w:color w:val="000000"/>
                <w:sz w:val="16"/>
                <w:szCs w:val="16"/>
              </w:rPr>
            </w:pPr>
            <w:r>
              <w:rPr>
                <w:rFonts w:cs="Arial"/>
                <w:color w:val="000000"/>
                <w:sz w:val="16"/>
                <w:szCs w:val="16"/>
              </w:rPr>
              <w:t>38,1</w:t>
            </w:r>
          </w:p>
        </w:tc>
        <w:tc>
          <w:tcPr>
            <w:tcW w:w="595" w:type="dxa"/>
            <w:tcBorders>
              <w:top w:val="nil"/>
              <w:left w:val="nil"/>
              <w:bottom w:val="nil"/>
              <w:right w:val="nil"/>
            </w:tcBorders>
            <w:shd w:val="clear" w:color="auto" w:fill="auto"/>
            <w:noWrap/>
            <w:vAlign w:val="center"/>
            <w:hideMark/>
          </w:tcPr>
          <w:p w14:paraId="2C85427E" w14:textId="4D0AD9E0" w:rsidR="00DE09A0" w:rsidRPr="00D92E20" w:rsidRDefault="00DE09A0" w:rsidP="00DE09A0">
            <w:pPr>
              <w:spacing w:after="0" w:line="240" w:lineRule="auto"/>
              <w:jc w:val="center"/>
              <w:rPr>
                <w:rFonts w:cs="Arial"/>
                <w:color w:val="000000"/>
                <w:sz w:val="16"/>
                <w:szCs w:val="16"/>
              </w:rPr>
            </w:pPr>
            <w:r>
              <w:rPr>
                <w:rFonts w:cs="Arial"/>
                <w:color w:val="000000"/>
                <w:sz w:val="16"/>
                <w:szCs w:val="16"/>
              </w:rPr>
              <w:t>28,2</w:t>
            </w:r>
          </w:p>
        </w:tc>
      </w:tr>
      <w:tr w:rsidR="00DE09A0" w:rsidRPr="00D92E20" w14:paraId="03DB9AC6" w14:textId="77777777" w:rsidTr="00DC0DB3">
        <w:trPr>
          <w:trHeight w:val="300"/>
        </w:trPr>
        <w:tc>
          <w:tcPr>
            <w:tcW w:w="3175" w:type="dxa"/>
            <w:tcBorders>
              <w:top w:val="nil"/>
              <w:left w:val="nil"/>
              <w:bottom w:val="nil"/>
              <w:right w:val="single" w:sz="4" w:space="0" w:color="auto"/>
            </w:tcBorders>
            <w:shd w:val="clear" w:color="auto" w:fill="auto"/>
            <w:vAlign w:val="center"/>
            <w:hideMark/>
          </w:tcPr>
          <w:p w14:paraId="3E66899D" w14:textId="6F266446" w:rsidR="00DE09A0" w:rsidRPr="00D92E20" w:rsidRDefault="00DE09A0" w:rsidP="00DE09A0">
            <w:pPr>
              <w:spacing w:after="0" w:line="240" w:lineRule="auto"/>
              <w:ind w:firstLineChars="100" w:firstLine="160"/>
              <w:rPr>
                <w:rFonts w:cs="Arial"/>
                <w:color w:val="000000"/>
                <w:sz w:val="16"/>
                <w:szCs w:val="16"/>
              </w:rPr>
            </w:pPr>
            <w:r w:rsidRPr="00D92E20">
              <w:rPr>
                <w:rFonts w:cs="Arial"/>
                <w:color w:val="000000"/>
                <w:sz w:val="16"/>
                <w:szCs w:val="16"/>
              </w:rPr>
              <w:t>I – Ubytování, stravování a pohostinství</w:t>
            </w:r>
          </w:p>
        </w:tc>
        <w:tc>
          <w:tcPr>
            <w:tcW w:w="595" w:type="dxa"/>
            <w:tcBorders>
              <w:top w:val="nil"/>
              <w:left w:val="nil"/>
              <w:bottom w:val="nil"/>
              <w:right w:val="nil"/>
            </w:tcBorders>
            <w:shd w:val="clear" w:color="auto" w:fill="auto"/>
            <w:noWrap/>
            <w:vAlign w:val="center"/>
            <w:hideMark/>
          </w:tcPr>
          <w:p w14:paraId="7EBA2D97" w14:textId="46CC614C" w:rsidR="00DE09A0" w:rsidRPr="00D92E20" w:rsidRDefault="00DE09A0" w:rsidP="00DE09A0">
            <w:pPr>
              <w:spacing w:after="0" w:line="240" w:lineRule="auto"/>
              <w:jc w:val="center"/>
              <w:rPr>
                <w:rFonts w:cs="Arial"/>
                <w:color w:val="000000"/>
                <w:sz w:val="16"/>
                <w:szCs w:val="16"/>
              </w:rPr>
            </w:pPr>
            <w:r>
              <w:rPr>
                <w:rFonts w:cs="Arial"/>
                <w:sz w:val="16"/>
                <w:szCs w:val="16"/>
              </w:rPr>
              <w:t>59,6</w:t>
            </w:r>
          </w:p>
        </w:tc>
        <w:tc>
          <w:tcPr>
            <w:tcW w:w="595" w:type="dxa"/>
            <w:tcBorders>
              <w:top w:val="nil"/>
              <w:left w:val="nil"/>
              <w:bottom w:val="nil"/>
              <w:right w:val="nil"/>
            </w:tcBorders>
            <w:shd w:val="clear" w:color="auto" w:fill="auto"/>
            <w:noWrap/>
            <w:vAlign w:val="center"/>
            <w:hideMark/>
          </w:tcPr>
          <w:p w14:paraId="4773E6BA" w14:textId="656E3B2E" w:rsidR="00DE09A0" w:rsidRPr="00D92E20" w:rsidRDefault="00DE09A0" w:rsidP="00DE09A0">
            <w:pPr>
              <w:spacing w:after="0" w:line="240" w:lineRule="auto"/>
              <w:jc w:val="center"/>
              <w:rPr>
                <w:rFonts w:cs="Arial"/>
                <w:color w:val="000000"/>
                <w:sz w:val="16"/>
                <w:szCs w:val="16"/>
              </w:rPr>
            </w:pPr>
            <w:r>
              <w:rPr>
                <w:rFonts w:cs="Arial"/>
                <w:sz w:val="16"/>
                <w:szCs w:val="16"/>
              </w:rPr>
              <w:t>57,3</w:t>
            </w:r>
          </w:p>
        </w:tc>
        <w:tc>
          <w:tcPr>
            <w:tcW w:w="595" w:type="dxa"/>
            <w:tcBorders>
              <w:top w:val="nil"/>
              <w:left w:val="nil"/>
              <w:bottom w:val="nil"/>
              <w:right w:val="nil"/>
            </w:tcBorders>
            <w:shd w:val="clear" w:color="auto" w:fill="auto"/>
            <w:noWrap/>
            <w:vAlign w:val="center"/>
            <w:hideMark/>
          </w:tcPr>
          <w:p w14:paraId="44674490" w14:textId="6C29CE89" w:rsidR="00DE09A0" w:rsidRPr="00D92E20" w:rsidRDefault="00DE09A0" w:rsidP="00DE09A0">
            <w:pPr>
              <w:spacing w:after="0" w:line="240" w:lineRule="auto"/>
              <w:jc w:val="center"/>
              <w:rPr>
                <w:rFonts w:cs="Arial"/>
                <w:color w:val="000000"/>
                <w:sz w:val="16"/>
                <w:szCs w:val="16"/>
              </w:rPr>
            </w:pPr>
            <w:r>
              <w:rPr>
                <w:rFonts w:cs="Arial"/>
                <w:sz w:val="16"/>
                <w:szCs w:val="16"/>
              </w:rPr>
              <w:t>59,2</w:t>
            </w:r>
          </w:p>
        </w:tc>
        <w:tc>
          <w:tcPr>
            <w:tcW w:w="595" w:type="dxa"/>
            <w:tcBorders>
              <w:top w:val="nil"/>
              <w:left w:val="nil"/>
              <w:bottom w:val="nil"/>
              <w:right w:val="nil"/>
            </w:tcBorders>
            <w:shd w:val="clear" w:color="auto" w:fill="auto"/>
            <w:noWrap/>
            <w:vAlign w:val="center"/>
            <w:hideMark/>
          </w:tcPr>
          <w:p w14:paraId="48BE1DBB" w14:textId="6A0B6561" w:rsidR="00DE09A0" w:rsidRPr="00D92E20" w:rsidRDefault="00DE09A0" w:rsidP="00DE09A0">
            <w:pPr>
              <w:spacing w:after="0" w:line="240" w:lineRule="auto"/>
              <w:jc w:val="center"/>
              <w:rPr>
                <w:rFonts w:cs="Arial"/>
                <w:color w:val="000000"/>
                <w:sz w:val="16"/>
                <w:szCs w:val="16"/>
              </w:rPr>
            </w:pPr>
            <w:r>
              <w:rPr>
                <w:rFonts w:cs="Arial"/>
                <w:sz w:val="16"/>
                <w:szCs w:val="16"/>
              </w:rPr>
              <w:t>52,9</w:t>
            </w:r>
          </w:p>
        </w:tc>
        <w:tc>
          <w:tcPr>
            <w:tcW w:w="595" w:type="dxa"/>
            <w:tcBorders>
              <w:top w:val="nil"/>
              <w:left w:val="nil"/>
              <w:bottom w:val="nil"/>
              <w:right w:val="nil"/>
            </w:tcBorders>
            <w:shd w:val="clear" w:color="auto" w:fill="auto"/>
            <w:noWrap/>
            <w:vAlign w:val="center"/>
            <w:hideMark/>
          </w:tcPr>
          <w:p w14:paraId="40876B78" w14:textId="10CA004E" w:rsidR="00DE09A0" w:rsidRPr="00D92E20" w:rsidRDefault="00DE09A0" w:rsidP="00DE09A0">
            <w:pPr>
              <w:spacing w:after="0" w:line="240" w:lineRule="auto"/>
              <w:jc w:val="center"/>
              <w:rPr>
                <w:rFonts w:cs="Arial"/>
                <w:color w:val="000000"/>
                <w:sz w:val="16"/>
                <w:szCs w:val="16"/>
              </w:rPr>
            </w:pPr>
            <w:r>
              <w:rPr>
                <w:rFonts w:cs="Arial"/>
                <w:color w:val="000000"/>
                <w:sz w:val="16"/>
                <w:szCs w:val="16"/>
              </w:rPr>
              <w:t>53,5</w:t>
            </w:r>
          </w:p>
        </w:tc>
        <w:tc>
          <w:tcPr>
            <w:tcW w:w="595" w:type="dxa"/>
            <w:tcBorders>
              <w:top w:val="nil"/>
              <w:left w:val="nil"/>
              <w:bottom w:val="nil"/>
              <w:right w:val="nil"/>
            </w:tcBorders>
            <w:shd w:val="clear" w:color="auto" w:fill="auto"/>
            <w:noWrap/>
            <w:vAlign w:val="center"/>
            <w:hideMark/>
          </w:tcPr>
          <w:p w14:paraId="2632C0F3" w14:textId="63DDC284" w:rsidR="00DE09A0" w:rsidRPr="00D92E20" w:rsidRDefault="00DE09A0" w:rsidP="00DE09A0">
            <w:pPr>
              <w:spacing w:after="0" w:line="240" w:lineRule="auto"/>
              <w:jc w:val="center"/>
              <w:rPr>
                <w:rFonts w:cs="Arial"/>
                <w:color w:val="000000"/>
                <w:sz w:val="16"/>
                <w:szCs w:val="16"/>
              </w:rPr>
            </w:pPr>
            <w:r>
              <w:rPr>
                <w:rFonts w:cs="Arial"/>
                <w:color w:val="000000"/>
                <w:sz w:val="16"/>
                <w:szCs w:val="16"/>
              </w:rPr>
              <w:t>53,3</w:t>
            </w:r>
          </w:p>
        </w:tc>
        <w:tc>
          <w:tcPr>
            <w:tcW w:w="595" w:type="dxa"/>
            <w:tcBorders>
              <w:top w:val="nil"/>
              <w:left w:val="nil"/>
              <w:bottom w:val="nil"/>
              <w:right w:val="nil"/>
            </w:tcBorders>
            <w:shd w:val="clear" w:color="auto" w:fill="auto"/>
            <w:noWrap/>
            <w:vAlign w:val="center"/>
            <w:hideMark/>
          </w:tcPr>
          <w:p w14:paraId="0420E267" w14:textId="2ED29A71" w:rsidR="00DE09A0" w:rsidRPr="00D92E20" w:rsidRDefault="00DE09A0" w:rsidP="00DE09A0">
            <w:pPr>
              <w:spacing w:after="0" w:line="240" w:lineRule="auto"/>
              <w:jc w:val="center"/>
              <w:rPr>
                <w:rFonts w:cs="Arial"/>
                <w:color w:val="000000"/>
                <w:sz w:val="16"/>
                <w:szCs w:val="16"/>
              </w:rPr>
            </w:pPr>
            <w:r>
              <w:rPr>
                <w:rFonts w:cs="Arial"/>
                <w:color w:val="000000"/>
                <w:sz w:val="16"/>
                <w:szCs w:val="16"/>
              </w:rPr>
              <w:t>51,3</w:t>
            </w:r>
          </w:p>
        </w:tc>
        <w:tc>
          <w:tcPr>
            <w:tcW w:w="595" w:type="dxa"/>
            <w:tcBorders>
              <w:top w:val="nil"/>
              <w:left w:val="nil"/>
              <w:bottom w:val="nil"/>
              <w:right w:val="nil"/>
            </w:tcBorders>
            <w:shd w:val="clear" w:color="auto" w:fill="auto"/>
            <w:noWrap/>
            <w:vAlign w:val="center"/>
            <w:hideMark/>
          </w:tcPr>
          <w:p w14:paraId="7C9A3EC3" w14:textId="0610EAC1" w:rsidR="00DE09A0" w:rsidRPr="00D92E20" w:rsidRDefault="00DE09A0" w:rsidP="00DE09A0">
            <w:pPr>
              <w:spacing w:after="0" w:line="240" w:lineRule="auto"/>
              <w:jc w:val="center"/>
              <w:rPr>
                <w:rFonts w:cs="Arial"/>
                <w:color w:val="000000"/>
                <w:sz w:val="16"/>
                <w:szCs w:val="16"/>
              </w:rPr>
            </w:pPr>
            <w:r>
              <w:rPr>
                <w:rFonts w:cs="Arial"/>
                <w:color w:val="000000"/>
                <w:sz w:val="16"/>
                <w:szCs w:val="16"/>
              </w:rPr>
              <w:t>54,6</w:t>
            </w:r>
          </w:p>
        </w:tc>
        <w:tc>
          <w:tcPr>
            <w:tcW w:w="595" w:type="dxa"/>
            <w:tcBorders>
              <w:top w:val="nil"/>
              <w:left w:val="nil"/>
              <w:bottom w:val="nil"/>
              <w:right w:val="nil"/>
            </w:tcBorders>
            <w:shd w:val="clear" w:color="auto" w:fill="auto"/>
            <w:noWrap/>
            <w:vAlign w:val="center"/>
            <w:hideMark/>
          </w:tcPr>
          <w:p w14:paraId="4466CBA1" w14:textId="7C2B17EE" w:rsidR="00DE09A0" w:rsidRPr="00D92E20" w:rsidRDefault="00DE09A0" w:rsidP="00DE09A0">
            <w:pPr>
              <w:spacing w:after="0" w:line="240" w:lineRule="auto"/>
              <w:jc w:val="center"/>
              <w:rPr>
                <w:rFonts w:cs="Arial"/>
                <w:color w:val="000000"/>
                <w:sz w:val="16"/>
                <w:szCs w:val="16"/>
              </w:rPr>
            </w:pPr>
            <w:r>
              <w:rPr>
                <w:rFonts w:cs="Arial"/>
                <w:color w:val="000000"/>
                <w:sz w:val="16"/>
                <w:szCs w:val="16"/>
              </w:rPr>
              <w:t>59,1</w:t>
            </w:r>
          </w:p>
        </w:tc>
        <w:tc>
          <w:tcPr>
            <w:tcW w:w="595" w:type="dxa"/>
            <w:tcBorders>
              <w:top w:val="nil"/>
              <w:left w:val="nil"/>
              <w:bottom w:val="nil"/>
              <w:right w:val="nil"/>
            </w:tcBorders>
            <w:shd w:val="clear" w:color="auto" w:fill="auto"/>
            <w:noWrap/>
            <w:vAlign w:val="center"/>
            <w:hideMark/>
          </w:tcPr>
          <w:p w14:paraId="369EC504" w14:textId="2BB4FE5F" w:rsidR="00DE09A0" w:rsidRPr="00D92E20" w:rsidRDefault="00DE09A0" w:rsidP="00DE09A0">
            <w:pPr>
              <w:spacing w:after="0" w:line="240" w:lineRule="auto"/>
              <w:jc w:val="center"/>
              <w:rPr>
                <w:rFonts w:cs="Arial"/>
                <w:color w:val="000000"/>
                <w:sz w:val="16"/>
                <w:szCs w:val="16"/>
              </w:rPr>
            </w:pPr>
            <w:r>
              <w:rPr>
                <w:rFonts w:cs="Arial"/>
                <w:color w:val="000000"/>
                <w:sz w:val="16"/>
                <w:szCs w:val="16"/>
              </w:rPr>
              <w:t>59,6</w:t>
            </w:r>
          </w:p>
        </w:tc>
        <w:tc>
          <w:tcPr>
            <w:tcW w:w="595" w:type="dxa"/>
            <w:tcBorders>
              <w:top w:val="nil"/>
              <w:left w:val="nil"/>
              <w:bottom w:val="nil"/>
              <w:right w:val="nil"/>
            </w:tcBorders>
            <w:shd w:val="clear" w:color="auto" w:fill="auto"/>
            <w:noWrap/>
            <w:vAlign w:val="center"/>
            <w:hideMark/>
          </w:tcPr>
          <w:p w14:paraId="03F90904" w14:textId="698974E0" w:rsidR="00DE09A0" w:rsidRPr="00D92E20" w:rsidRDefault="00DE09A0" w:rsidP="00DE09A0">
            <w:pPr>
              <w:spacing w:after="0" w:line="240" w:lineRule="auto"/>
              <w:jc w:val="center"/>
              <w:rPr>
                <w:rFonts w:cs="Arial"/>
                <w:color w:val="000000"/>
                <w:sz w:val="16"/>
                <w:szCs w:val="16"/>
              </w:rPr>
            </w:pPr>
            <w:r>
              <w:rPr>
                <w:rFonts w:cs="Arial"/>
                <w:color w:val="000000"/>
                <w:sz w:val="16"/>
                <w:szCs w:val="16"/>
              </w:rPr>
              <w:t>33,9</w:t>
            </w:r>
          </w:p>
        </w:tc>
      </w:tr>
      <w:tr w:rsidR="00DE09A0" w:rsidRPr="00D92E20" w14:paraId="56FE709F" w14:textId="77777777" w:rsidTr="00DC0DB3">
        <w:trPr>
          <w:trHeight w:val="300"/>
        </w:trPr>
        <w:tc>
          <w:tcPr>
            <w:tcW w:w="3175" w:type="dxa"/>
            <w:tcBorders>
              <w:top w:val="nil"/>
              <w:left w:val="nil"/>
              <w:bottom w:val="nil"/>
              <w:right w:val="single" w:sz="4" w:space="0" w:color="auto"/>
            </w:tcBorders>
            <w:shd w:val="clear" w:color="auto" w:fill="auto"/>
            <w:vAlign w:val="center"/>
            <w:hideMark/>
          </w:tcPr>
          <w:p w14:paraId="1ACD59E0" w14:textId="77777777" w:rsidR="00DE09A0" w:rsidRPr="00D92E20" w:rsidRDefault="00DE09A0" w:rsidP="00DE09A0">
            <w:pPr>
              <w:spacing w:after="0" w:line="240" w:lineRule="auto"/>
              <w:ind w:firstLineChars="100" w:firstLine="160"/>
              <w:rPr>
                <w:rFonts w:cs="Arial"/>
                <w:color w:val="000000"/>
                <w:sz w:val="16"/>
                <w:szCs w:val="16"/>
              </w:rPr>
            </w:pPr>
            <w:r w:rsidRPr="00D92E20">
              <w:rPr>
                <w:rFonts w:cs="Arial"/>
                <w:color w:val="000000"/>
                <w:sz w:val="16"/>
                <w:szCs w:val="16"/>
              </w:rPr>
              <w:t>J – Informační a komunikační činnosti</w:t>
            </w:r>
          </w:p>
        </w:tc>
        <w:tc>
          <w:tcPr>
            <w:tcW w:w="595" w:type="dxa"/>
            <w:tcBorders>
              <w:top w:val="nil"/>
              <w:left w:val="nil"/>
              <w:bottom w:val="nil"/>
              <w:right w:val="nil"/>
            </w:tcBorders>
            <w:shd w:val="clear" w:color="auto" w:fill="auto"/>
            <w:noWrap/>
            <w:vAlign w:val="center"/>
            <w:hideMark/>
          </w:tcPr>
          <w:p w14:paraId="52FDA5D7" w14:textId="48321FCA" w:rsidR="00DE09A0" w:rsidRPr="00D92E20" w:rsidRDefault="00DE09A0" w:rsidP="00DE09A0">
            <w:pPr>
              <w:spacing w:after="0" w:line="240" w:lineRule="auto"/>
              <w:jc w:val="center"/>
              <w:rPr>
                <w:rFonts w:cs="Arial"/>
                <w:color w:val="000000"/>
                <w:sz w:val="16"/>
                <w:szCs w:val="16"/>
              </w:rPr>
            </w:pPr>
            <w:r>
              <w:rPr>
                <w:rFonts w:cs="Arial"/>
                <w:sz w:val="16"/>
                <w:szCs w:val="16"/>
              </w:rPr>
              <w:t>29,3</w:t>
            </w:r>
          </w:p>
        </w:tc>
        <w:tc>
          <w:tcPr>
            <w:tcW w:w="595" w:type="dxa"/>
            <w:tcBorders>
              <w:top w:val="nil"/>
              <w:left w:val="nil"/>
              <w:bottom w:val="nil"/>
              <w:right w:val="nil"/>
            </w:tcBorders>
            <w:shd w:val="clear" w:color="auto" w:fill="auto"/>
            <w:noWrap/>
            <w:vAlign w:val="center"/>
            <w:hideMark/>
          </w:tcPr>
          <w:p w14:paraId="67CFFD2C" w14:textId="342EF881" w:rsidR="00DE09A0" w:rsidRPr="00D92E20" w:rsidRDefault="00DE09A0" w:rsidP="00DE09A0">
            <w:pPr>
              <w:spacing w:after="0" w:line="240" w:lineRule="auto"/>
              <w:jc w:val="center"/>
              <w:rPr>
                <w:rFonts w:cs="Arial"/>
                <w:color w:val="000000"/>
                <w:sz w:val="16"/>
                <w:szCs w:val="16"/>
              </w:rPr>
            </w:pPr>
            <w:r>
              <w:rPr>
                <w:rFonts w:cs="Arial"/>
                <w:sz w:val="16"/>
                <w:szCs w:val="16"/>
              </w:rPr>
              <w:t>25,7</w:t>
            </w:r>
          </w:p>
        </w:tc>
        <w:tc>
          <w:tcPr>
            <w:tcW w:w="595" w:type="dxa"/>
            <w:tcBorders>
              <w:top w:val="nil"/>
              <w:left w:val="nil"/>
              <w:bottom w:val="nil"/>
              <w:right w:val="nil"/>
            </w:tcBorders>
            <w:shd w:val="clear" w:color="auto" w:fill="auto"/>
            <w:noWrap/>
            <w:vAlign w:val="center"/>
            <w:hideMark/>
          </w:tcPr>
          <w:p w14:paraId="3130798C" w14:textId="6BA50D8D" w:rsidR="00DE09A0" w:rsidRPr="00D92E20" w:rsidRDefault="00DE09A0" w:rsidP="00DE09A0">
            <w:pPr>
              <w:spacing w:after="0" w:line="240" w:lineRule="auto"/>
              <w:jc w:val="center"/>
              <w:rPr>
                <w:rFonts w:cs="Arial"/>
                <w:color w:val="000000"/>
                <w:sz w:val="16"/>
                <w:szCs w:val="16"/>
              </w:rPr>
            </w:pPr>
            <w:r>
              <w:rPr>
                <w:rFonts w:cs="Arial"/>
                <w:sz w:val="16"/>
                <w:szCs w:val="16"/>
              </w:rPr>
              <w:t>27,8</w:t>
            </w:r>
          </w:p>
        </w:tc>
        <w:tc>
          <w:tcPr>
            <w:tcW w:w="595" w:type="dxa"/>
            <w:tcBorders>
              <w:top w:val="nil"/>
              <w:left w:val="nil"/>
              <w:bottom w:val="nil"/>
              <w:right w:val="nil"/>
            </w:tcBorders>
            <w:shd w:val="clear" w:color="auto" w:fill="auto"/>
            <w:noWrap/>
            <w:vAlign w:val="center"/>
            <w:hideMark/>
          </w:tcPr>
          <w:p w14:paraId="2BB3AD4D" w14:textId="164F1F51" w:rsidR="00DE09A0" w:rsidRPr="00D92E20" w:rsidRDefault="00DE09A0" w:rsidP="00DE09A0">
            <w:pPr>
              <w:spacing w:after="0" w:line="240" w:lineRule="auto"/>
              <w:jc w:val="center"/>
              <w:rPr>
                <w:rFonts w:cs="Arial"/>
                <w:color w:val="000000"/>
                <w:sz w:val="16"/>
                <w:szCs w:val="16"/>
              </w:rPr>
            </w:pPr>
            <w:r>
              <w:rPr>
                <w:rFonts w:cs="Arial"/>
                <w:sz w:val="16"/>
                <w:szCs w:val="16"/>
              </w:rPr>
              <w:t>25,8</w:t>
            </w:r>
          </w:p>
        </w:tc>
        <w:tc>
          <w:tcPr>
            <w:tcW w:w="595" w:type="dxa"/>
            <w:tcBorders>
              <w:top w:val="nil"/>
              <w:left w:val="nil"/>
              <w:bottom w:val="nil"/>
              <w:right w:val="nil"/>
            </w:tcBorders>
            <w:shd w:val="clear" w:color="auto" w:fill="auto"/>
            <w:noWrap/>
            <w:vAlign w:val="center"/>
            <w:hideMark/>
          </w:tcPr>
          <w:p w14:paraId="270C3AB7" w14:textId="30FBB01A" w:rsidR="00DE09A0" w:rsidRPr="00D92E20" w:rsidRDefault="00DE09A0" w:rsidP="00DE09A0">
            <w:pPr>
              <w:spacing w:after="0" w:line="240" w:lineRule="auto"/>
              <w:jc w:val="center"/>
              <w:rPr>
                <w:rFonts w:cs="Arial"/>
                <w:color w:val="000000"/>
                <w:sz w:val="16"/>
                <w:szCs w:val="16"/>
              </w:rPr>
            </w:pPr>
            <w:r>
              <w:rPr>
                <w:rFonts w:cs="Arial"/>
                <w:color w:val="000000"/>
                <w:sz w:val="16"/>
                <w:szCs w:val="16"/>
              </w:rPr>
              <w:t>25,7</w:t>
            </w:r>
          </w:p>
        </w:tc>
        <w:tc>
          <w:tcPr>
            <w:tcW w:w="595" w:type="dxa"/>
            <w:tcBorders>
              <w:top w:val="nil"/>
              <w:left w:val="nil"/>
              <w:bottom w:val="nil"/>
              <w:right w:val="nil"/>
            </w:tcBorders>
            <w:shd w:val="clear" w:color="auto" w:fill="auto"/>
            <w:noWrap/>
            <w:vAlign w:val="center"/>
            <w:hideMark/>
          </w:tcPr>
          <w:p w14:paraId="1B354CDC" w14:textId="007F32F1" w:rsidR="00DE09A0" w:rsidRPr="00D92E20" w:rsidRDefault="00DE09A0" w:rsidP="00DE09A0">
            <w:pPr>
              <w:spacing w:after="0" w:line="240" w:lineRule="auto"/>
              <w:jc w:val="center"/>
              <w:rPr>
                <w:rFonts w:cs="Arial"/>
                <w:color w:val="000000"/>
                <w:sz w:val="16"/>
                <w:szCs w:val="16"/>
              </w:rPr>
            </w:pPr>
            <w:r>
              <w:rPr>
                <w:rFonts w:cs="Arial"/>
                <w:color w:val="000000"/>
                <w:sz w:val="16"/>
                <w:szCs w:val="16"/>
              </w:rPr>
              <w:t>25,5</w:t>
            </w:r>
          </w:p>
        </w:tc>
        <w:tc>
          <w:tcPr>
            <w:tcW w:w="595" w:type="dxa"/>
            <w:tcBorders>
              <w:top w:val="nil"/>
              <w:left w:val="nil"/>
              <w:bottom w:val="nil"/>
              <w:right w:val="nil"/>
            </w:tcBorders>
            <w:shd w:val="clear" w:color="auto" w:fill="auto"/>
            <w:noWrap/>
            <w:vAlign w:val="center"/>
            <w:hideMark/>
          </w:tcPr>
          <w:p w14:paraId="66D2473F" w14:textId="52D7A164" w:rsidR="00DE09A0" w:rsidRPr="00D92E20" w:rsidRDefault="00DE09A0" w:rsidP="00DE09A0">
            <w:pPr>
              <w:spacing w:after="0" w:line="240" w:lineRule="auto"/>
              <w:jc w:val="center"/>
              <w:rPr>
                <w:rFonts w:cs="Arial"/>
                <w:color w:val="000000"/>
                <w:sz w:val="16"/>
                <w:szCs w:val="16"/>
              </w:rPr>
            </w:pPr>
            <w:r>
              <w:rPr>
                <w:rFonts w:cs="Arial"/>
                <w:color w:val="000000"/>
                <w:sz w:val="16"/>
                <w:szCs w:val="16"/>
              </w:rPr>
              <w:t>25,5</w:t>
            </w:r>
          </w:p>
        </w:tc>
        <w:tc>
          <w:tcPr>
            <w:tcW w:w="595" w:type="dxa"/>
            <w:tcBorders>
              <w:top w:val="nil"/>
              <w:left w:val="nil"/>
              <w:bottom w:val="nil"/>
              <w:right w:val="nil"/>
            </w:tcBorders>
            <w:shd w:val="clear" w:color="auto" w:fill="auto"/>
            <w:noWrap/>
            <w:vAlign w:val="center"/>
            <w:hideMark/>
          </w:tcPr>
          <w:p w14:paraId="2C0425FD" w14:textId="7261F74A" w:rsidR="00DE09A0" w:rsidRPr="00D92E20" w:rsidRDefault="00DE09A0" w:rsidP="00DE09A0">
            <w:pPr>
              <w:spacing w:after="0" w:line="240" w:lineRule="auto"/>
              <w:jc w:val="center"/>
              <w:rPr>
                <w:rFonts w:cs="Arial"/>
                <w:color w:val="000000"/>
                <w:sz w:val="16"/>
                <w:szCs w:val="16"/>
              </w:rPr>
            </w:pPr>
            <w:r>
              <w:rPr>
                <w:rFonts w:cs="Arial"/>
                <w:color w:val="000000"/>
                <w:sz w:val="16"/>
                <w:szCs w:val="16"/>
              </w:rPr>
              <w:t>26,4</w:t>
            </w:r>
          </w:p>
        </w:tc>
        <w:tc>
          <w:tcPr>
            <w:tcW w:w="595" w:type="dxa"/>
            <w:tcBorders>
              <w:top w:val="nil"/>
              <w:left w:val="nil"/>
              <w:bottom w:val="nil"/>
              <w:right w:val="nil"/>
            </w:tcBorders>
            <w:shd w:val="clear" w:color="auto" w:fill="auto"/>
            <w:noWrap/>
            <w:vAlign w:val="center"/>
            <w:hideMark/>
          </w:tcPr>
          <w:p w14:paraId="3632162E" w14:textId="6EF10539" w:rsidR="00DE09A0" w:rsidRPr="00D92E20" w:rsidRDefault="00DE09A0" w:rsidP="00DE09A0">
            <w:pPr>
              <w:spacing w:after="0" w:line="240" w:lineRule="auto"/>
              <w:jc w:val="center"/>
              <w:rPr>
                <w:rFonts w:cs="Arial"/>
                <w:color w:val="000000"/>
                <w:sz w:val="16"/>
                <w:szCs w:val="16"/>
              </w:rPr>
            </w:pPr>
            <w:r>
              <w:rPr>
                <w:rFonts w:cs="Arial"/>
                <w:color w:val="000000"/>
                <w:sz w:val="16"/>
                <w:szCs w:val="16"/>
              </w:rPr>
              <w:t>27,3</w:t>
            </w:r>
          </w:p>
        </w:tc>
        <w:tc>
          <w:tcPr>
            <w:tcW w:w="595" w:type="dxa"/>
            <w:tcBorders>
              <w:top w:val="nil"/>
              <w:left w:val="nil"/>
              <w:bottom w:val="nil"/>
              <w:right w:val="nil"/>
            </w:tcBorders>
            <w:shd w:val="clear" w:color="auto" w:fill="auto"/>
            <w:noWrap/>
            <w:vAlign w:val="center"/>
            <w:hideMark/>
          </w:tcPr>
          <w:p w14:paraId="3A89B030" w14:textId="697B81D6" w:rsidR="00DE09A0" w:rsidRPr="00D92E20" w:rsidRDefault="00DE09A0" w:rsidP="00DE09A0">
            <w:pPr>
              <w:spacing w:after="0" w:line="240" w:lineRule="auto"/>
              <w:jc w:val="center"/>
              <w:rPr>
                <w:rFonts w:cs="Arial"/>
                <w:color w:val="000000"/>
                <w:sz w:val="16"/>
                <w:szCs w:val="16"/>
              </w:rPr>
            </w:pPr>
            <w:r>
              <w:rPr>
                <w:rFonts w:cs="Arial"/>
                <w:color w:val="000000"/>
                <w:sz w:val="16"/>
                <w:szCs w:val="16"/>
              </w:rPr>
              <w:t>27,0</w:t>
            </w:r>
          </w:p>
        </w:tc>
        <w:tc>
          <w:tcPr>
            <w:tcW w:w="595" w:type="dxa"/>
            <w:tcBorders>
              <w:top w:val="nil"/>
              <w:left w:val="nil"/>
              <w:bottom w:val="nil"/>
              <w:right w:val="nil"/>
            </w:tcBorders>
            <w:shd w:val="clear" w:color="auto" w:fill="auto"/>
            <w:noWrap/>
            <w:vAlign w:val="center"/>
            <w:hideMark/>
          </w:tcPr>
          <w:p w14:paraId="4F38F43C" w14:textId="69ECAFDA" w:rsidR="00DE09A0" w:rsidRPr="00D92E20" w:rsidRDefault="00DE09A0" w:rsidP="00DE09A0">
            <w:pPr>
              <w:spacing w:after="0" w:line="240" w:lineRule="auto"/>
              <w:jc w:val="center"/>
              <w:rPr>
                <w:rFonts w:cs="Arial"/>
                <w:color w:val="000000"/>
                <w:sz w:val="16"/>
                <w:szCs w:val="16"/>
              </w:rPr>
            </w:pPr>
            <w:r>
              <w:rPr>
                <w:rFonts w:cs="Arial"/>
                <w:color w:val="000000"/>
                <w:sz w:val="16"/>
                <w:szCs w:val="16"/>
              </w:rPr>
              <w:t>16,9</w:t>
            </w:r>
          </w:p>
        </w:tc>
      </w:tr>
      <w:tr w:rsidR="00DE09A0" w:rsidRPr="00D92E20" w14:paraId="21486459" w14:textId="77777777" w:rsidTr="00DC0DB3">
        <w:trPr>
          <w:trHeight w:val="300"/>
        </w:trPr>
        <w:tc>
          <w:tcPr>
            <w:tcW w:w="3175" w:type="dxa"/>
            <w:tcBorders>
              <w:top w:val="nil"/>
              <w:left w:val="nil"/>
              <w:bottom w:val="nil"/>
              <w:right w:val="single" w:sz="4" w:space="0" w:color="auto"/>
            </w:tcBorders>
            <w:shd w:val="clear" w:color="auto" w:fill="auto"/>
            <w:vAlign w:val="center"/>
            <w:hideMark/>
          </w:tcPr>
          <w:p w14:paraId="7A3360E5" w14:textId="77777777" w:rsidR="00DE09A0" w:rsidRPr="00D92E20" w:rsidRDefault="00DE09A0" w:rsidP="00DE09A0">
            <w:pPr>
              <w:spacing w:after="0" w:line="240" w:lineRule="auto"/>
              <w:ind w:firstLineChars="100" w:firstLine="160"/>
              <w:rPr>
                <w:rFonts w:cs="Arial"/>
                <w:color w:val="000000"/>
                <w:sz w:val="16"/>
                <w:szCs w:val="16"/>
              </w:rPr>
            </w:pPr>
            <w:r w:rsidRPr="00D92E20">
              <w:rPr>
                <w:rFonts w:cs="Arial"/>
                <w:color w:val="000000"/>
                <w:sz w:val="16"/>
                <w:szCs w:val="16"/>
              </w:rPr>
              <w:t>K – Peněžnictví a pojišťovnictví</w:t>
            </w:r>
          </w:p>
        </w:tc>
        <w:tc>
          <w:tcPr>
            <w:tcW w:w="595" w:type="dxa"/>
            <w:tcBorders>
              <w:top w:val="nil"/>
              <w:left w:val="nil"/>
              <w:bottom w:val="nil"/>
              <w:right w:val="nil"/>
            </w:tcBorders>
            <w:shd w:val="clear" w:color="auto" w:fill="auto"/>
            <w:noWrap/>
            <w:vAlign w:val="center"/>
            <w:hideMark/>
          </w:tcPr>
          <w:p w14:paraId="201928EE" w14:textId="386E9FA3" w:rsidR="00DE09A0" w:rsidRPr="00D92E20" w:rsidRDefault="00DE09A0" w:rsidP="00DE09A0">
            <w:pPr>
              <w:spacing w:after="0" w:line="240" w:lineRule="auto"/>
              <w:jc w:val="center"/>
              <w:rPr>
                <w:rFonts w:cs="Arial"/>
                <w:color w:val="000000"/>
                <w:sz w:val="16"/>
                <w:szCs w:val="16"/>
              </w:rPr>
            </w:pPr>
            <w:r>
              <w:rPr>
                <w:rFonts w:cs="Arial"/>
                <w:sz w:val="16"/>
                <w:szCs w:val="16"/>
              </w:rPr>
              <w:t>35,9</w:t>
            </w:r>
          </w:p>
        </w:tc>
        <w:tc>
          <w:tcPr>
            <w:tcW w:w="595" w:type="dxa"/>
            <w:tcBorders>
              <w:top w:val="nil"/>
              <w:left w:val="nil"/>
              <w:bottom w:val="nil"/>
              <w:right w:val="nil"/>
            </w:tcBorders>
            <w:shd w:val="clear" w:color="auto" w:fill="auto"/>
            <w:noWrap/>
            <w:vAlign w:val="center"/>
            <w:hideMark/>
          </w:tcPr>
          <w:p w14:paraId="0043F022" w14:textId="19704322" w:rsidR="00DE09A0" w:rsidRPr="00D92E20" w:rsidRDefault="00DE09A0" w:rsidP="00DE09A0">
            <w:pPr>
              <w:spacing w:after="0" w:line="240" w:lineRule="auto"/>
              <w:jc w:val="center"/>
              <w:rPr>
                <w:rFonts w:cs="Arial"/>
                <w:color w:val="000000"/>
                <w:sz w:val="16"/>
                <w:szCs w:val="16"/>
              </w:rPr>
            </w:pPr>
            <w:r>
              <w:rPr>
                <w:rFonts w:cs="Arial"/>
                <w:sz w:val="16"/>
                <w:szCs w:val="16"/>
              </w:rPr>
              <w:t>30,1</w:t>
            </w:r>
          </w:p>
        </w:tc>
        <w:tc>
          <w:tcPr>
            <w:tcW w:w="595" w:type="dxa"/>
            <w:tcBorders>
              <w:top w:val="nil"/>
              <w:left w:val="nil"/>
              <w:bottom w:val="nil"/>
              <w:right w:val="nil"/>
            </w:tcBorders>
            <w:shd w:val="clear" w:color="auto" w:fill="auto"/>
            <w:noWrap/>
            <w:vAlign w:val="center"/>
            <w:hideMark/>
          </w:tcPr>
          <w:p w14:paraId="495FE845" w14:textId="6FAB2ACB" w:rsidR="00DE09A0" w:rsidRPr="00D92E20" w:rsidRDefault="00DE09A0" w:rsidP="00DE09A0">
            <w:pPr>
              <w:spacing w:after="0" w:line="240" w:lineRule="auto"/>
              <w:jc w:val="center"/>
              <w:rPr>
                <w:rFonts w:cs="Arial"/>
                <w:color w:val="000000"/>
                <w:sz w:val="16"/>
                <w:szCs w:val="16"/>
              </w:rPr>
            </w:pPr>
            <w:r>
              <w:rPr>
                <w:rFonts w:cs="Arial"/>
                <w:sz w:val="16"/>
                <w:szCs w:val="16"/>
              </w:rPr>
              <w:t>34,3</w:t>
            </w:r>
          </w:p>
        </w:tc>
        <w:tc>
          <w:tcPr>
            <w:tcW w:w="595" w:type="dxa"/>
            <w:tcBorders>
              <w:top w:val="nil"/>
              <w:left w:val="nil"/>
              <w:bottom w:val="nil"/>
              <w:right w:val="nil"/>
            </w:tcBorders>
            <w:shd w:val="clear" w:color="auto" w:fill="auto"/>
            <w:noWrap/>
            <w:vAlign w:val="center"/>
            <w:hideMark/>
          </w:tcPr>
          <w:p w14:paraId="7F5E8770" w14:textId="4A736C3B" w:rsidR="00DE09A0" w:rsidRPr="00D92E20" w:rsidRDefault="00DE09A0" w:rsidP="00DE09A0">
            <w:pPr>
              <w:spacing w:after="0" w:line="240" w:lineRule="auto"/>
              <w:jc w:val="center"/>
              <w:rPr>
                <w:rFonts w:cs="Arial"/>
                <w:color w:val="000000"/>
                <w:sz w:val="16"/>
                <w:szCs w:val="16"/>
              </w:rPr>
            </w:pPr>
            <w:r>
              <w:rPr>
                <w:rFonts w:cs="Arial"/>
                <w:sz w:val="16"/>
                <w:szCs w:val="16"/>
              </w:rPr>
              <w:t>31,6</w:t>
            </w:r>
          </w:p>
        </w:tc>
        <w:tc>
          <w:tcPr>
            <w:tcW w:w="595" w:type="dxa"/>
            <w:tcBorders>
              <w:top w:val="nil"/>
              <w:left w:val="nil"/>
              <w:bottom w:val="nil"/>
              <w:right w:val="nil"/>
            </w:tcBorders>
            <w:shd w:val="clear" w:color="auto" w:fill="auto"/>
            <w:noWrap/>
            <w:vAlign w:val="center"/>
            <w:hideMark/>
          </w:tcPr>
          <w:p w14:paraId="687EE33F" w14:textId="67C5DD2E" w:rsidR="00DE09A0" w:rsidRPr="00D92E20" w:rsidRDefault="00DE09A0" w:rsidP="00DE09A0">
            <w:pPr>
              <w:spacing w:after="0" w:line="240" w:lineRule="auto"/>
              <w:jc w:val="center"/>
              <w:rPr>
                <w:rFonts w:cs="Arial"/>
                <w:color w:val="000000"/>
                <w:sz w:val="16"/>
                <w:szCs w:val="16"/>
              </w:rPr>
            </w:pPr>
            <w:r>
              <w:rPr>
                <w:rFonts w:cs="Arial"/>
                <w:color w:val="000000"/>
                <w:sz w:val="16"/>
                <w:szCs w:val="16"/>
              </w:rPr>
              <w:t>32,8</w:t>
            </w:r>
          </w:p>
        </w:tc>
        <w:tc>
          <w:tcPr>
            <w:tcW w:w="595" w:type="dxa"/>
            <w:tcBorders>
              <w:top w:val="nil"/>
              <w:left w:val="nil"/>
              <w:bottom w:val="nil"/>
              <w:right w:val="nil"/>
            </w:tcBorders>
            <w:shd w:val="clear" w:color="auto" w:fill="auto"/>
            <w:noWrap/>
            <w:vAlign w:val="center"/>
            <w:hideMark/>
          </w:tcPr>
          <w:p w14:paraId="66E0E8FC" w14:textId="53E27CEA" w:rsidR="00DE09A0" w:rsidRPr="00D92E20" w:rsidRDefault="00DE09A0" w:rsidP="00DE09A0">
            <w:pPr>
              <w:spacing w:after="0" w:line="240" w:lineRule="auto"/>
              <w:jc w:val="center"/>
              <w:rPr>
                <w:rFonts w:cs="Arial"/>
                <w:color w:val="000000"/>
                <w:sz w:val="16"/>
                <w:szCs w:val="16"/>
              </w:rPr>
            </w:pPr>
            <w:r>
              <w:rPr>
                <w:rFonts w:cs="Arial"/>
                <w:color w:val="000000"/>
                <w:sz w:val="16"/>
                <w:szCs w:val="16"/>
              </w:rPr>
              <w:t>32,8</w:t>
            </w:r>
          </w:p>
        </w:tc>
        <w:tc>
          <w:tcPr>
            <w:tcW w:w="595" w:type="dxa"/>
            <w:tcBorders>
              <w:top w:val="nil"/>
              <w:left w:val="nil"/>
              <w:bottom w:val="nil"/>
              <w:right w:val="nil"/>
            </w:tcBorders>
            <w:shd w:val="clear" w:color="auto" w:fill="auto"/>
            <w:noWrap/>
            <w:vAlign w:val="center"/>
            <w:hideMark/>
          </w:tcPr>
          <w:p w14:paraId="5D570A79" w14:textId="321D6D10" w:rsidR="00DE09A0" w:rsidRPr="00D92E20" w:rsidRDefault="00DE09A0" w:rsidP="00DE09A0">
            <w:pPr>
              <w:spacing w:after="0" w:line="240" w:lineRule="auto"/>
              <w:jc w:val="center"/>
              <w:rPr>
                <w:rFonts w:cs="Arial"/>
                <w:color w:val="000000"/>
                <w:sz w:val="16"/>
                <w:szCs w:val="16"/>
              </w:rPr>
            </w:pPr>
            <w:r>
              <w:rPr>
                <w:rFonts w:cs="Arial"/>
                <w:color w:val="000000"/>
                <w:sz w:val="16"/>
                <w:szCs w:val="16"/>
              </w:rPr>
              <w:t>30,4</w:t>
            </w:r>
          </w:p>
        </w:tc>
        <w:tc>
          <w:tcPr>
            <w:tcW w:w="595" w:type="dxa"/>
            <w:tcBorders>
              <w:top w:val="nil"/>
              <w:left w:val="nil"/>
              <w:bottom w:val="nil"/>
              <w:right w:val="nil"/>
            </w:tcBorders>
            <w:shd w:val="clear" w:color="auto" w:fill="auto"/>
            <w:noWrap/>
            <w:vAlign w:val="center"/>
            <w:hideMark/>
          </w:tcPr>
          <w:p w14:paraId="6F39B89E" w14:textId="142823AF" w:rsidR="00DE09A0" w:rsidRPr="00D92E20" w:rsidRDefault="00DE09A0" w:rsidP="00DE09A0">
            <w:pPr>
              <w:spacing w:after="0" w:line="240" w:lineRule="auto"/>
              <w:jc w:val="center"/>
              <w:rPr>
                <w:rFonts w:cs="Arial"/>
                <w:color w:val="000000"/>
                <w:sz w:val="16"/>
                <w:szCs w:val="16"/>
              </w:rPr>
            </w:pPr>
            <w:r>
              <w:rPr>
                <w:rFonts w:cs="Arial"/>
                <w:color w:val="000000"/>
                <w:sz w:val="16"/>
                <w:szCs w:val="16"/>
              </w:rPr>
              <w:t>33,1</w:t>
            </w:r>
          </w:p>
        </w:tc>
        <w:tc>
          <w:tcPr>
            <w:tcW w:w="595" w:type="dxa"/>
            <w:tcBorders>
              <w:top w:val="nil"/>
              <w:left w:val="nil"/>
              <w:bottom w:val="nil"/>
              <w:right w:val="nil"/>
            </w:tcBorders>
            <w:shd w:val="clear" w:color="auto" w:fill="auto"/>
            <w:noWrap/>
            <w:vAlign w:val="center"/>
            <w:hideMark/>
          </w:tcPr>
          <w:p w14:paraId="146C7E7C" w14:textId="55618E5D" w:rsidR="00DE09A0" w:rsidRPr="00D92E20" w:rsidRDefault="00DE09A0" w:rsidP="00DE09A0">
            <w:pPr>
              <w:spacing w:after="0" w:line="240" w:lineRule="auto"/>
              <w:jc w:val="center"/>
              <w:rPr>
                <w:rFonts w:cs="Arial"/>
                <w:color w:val="000000"/>
                <w:sz w:val="16"/>
                <w:szCs w:val="16"/>
              </w:rPr>
            </w:pPr>
            <w:r>
              <w:rPr>
                <w:rFonts w:cs="Arial"/>
                <w:color w:val="000000"/>
                <w:sz w:val="16"/>
                <w:szCs w:val="16"/>
              </w:rPr>
              <w:t>34,8</w:t>
            </w:r>
          </w:p>
        </w:tc>
        <w:tc>
          <w:tcPr>
            <w:tcW w:w="595" w:type="dxa"/>
            <w:tcBorders>
              <w:top w:val="nil"/>
              <w:left w:val="nil"/>
              <w:bottom w:val="nil"/>
              <w:right w:val="nil"/>
            </w:tcBorders>
            <w:shd w:val="clear" w:color="auto" w:fill="auto"/>
            <w:noWrap/>
            <w:vAlign w:val="center"/>
            <w:hideMark/>
          </w:tcPr>
          <w:p w14:paraId="213D22E8" w14:textId="6F9469C0" w:rsidR="00DE09A0" w:rsidRPr="00D92E20" w:rsidRDefault="00DE09A0" w:rsidP="00DE09A0">
            <w:pPr>
              <w:spacing w:after="0" w:line="240" w:lineRule="auto"/>
              <w:jc w:val="center"/>
              <w:rPr>
                <w:rFonts w:cs="Arial"/>
                <w:color w:val="000000"/>
                <w:sz w:val="16"/>
                <w:szCs w:val="16"/>
              </w:rPr>
            </w:pPr>
            <w:r>
              <w:rPr>
                <w:rFonts w:cs="Arial"/>
                <w:color w:val="000000"/>
                <w:sz w:val="16"/>
                <w:szCs w:val="16"/>
              </w:rPr>
              <w:t>35,2</w:t>
            </w:r>
          </w:p>
        </w:tc>
        <w:tc>
          <w:tcPr>
            <w:tcW w:w="595" w:type="dxa"/>
            <w:tcBorders>
              <w:top w:val="nil"/>
              <w:left w:val="nil"/>
              <w:bottom w:val="nil"/>
              <w:right w:val="nil"/>
            </w:tcBorders>
            <w:shd w:val="clear" w:color="auto" w:fill="auto"/>
            <w:noWrap/>
            <w:vAlign w:val="center"/>
            <w:hideMark/>
          </w:tcPr>
          <w:p w14:paraId="4170D92D" w14:textId="2F7F51A2" w:rsidR="00DE09A0" w:rsidRPr="00D92E20" w:rsidRDefault="00DE09A0" w:rsidP="00DE09A0">
            <w:pPr>
              <w:spacing w:after="0" w:line="240" w:lineRule="auto"/>
              <w:jc w:val="center"/>
              <w:rPr>
                <w:rFonts w:cs="Arial"/>
                <w:color w:val="000000"/>
                <w:sz w:val="16"/>
                <w:szCs w:val="16"/>
              </w:rPr>
            </w:pPr>
            <w:r>
              <w:rPr>
                <w:rFonts w:cs="Arial"/>
                <w:color w:val="000000"/>
                <w:sz w:val="16"/>
                <w:szCs w:val="16"/>
              </w:rPr>
              <w:t>21,4</w:t>
            </w:r>
          </w:p>
        </w:tc>
      </w:tr>
      <w:tr w:rsidR="00DE09A0" w:rsidRPr="00D92E20" w14:paraId="4E426178" w14:textId="77777777" w:rsidTr="00DC0DB3">
        <w:trPr>
          <w:trHeight w:val="300"/>
        </w:trPr>
        <w:tc>
          <w:tcPr>
            <w:tcW w:w="3175" w:type="dxa"/>
            <w:tcBorders>
              <w:top w:val="nil"/>
              <w:left w:val="nil"/>
              <w:bottom w:val="nil"/>
              <w:right w:val="single" w:sz="4" w:space="0" w:color="auto"/>
            </w:tcBorders>
            <w:shd w:val="clear" w:color="auto" w:fill="auto"/>
            <w:vAlign w:val="center"/>
            <w:hideMark/>
          </w:tcPr>
          <w:p w14:paraId="713E6B5E" w14:textId="77777777" w:rsidR="00DE09A0" w:rsidRPr="00D92E20" w:rsidRDefault="00DE09A0" w:rsidP="00DE09A0">
            <w:pPr>
              <w:spacing w:after="0" w:line="240" w:lineRule="auto"/>
              <w:ind w:firstLineChars="100" w:firstLine="160"/>
              <w:rPr>
                <w:rFonts w:cs="Arial"/>
                <w:color w:val="000000"/>
                <w:sz w:val="16"/>
                <w:szCs w:val="16"/>
              </w:rPr>
            </w:pPr>
            <w:r w:rsidRPr="00D92E20">
              <w:rPr>
                <w:rFonts w:cs="Arial"/>
                <w:color w:val="000000"/>
                <w:sz w:val="16"/>
                <w:szCs w:val="16"/>
              </w:rPr>
              <w:t>L – Činnosti v oblasti nemovitostí</w:t>
            </w:r>
          </w:p>
        </w:tc>
        <w:tc>
          <w:tcPr>
            <w:tcW w:w="595" w:type="dxa"/>
            <w:tcBorders>
              <w:top w:val="nil"/>
              <w:left w:val="nil"/>
              <w:bottom w:val="nil"/>
              <w:right w:val="nil"/>
            </w:tcBorders>
            <w:shd w:val="clear" w:color="auto" w:fill="auto"/>
            <w:noWrap/>
            <w:vAlign w:val="center"/>
            <w:hideMark/>
          </w:tcPr>
          <w:p w14:paraId="02A9E878" w14:textId="33752D7B" w:rsidR="00DE09A0" w:rsidRPr="00D92E20" w:rsidRDefault="00DE09A0" w:rsidP="00DE09A0">
            <w:pPr>
              <w:spacing w:after="0" w:line="240" w:lineRule="auto"/>
              <w:jc w:val="center"/>
              <w:rPr>
                <w:rFonts w:cs="Arial"/>
                <w:color w:val="000000"/>
                <w:sz w:val="16"/>
                <w:szCs w:val="16"/>
              </w:rPr>
            </w:pPr>
            <w:r>
              <w:rPr>
                <w:rFonts w:cs="Arial"/>
                <w:sz w:val="16"/>
                <w:szCs w:val="16"/>
              </w:rPr>
              <w:t>57,0</w:t>
            </w:r>
          </w:p>
        </w:tc>
        <w:tc>
          <w:tcPr>
            <w:tcW w:w="595" w:type="dxa"/>
            <w:tcBorders>
              <w:top w:val="nil"/>
              <w:left w:val="nil"/>
              <w:bottom w:val="nil"/>
              <w:right w:val="nil"/>
            </w:tcBorders>
            <w:shd w:val="clear" w:color="auto" w:fill="auto"/>
            <w:noWrap/>
            <w:vAlign w:val="center"/>
            <w:hideMark/>
          </w:tcPr>
          <w:p w14:paraId="4B47E5B0" w14:textId="16E8BD89" w:rsidR="00DE09A0" w:rsidRPr="00D92E20" w:rsidRDefault="00DE09A0" w:rsidP="00DE09A0">
            <w:pPr>
              <w:spacing w:after="0" w:line="240" w:lineRule="auto"/>
              <w:jc w:val="center"/>
              <w:rPr>
                <w:rFonts w:cs="Arial"/>
                <w:color w:val="000000"/>
                <w:sz w:val="16"/>
                <w:szCs w:val="16"/>
              </w:rPr>
            </w:pPr>
            <w:r>
              <w:rPr>
                <w:rFonts w:cs="Arial"/>
                <w:sz w:val="16"/>
                <w:szCs w:val="16"/>
              </w:rPr>
              <w:t>52,1</w:t>
            </w:r>
          </w:p>
        </w:tc>
        <w:tc>
          <w:tcPr>
            <w:tcW w:w="595" w:type="dxa"/>
            <w:tcBorders>
              <w:top w:val="nil"/>
              <w:left w:val="nil"/>
              <w:bottom w:val="nil"/>
              <w:right w:val="nil"/>
            </w:tcBorders>
            <w:shd w:val="clear" w:color="auto" w:fill="auto"/>
            <w:noWrap/>
            <w:vAlign w:val="center"/>
            <w:hideMark/>
          </w:tcPr>
          <w:p w14:paraId="20435D38" w14:textId="39132C58" w:rsidR="00DE09A0" w:rsidRPr="00D92E20" w:rsidRDefault="00DE09A0" w:rsidP="00DE09A0">
            <w:pPr>
              <w:spacing w:after="0" w:line="240" w:lineRule="auto"/>
              <w:jc w:val="center"/>
              <w:rPr>
                <w:rFonts w:cs="Arial"/>
                <w:color w:val="000000"/>
                <w:sz w:val="16"/>
                <w:szCs w:val="16"/>
              </w:rPr>
            </w:pPr>
            <w:r>
              <w:rPr>
                <w:rFonts w:cs="Arial"/>
                <w:sz w:val="16"/>
                <w:szCs w:val="16"/>
              </w:rPr>
              <w:t>56,2</w:t>
            </w:r>
          </w:p>
        </w:tc>
        <w:tc>
          <w:tcPr>
            <w:tcW w:w="595" w:type="dxa"/>
            <w:tcBorders>
              <w:top w:val="nil"/>
              <w:left w:val="nil"/>
              <w:bottom w:val="nil"/>
              <w:right w:val="nil"/>
            </w:tcBorders>
            <w:shd w:val="clear" w:color="auto" w:fill="auto"/>
            <w:noWrap/>
            <w:vAlign w:val="center"/>
            <w:hideMark/>
          </w:tcPr>
          <w:p w14:paraId="535BF460" w14:textId="19A688B9" w:rsidR="00DE09A0" w:rsidRPr="00D92E20" w:rsidRDefault="00DE09A0" w:rsidP="00DE09A0">
            <w:pPr>
              <w:spacing w:after="0" w:line="240" w:lineRule="auto"/>
              <w:jc w:val="center"/>
              <w:rPr>
                <w:rFonts w:cs="Arial"/>
                <w:color w:val="000000"/>
                <w:sz w:val="16"/>
                <w:szCs w:val="16"/>
              </w:rPr>
            </w:pPr>
            <w:r>
              <w:rPr>
                <w:rFonts w:cs="Arial"/>
                <w:sz w:val="16"/>
                <w:szCs w:val="16"/>
              </w:rPr>
              <w:t>48,8</w:t>
            </w:r>
          </w:p>
        </w:tc>
        <w:tc>
          <w:tcPr>
            <w:tcW w:w="595" w:type="dxa"/>
            <w:tcBorders>
              <w:top w:val="nil"/>
              <w:left w:val="nil"/>
              <w:bottom w:val="nil"/>
              <w:right w:val="nil"/>
            </w:tcBorders>
            <w:shd w:val="clear" w:color="auto" w:fill="auto"/>
            <w:noWrap/>
            <w:vAlign w:val="center"/>
            <w:hideMark/>
          </w:tcPr>
          <w:p w14:paraId="09BAE836" w14:textId="08997D25" w:rsidR="00DE09A0" w:rsidRPr="00D92E20" w:rsidRDefault="00DE09A0" w:rsidP="00DE09A0">
            <w:pPr>
              <w:spacing w:after="0" w:line="240" w:lineRule="auto"/>
              <w:jc w:val="center"/>
              <w:rPr>
                <w:rFonts w:cs="Arial"/>
                <w:color w:val="000000"/>
                <w:sz w:val="16"/>
                <w:szCs w:val="16"/>
              </w:rPr>
            </w:pPr>
            <w:r>
              <w:rPr>
                <w:rFonts w:cs="Arial"/>
                <w:color w:val="000000"/>
                <w:sz w:val="16"/>
                <w:szCs w:val="16"/>
              </w:rPr>
              <w:t>50,7</w:t>
            </w:r>
          </w:p>
        </w:tc>
        <w:tc>
          <w:tcPr>
            <w:tcW w:w="595" w:type="dxa"/>
            <w:tcBorders>
              <w:top w:val="nil"/>
              <w:left w:val="nil"/>
              <w:bottom w:val="nil"/>
              <w:right w:val="nil"/>
            </w:tcBorders>
            <w:shd w:val="clear" w:color="auto" w:fill="auto"/>
            <w:noWrap/>
            <w:vAlign w:val="center"/>
            <w:hideMark/>
          </w:tcPr>
          <w:p w14:paraId="626B1138" w14:textId="7A85F767" w:rsidR="00DE09A0" w:rsidRPr="00D92E20" w:rsidRDefault="00DE09A0" w:rsidP="00DE09A0">
            <w:pPr>
              <w:spacing w:after="0" w:line="240" w:lineRule="auto"/>
              <w:jc w:val="center"/>
              <w:rPr>
                <w:rFonts w:cs="Arial"/>
                <w:color w:val="000000"/>
                <w:sz w:val="16"/>
                <w:szCs w:val="16"/>
              </w:rPr>
            </w:pPr>
            <w:r>
              <w:rPr>
                <w:rFonts w:cs="Arial"/>
                <w:color w:val="000000"/>
                <w:sz w:val="16"/>
                <w:szCs w:val="16"/>
              </w:rPr>
              <w:t>51,8</w:t>
            </w:r>
          </w:p>
        </w:tc>
        <w:tc>
          <w:tcPr>
            <w:tcW w:w="595" w:type="dxa"/>
            <w:tcBorders>
              <w:top w:val="nil"/>
              <w:left w:val="nil"/>
              <w:bottom w:val="nil"/>
              <w:right w:val="nil"/>
            </w:tcBorders>
            <w:shd w:val="clear" w:color="auto" w:fill="auto"/>
            <w:noWrap/>
            <w:vAlign w:val="center"/>
            <w:hideMark/>
          </w:tcPr>
          <w:p w14:paraId="408074A0" w14:textId="0F3AF5FF" w:rsidR="00DE09A0" w:rsidRPr="00D92E20" w:rsidRDefault="00DE09A0" w:rsidP="00DE09A0">
            <w:pPr>
              <w:spacing w:after="0" w:line="240" w:lineRule="auto"/>
              <w:jc w:val="center"/>
              <w:rPr>
                <w:rFonts w:cs="Arial"/>
                <w:color w:val="000000"/>
                <w:sz w:val="16"/>
                <w:szCs w:val="16"/>
              </w:rPr>
            </w:pPr>
            <w:r>
              <w:rPr>
                <w:rFonts w:cs="Arial"/>
                <w:color w:val="000000"/>
                <w:sz w:val="16"/>
                <w:szCs w:val="16"/>
              </w:rPr>
              <w:t>47,4</w:t>
            </w:r>
          </w:p>
        </w:tc>
        <w:tc>
          <w:tcPr>
            <w:tcW w:w="595" w:type="dxa"/>
            <w:tcBorders>
              <w:top w:val="nil"/>
              <w:left w:val="nil"/>
              <w:bottom w:val="nil"/>
              <w:right w:val="nil"/>
            </w:tcBorders>
            <w:shd w:val="clear" w:color="auto" w:fill="auto"/>
            <w:noWrap/>
            <w:vAlign w:val="center"/>
            <w:hideMark/>
          </w:tcPr>
          <w:p w14:paraId="1B06EB74" w14:textId="539FA763" w:rsidR="00DE09A0" w:rsidRPr="00D92E20" w:rsidRDefault="00DE09A0" w:rsidP="00DE09A0">
            <w:pPr>
              <w:spacing w:after="0" w:line="240" w:lineRule="auto"/>
              <w:jc w:val="center"/>
              <w:rPr>
                <w:rFonts w:cs="Arial"/>
                <w:color w:val="000000"/>
                <w:sz w:val="16"/>
                <w:szCs w:val="16"/>
              </w:rPr>
            </w:pPr>
            <w:r>
              <w:rPr>
                <w:rFonts w:cs="Arial"/>
                <w:color w:val="000000"/>
                <w:sz w:val="16"/>
                <w:szCs w:val="16"/>
              </w:rPr>
              <w:t>52,0</w:t>
            </w:r>
          </w:p>
        </w:tc>
        <w:tc>
          <w:tcPr>
            <w:tcW w:w="595" w:type="dxa"/>
            <w:tcBorders>
              <w:top w:val="nil"/>
              <w:left w:val="nil"/>
              <w:bottom w:val="nil"/>
              <w:right w:val="nil"/>
            </w:tcBorders>
            <w:shd w:val="clear" w:color="auto" w:fill="auto"/>
            <w:noWrap/>
            <w:vAlign w:val="center"/>
            <w:hideMark/>
          </w:tcPr>
          <w:p w14:paraId="738385FF" w14:textId="319CAE34" w:rsidR="00DE09A0" w:rsidRPr="00D92E20" w:rsidRDefault="00DE09A0" w:rsidP="00DE09A0">
            <w:pPr>
              <w:spacing w:after="0" w:line="240" w:lineRule="auto"/>
              <w:jc w:val="center"/>
              <w:rPr>
                <w:rFonts w:cs="Arial"/>
                <w:color w:val="000000"/>
                <w:sz w:val="16"/>
                <w:szCs w:val="16"/>
              </w:rPr>
            </w:pPr>
            <w:r>
              <w:rPr>
                <w:rFonts w:cs="Arial"/>
                <w:color w:val="000000"/>
                <w:sz w:val="16"/>
                <w:szCs w:val="16"/>
              </w:rPr>
              <w:t>50,8</w:t>
            </w:r>
          </w:p>
        </w:tc>
        <w:tc>
          <w:tcPr>
            <w:tcW w:w="595" w:type="dxa"/>
            <w:tcBorders>
              <w:top w:val="nil"/>
              <w:left w:val="nil"/>
              <w:bottom w:val="nil"/>
              <w:right w:val="nil"/>
            </w:tcBorders>
            <w:shd w:val="clear" w:color="auto" w:fill="auto"/>
            <w:noWrap/>
            <w:vAlign w:val="center"/>
            <w:hideMark/>
          </w:tcPr>
          <w:p w14:paraId="17B88512" w14:textId="75302174" w:rsidR="00DE09A0" w:rsidRPr="00D92E20" w:rsidRDefault="00DE09A0" w:rsidP="00DE09A0">
            <w:pPr>
              <w:spacing w:after="0" w:line="240" w:lineRule="auto"/>
              <w:jc w:val="center"/>
              <w:rPr>
                <w:rFonts w:cs="Arial"/>
                <w:color w:val="000000"/>
                <w:sz w:val="16"/>
                <w:szCs w:val="16"/>
              </w:rPr>
            </w:pPr>
            <w:r>
              <w:rPr>
                <w:rFonts w:cs="Arial"/>
                <w:color w:val="000000"/>
                <w:sz w:val="16"/>
                <w:szCs w:val="16"/>
              </w:rPr>
              <w:t>42,4</w:t>
            </w:r>
          </w:p>
        </w:tc>
        <w:tc>
          <w:tcPr>
            <w:tcW w:w="595" w:type="dxa"/>
            <w:tcBorders>
              <w:top w:val="nil"/>
              <w:left w:val="nil"/>
              <w:bottom w:val="nil"/>
              <w:right w:val="nil"/>
            </w:tcBorders>
            <w:shd w:val="clear" w:color="auto" w:fill="auto"/>
            <w:noWrap/>
            <w:vAlign w:val="center"/>
            <w:hideMark/>
          </w:tcPr>
          <w:p w14:paraId="1CD5B9B7" w14:textId="231B5607" w:rsidR="00DE09A0" w:rsidRPr="00D92E20" w:rsidRDefault="00DE09A0" w:rsidP="00DE09A0">
            <w:pPr>
              <w:spacing w:after="0" w:line="240" w:lineRule="auto"/>
              <w:jc w:val="center"/>
              <w:rPr>
                <w:rFonts w:cs="Arial"/>
                <w:color w:val="000000"/>
                <w:sz w:val="16"/>
                <w:szCs w:val="16"/>
              </w:rPr>
            </w:pPr>
            <w:r>
              <w:rPr>
                <w:rFonts w:cs="Arial"/>
                <w:color w:val="000000"/>
                <w:sz w:val="16"/>
                <w:szCs w:val="16"/>
              </w:rPr>
              <w:t>28,9</w:t>
            </w:r>
          </w:p>
        </w:tc>
      </w:tr>
      <w:tr w:rsidR="00DE09A0" w:rsidRPr="00D92E20" w14:paraId="09158BED" w14:textId="77777777" w:rsidTr="00DC0DB3">
        <w:trPr>
          <w:trHeight w:val="300"/>
        </w:trPr>
        <w:tc>
          <w:tcPr>
            <w:tcW w:w="3175" w:type="dxa"/>
            <w:tcBorders>
              <w:top w:val="nil"/>
              <w:left w:val="nil"/>
              <w:bottom w:val="nil"/>
              <w:right w:val="single" w:sz="4" w:space="0" w:color="auto"/>
            </w:tcBorders>
            <w:shd w:val="clear" w:color="auto" w:fill="auto"/>
            <w:vAlign w:val="center"/>
            <w:hideMark/>
          </w:tcPr>
          <w:p w14:paraId="7BC5D34C" w14:textId="77777777" w:rsidR="00DE09A0" w:rsidRDefault="00DE09A0" w:rsidP="00DE09A0">
            <w:pPr>
              <w:spacing w:after="0" w:line="240" w:lineRule="auto"/>
              <w:ind w:firstLineChars="100" w:firstLine="160"/>
              <w:rPr>
                <w:rFonts w:cs="Arial"/>
                <w:color w:val="000000"/>
                <w:sz w:val="16"/>
                <w:szCs w:val="16"/>
              </w:rPr>
            </w:pPr>
            <w:r w:rsidRPr="00D92E20">
              <w:rPr>
                <w:rFonts w:cs="Arial"/>
                <w:color w:val="000000"/>
                <w:sz w:val="16"/>
                <w:szCs w:val="16"/>
              </w:rPr>
              <w:t xml:space="preserve">M – Profesní, vědecké a technické </w:t>
            </w:r>
            <w:r>
              <w:rPr>
                <w:rFonts w:cs="Arial"/>
                <w:color w:val="000000"/>
                <w:sz w:val="16"/>
                <w:szCs w:val="16"/>
              </w:rPr>
              <w:t xml:space="preserve"> </w:t>
            </w:r>
          </w:p>
          <w:p w14:paraId="63A21714" w14:textId="7C5FACDC" w:rsidR="00DE09A0" w:rsidRPr="00D92E20" w:rsidRDefault="00DE09A0" w:rsidP="00DE09A0">
            <w:pPr>
              <w:spacing w:after="0" w:line="240" w:lineRule="auto"/>
              <w:ind w:firstLineChars="100" w:firstLine="160"/>
              <w:rPr>
                <w:rFonts w:cs="Arial"/>
                <w:color w:val="000000"/>
                <w:sz w:val="16"/>
                <w:szCs w:val="16"/>
              </w:rPr>
            </w:pPr>
            <w:r>
              <w:rPr>
                <w:rFonts w:cs="Arial"/>
                <w:color w:val="000000"/>
                <w:sz w:val="16"/>
                <w:szCs w:val="16"/>
              </w:rPr>
              <w:t xml:space="preserve">       </w:t>
            </w:r>
            <w:r w:rsidRPr="00D92E20">
              <w:rPr>
                <w:rFonts w:cs="Arial"/>
                <w:color w:val="000000"/>
                <w:sz w:val="16"/>
                <w:szCs w:val="16"/>
              </w:rPr>
              <w:t>činnosti</w:t>
            </w:r>
          </w:p>
        </w:tc>
        <w:tc>
          <w:tcPr>
            <w:tcW w:w="595" w:type="dxa"/>
            <w:tcBorders>
              <w:top w:val="nil"/>
              <w:left w:val="nil"/>
              <w:bottom w:val="nil"/>
              <w:right w:val="nil"/>
            </w:tcBorders>
            <w:shd w:val="clear" w:color="auto" w:fill="auto"/>
            <w:noWrap/>
            <w:vAlign w:val="center"/>
            <w:hideMark/>
          </w:tcPr>
          <w:p w14:paraId="5C5C35FA" w14:textId="67633F3B" w:rsidR="00DE09A0" w:rsidRPr="00D92E20" w:rsidRDefault="00DE09A0" w:rsidP="00DE09A0">
            <w:pPr>
              <w:spacing w:after="0" w:line="240" w:lineRule="auto"/>
              <w:jc w:val="center"/>
              <w:rPr>
                <w:rFonts w:cs="Arial"/>
                <w:color w:val="000000"/>
                <w:sz w:val="16"/>
                <w:szCs w:val="16"/>
              </w:rPr>
            </w:pPr>
            <w:r>
              <w:rPr>
                <w:rFonts w:cs="Arial"/>
                <w:sz w:val="16"/>
                <w:szCs w:val="16"/>
              </w:rPr>
              <w:t>43,8</w:t>
            </w:r>
          </w:p>
        </w:tc>
        <w:tc>
          <w:tcPr>
            <w:tcW w:w="595" w:type="dxa"/>
            <w:tcBorders>
              <w:top w:val="nil"/>
              <w:left w:val="nil"/>
              <w:bottom w:val="nil"/>
              <w:right w:val="nil"/>
            </w:tcBorders>
            <w:shd w:val="clear" w:color="auto" w:fill="auto"/>
            <w:noWrap/>
            <w:vAlign w:val="center"/>
            <w:hideMark/>
          </w:tcPr>
          <w:p w14:paraId="588F9E3F" w14:textId="1F2C61E7" w:rsidR="00DE09A0" w:rsidRPr="00D92E20" w:rsidRDefault="00DE09A0" w:rsidP="00DE09A0">
            <w:pPr>
              <w:spacing w:after="0" w:line="240" w:lineRule="auto"/>
              <w:jc w:val="center"/>
              <w:rPr>
                <w:rFonts w:cs="Arial"/>
                <w:color w:val="000000"/>
                <w:sz w:val="16"/>
                <w:szCs w:val="16"/>
              </w:rPr>
            </w:pPr>
            <w:r>
              <w:rPr>
                <w:rFonts w:cs="Arial"/>
                <w:sz w:val="16"/>
                <w:szCs w:val="16"/>
              </w:rPr>
              <w:t>37,7</w:t>
            </w:r>
          </w:p>
        </w:tc>
        <w:tc>
          <w:tcPr>
            <w:tcW w:w="595" w:type="dxa"/>
            <w:tcBorders>
              <w:top w:val="nil"/>
              <w:left w:val="nil"/>
              <w:bottom w:val="nil"/>
              <w:right w:val="nil"/>
            </w:tcBorders>
            <w:shd w:val="clear" w:color="auto" w:fill="auto"/>
            <w:noWrap/>
            <w:vAlign w:val="center"/>
            <w:hideMark/>
          </w:tcPr>
          <w:p w14:paraId="18B6BC58" w14:textId="21CF7BF0" w:rsidR="00DE09A0" w:rsidRPr="00D92E20" w:rsidRDefault="00DE09A0" w:rsidP="00DE09A0">
            <w:pPr>
              <w:spacing w:after="0" w:line="240" w:lineRule="auto"/>
              <w:jc w:val="center"/>
              <w:rPr>
                <w:rFonts w:cs="Arial"/>
                <w:color w:val="000000"/>
                <w:sz w:val="16"/>
                <w:szCs w:val="16"/>
              </w:rPr>
            </w:pPr>
            <w:r>
              <w:rPr>
                <w:rFonts w:cs="Arial"/>
                <w:sz w:val="16"/>
                <w:szCs w:val="16"/>
              </w:rPr>
              <w:t>41,0</w:t>
            </w:r>
          </w:p>
        </w:tc>
        <w:tc>
          <w:tcPr>
            <w:tcW w:w="595" w:type="dxa"/>
            <w:tcBorders>
              <w:top w:val="nil"/>
              <w:left w:val="nil"/>
              <w:bottom w:val="nil"/>
              <w:right w:val="nil"/>
            </w:tcBorders>
            <w:shd w:val="clear" w:color="auto" w:fill="auto"/>
            <w:noWrap/>
            <w:vAlign w:val="center"/>
            <w:hideMark/>
          </w:tcPr>
          <w:p w14:paraId="35642D33" w14:textId="3636645E" w:rsidR="00DE09A0" w:rsidRPr="00D92E20" w:rsidRDefault="00DE09A0" w:rsidP="00DE09A0">
            <w:pPr>
              <w:spacing w:after="0" w:line="240" w:lineRule="auto"/>
              <w:jc w:val="center"/>
              <w:rPr>
                <w:rFonts w:cs="Arial"/>
                <w:color w:val="000000"/>
                <w:sz w:val="16"/>
                <w:szCs w:val="16"/>
              </w:rPr>
            </w:pPr>
            <w:r>
              <w:rPr>
                <w:rFonts w:cs="Arial"/>
                <w:sz w:val="16"/>
                <w:szCs w:val="16"/>
              </w:rPr>
              <w:t>36,0</w:t>
            </w:r>
          </w:p>
        </w:tc>
        <w:tc>
          <w:tcPr>
            <w:tcW w:w="595" w:type="dxa"/>
            <w:tcBorders>
              <w:top w:val="nil"/>
              <w:left w:val="nil"/>
              <w:bottom w:val="nil"/>
              <w:right w:val="nil"/>
            </w:tcBorders>
            <w:shd w:val="clear" w:color="auto" w:fill="auto"/>
            <w:noWrap/>
            <w:vAlign w:val="center"/>
            <w:hideMark/>
          </w:tcPr>
          <w:p w14:paraId="5F26BDF7" w14:textId="4623C7EC" w:rsidR="00DE09A0" w:rsidRPr="00D92E20" w:rsidRDefault="00DE09A0" w:rsidP="00DE09A0">
            <w:pPr>
              <w:spacing w:after="0" w:line="240" w:lineRule="auto"/>
              <w:jc w:val="center"/>
              <w:rPr>
                <w:rFonts w:cs="Arial"/>
                <w:color w:val="000000"/>
                <w:sz w:val="16"/>
                <w:szCs w:val="16"/>
              </w:rPr>
            </w:pPr>
            <w:r>
              <w:rPr>
                <w:rFonts w:cs="Arial"/>
                <w:color w:val="000000"/>
                <w:sz w:val="16"/>
                <w:szCs w:val="16"/>
              </w:rPr>
              <w:t>37,1</w:t>
            </w:r>
          </w:p>
        </w:tc>
        <w:tc>
          <w:tcPr>
            <w:tcW w:w="595" w:type="dxa"/>
            <w:tcBorders>
              <w:top w:val="nil"/>
              <w:left w:val="nil"/>
              <w:bottom w:val="nil"/>
              <w:right w:val="nil"/>
            </w:tcBorders>
            <w:shd w:val="clear" w:color="auto" w:fill="auto"/>
            <w:noWrap/>
            <w:vAlign w:val="center"/>
            <w:hideMark/>
          </w:tcPr>
          <w:p w14:paraId="6C528EA9" w14:textId="172C8617" w:rsidR="00DE09A0" w:rsidRPr="00D92E20" w:rsidRDefault="00DE09A0" w:rsidP="00DE09A0">
            <w:pPr>
              <w:spacing w:after="0" w:line="240" w:lineRule="auto"/>
              <w:jc w:val="center"/>
              <w:rPr>
                <w:rFonts w:cs="Arial"/>
                <w:color w:val="000000"/>
                <w:sz w:val="16"/>
                <w:szCs w:val="16"/>
              </w:rPr>
            </w:pPr>
            <w:r>
              <w:rPr>
                <w:rFonts w:cs="Arial"/>
                <w:color w:val="000000"/>
                <w:sz w:val="16"/>
                <w:szCs w:val="16"/>
              </w:rPr>
              <w:t>37,4</w:t>
            </w:r>
          </w:p>
        </w:tc>
        <w:tc>
          <w:tcPr>
            <w:tcW w:w="595" w:type="dxa"/>
            <w:tcBorders>
              <w:top w:val="nil"/>
              <w:left w:val="nil"/>
              <w:bottom w:val="nil"/>
              <w:right w:val="nil"/>
            </w:tcBorders>
            <w:shd w:val="clear" w:color="auto" w:fill="auto"/>
            <w:noWrap/>
            <w:vAlign w:val="center"/>
            <w:hideMark/>
          </w:tcPr>
          <w:p w14:paraId="3637D2BF" w14:textId="5F2692AA" w:rsidR="00DE09A0" w:rsidRPr="00D92E20" w:rsidRDefault="00DE09A0" w:rsidP="00DE09A0">
            <w:pPr>
              <w:spacing w:after="0" w:line="240" w:lineRule="auto"/>
              <w:jc w:val="center"/>
              <w:rPr>
                <w:rFonts w:cs="Arial"/>
                <w:color w:val="000000"/>
                <w:sz w:val="16"/>
                <w:szCs w:val="16"/>
              </w:rPr>
            </w:pPr>
            <w:r>
              <w:rPr>
                <w:rFonts w:cs="Arial"/>
                <w:color w:val="000000"/>
                <w:sz w:val="16"/>
                <w:szCs w:val="16"/>
              </w:rPr>
              <w:t>36,6</w:t>
            </w:r>
          </w:p>
        </w:tc>
        <w:tc>
          <w:tcPr>
            <w:tcW w:w="595" w:type="dxa"/>
            <w:tcBorders>
              <w:top w:val="nil"/>
              <w:left w:val="nil"/>
              <w:bottom w:val="nil"/>
              <w:right w:val="nil"/>
            </w:tcBorders>
            <w:shd w:val="clear" w:color="auto" w:fill="auto"/>
            <w:noWrap/>
            <w:vAlign w:val="center"/>
            <w:hideMark/>
          </w:tcPr>
          <w:p w14:paraId="169CABDA" w14:textId="462F5FD9" w:rsidR="00DE09A0" w:rsidRPr="00D92E20" w:rsidRDefault="00DE09A0" w:rsidP="00DE09A0">
            <w:pPr>
              <w:spacing w:after="0" w:line="240" w:lineRule="auto"/>
              <w:jc w:val="center"/>
              <w:rPr>
                <w:rFonts w:cs="Arial"/>
                <w:color w:val="000000"/>
                <w:sz w:val="16"/>
                <w:szCs w:val="16"/>
              </w:rPr>
            </w:pPr>
            <w:r>
              <w:rPr>
                <w:rFonts w:cs="Arial"/>
                <w:color w:val="000000"/>
                <w:sz w:val="16"/>
                <w:szCs w:val="16"/>
              </w:rPr>
              <w:t>40,1</w:t>
            </w:r>
          </w:p>
        </w:tc>
        <w:tc>
          <w:tcPr>
            <w:tcW w:w="595" w:type="dxa"/>
            <w:tcBorders>
              <w:top w:val="nil"/>
              <w:left w:val="nil"/>
              <w:bottom w:val="nil"/>
              <w:right w:val="nil"/>
            </w:tcBorders>
            <w:shd w:val="clear" w:color="auto" w:fill="auto"/>
            <w:noWrap/>
            <w:vAlign w:val="center"/>
            <w:hideMark/>
          </w:tcPr>
          <w:p w14:paraId="13798218" w14:textId="2BF2F4C5" w:rsidR="00DE09A0" w:rsidRPr="00D92E20" w:rsidRDefault="00DE09A0" w:rsidP="00DE09A0">
            <w:pPr>
              <w:spacing w:after="0" w:line="240" w:lineRule="auto"/>
              <w:jc w:val="center"/>
              <w:rPr>
                <w:rFonts w:cs="Arial"/>
                <w:color w:val="000000"/>
                <w:sz w:val="16"/>
                <w:szCs w:val="16"/>
              </w:rPr>
            </w:pPr>
            <w:r>
              <w:rPr>
                <w:rFonts w:cs="Arial"/>
                <w:color w:val="000000"/>
                <w:sz w:val="16"/>
                <w:szCs w:val="16"/>
              </w:rPr>
              <w:t>40,8</w:t>
            </w:r>
          </w:p>
        </w:tc>
        <w:tc>
          <w:tcPr>
            <w:tcW w:w="595" w:type="dxa"/>
            <w:tcBorders>
              <w:top w:val="nil"/>
              <w:left w:val="nil"/>
              <w:bottom w:val="nil"/>
              <w:right w:val="nil"/>
            </w:tcBorders>
            <w:shd w:val="clear" w:color="auto" w:fill="auto"/>
            <w:noWrap/>
            <w:vAlign w:val="center"/>
            <w:hideMark/>
          </w:tcPr>
          <w:p w14:paraId="37809987" w14:textId="2D94F492" w:rsidR="00DE09A0" w:rsidRPr="00D92E20" w:rsidRDefault="00DE09A0" w:rsidP="00DE09A0">
            <w:pPr>
              <w:spacing w:after="0" w:line="240" w:lineRule="auto"/>
              <w:jc w:val="center"/>
              <w:rPr>
                <w:rFonts w:cs="Arial"/>
                <w:color w:val="000000"/>
                <w:sz w:val="16"/>
                <w:szCs w:val="16"/>
              </w:rPr>
            </w:pPr>
            <w:r>
              <w:rPr>
                <w:rFonts w:cs="Arial"/>
                <w:color w:val="000000"/>
                <w:sz w:val="16"/>
                <w:szCs w:val="16"/>
              </w:rPr>
              <w:t>34,8</w:t>
            </w:r>
          </w:p>
        </w:tc>
        <w:tc>
          <w:tcPr>
            <w:tcW w:w="595" w:type="dxa"/>
            <w:tcBorders>
              <w:top w:val="nil"/>
              <w:left w:val="nil"/>
              <w:bottom w:val="nil"/>
              <w:right w:val="nil"/>
            </w:tcBorders>
            <w:shd w:val="clear" w:color="auto" w:fill="auto"/>
            <w:noWrap/>
            <w:vAlign w:val="center"/>
            <w:hideMark/>
          </w:tcPr>
          <w:p w14:paraId="5B8E9C78" w14:textId="68CDF9F5" w:rsidR="00DE09A0" w:rsidRPr="00D92E20" w:rsidRDefault="00DE09A0" w:rsidP="00DE09A0">
            <w:pPr>
              <w:spacing w:after="0" w:line="240" w:lineRule="auto"/>
              <w:jc w:val="center"/>
              <w:rPr>
                <w:rFonts w:cs="Arial"/>
                <w:color w:val="000000"/>
                <w:sz w:val="16"/>
                <w:szCs w:val="16"/>
              </w:rPr>
            </w:pPr>
            <w:r>
              <w:rPr>
                <w:rFonts w:cs="Arial"/>
                <w:color w:val="000000"/>
                <w:sz w:val="16"/>
                <w:szCs w:val="16"/>
              </w:rPr>
              <w:t>21,9</w:t>
            </w:r>
          </w:p>
        </w:tc>
      </w:tr>
      <w:tr w:rsidR="00DE09A0" w:rsidRPr="00D92E20" w14:paraId="4D8F2CAA" w14:textId="77777777" w:rsidTr="00DC0DB3">
        <w:trPr>
          <w:trHeight w:val="300"/>
        </w:trPr>
        <w:tc>
          <w:tcPr>
            <w:tcW w:w="3175" w:type="dxa"/>
            <w:tcBorders>
              <w:top w:val="nil"/>
              <w:left w:val="nil"/>
              <w:bottom w:val="nil"/>
              <w:right w:val="single" w:sz="4" w:space="0" w:color="auto"/>
            </w:tcBorders>
            <w:shd w:val="clear" w:color="auto" w:fill="auto"/>
            <w:vAlign w:val="center"/>
            <w:hideMark/>
          </w:tcPr>
          <w:p w14:paraId="1AA5BEE5" w14:textId="70D898D8" w:rsidR="00DE09A0" w:rsidRPr="00D92E20" w:rsidRDefault="00DE09A0" w:rsidP="00DE09A0">
            <w:pPr>
              <w:spacing w:after="0" w:line="240" w:lineRule="auto"/>
              <w:ind w:firstLineChars="100" w:firstLine="160"/>
              <w:rPr>
                <w:rFonts w:cs="Arial"/>
                <w:color w:val="000000"/>
                <w:sz w:val="16"/>
                <w:szCs w:val="16"/>
              </w:rPr>
            </w:pPr>
            <w:r w:rsidRPr="00D92E20">
              <w:rPr>
                <w:rFonts w:cs="Arial"/>
                <w:color w:val="000000"/>
                <w:sz w:val="16"/>
                <w:szCs w:val="16"/>
              </w:rPr>
              <w:t>N – Administrativní a podpůrné činnosti</w:t>
            </w:r>
          </w:p>
        </w:tc>
        <w:tc>
          <w:tcPr>
            <w:tcW w:w="595" w:type="dxa"/>
            <w:tcBorders>
              <w:top w:val="nil"/>
              <w:left w:val="nil"/>
              <w:bottom w:val="nil"/>
              <w:right w:val="nil"/>
            </w:tcBorders>
            <w:shd w:val="clear" w:color="auto" w:fill="auto"/>
            <w:noWrap/>
            <w:vAlign w:val="center"/>
            <w:hideMark/>
          </w:tcPr>
          <w:p w14:paraId="639908B8" w14:textId="7B01CB48" w:rsidR="00DE09A0" w:rsidRPr="00D92E20" w:rsidRDefault="00DE09A0" w:rsidP="00DE09A0">
            <w:pPr>
              <w:spacing w:after="0" w:line="240" w:lineRule="auto"/>
              <w:jc w:val="center"/>
              <w:rPr>
                <w:rFonts w:cs="Arial"/>
                <w:color w:val="000000"/>
                <w:sz w:val="16"/>
                <w:szCs w:val="16"/>
              </w:rPr>
            </w:pPr>
            <w:r>
              <w:rPr>
                <w:rFonts w:cs="Arial"/>
                <w:sz w:val="16"/>
                <w:szCs w:val="16"/>
              </w:rPr>
              <w:t>47,5</w:t>
            </w:r>
          </w:p>
        </w:tc>
        <w:tc>
          <w:tcPr>
            <w:tcW w:w="595" w:type="dxa"/>
            <w:tcBorders>
              <w:top w:val="nil"/>
              <w:left w:val="nil"/>
              <w:bottom w:val="nil"/>
              <w:right w:val="nil"/>
            </w:tcBorders>
            <w:shd w:val="clear" w:color="auto" w:fill="auto"/>
            <w:noWrap/>
            <w:vAlign w:val="center"/>
            <w:hideMark/>
          </w:tcPr>
          <w:p w14:paraId="00F05729" w14:textId="560E0B3C" w:rsidR="00DE09A0" w:rsidRPr="00D92E20" w:rsidRDefault="00DE09A0" w:rsidP="00DE09A0">
            <w:pPr>
              <w:spacing w:after="0" w:line="240" w:lineRule="auto"/>
              <w:jc w:val="center"/>
              <w:rPr>
                <w:rFonts w:cs="Arial"/>
                <w:color w:val="000000"/>
                <w:sz w:val="16"/>
                <w:szCs w:val="16"/>
              </w:rPr>
            </w:pPr>
            <w:r>
              <w:rPr>
                <w:rFonts w:cs="Arial"/>
                <w:sz w:val="16"/>
                <w:szCs w:val="16"/>
              </w:rPr>
              <w:t>42,5</w:t>
            </w:r>
          </w:p>
        </w:tc>
        <w:tc>
          <w:tcPr>
            <w:tcW w:w="595" w:type="dxa"/>
            <w:tcBorders>
              <w:top w:val="nil"/>
              <w:left w:val="nil"/>
              <w:bottom w:val="nil"/>
              <w:right w:val="nil"/>
            </w:tcBorders>
            <w:shd w:val="clear" w:color="auto" w:fill="auto"/>
            <w:noWrap/>
            <w:vAlign w:val="center"/>
            <w:hideMark/>
          </w:tcPr>
          <w:p w14:paraId="1F4C6AFB" w14:textId="56E9FCF1" w:rsidR="00DE09A0" w:rsidRPr="00D92E20" w:rsidRDefault="00DE09A0" w:rsidP="00DE09A0">
            <w:pPr>
              <w:spacing w:after="0" w:line="240" w:lineRule="auto"/>
              <w:jc w:val="center"/>
              <w:rPr>
                <w:rFonts w:cs="Arial"/>
                <w:color w:val="000000"/>
                <w:sz w:val="16"/>
                <w:szCs w:val="16"/>
              </w:rPr>
            </w:pPr>
            <w:r>
              <w:rPr>
                <w:rFonts w:cs="Arial"/>
                <w:sz w:val="16"/>
                <w:szCs w:val="16"/>
              </w:rPr>
              <w:t>42,3</w:t>
            </w:r>
          </w:p>
        </w:tc>
        <w:tc>
          <w:tcPr>
            <w:tcW w:w="595" w:type="dxa"/>
            <w:tcBorders>
              <w:top w:val="nil"/>
              <w:left w:val="nil"/>
              <w:bottom w:val="nil"/>
              <w:right w:val="nil"/>
            </w:tcBorders>
            <w:shd w:val="clear" w:color="auto" w:fill="auto"/>
            <w:noWrap/>
            <w:vAlign w:val="center"/>
            <w:hideMark/>
          </w:tcPr>
          <w:p w14:paraId="51B0E3AB" w14:textId="43F306BD" w:rsidR="00DE09A0" w:rsidRPr="00D92E20" w:rsidRDefault="00DE09A0" w:rsidP="00DE09A0">
            <w:pPr>
              <w:spacing w:after="0" w:line="240" w:lineRule="auto"/>
              <w:jc w:val="center"/>
              <w:rPr>
                <w:rFonts w:cs="Arial"/>
                <w:color w:val="000000"/>
                <w:sz w:val="16"/>
                <w:szCs w:val="16"/>
              </w:rPr>
            </w:pPr>
            <w:r>
              <w:rPr>
                <w:rFonts w:cs="Arial"/>
                <w:sz w:val="16"/>
                <w:szCs w:val="16"/>
              </w:rPr>
              <w:t>37,5</w:t>
            </w:r>
          </w:p>
        </w:tc>
        <w:tc>
          <w:tcPr>
            <w:tcW w:w="595" w:type="dxa"/>
            <w:tcBorders>
              <w:top w:val="nil"/>
              <w:left w:val="nil"/>
              <w:bottom w:val="nil"/>
              <w:right w:val="nil"/>
            </w:tcBorders>
            <w:shd w:val="clear" w:color="auto" w:fill="auto"/>
            <w:noWrap/>
            <w:vAlign w:val="center"/>
            <w:hideMark/>
          </w:tcPr>
          <w:p w14:paraId="0A1AFD37" w14:textId="54003C00" w:rsidR="00DE09A0" w:rsidRPr="00D92E20" w:rsidRDefault="00DE09A0" w:rsidP="00DE09A0">
            <w:pPr>
              <w:spacing w:after="0" w:line="240" w:lineRule="auto"/>
              <w:jc w:val="center"/>
              <w:rPr>
                <w:rFonts w:cs="Arial"/>
                <w:color w:val="000000"/>
                <w:sz w:val="16"/>
                <w:szCs w:val="16"/>
              </w:rPr>
            </w:pPr>
            <w:r>
              <w:rPr>
                <w:rFonts w:cs="Arial"/>
                <w:color w:val="000000"/>
                <w:sz w:val="16"/>
                <w:szCs w:val="16"/>
              </w:rPr>
              <w:t>38,5</w:t>
            </w:r>
          </w:p>
        </w:tc>
        <w:tc>
          <w:tcPr>
            <w:tcW w:w="595" w:type="dxa"/>
            <w:tcBorders>
              <w:top w:val="nil"/>
              <w:left w:val="nil"/>
              <w:bottom w:val="nil"/>
              <w:right w:val="nil"/>
            </w:tcBorders>
            <w:shd w:val="clear" w:color="auto" w:fill="auto"/>
            <w:noWrap/>
            <w:vAlign w:val="center"/>
            <w:hideMark/>
          </w:tcPr>
          <w:p w14:paraId="4870D9EE" w14:textId="3C6930B1" w:rsidR="00DE09A0" w:rsidRPr="00D92E20" w:rsidRDefault="00DE09A0" w:rsidP="00DE09A0">
            <w:pPr>
              <w:spacing w:after="0" w:line="240" w:lineRule="auto"/>
              <w:jc w:val="center"/>
              <w:rPr>
                <w:rFonts w:cs="Arial"/>
                <w:color w:val="000000"/>
                <w:sz w:val="16"/>
                <w:szCs w:val="16"/>
              </w:rPr>
            </w:pPr>
            <w:r>
              <w:rPr>
                <w:rFonts w:cs="Arial"/>
                <w:color w:val="000000"/>
                <w:sz w:val="16"/>
                <w:szCs w:val="16"/>
              </w:rPr>
              <w:t>38,1</w:t>
            </w:r>
          </w:p>
        </w:tc>
        <w:tc>
          <w:tcPr>
            <w:tcW w:w="595" w:type="dxa"/>
            <w:tcBorders>
              <w:top w:val="nil"/>
              <w:left w:val="nil"/>
              <w:bottom w:val="nil"/>
              <w:right w:val="nil"/>
            </w:tcBorders>
            <w:shd w:val="clear" w:color="auto" w:fill="auto"/>
            <w:noWrap/>
            <w:vAlign w:val="center"/>
            <w:hideMark/>
          </w:tcPr>
          <w:p w14:paraId="2C656D15" w14:textId="3567E09E" w:rsidR="00DE09A0" w:rsidRPr="00D92E20" w:rsidRDefault="00DE09A0" w:rsidP="00DE09A0">
            <w:pPr>
              <w:spacing w:after="0" w:line="240" w:lineRule="auto"/>
              <w:jc w:val="center"/>
              <w:rPr>
                <w:rFonts w:cs="Arial"/>
                <w:color w:val="000000"/>
                <w:sz w:val="16"/>
                <w:szCs w:val="16"/>
              </w:rPr>
            </w:pPr>
            <w:r>
              <w:rPr>
                <w:rFonts w:cs="Arial"/>
                <w:color w:val="000000"/>
                <w:sz w:val="16"/>
                <w:szCs w:val="16"/>
              </w:rPr>
              <w:t>39,0</w:t>
            </w:r>
          </w:p>
        </w:tc>
        <w:tc>
          <w:tcPr>
            <w:tcW w:w="595" w:type="dxa"/>
            <w:tcBorders>
              <w:top w:val="nil"/>
              <w:left w:val="nil"/>
              <w:bottom w:val="nil"/>
              <w:right w:val="nil"/>
            </w:tcBorders>
            <w:shd w:val="clear" w:color="auto" w:fill="auto"/>
            <w:noWrap/>
            <w:vAlign w:val="center"/>
            <w:hideMark/>
          </w:tcPr>
          <w:p w14:paraId="4A168E81" w14:textId="1F4BC3C1" w:rsidR="00DE09A0" w:rsidRPr="00D92E20" w:rsidRDefault="00DE09A0" w:rsidP="00DE09A0">
            <w:pPr>
              <w:spacing w:after="0" w:line="240" w:lineRule="auto"/>
              <w:jc w:val="center"/>
              <w:rPr>
                <w:rFonts w:cs="Arial"/>
                <w:color w:val="000000"/>
                <w:sz w:val="16"/>
                <w:szCs w:val="16"/>
              </w:rPr>
            </w:pPr>
            <w:r>
              <w:rPr>
                <w:rFonts w:cs="Arial"/>
                <w:color w:val="000000"/>
                <w:sz w:val="16"/>
                <w:szCs w:val="16"/>
              </w:rPr>
              <w:t>43,7</w:t>
            </w:r>
          </w:p>
        </w:tc>
        <w:tc>
          <w:tcPr>
            <w:tcW w:w="595" w:type="dxa"/>
            <w:tcBorders>
              <w:top w:val="nil"/>
              <w:left w:val="nil"/>
              <w:bottom w:val="nil"/>
              <w:right w:val="nil"/>
            </w:tcBorders>
            <w:shd w:val="clear" w:color="auto" w:fill="auto"/>
            <w:noWrap/>
            <w:vAlign w:val="center"/>
            <w:hideMark/>
          </w:tcPr>
          <w:p w14:paraId="5E65B677" w14:textId="2543D10C" w:rsidR="00DE09A0" w:rsidRPr="00D92E20" w:rsidRDefault="00DE09A0" w:rsidP="00DE09A0">
            <w:pPr>
              <w:spacing w:after="0" w:line="240" w:lineRule="auto"/>
              <w:jc w:val="center"/>
              <w:rPr>
                <w:rFonts w:cs="Arial"/>
                <w:color w:val="000000"/>
                <w:sz w:val="16"/>
                <w:szCs w:val="16"/>
              </w:rPr>
            </w:pPr>
            <w:r>
              <w:rPr>
                <w:rFonts w:cs="Arial"/>
                <w:color w:val="000000"/>
                <w:sz w:val="16"/>
                <w:szCs w:val="16"/>
              </w:rPr>
              <w:t>47,0</w:t>
            </w:r>
          </w:p>
        </w:tc>
        <w:tc>
          <w:tcPr>
            <w:tcW w:w="595" w:type="dxa"/>
            <w:tcBorders>
              <w:top w:val="nil"/>
              <w:left w:val="nil"/>
              <w:bottom w:val="nil"/>
              <w:right w:val="nil"/>
            </w:tcBorders>
            <w:shd w:val="clear" w:color="auto" w:fill="auto"/>
            <w:noWrap/>
            <w:vAlign w:val="center"/>
            <w:hideMark/>
          </w:tcPr>
          <w:p w14:paraId="7F15D7A1" w14:textId="5B3E43BD" w:rsidR="00DE09A0" w:rsidRPr="00D92E20" w:rsidRDefault="00DE09A0" w:rsidP="00DE09A0">
            <w:pPr>
              <w:spacing w:after="0" w:line="240" w:lineRule="auto"/>
              <w:jc w:val="center"/>
              <w:rPr>
                <w:rFonts w:cs="Arial"/>
                <w:color w:val="000000"/>
                <w:sz w:val="16"/>
                <w:szCs w:val="16"/>
              </w:rPr>
            </w:pPr>
            <w:r>
              <w:rPr>
                <w:rFonts w:cs="Arial"/>
                <w:color w:val="000000"/>
                <w:sz w:val="16"/>
                <w:szCs w:val="16"/>
              </w:rPr>
              <w:t>38,5</w:t>
            </w:r>
          </w:p>
        </w:tc>
        <w:tc>
          <w:tcPr>
            <w:tcW w:w="595" w:type="dxa"/>
            <w:tcBorders>
              <w:top w:val="nil"/>
              <w:left w:val="nil"/>
              <w:bottom w:val="nil"/>
              <w:right w:val="nil"/>
            </w:tcBorders>
            <w:shd w:val="clear" w:color="auto" w:fill="auto"/>
            <w:noWrap/>
            <w:vAlign w:val="center"/>
            <w:hideMark/>
          </w:tcPr>
          <w:p w14:paraId="03FE4AFB" w14:textId="2DF6972C" w:rsidR="00DE09A0" w:rsidRPr="00D92E20" w:rsidRDefault="00DE09A0" w:rsidP="00DE09A0">
            <w:pPr>
              <w:spacing w:after="0" w:line="240" w:lineRule="auto"/>
              <w:jc w:val="center"/>
              <w:rPr>
                <w:rFonts w:cs="Arial"/>
                <w:color w:val="000000"/>
                <w:sz w:val="16"/>
                <w:szCs w:val="16"/>
              </w:rPr>
            </w:pPr>
            <w:r>
              <w:rPr>
                <w:rFonts w:cs="Arial"/>
                <w:color w:val="000000"/>
                <w:sz w:val="16"/>
                <w:szCs w:val="16"/>
              </w:rPr>
              <w:t>31,2</w:t>
            </w:r>
          </w:p>
        </w:tc>
      </w:tr>
      <w:tr w:rsidR="00DE09A0" w:rsidRPr="00D92E20" w14:paraId="043B403E" w14:textId="77777777" w:rsidTr="00DC0DB3">
        <w:trPr>
          <w:trHeight w:val="480"/>
        </w:trPr>
        <w:tc>
          <w:tcPr>
            <w:tcW w:w="3175" w:type="dxa"/>
            <w:tcBorders>
              <w:top w:val="nil"/>
              <w:left w:val="nil"/>
              <w:bottom w:val="nil"/>
              <w:right w:val="single" w:sz="4" w:space="0" w:color="auto"/>
            </w:tcBorders>
            <w:shd w:val="clear" w:color="auto" w:fill="auto"/>
            <w:vAlign w:val="center"/>
            <w:hideMark/>
          </w:tcPr>
          <w:p w14:paraId="08B1596B" w14:textId="77777777" w:rsidR="00DE09A0" w:rsidRPr="00D92E20" w:rsidRDefault="00DE09A0" w:rsidP="00DE09A0">
            <w:pPr>
              <w:spacing w:after="0" w:line="240" w:lineRule="auto"/>
              <w:ind w:firstLineChars="100" w:firstLine="160"/>
              <w:rPr>
                <w:rFonts w:cs="Arial"/>
                <w:color w:val="000000"/>
                <w:sz w:val="16"/>
                <w:szCs w:val="16"/>
              </w:rPr>
            </w:pPr>
            <w:r w:rsidRPr="00D92E20">
              <w:rPr>
                <w:rFonts w:cs="Arial"/>
                <w:color w:val="000000"/>
                <w:sz w:val="16"/>
                <w:szCs w:val="16"/>
              </w:rPr>
              <w:t xml:space="preserve">O – Veřejná správa a obrana; </w:t>
            </w:r>
            <w:r w:rsidRPr="00D92E20">
              <w:rPr>
                <w:rFonts w:cs="Arial"/>
                <w:color w:val="000000"/>
                <w:sz w:val="16"/>
                <w:szCs w:val="16"/>
              </w:rPr>
              <w:br/>
              <w:t xml:space="preserve">           povinné sociální zabezpečení</w:t>
            </w:r>
          </w:p>
        </w:tc>
        <w:tc>
          <w:tcPr>
            <w:tcW w:w="595" w:type="dxa"/>
            <w:tcBorders>
              <w:top w:val="nil"/>
              <w:left w:val="nil"/>
              <w:bottom w:val="nil"/>
              <w:right w:val="nil"/>
            </w:tcBorders>
            <w:shd w:val="clear" w:color="auto" w:fill="auto"/>
            <w:noWrap/>
            <w:vAlign w:val="center"/>
            <w:hideMark/>
          </w:tcPr>
          <w:p w14:paraId="16C00151" w14:textId="210E8CD8" w:rsidR="00DE09A0" w:rsidRPr="00D92E20" w:rsidRDefault="00DE09A0" w:rsidP="00DE09A0">
            <w:pPr>
              <w:spacing w:after="0" w:line="240" w:lineRule="auto"/>
              <w:jc w:val="center"/>
              <w:rPr>
                <w:rFonts w:cs="Arial"/>
                <w:color w:val="000000"/>
                <w:sz w:val="16"/>
                <w:szCs w:val="16"/>
              </w:rPr>
            </w:pPr>
            <w:r>
              <w:rPr>
                <w:rFonts w:cs="Arial"/>
                <w:sz w:val="16"/>
                <w:szCs w:val="16"/>
              </w:rPr>
              <w:t>40,0</w:t>
            </w:r>
          </w:p>
        </w:tc>
        <w:tc>
          <w:tcPr>
            <w:tcW w:w="595" w:type="dxa"/>
            <w:tcBorders>
              <w:top w:val="nil"/>
              <w:left w:val="nil"/>
              <w:bottom w:val="nil"/>
              <w:right w:val="nil"/>
            </w:tcBorders>
            <w:shd w:val="clear" w:color="auto" w:fill="auto"/>
            <w:noWrap/>
            <w:vAlign w:val="center"/>
            <w:hideMark/>
          </w:tcPr>
          <w:p w14:paraId="5EFF30AE" w14:textId="534552E9" w:rsidR="00DE09A0" w:rsidRPr="00D92E20" w:rsidRDefault="00DE09A0" w:rsidP="00DE09A0">
            <w:pPr>
              <w:spacing w:after="0" w:line="240" w:lineRule="auto"/>
              <w:jc w:val="center"/>
              <w:rPr>
                <w:rFonts w:cs="Arial"/>
                <w:color w:val="000000"/>
                <w:sz w:val="16"/>
                <w:szCs w:val="16"/>
              </w:rPr>
            </w:pPr>
            <w:r>
              <w:rPr>
                <w:rFonts w:cs="Arial"/>
                <w:sz w:val="16"/>
                <w:szCs w:val="16"/>
              </w:rPr>
              <w:t>32,3</w:t>
            </w:r>
          </w:p>
        </w:tc>
        <w:tc>
          <w:tcPr>
            <w:tcW w:w="595" w:type="dxa"/>
            <w:tcBorders>
              <w:top w:val="nil"/>
              <w:left w:val="nil"/>
              <w:bottom w:val="nil"/>
              <w:right w:val="nil"/>
            </w:tcBorders>
            <w:shd w:val="clear" w:color="auto" w:fill="auto"/>
            <w:noWrap/>
            <w:vAlign w:val="center"/>
            <w:hideMark/>
          </w:tcPr>
          <w:p w14:paraId="7EFB5C26" w14:textId="4F88FCB8" w:rsidR="00DE09A0" w:rsidRPr="00D92E20" w:rsidRDefault="00DE09A0" w:rsidP="00DE09A0">
            <w:pPr>
              <w:spacing w:after="0" w:line="240" w:lineRule="auto"/>
              <w:jc w:val="center"/>
              <w:rPr>
                <w:rFonts w:cs="Arial"/>
                <w:color w:val="000000"/>
                <w:sz w:val="16"/>
                <w:szCs w:val="16"/>
              </w:rPr>
            </w:pPr>
            <w:r>
              <w:rPr>
                <w:rFonts w:cs="Arial"/>
                <w:sz w:val="16"/>
                <w:szCs w:val="16"/>
              </w:rPr>
              <w:t>37,9</w:t>
            </w:r>
          </w:p>
        </w:tc>
        <w:tc>
          <w:tcPr>
            <w:tcW w:w="595" w:type="dxa"/>
            <w:tcBorders>
              <w:top w:val="nil"/>
              <w:left w:val="nil"/>
              <w:bottom w:val="nil"/>
              <w:right w:val="nil"/>
            </w:tcBorders>
            <w:shd w:val="clear" w:color="auto" w:fill="auto"/>
            <w:noWrap/>
            <w:vAlign w:val="center"/>
            <w:hideMark/>
          </w:tcPr>
          <w:p w14:paraId="0C0B0EF3" w14:textId="1166E406" w:rsidR="00DE09A0" w:rsidRPr="00D92E20" w:rsidRDefault="00DE09A0" w:rsidP="00DE09A0">
            <w:pPr>
              <w:spacing w:after="0" w:line="240" w:lineRule="auto"/>
              <w:jc w:val="center"/>
              <w:rPr>
                <w:rFonts w:cs="Arial"/>
                <w:color w:val="000000"/>
                <w:sz w:val="16"/>
                <w:szCs w:val="16"/>
              </w:rPr>
            </w:pPr>
            <w:r>
              <w:rPr>
                <w:rFonts w:cs="Arial"/>
                <w:sz w:val="16"/>
                <w:szCs w:val="16"/>
              </w:rPr>
              <w:t>32,7</w:t>
            </w:r>
          </w:p>
        </w:tc>
        <w:tc>
          <w:tcPr>
            <w:tcW w:w="595" w:type="dxa"/>
            <w:tcBorders>
              <w:top w:val="nil"/>
              <w:left w:val="nil"/>
              <w:bottom w:val="nil"/>
              <w:right w:val="nil"/>
            </w:tcBorders>
            <w:shd w:val="clear" w:color="auto" w:fill="auto"/>
            <w:noWrap/>
            <w:vAlign w:val="center"/>
            <w:hideMark/>
          </w:tcPr>
          <w:p w14:paraId="1F493E8C" w14:textId="338CEDCD" w:rsidR="00DE09A0" w:rsidRPr="00D92E20" w:rsidRDefault="00DE09A0" w:rsidP="00DE09A0">
            <w:pPr>
              <w:spacing w:after="0" w:line="240" w:lineRule="auto"/>
              <w:jc w:val="center"/>
              <w:rPr>
                <w:rFonts w:cs="Arial"/>
                <w:color w:val="000000"/>
                <w:sz w:val="16"/>
                <w:szCs w:val="16"/>
              </w:rPr>
            </w:pPr>
            <w:r>
              <w:rPr>
                <w:rFonts w:cs="Arial"/>
                <w:color w:val="000000"/>
                <w:sz w:val="16"/>
                <w:szCs w:val="16"/>
              </w:rPr>
              <w:t>36,0</w:t>
            </w:r>
          </w:p>
        </w:tc>
        <w:tc>
          <w:tcPr>
            <w:tcW w:w="595" w:type="dxa"/>
            <w:tcBorders>
              <w:top w:val="nil"/>
              <w:left w:val="nil"/>
              <w:bottom w:val="nil"/>
              <w:right w:val="nil"/>
            </w:tcBorders>
            <w:shd w:val="clear" w:color="auto" w:fill="auto"/>
            <w:noWrap/>
            <w:vAlign w:val="center"/>
            <w:hideMark/>
          </w:tcPr>
          <w:p w14:paraId="57F13229" w14:textId="4A462194" w:rsidR="00DE09A0" w:rsidRPr="00D92E20" w:rsidRDefault="00DE09A0" w:rsidP="00DE09A0">
            <w:pPr>
              <w:spacing w:after="0" w:line="240" w:lineRule="auto"/>
              <w:jc w:val="center"/>
              <w:rPr>
                <w:rFonts w:cs="Arial"/>
                <w:color w:val="000000"/>
                <w:sz w:val="16"/>
                <w:szCs w:val="16"/>
              </w:rPr>
            </w:pPr>
            <w:r>
              <w:rPr>
                <w:rFonts w:cs="Arial"/>
                <w:color w:val="000000"/>
                <w:sz w:val="16"/>
                <w:szCs w:val="16"/>
              </w:rPr>
              <w:t>34,5</w:t>
            </w:r>
          </w:p>
        </w:tc>
        <w:tc>
          <w:tcPr>
            <w:tcW w:w="595" w:type="dxa"/>
            <w:tcBorders>
              <w:top w:val="nil"/>
              <w:left w:val="nil"/>
              <w:bottom w:val="nil"/>
              <w:right w:val="nil"/>
            </w:tcBorders>
            <w:shd w:val="clear" w:color="auto" w:fill="auto"/>
            <w:noWrap/>
            <w:vAlign w:val="center"/>
            <w:hideMark/>
          </w:tcPr>
          <w:p w14:paraId="5B1E3CAA" w14:textId="5FB38739" w:rsidR="00DE09A0" w:rsidRPr="00D92E20" w:rsidRDefault="00DE09A0" w:rsidP="00DE09A0">
            <w:pPr>
              <w:spacing w:after="0" w:line="240" w:lineRule="auto"/>
              <w:jc w:val="center"/>
              <w:rPr>
                <w:rFonts w:cs="Arial"/>
                <w:color w:val="000000"/>
                <w:sz w:val="16"/>
                <w:szCs w:val="16"/>
              </w:rPr>
            </w:pPr>
            <w:r>
              <w:rPr>
                <w:rFonts w:cs="Arial"/>
                <w:color w:val="000000"/>
                <w:sz w:val="16"/>
                <w:szCs w:val="16"/>
              </w:rPr>
              <w:t>32,2</w:t>
            </w:r>
          </w:p>
        </w:tc>
        <w:tc>
          <w:tcPr>
            <w:tcW w:w="595" w:type="dxa"/>
            <w:tcBorders>
              <w:top w:val="nil"/>
              <w:left w:val="nil"/>
              <w:bottom w:val="nil"/>
              <w:right w:val="nil"/>
            </w:tcBorders>
            <w:shd w:val="clear" w:color="auto" w:fill="auto"/>
            <w:noWrap/>
            <w:vAlign w:val="center"/>
            <w:hideMark/>
          </w:tcPr>
          <w:p w14:paraId="320A2392" w14:textId="066A9F05" w:rsidR="00DE09A0" w:rsidRPr="00D92E20" w:rsidRDefault="00DE09A0" w:rsidP="00DE09A0">
            <w:pPr>
              <w:spacing w:after="0" w:line="240" w:lineRule="auto"/>
              <w:jc w:val="center"/>
              <w:rPr>
                <w:rFonts w:cs="Arial"/>
                <w:color w:val="000000"/>
                <w:sz w:val="16"/>
                <w:szCs w:val="16"/>
              </w:rPr>
            </w:pPr>
            <w:r>
              <w:rPr>
                <w:rFonts w:cs="Arial"/>
                <w:color w:val="000000"/>
                <w:sz w:val="16"/>
                <w:szCs w:val="16"/>
              </w:rPr>
              <w:t>35,6</w:t>
            </w:r>
          </w:p>
        </w:tc>
        <w:tc>
          <w:tcPr>
            <w:tcW w:w="595" w:type="dxa"/>
            <w:tcBorders>
              <w:top w:val="nil"/>
              <w:left w:val="nil"/>
              <w:bottom w:val="nil"/>
              <w:right w:val="nil"/>
            </w:tcBorders>
            <w:shd w:val="clear" w:color="auto" w:fill="auto"/>
            <w:noWrap/>
            <w:vAlign w:val="center"/>
            <w:hideMark/>
          </w:tcPr>
          <w:p w14:paraId="4A035B66" w14:textId="4D9D0A25" w:rsidR="00DE09A0" w:rsidRPr="00D92E20" w:rsidRDefault="00DE09A0" w:rsidP="00DE09A0">
            <w:pPr>
              <w:spacing w:after="0" w:line="240" w:lineRule="auto"/>
              <w:jc w:val="center"/>
              <w:rPr>
                <w:rFonts w:cs="Arial"/>
                <w:color w:val="000000"/>
                <w:sz w:val="16"/>
                <w:szCs w:val="16"/>
              </w:rPr>
            </w:pPr>
            <w:r>
              <w:rPr>
                <w:rFonts w:cs="Arial"/>
                <w:color w:val="000000"/>
                <w:sz w:val="16"/>
                <w:szCs w:val="16"/>
              </w:rPr>
              <w:t>36,7</w:t>
            </w:r>
          </w:p>
        </w:tc>
        <w:tc>
          <w:tcPr>
            <w:tcW w:w="595" w:type="dxa"/>
            <w:tcBorders>
              <w:top w:val="nil"/>
              <w:left w:val="nil"/>
              <w:bottom w:val="nil"/>
              <w:right w:val="nil"/>
            </w:tcBorders>
            <w:shd w:val="clear" w:color="auto" w:fill="auto"/>
            <w:noWrap/>
            <w:vAlign w:val="center"/>
            <w:hideMark/>
          </w:tcPr>
          <w:p w14:paraId="7DD63D34" w14:textId="03FA153E" w:rsidR="00DE09A0" w:rsidRPr="00D92E20" w:rsidRDefault="00DE09A0" w:rsidP="00DE09A0">
            <w:pPr>
              <w:spacing w:after="0" w:line="240" w:lineRule="auto"/>
              <w:jc w:val="center"/>
              <w:rPr>
                <w:rFonts w:cs="Arial"/>
                <w:color w:val="000000"/>
                <w:sz w:val="16"/>
                <w:szCs w:val="16"/>
              </w:rPr>
            </w:pPr>
            <w:r>
              <w:rPr>
                <w:rFonts w:cs="Arial"/>
                <w:color w:val="000000"/>
                <w:sz w:val="16"/>
                <w:szCs w:val="16"/>
              </w:rPr>
              <w:t>30,4</w:t>
            </w:r>
          </w:p>
        </w:tc>
        <w:tc>
          <w:tcPr>
            <w:tcW w:w="595" w:type="dxa"/>
            <w:tcBorders>
              <w:top w:val="nil"/>
              <w:left w:val="nil"/>
              <w:bottom w:val="nil"/>
              <w:right w:val="nil"/>
            </w:tcBorders>
            <w:shd w:val="clear" w:color="auto" w:fill="auto"/>
            <w:noWrap/>
            <w:vAlign w:val="center"/>
            <w:hideMark/>
          </w:tcPr>
          <w:p w14:paraId="1EF6FC56" w14:textId="23C73B96" w:rsidR="00DE09A0" w:rsidRPr="00D92E20" w:rsidRDefault="00DE09A0" w:rsidP="00DE09A0">
            <w:pPr>
              <w:spacing w:after="0" w:line="240" w:lineRule="auto"/>
              <w:jc w:val="center"/>
              <w:rPr>
                <w:rFonts w:cs="Arial"/>
                <w:color w:val="000000"/>
                <w:sz w:val="16"/>
                <w:szCs w:val="16"/>
              </w:rPr>
            </w:pPr>
            <w:r>
              <w:rPr>
                <w:rFonts w:cs="Arial"/>
                <w:color w:val="000000"/>
                <w:sz w:val="16"/>
                <w:szCs w:val="16"/>
              </w:rPr>
              <w:t>19,6</w:t>
            </w:r>
          </w:p>
        </w:tc>
      </w:tr>
      <w:tr w:rsidR="00DE09A0" w:rsidRPr="00D92E20" w14:paraId="40DFD105" w14:textId="77777777" w:rsidTr="00DC0DB3">
        <w:trPr>
          <w:trHeight w:val="300"/>
        </w:trPr>
        <w:tc>
          <w:tcPr>
            <w:tcW w:w="3175" w:type="dxa"/>
            <w:tcBorders>
              <w:top w:val="nil"/>
              <w:left w:val="nil"/>
              <w:bottom w:val="nil"/>
              <w:right w:val="single" w:sz="4" w:space="0" w:color="auto"/>
            </w:tcBorders>
            <w:shd w:val="clear" w:color="auto" w:fill="auto"/>
            <w:vAlign w:val="center"/>
            <w:hideMark/>
          </w:tcPr>
          <w:p w14:paraId="701C4B8F" w14:textId="77777777" w:rsidR="00DE09A0" w:rsidRPr="00D92E20" w:rsidRDefault="00DE09A0" w:rsidP="00DE09A0">
            <w:pPr>
              <w:spacing w:after="0" w:line="240" w:lineRule="auto"/>
              <w:ind w:firstLineChars="100" w:firstLine="160"/>
              <w:rPr>
                <w:rFonts w:cs="Arial"/>
                <w:color w:val="000000"/>
                <w:sz w:val="16"/>
                <w:szCs w:val="16"/>
              </w:rPr>
            </w:pPr>
            <w:r w:rsidRPr="00D92E20">
              <w:rPr>
                <w:rFonts w:cs="Arial"/>
                <w:color w:val="000000"/>
                <w:sz w:val="16"/>
                <w:szCs w:val="16"/>
              </w:rPr>
              <w:t>P – Vzdělávání</w:t>
            </w:r>
          </w:p>
        </w:tc>
        <w:tc>
          <w:tcPr>
            <w:tcW w:w="595" w:type="dxa"/>
            <w:tcBorders>
              <w:top w:val="nil"/>
              <w:left w:val="nil"/>
              <w:bottom w:val="nil"/>
              <w:right w:val="nil"/>
            </w:tcBorders>
            <w:shd w:val="clear" w:color="auto" w:fill="auto"/>
            <w:noWrap/>
            <w:vAlign w:val="center"/>
            <w:hideMark/>
          </w:tcPr>
          <w:p w14:paraId="088BA044" w14:textId="637E1DEF" w:rsidR="00DE09A0" w:rsidRPr="00D92E20" w:rsidRDefault="00DE09A0" w:rsidP="00DE09A0">
            <w:pPr>
              <w:spacing w:after="0" w:line="240" w:lineRule="auto"/>
              <w:jc w:val="center"/>
              <w:rPr>
                <w:rFonts w:cs="Arial"/>
                <w:color w:val="000000"/>
                <w:sz w:val="16"/>
                <w:szCs w:val="16"/>
              </w:rPr>
            </w:pPr>
            <w:r>
              <w:rPr>
                <w:rFonts w:cs="Arial"/>
                <w:sz w:val="16"/>
                <w:szCs w:val="16"/>
              </w:rPr>
              <w:t>35,8</w:t>
            </w:r>
          </w:p>
        </w:tc>
        <w:tc>
          <w:tcPr>
            <w:tcW w:w="595" w:type="dxa"/>
            <w:tcBorders>
              <w:top w:val="nil"/>
              <w:left w:val="nil"/>
              <w:bottom w:val="nil"/>
              <w:right w:val="nil"/>
            </w:tcBorders>
            <w:shd w:val="clear" w:color="auto" w:fill="auto"/>
            <w:noWrap/>
            <w:vAlign w:val="center"/>
            <w:hideMark/>
          </w:tcPr>
          <w:p w14:paraId="6F901928" w14:textId="163ADBDB" w:rsidR="00DE09A0" w:rsidRPr="00D92E20" w:rsidRDefault="00DE09A0" w:rsidP="00DE09A0">
            <w:pPr>
              <w:spacing w:after="0" w:line="240" w:lineRule="auto"/>
              <w:jc w:val="center"/>
              <w:rPr>
                <w:rFonts w:cs="Arial"/>
                <w:color w:val="000000"/>
                <w:sz w:val="16"/>
                <w:szCs w:val="16"/>
              </w:rPr>
            </w:pPr>
            <w:r>
              <w:rPr>
                <w:rFonts w:cs="Arial"/>
                <w:sz w:val="16"/>
                <w:szCs w:val="16"/>
              </w:rPr>
              <w:t>30,9</w:t>
            </w:r>
          </w:p>
        </w:tc>
        <w:tc>
          <w:tcPr>
            <w:tcW w:w="595" w:type="dxa"/>
            <w:tcBorders>
              <w:top w:val="nil"/>
              <w:left w:val="nil"/>
              <w:bottom w:val="nil"/>
              <w:right w:val="nil"/>
            </w:tcBorders>
            <w:shd w:val="clear" w:color="auto" w:fill="auto"/>
            <w:noWrap/>
            <w:vAlign w:val="center"/>
            <w:hideMark/>
          </w:tcPr>
          <w:p w14:paraId="0622062D" w14:textId="0D00437E" w:rsidR="00DE09A0" w:rsidRPr="00D92E20" w:rsidRDefault="00DE09A0" w:rsidP="00DE09A0">
            <w:pPr>
              <w:spacing w:after="0" w:line="240" w:lineRule="auto"/>
              <w:jc w:val="center"/>
              <w:rPr>
                <w:rFonts w:cs="Arial"/>
                <w:color w:val="000000"/>
                <w:sz w:val="16"/>
                <w:szCs w:val="16"/>
              </w:rPr>
            </w:pPr>
            <w:r>
              <w:rPr>
                <w:rFonts w:cs="Arial"/>
                <w:sz w:val="16"/>
                <w:szCs w:val="16"/>
              </w:rPr>
              <w:t>35,0</w:t>
            </w:r>
          </w:p>
        </w:tc>
        <w:tc>
          <w:tcPr>
            <w:tcW w:w="595" w:type="dxa"/>
            <w:tcBorders>
              <w:top w:val="nil"/>
              <w:left w:val="nil"/>
              <w:bottom w:val="nil"/>
              <w:right w:val="nil"/>
            </w:tcBorders>
            <w:shd w:val="clear" w:color="auto" w:fill="auto"/>
            <w:noWrap/>
            <w:vAlign w:val="center"/>
            <w:hideMark/>
          </w:tcPr>
          <w:p w14:paraId="62539C86" w14:textId="08C3ABA7" w:rsidR="00DE09A0" w:rsidRPr="00D92E20" w:rsidRDefault="00DE09A0" w:rsidP="00DE09A0">
            <w:pPr>
              <w:spacing w:after="0" w:line="240" w:lineRule="auto"/>
              <w:jc w:val="center"/>
              <w:rPr>
                <w:rFonts w:cs="Arial"/>
                <w:color w:val="000000"/>
                <w:sz w:val="16"/>
                <w:szCs w:val="16"/>
              </w:rPr>
            </w:pPr>
            <w:r>
              <w:rPr>
                <w:rFonts w:cs="Arial"/>
                <w:sz w:val="16"/>
                <w:szCs w:val="16"/>
              </w:rPr>
              <w:t>28,7</w:t>
            </w:r>
          </w:p>
        </w:tc>
        <w:tc>
          <w:tcPr>
            <w:tcW w:w="595" w:type="dxa"/>
            <w:tcBorders>
              <w:top w:val="nil"/>
              <w:left w:val="nil"/>
              <w:bottom w:val="nil"/>
              <w:right w:val="nil"/>
            </w:tcBorders>
            <w:shd w:val="clear" w:color="auto" w:fill="auto"/>
            <w:noWrap/>
            <w:vAlign w:val="center"/>
            <w:hideMark/>
          </w:tcPr>
          <w:p w14:paraId="3CA8B904" w14:textId="7AD08E4E" w:rsidR="00DE09A0" w:rsidRPr="00D92E20" w:rsidRDefault="00DE09A0" w:rsidP="00DE09A0">
            <w:pPr>
              <w:spacing w:after="0" w:line="240" w:lineRule="auto"/>
              <w:jc w:val="center"/>
              <w:rPr>
                <w:rFonts w:cs="Arial"/>
                <w:color w:val="000000"/>
                <w:sz w:val="16"/>
                <w:szCs w:val="16"/>
              </w:rPr>
            </w:pPr>
            <w:r>
              <w:rPr>
                <w:rFonts w:cs="Arial"/>
                <w:color w:val="000000"/>
                <w:sz w:val="16"/>
                <w:szCs w:val="16"/>
              </w:rPr>
              <w:t>31,3</w:t>
            </w:r>
          </w:p>
        </w:tc>
        <w:tc>
          <w:tcPr>
            <w:tcW w:w="595" w:type="dxa"/>
            <w:tcBorders>
              <w:top w:val="nil"/>
              <w:left w:val="nil"/>
              <w:bottom w:val="nil"/>
              <w:right w:val="nil"/>
            </w:tcBorders>
            <w:shd w:val="clear" w:color="auto" w:fill="auto"/>
            <w:noWrap/>
            <w:vAlign w:val="center"/>
            <w:hideMark/>
          </w:tcPr>
          <w:p w14:paraId="2FCE9D5B" w14:textId="72651531" w:rsidR="00DE09A0" w:rsidRPr="00D92E20" w:rsidRDefault="00DE09A0" w:rsidP="00DE09A0">
            <w:pPr>
              <w:spacing w:after="0" w:line="240" w:lineRule="auto"/>
              <w:jc w:val="center"/>
              <w:rPr>
                <w:rFonts w:cs="Arial"/>
                <w:color w:val="000000"/>
                <w:sz w:val="16"/>
                <w:szCs w:val="16"/>
              </w:rPr>
            </w:pPr>
            <w:r>
              <w:rPr>
                <w:rFonts w:cs="Arial"/>
                <w:color w:val="000000"/>
                <w:sz w:val="16"/>
                <w:szCs w:val="16"/>
              </w:rPr>
              <w:t>29,8</w:t>
            </w:r>
          </w:p>
        </w:tc>
        <w:tc>
          <w:tcPr>
            <w:tcW w:w="595" w:type="dxa"/>
            <w:tcBorders>
              <w:top w:val="nil"/>
              <w:left w:val="nil"/>
              <w:bottom w:val="nil"/>
              <w:right w:val="nil"/>
            </w:tcBorders>
            <w:shd w:val="clear" w:color="auto" w:fill="auto"/>
            <w:noWrap/>
            <w:vAlign w:val="center"/>
            <w:hideMark/>
          </w:tcPr>
          <w:p w14:paraId="247769CD" w14:textId="125F98B3" w:rsidR="00DE09A0" w:rsidRPr="00D92E20" w:rsidRDefault="00DE09A0" w:rsidP="00DE09A0">
            <w:pPr>
              <w:spacing w:after="0" w:line="240" w:lineRule="auto"/>
              <w:jc w:val="center"/>
              <w:rPr>
                <w:rFonts w:cs="Arial"/>
                <w:color w:val="000000"/>
                <w:sz w:val="16"/>
                <w:szCs w:val="16"/>
              </w:rPr>
            </w:pPr>
            <w:r>
              <w:rPr>
                <w:rFonts w:cs="Arial"/>
                <w:color w:val="000000"/>
                <w:sz w:val="16"/>
                <w:szCs w:val="16"/>
              </w:rPr>
              <w:t>27,7</w:t>
            </w:r>
          </w:p>
        </w:tc>
        <w:tc>
          <w:tcPr>
            <w:tcW w:w="595" w:type="dxa"/>
            <w:tcBorders>
              <w:top w:val="nil"/>
              <w:left w:val="nil"/>
              <w:bottom w:val="nil"/>
              <w:right w:val="nil"/>
            </w:tcBorders>
            <w:shd w:val="clear" w:color="auto" w:fill="auto"/>
            <w:noWrap/>
            <w:vAlign w:val="center"/>
            <w:hideMark/>
          </w:tcPr>
          <w:p w14:paraId="1422AABA" w14:textId="3E24D25B" w:rsidR="00DE09A0" w:rsidRPr="00D92E20" w:rsidRDefault="00DE09A0" w:rsidP="00DE09A0">
            <w:pPr>
              <w:spacing w:after="0" w:line="240" w:lineRule="auto"/>
              <w:jc w:val="center"/>
              <w:rPr>
                <w:rFonts w:cs="Arial"/>
                <w:color w:val="000000"/>
                <w:sz w:val="16"/>
                <w:szCs w:val="16"/>
              </w:rPr>
            </w:pPr>
            <w:r>
              <w:rPr>
                <w:rFonts w:cs="Arial"/>
                <w:color w:val="000000"/>
                <w:sz w:val="16"/>
                <w:szCs w:val="16"/>
              </w:rPr>
              <w:t>30,4</w:t>
            </w:r>
          </w:p>
        </w:tc>
        <w:tc>
          <w:tcPr>
            <w:tcW w:w="595" w:type="dxa"/>
            <w:tcBorders>
              <w:top w:val="nil"/>
              <w:left w:val="nil"/>
              <w:bottom w:val="nil"/>
              <w:right w:val="nil"/>
            </w:tcBorders>
            <w:shd w:val="clear" w:color="auto" w:fill="auto"/>
            <w:noWrap/>
            <w:vAlign w:val="center"/>
            <w:hideMark/>
          </w:tcPr>
          <w:p w14:paraId="10FC5F77" w14:textId="092682DF" w:rsidR="00DE09A0" w:rsidRPr="00D92E20" w:rsidRDefault="00DE09A0" w:rsidP="00DE09A0">
            <w:pPr>
              <w:spacing w:after="0" w:line="240" w:lineRule="auto"/>
              <w:jc w:val="center"/>
              <w:rPr>
                <w:rFonts w:cs="Arial"/>
                <w:color w:val="000000"/>
                <w:sz w:val="16"/>
                <w:szCs w:val="16"/>
              </w:rPr>
            </w:pPr>
            <w:r>
              <w:rPr>
                <w:rFonts w:cs="Arial"/>
                <w:color w:val="000000"/>
                <w:sz w:val="16"/>
                <w:szCs w:val="16"/>
              </w:rPr>
              <w:t>33,3</w:t>
            </w:r>
          </w:p>
        </w:tc>
        <w:tc>
          <w:tcPr>
            <w:tcW w:w="595" w:type="dxa"/>
            <w:tcBorders>
              <w:top w:val="nil"/>
              <w:left w:val="nil"/>
              <w:bottom w:val="nil"/>
              <w:right w:val="nil"/>
            </w:tcBorders>
            <w:shd w:val="clear" w:color="auto" w:fill="auto"/>
            <w:noWrap/>
            <w:vAlign w:val="center"/>
            <w:hideMark/>
          </w:tcPr>
          <w:p w14:paraId="3CE70D0E" w14:textId="6C909BD7" w:rsidR="00DE09A0" w:rsidRPr="00D92E20" w:rsidRDefault="00DE09A0" w:rsidP="00DE09A0">
            <w:pPr>
              <w:spacing w:after="0" w:line="240" w:lineRule="auto"/>
              <w:jc w:val="center"/>
              <w:rPr>
                <w:rFonts w:cs="Arial"/>
                <w:color w:val="000000"/>
                <w:sz w:val="16"/>
                <w:szCs w:val="16"/>
              </w:rPr>
            </w:pPr>
            <w:r>
              <w:rPr>
                <w:rFonts w:cs="Arial"/>
                <w:color w:val="000000"/>
                <w:sz w:val="16"/>
                <w:szCs w:val="16"/>
              </w:rPr>
              <w:t>28,3</w:t>
            </w:r>
          </w:p>
        </w:tc>
        <w:tc>
          <w:tcPr>
            <w:tcW w:w="595" w:type="dxa"/>
            <w:tcBorders>
              <w:top w:val="nil"/>
              <w:left w:val="nil"/>
              <w:bottom w:val="nil"/>
              <w:right w:val="nil"/>
            </w:tcBorders>
            <w:shd w:val="clear" w:color="auto" w:fill="auto"/>
            <w:noWrap/>
            <w:vAlign w:val="center"/>
            <w:hideMark/>
          </w:tcPr>
          <w:p w14:paraId="06ECAE1A" w14:textId="55337A6E" w:rsidR="00DE09A0" w:rsidRPr="00D92E20" w:rsidRDefault="00DE09A0" w:rsidP="00DE09A0">
            <w:pPr>
              <w:spacing w:after="0" w:line="240" w:lineRule="auto"/>
              <w:jc w:val="center"/>
              <w:rPr>
                <w:rFonts w:cs="Arial"/>
                <w:color w:val="000000"/>
                <w:sz w:val="16"/>
                <w:szCs w:val="16"/>
              </w:rPr>
            </w:pPr>
            <w:r>
              <w:rPr>
                <w:rFonts w:cs="Arial"/>
                <w:color w:val="000000"/>
                <w:sz w:val="16"/>
                <w:szCs w:val="16"/>
              </w:rPr>
              <w:t>15,6</w:t>
            </w:r>
          </w:p>
        </w:tc>
      </w:tr>
      <w:tr w:rsidR="00DE09A0" w:rsidRPr="00D92E20" w14:paraId="4E6588C6" w14:textId="77777777" w:rsidTr="00DC0DB3">
        <w:trPr>
          <w:trHeight w:val="300"/>
        </w:trPr>
        <w:tc>
          <w:tcPr>
            <w:tcW w:w="3175" w:type="dxa"/>
            <w:tcBorders>
              <w:top w:val="nil"/>
              <w:left w:val="nil"/>
              <w:bottom w:val="nil"/>
              <w:right w:val="single" w:sz="4" w:space="0" w:color="auto"/>
            </w:tcBorders>
            <w:shd w:val="clear" w:color="auto" w:fill="auto"/>
            <w:vAlign w:val="center"/>
            <w:hideMark/>
          </w:tcPr>
          <w:p w14:paraId="656281C8" w14:textId="77777777" w:rsidR="00DE09A0" w:rsidRPr="00D92E20" w:rsidRDefault="00DE09A0" w:rsidP="00DE09A0">
            <w:pPr>
              <w:spacing w:after="0" w:line="240" w:lineRule="auto"/>
              <w:ind w:firstLineChars="100" w:firstLine="160"/>
              <w:rPr>
                <w:rFonts w:cs="Arial"/>
                <w:color w:val="000000"/>
                <w:sz w:val="16"/>
                <w:szCs w:val="16"/>
              </w:rPr>
            </w:pPr>
            <w:r w:rsidRPr="00D92E20">
              <w:rPr>
                <w:rFonts w:cs="Arial"/>
                <w:color w:val="000000"/>
                <w:sz w:val="16"/>
                <w:szCs w:val="16"/>
              </w:rPr>
              <w:t>Q – Zdravotní a sociální péče</w:t>
            </w:r>
          </w:p>
        </w:tc>
        <w:tc>
          <w:tcPr>
            <w:tcW w:w="595" w:type="dxa"/>
            <w:tcBorders>
              <w:top w:val="nil"/>
              <w:left w:val="nil"/>
              <w:bottom w:val="nil"/>
              <w:right w:val="nil"/>
            </w:tcBorders>
            <w:shd w:val="clear" w:color="auto" w:fill="auto"/>
            <w:noWrap/>
            <w:vAlign w:val="center"/>
            <w:hideMark/>
          </w:tcPr>
          <w:p w14:paraId="0F19D51D" w14:textId="3BC32E17" w:rsidR="00DE09A0" w:rsidRPr="00D92E20" w:rsidRDefault="00DE09A0" w:rsidP="00DE09A0">
            <w:pPr>
              <w:spacing w:after="0" w:line="240" w:lineRule="auto"/>
              <w:jc w:val="center"/>
              <w:rPr>
                <w:rFonts w:cs="Arial"/>
                <w:color w:val="000000"/>
                <w:sz w:val="16"/>
                <w:szCs w:val="16"/>
              </w:rPr>
            </w:pPr>
            <w:r>
              <w:rPr>
                <w:rFonts w:cs="Arial"/>
                <w:sz w:val="16"/>
                <w:szCs w:val="16"/>
              </w:rPr>
              <w:t>51,9</w:t>
            </w:r>
          </w:p>
        </w:tc>
        <w:tc>
          <w:tcPr>
            <w:tcW w:w="595" w:type="dxa"/>
            <w:tcBorders>
              <w:top w:val="nil"/>
              <w:left w:val="nil"/>
              <w:bottom w:val="nil"/>
              <w:right w:val="nil"/>
            </w:tcBorders>
            <w:shd w:val="clear" w:color="auto" w:fill="auto"/>
            <w:noWrap/>
            <w:vAlign w:val="center"/>
            <w:hideMark/>
          </w:tcPr>
          <w:p w14:paraId="6D116BE2" w14:textId="2ED3F3FF" w:rsidR="00DE09A0" w:rsidRPr="00D92E20" w:rsidRDefault="00DE09A0" w:rsidP="00DE09A0">
            <w:pPr>
              <w:spacing w:after="0" w:line="240" w:lineRule="auto"/>
              <w:jc w:val="center"/>
              <w:rPr>
                <w:rFonts w:cs="Arial"/>
                <w:color w:val="000000"/>
                <w:sz w:val="16"/>
                <w:szCs w:val="16"/>
              </w:rPr>
            </w:pPr>
            <w:r>
              <w:rPr>
                <w:rFonts w:cs="Arial"/>
                <w:sz w:val="16"/>
                <w:szCs w:val="16"/>
              </w:rPr>
              <w:t>45,1</w:t>
            </w:r>
          </w:p>
        </w:tc>
        <w:tc>
          <w:tcPr>
            <w:tcW w:w="595" w:type="dxa"/>
            <w:tcBorders>
              <w:top w:val="nil"/>
              <w:left w:val="nil"/>
              <w:bottom w:val="nil"/>
              <w:right w:val="nil"/>
            </w:tcBorders>
            <w:shd w:val="clear" w:color="auto" w:fill="auto"/>
            <w:noWrap/>
            <w:vAlign w:val="center"/>
            <w:hideMark/>
          </w:tcPr>
          <w:p w14:paraId="5064BFB3" w14:textId="1CE8347A" w:rsidR="00DE09A0" w:rsidRPr="00D92E20" w:rsidRDefault="00DE09A0" w:rsidP="00DE09A0">
            <w:pPr>
              <w:spacing w:after="0" w:line="240" w:lineRule="auto"/>
              <w:jc w:val="center"/>
              <w:rPr>
                <w:rFonts w:cs="Arial"/>
                <w:color w:val="000000"/>
                <w:sz w:val="16"/>
                <w:szCs w:val="16"/>
              </w:rPr>
            </w:pPr>
            <w:r>
              <w:rPr>
                <w:rFonts w:cs="Arial"/>
                <w:sz w:val="16"/>
                <w:szCs w:val="16"/>
              </w:rPr>
              <w:t>50,9</w:t>
            </w:r>
          </w:p>
        </w:tc>
        <w:tc>
          <w:tcPr>
            <w:tcW w:w="595" w:type="dxa"/>
            <w:tcBorders>
              <w:top w:val="nil"/>
              <w:left w:val="nil"/>
              <w:bottom w:val="nil"/>
              <w:right w:val="nil"/>
            </w:tcBorders>
            <w:shd w:val="clear" w:color="auto" w:fill="auto"/>
            <w:noWrap/>
            <w:vAlign w:val="center"/>
            <w:hideMark/>
          </w:tcPr>
          <w:p w14:paraId="441B26F2" w14:textId="7E9981CA" w:rsidR="00DE09A0" w:rsidRPr="00D92E20" w:rsidRDefault="00DE09A0" w:rsidP="00DE09A0">
            <w:pPr>
              <w:spacing w:after="0" w:line="240" w:lineRule="auto"/>
              <w:jc w:val="center"/>
              <w:rPr>
                <w:rFonts w:cs="Arial"/>
                <w:color w:val="000000"/>
                <w:sz w:val="16"/>
                <w:szCs w:val="16"/>
              </w:rPr>
            </w:pPr>
            <w:r>
              <w:rPr>
                <w:rFonts w:cs="Arial"/>
                <w:sz w:val="16"/>
                <w:szCs w:val="16"/>
              </w:rPr>
              <w:t>44,5</w:t>
            </w:r>
          </w:p>
        </w:tc>
        <w:tc>
          <w:tcPr>
            <w:tcW w:w="595" w:type="dxa"/>
            <w:tcBorders>
              <w:top w:val="nil"/>
              <w:left w:val="nil"/>
              <w:bottom w:val="nil"/>
              <w:right w:val="nil"/>
            </w:tcBorders>
            <w:shd w:val="clear" w:color="auto" w:fill="auto"/>
            <w:noWrap/>
            <w:vAlign w:val="center"/>
            <w:hideMark/>
          </w:tcPr>
          <w:p w14:paraId="60B1E17C" w14:textId="616394A6" w:rsidR="00DE09A0" w:rsidRPr="00D92E20" w:rsidRDefault="00DE09A0" w:rsidP="00DE09A0">
            <w:pPr>
              <w:spacing w:after="0" w:line="240" w:lineRule="auto"/>
              <w:jc w:val="center"/>
              <w:rPr>
                <w:rFonts w:cs="Arial"/>
                <w:color w:val="000000"/>
                <w:sz w:val="16"/>
                <w:szCs w:val="16"/>
              </w:rPr>
            </w:pPr>
            <w:r>
              <w:rPr>
                <w:rFonts w:cs="Arial"/>
                <w:color w:val="000000"/>
                <w:sz w:val="16"/>
                <w:szCs w:val="16"/>
              </w:rPr>
              <w:t>46,9</w:t>
            </w:r>
          </w:p>
        </w:tc>
        <w:tc>
          <w:tcPr>
            <w:tcW w:w="595" w:type="dxa"/>
            <w:tcBorders>
              <w:top w:val="nil"/>
              <w:left w:val="nil"/>
              <w:bottom w:val="nil"/>
              <w:right w:val="nil"/>
            </w:tcBorders>
            <w:shd w:val="clear" w:color="auto" w:fill="auto"/>
            <w:noWrap/>
            <w:vAlign w:val="center"/>
            <w:hideMark/>
          </w:tcPr>
          <w:p w14:paraId="23244E81" w14:textId="7C0F1DFE" w:rsidR="00DE09A0" w:rsidRPr="00D92E20" w:rsidRDefault="00DE09A0" w:rsidP="00DE09A0">
            <w:pPr>
              <w:spacing w:after="0" w:line="240" w:lineRule="auto"/>
              <w:jc w:val="center"/>
              <w:rPr>
                <w:rFonts w:cs="Arial"/>
                <w:color w:val="000000"/>
                <w:sz w:val="16"/>
                <w:szCs w:val="16"/>
              </w:rPr>
            </w:pPr>
            <w:r>
              <w:rPr>
                <w:rFonts w:cs="Arial"/>
                <w:color w:val="000000"/>
                <w:sz w:val="16"/>
                <w:szCs w:val="16"/>
              </w:rPr>
              <w:t>45,4</w:t>
            </w:r>
          </w:p>
        </w:tc>
        <w:tc>
          <w:tcPr>
            <w:tcW w:w="595" w:type="dxa"/>
            <w:tcBorders>
              <w:top w:val="nil"/>
              <w:left w:val="nil"/>
              <w:bottom w:val="nil"/>
              <w:right w:val="nil"/>
            </w:tcBorders>
            <w:shd w:val="clear" w:color="auto" w:fill="auto"/>
            <w:noWrap/>
            <w:vAlign w:val="center"/>
            <w:hideMark/>
          </w:tcPr>
          <w:p w14:paraId="42E47963" w14:textId="453B8484" w:rsidR="00DE09A0" w:rsidRPr="00D92E20" w:rsidRDefault="00DE09A0" w:rsidP="00DE09A0">
            <w:pPr>
              <w:spacing w:after="0" w:line="240" w:lineRule="auto"/>
              <w:jc w:val="center"/>
              <w:rPr>
                <w:rFonts w:cs="Arial"/>
                <w:color w:val="000000"/>
                <w:sz w:val="16"/>
                <w:szCs w:val="16"/>
              </w:rPr>
            </w:pPr>
            <w:r>
              <w:rPr>
                <w:rFonts w:cs="Arial"/>
                <w:color w:val="000000"/>
                <w:sz w:val="16"/>
                <w:szCs w:val="16"/>
              </w:rPr>
              <w:t>42,4</w:t>
            </w:r>
          </w:p>
        </w:tc>
        <w:tc>
          <w:tcPr>
            <w:tcW w:w="595" w:type="dxa"/>
            <w:tcBorders>
              <w:top w:val="nil"/>
              <w:left w:val="nil"/>
              <w:bottom w:val="nil"/>
              <w:right w:val="nil"/>
            </w:tcBorders>
            <w:shd w:val="clear" w:color="auto" w:fill="auto"/>
            <w:noWrap/>
            <w:vAlign w:val="center"/>
            <w:hideMark/>
          </w:tcPr>
          <w:p w14:paraId="5211B297" w14:textId="17C3CB48" w:rsidR="00DE09A0" w:rsidRPr="00D92E20" w:rsidRDefault="00DE09A0" w:rsidP="00DE09A0">
            <w:pPr>
              <w:spacing w:after="0" w:line="240" w:lineRule="auto"/>
              <w:jc w:val="center"/>
              <w:rPr>
                <w:rFonts w:cs="Arial"/>
                <w:color w:val="000000"/>
                <w:sz w:val="16"/>
                <w:szCs w:val="16"/>
              </w:rPr>
            </w:pPr>
            <w:r>
              <w:rPr>
                <w:rFonts w:cs="Arial"/>
                <w:color w:val="000000"/>
                <w:sz w:val="16"/>
                <w:szCs w:val="16"/>
              </w:rPr>
              <w:t>45,9</w:t>
            </w:r>
          </w:p>
        </w:tc>
        <w:tc>
          <w:tcPr>
            <w:tcW w:w="595" w:type="dxa"/>
            <w:tcBorders>
              <w:top w:val="nil"/>
              <w:left w:val="nil"/>
              <w:bottom w:val="nil"/>
              <w:right w:val="nil"/>
            </w:tcBorders>
            <w:shd w:val="clear" w:color="auto" w:fill="auto"/>
            <w:noWrap/>
            <w:vAlign w:val="center"/>
            <w:hideMark/>
          </w:tcPr>
          <w:p w14:paraId="0BFD2CB7" w14:textId="1A591E94" w:rsidR="00DE09A0" w:rsidRPr="00D92E20" w:rsidRDefault="00DE09A0" w:rsidP="00DE09A0">
            <w:pPr>
              <w:spacing w:after="0" w:line="240" w:lineRule="auto"/>
              <w:jc w:val="center"/>
              <w:rPr>
                <w:rFonts w:cs="Arial"/>
                <w:color w:val="000000"/>
                <w:sz w:val="16"/>
                <w:szCs w:val="16"/>
              </w:rPr>
            </w:pPr>
            <w:r>
              <w:rPr>
                <w:rFonts w:cs="Arial"/>
                <w:color w:val="000000"/>
                <w:sz w:val="16"/>
                <w:szCs w:val="16"/>
              </w:rPr>
              <w:t>43,8</w:t>
            </w:r>
          </w:p>
        </w:tc>
        <w:tc>
          <w:tcPr>
            <w:tcW w:w="595" w:type="dxa"/>
            <w:tcBorders>
              <w:top w:val="nil"/>
              <w:left w:val="nil"/>
              <w:bottom w:val="nil"/>
              <w:right w:val="nil"/>
            </w:tcBorders>
            <w:shd w:val="clear" w:color="auto" w:fill="auto"/>
            <w:noWrap/>
            <w:vAlign w:val="center"/>
            <w:hideMark/>
          </w:tcPr>
          <w:p w14:paraId="0AA92480" w14:textId="018B6418" w:rsidR="00DE09A0" w:rsidRPr="00D92E20" w:rsidRDefault="00DE09A0" w:rsidP="00DE09A0">
            <w:pPr>
              <w:spacing w:after="0" w:line="240" w:lineRule="auto"/>
              <w:jc w:val="center"/>
              <w:rPr>
                <w:rFonts w:cs="Arial"/>
                <w:color w:val="000000"/>
                <w:sz w:val="16"/>
                <w:szCs w:val="16"/>
              </w:rPr>
            </w:pPr>
            <w:r>
              <w:rPr>
                <w:rFonts w:cs="Arial"/>
                <w:color w:val="000000"/>
                <w:sz w:val="16"/>
                <w:szCs w:val="16"/>
              </w:rPr>
              <w:t>40,3</w:t>
            </w:r>
          </w:p>
        </w:tc>
        <w:tc>
          <w:tcPr>
            <w:tcW w:w="595" w:type="dxa"/>
            <w:tcBorders>
              <w:top w:val="nil"/>
              <w:left w:val="nil"/>
              <w:bottom w:val="nil"/>
              <w:right w:val="nil"/>
            </w:tcBorders>
            <w:shd w:val="clear" w:color="auto" w:fill="auto"/>
            <w:noWrap/>
            <w:vAlign w:val="center"/>
            <w:hideMark/>
          </w:tcPr>
          <w:p w14:paraId="15EA08EF" w14:textId="18E914AE" w:rsidR="00DE09A0" w:rsidRPr="00D92E20" w:rsidRDefault="00DE09A0" w:rsidP="00DE09A0">
            <w:pPr>
              <w:spacing w:after="0" w:line="240" w:lineRule="auto"/>
              <w:jc w:val="center"/>
              <w:rPr>
                <w:rFonts w:cs="Arial"/>
                <w:color w:val="000000"/>
                <w:sz w:val="16"/>
                <w:szCs w:val="16"/>
              </w:rPr>
            </w:pPr>
            <w:r>
              <w:rPr>
                <w:rFonts w:cs="Arial"/>
                <w:color w:val="000000"/>
                <w:sz w:val="16"/>
                <w:szCs w:val="16"/>
              </w:rPr>
              <w:t>25,6</w:t>
            </w:r>
          </w:p>
        </w:tc>
      </w:tr>
      <w:tr w:rsidR="00DE09A0" w:rsidRPr="00D92E20" w14:paraId="44C2F5AC" w14:textId="77777777" w:rsidTr="00DC0DB3">
        <w:trPr>
          <w:trHeight w:val="300"/>
        </w:trPr>
        <w:tc>
          <w:tcPr>
            <w:tcW w:w="3175" w:type="dxa"/>
            <w:tcBorders>
              <w:top w:val="nil"/>
              <w:left w:val="nil"/>
              <w:bottom w:val="nil"/>
              <w:right w:val="single" w:sz="4" w:space="0" w:color="auto"/>
            </w:tcBorders>
            <w:shd w:val="clear" w:color="auto" w:fill="auto"/>
            <w:vAlign w:val="center"/>
            <w:hideMark/>
          </w:tcPr>
          <w:p w14:paraId="474C0C50" w14:textId="77777777" w:rsidR="00DE09A0" w:rsidRDefault="00DE09A0" w:rsidP="00DE09A0">
            <w:pPr>
              <w:spacing w:after="0" w:line="240" w:lineRule="auto"/>
              <w:ind w:firstLineChars="100" w:firstLine="160"/>
              <w:rPr>
                <w:rFonts w:cs="Arial"/>
                <w:color w:val="000000"/>
                <w:sz w:val="16"/>
                <w:szCs w:val="16"/>
              </w:rPr>
            </w:pPr>
            <w:r w:rsidRPr="00D92E20">
              <w:rPr>
                <w:rFonts w:cs="Arial"/>
                <w:color w:val="000000"/>
                <w:sz w:val="16"/>
                <w:szCs w:val="16"/>
              </w:rPr>
              <w:t xml:space="preserve">R – Kulturní, zábavní a rekreační </w:t>
            </w:r>
          </w:p>
          <w:p w14:paraId="283CE681" w14:textId="12803955" w:rsidR="00DE09A0" w:rsidRPr="00D92E20" w:rsidRDefault="00DE09A0" w:rsidP="00DE09A0">
            <w:pPr>
              <w:spacing w:after="0" w:line="240" w:lineRule="auto"/>
              <w:ind w:firstLineChars="100" w:firstLine="160"/>
              <w:rPr>
                <w:rFonts w:cs="Arial"/>
                <w:color w:val="000000"/>
                <w:sz w:val="16"/>
                <w:szCs w:val="16"/>
              </w:rPr>
            </w:pPr>
            <w:r>
              <w:rPr>
                <w:rFonts w:cs="Arial"/>
                <w:color w:val="000000"/>
                <w:sz w:val="16"/>
                <w:szCs w:val="16"/>
              </w:rPr>
              <w:t xml:space="preserve">       </w:t>
            </w:r>
            <w:r w:rsidRPr="00D92E20">
              <w:rPr>
                <w:rFonts w:cs="Arial"/>
                <w:color w:val="000000"/>
                <w:sz w:val="16"/>
                <w:szCs w:val="16"/>
              </w:rPr>
              <w:t>činnosti</w:t>
            </w:r>
          </w:p>
        </w:tc>
        <w:tc>
          <w:tcPr>
            <w:tcW w:w="595" w:type="dxa"/>
            <w:tcBorders>
              <w:top w:val="nil"/>
              <w:left w:val="nil"/>
              <w:bottom w:val="nil"/>
              <w:right w:val="nil"/>
            </w:tcBorders>
            <w:shd w:val="clear" w:color="auto" w:fill="auto"/>
            <w:noWrap/>
            <w:vAlign w:val="center"/>
            <w:hideMark/>
          </w:tcPr>
          <w:p w14:paraId="43639CC8" w14:textId="4C96035F" w:rsidR="00DE09A0" w:rsidRPr="00D92E20" w:rsidRDefault="00DE09A0" w:rsidP="00DE09A0">
            <w:pPr>
              <w:spacing w:after="0" w:line="240" w:lineRule="auto"/>
              <w:jc w:val="center"/>
              <w:rPr>
                <w:rFonts w:cs="Arial"/>
                <w:color w:val="000000"/>
                <w:sz w:val="16"/>
                <w:szCs w:val="16"/>
              </w:rPr>
            </w:pPr>
            <w:r>
              <w:rPr>
                <w:rFonts w:cs="Arial"/>
                <w:sz w:val="16"/>
                <w:szCs w:val="16"/>
              </w:rPr>
              <w:t>46,3</w:t>
            </w:r>
          </w:p>
        </w:tc>
        <w:tc>
          <w:tcPr>
            <w:tcW w:w="595" w:type="dxa"/>
            <w:tcBorders>
              <w:top w:val="nil"/>
              <w:left w:val="nil"/>
              <w:bottom w:val="nil"/>
              <w:right w:val="nil"/>
            </w:tcBorders>
            <w:shd w:val="clear" w:color="auto" w:fill="auto"/>
            <w:noWrap/>
            <w:vAlign w:val="center"/>
            <w:hideMark/>
          </w:tcPr>
          <w:p w14:paraId="5F828E27" w14:textId="17BECCAC" w:rsidR="00DE09A0" w:rsidRPr="00D92E20" w:rsidRDefault="00DE09A0" w:rsidP="00DE09A0">
            <w:pPr>
              <w:spacing w:after="0" w:line="240" w:lineRule="auto"/>
              <w:jc w:val="center"/>
              <w:rPr>
                <w:rFonts w:cs="Arial"/>
                <w:color w:val="000000"/>
                <w:sz w:val="16"/>
                <w:szCs w:val="16"/>
              </w:rPr>
            </w:pPr>
            <w:r>
              <w:rPr>
                <w:rFonts w:cs="Arial"/>
                <w:sz w:val="16"/>
                <w:szCs w:val="16"/>
              </w:rPr>
              <w:t>40,3</w:t>
            </w:r>
          </w:p>
        </w:tc>
        <w:tc>
          <w:tcPr>
            <w:tcW w:w="595" w:type="dxa"/>
            <w:tcBorders>
              <w:top w:val="nil"/>
              <w:left w:val="nil"/>
              <w:bottom w:val="nil"/>
              <w:right w:val="nil"/>
            </w:tcBorders>
            <w:shd w:val="clear" w:color="auto" w:fill="auto"/>
            <w:noWrap/>
            <w:vAlign w:val="center"/>
            <w:hideMark/>
          </w:tcPr>
          <w:p w14:paraId="2E9464C8" w14:textId="65CD960B" w:rsidR="00DE09A0" w:rsidRPr="00D92E20" w:rsidRDefault="00DE09A0" w:rsidP="00DE09A0">
            <w:pPr>
              <w:spacing w:after="0" w:line="240" w:lineRule="auto"/>
              <w:jc w:val="center"/>
              <w:rPr>
                <w:rFonts w:cs="Arial"/>
                <w:color w:val="000000"/>
                <w:sz w:val="16"/>
                <w:szCs w:val="16"/>
              </w:rPr>
            </w:pPr>
            <w:r>
              <w:rPr>
                <w:rFonts w:cs="Arial"/>
                <w:sz w:val="16"/>
                <w:szCs w:val="16"/>
              </w:rPr>
              <w:t>44,9</w:t>
            </w:r>
          </w:p>
        </w:tc>
        <w:tc>
          <w:tcPr>
            <w:tcW w:w="595" w:type="dxa"/>
            <w:tcBorders>
              <w:top w:val="nil"/>
              <w:left w:val="nil"/>
              <w:bottom w:val="nil"/>
              <w:right w:val="nil"/>
            </w:tcBorders>
            <w:shd w:val="clear" w:color="auto" w:fill="auto"/>
            <w:noWrap/>
            <w:vAlign w:val="center"/>
            <w:hideMark/>
          </w:tcPr>
          <w:p w14:paraId="0DEB14BE" w14:textId="38BB5229" w:rsidR="00DE09A0" w:rsidRPr="00D92E20" w:rsidRDefault="00DE09A0" w:rsidP="00DE09A0">
            <w:pPr>
              <w:spacing w:after="0" w:line="240" w:lineRule="auto"/>
              <w:jc w:val="center"/>
              <w:rPr>
                <w:rFonts w:cs="Arial"/>
                <w:color w:val="000000"/>
                <w:sz w:val="16"/>
                <w:szCs w:val="16"/>
              </w:rPr>
            </w:pPr>
            <w:r>
              <w:rPr>
                <w:rFonts w:cs="Arial"/>
                <w:sz w:val="16"/>
                <w:szCs w:val="16"/>
              </w:rPr>
              <w:t>38,4</w:t>
            </w:r>
          </w:p>
        </w:tc>
        <w:tc>
          <w:tcPr>
            <w:tcW w:w="595" w:type="dxa"/>
            <w:tcBorders>
              <w:top w:val="nil"/>
              <w:left w:val="nil"/>
              <w:bottom w:val="nil"/>
              <w:right w:val="nil"/>
            </w:tcBorders>
            <w:shd w:val="clear" w:color="auto" w:fill="auto"/>
            <w:noWrap/>
            <w:vAlign w:val="center"/>
            <w:hideMark/>
          </w:tcPr>
          <w:p w14:paraId="0E876676" w14:textId="486BF9F1" w:rsidR="00DE09A0" w:rsidRPr="00D92E20" w:rsidRDefault="00DE09A0" w:rsidP="00DE09A0">
            <w:pPr>
              <w:spacing w:after="0" w:line="240" w:lineRule="auto"/>
              <w:jc w:val="center"/>
              <w:rPr>
                <w:rFonts w:cs="Arial"/>
                <w:color w:val="000000"/>
                <w:sz w:val="16"/>
                <w:szCs w:val="16"/>
              </w:rPr>
            </w:pPr>
            <w:r>
              <w:rPr>
                <w:rFonts w:cs="Arial"/>
                <w:color w:val="000000"/>
                <w:sz w:val="16"/>
                <w:szCs w:val="16"/>
              </w:rPr>
              <w:t>40,9</w:t>
            </w:r>
          </w:p>
        </w:tc>
        <w:tc>
          <w:tcPr>
            <w:tcW w:w="595" w:type="dxa"/>
            <w:tcBorders>
              <w:top w:val="nil"/>
              <w:left w:val="nil"/>
              <w:bottom w:val="nil"/>
              <w:right w:val="nil"/>
            </w:tcBorders>
            <w:shd w:val="clear" w:color="auto" w:fill="auto"/>
            <w:noWrap/>
            <w:vAlign w:val="center"/>
            <w:hideMark/>
          </w:tcPr>
          <w:p w14:paraId="7B728180" w14:textId="1B282A22" w:rsidR="00DE09A0" w:rsidRPr="00D92E20" w:rsidRDefault="00DE09A0" w:rsidP="00DE09A0">
            <w:pPr>
              <w:spacing w:after="0" w:line="240" w:lineRule="auto"/>
              <w:jc w:val="center"/>
              <w:rPr>
                <w:rFonts w:cs="Arial"/>
                <w:color w:val="000000"/>
                <w:sz w:val="16"/>
                <w:szCs w:val="16"/>
              </w:rPr>
            </w:pPr>
            <w:r>
              <w:rPr>
                <w:rFonts w:cs="Arial"/>
                <w:color w:val="000000"/>
                <w:sz w:val="16"/>
                <w:szCs w:val="16"/>
              </w:rPr>
              <w:t>40,2</w:t>
            </w:r>
          </w:p>
        </w:tc>
        <w:tc>
          <w:tcPr>
            <w:tcW w:w="595" w:type="dxa"/>
            <w:tcBorders>
              <w:top w:val="nil"/>
              <w:left w:val="nil"/>
              <w:bottom w:val="nil"/>
              <w:right w:val="nil"/>
            </w:tcBorders>
            <w:shd w:val="clear" w:color="auto" w:fill="auto"/>
            <w:noWrap/>
            <w:vAlign w:val="center"/>
            <w:hideMark/>
          </w:tcPr>
          <w:p w14:paraId="72DEF406" w14:textId="64E00938" w:rsidR="00DE09A0" w:rsidRPr="00D92E20" w:rsidRDefault="00DE09A0" w:rsidP="00DE09A0">
            <w:pPr>
              <w:spacing w:after="0" w:line="240" w:lineRule="auto"/>
              <w:jc w:val="center"/>
              <w:rPr>
                <w:rFonts w:cs="Arial"/>
                <w:color w:val="000000"/>
                <w:sz w:val="16"/>
                <w:szCs w:val="16"/>
              </w:rPr>
            </w:pPr>
            <w:r>
              <w:rPr>
                <w:rFonts w:cs="Arial"/>
                <w:color w:val="000000"/>
                <w:sz w:val="16"/>
                <w:szCs w:val="16"/>
              </w:rPr>
              <w:t>38,5</w:t>
            </w:r>
          </w:p>
        </w:tc>
        <w:tc>
          <w:tcPr>
            <w:tcW w:w="595" w:type="dxa"/>
            <w:tcBorders>
              <w:top w:val="nil"/>
              <w:left w:val="nil"/>
              <w:bottom w:val="nil"/>
              <w:right w:val="nil"/>
            </w:tcBorders>
            <w:shd w:val="clear" w:color="auto" w:fill="auto"/>
            <w:noWrap/>
            <w:vAlign w:val="center"/>
            <w:hideMark/>
          </w:tcPr>
          <w:p w14:paraId="6E447300" w14:textId="6E17CAE0" w:rsidR="00DE09A0" w:rsidRPr="00D92E20" w:rsidRDefault="00DE09A0" w:rsidP="00DE09A0">
            <w:pPr>
              <w:spacing w:after="0" w:line="240" w:lineRule="auto"/>
              <w:jc w:val="center"/>
              <w:rPr>
                <w:rFonts w:cs="Arial"/>
                <w:color w:val="000000"/>
                <w:sz w:val="16"/>
                <w:szCs w:val="16"/>
              </w:rPr>
            </w:pPr>
            <w:r>
              <w:rPr>
                <w:rFonts w:cs="Arial"/>
                <w:color w:val="000000"/>
                <w:sz w:val="16"/>
                <w:szCs w:val="16"/>
              </w:rPr>
              <w:t>40,4</w:t>
            </w:r>
          </w:p>
        </w:tc>
        <w:tc>
          <w:tcPr>
            <w:tcW w:w="595" w:type="dxa"/>
            <w:tcBorders>
              <w:top w:val="nil"/>
              <w:left w:val="nil"/>
              <w:bottom w:val="nil"/>
              <w:right w:val="nil"/>
            </w:tcBorders>
            <w:shd w:val="clear" w:color="auto" w:fill="auto"/>
            <w:noWrap/>
            <w:vAlign w:val="center"/>
            <w:hideMark/>
          </w:tcPr>
          <w:p w14:paraId="52FCCBB2" w14:textId="1BA29A99" w:rsidR="00DE09A0" w:rsidRPr="00D92E20" w:rsidRDefault="00DE09A0" w:rsidP="00DE09A0">
            <w:pPr>
              <w:spacing w:after="0" w:line="240" w:lineRule="auto"/>
              <w:jc w:val="center"/>
              <w:rPr>
                <w:rFonts w:cs="Arial"/>
                <w:color w:val="000000"/>
                <w:sz w:val="16"/>
                <w:szCs w:val="16"/>
              </w:rPr>
            </w:pPr>
            <w:r>
              <w:rPr>
                <w:rFonts w:cs="Arial"/>
                <w:color w:val="000000"/>
                <w:sz w:val="16"/>
                <w:szCs w:val="16"/>
              </w:rPr>
              <w:t>44,2</w:t>
            </w:r>
          </w:p>
        </w:tc>
        <w:tc>
          <w:tcPr>
            <w:tcW w:w="595" w:type="dxa"/>
            <w:tcBorders>
              <w:top w:val="nil"/>
              <w:left w:val="nil"/>
              <w:bottom w:val="nil"/>
              <w:right w:val="nil"/>
            </w:tcBorders>
            <w:shd w:val="clear" w:color="auto" w:fill="auto"/>
            <w:noWrap/>
            <w:vAlign w:val="center"/>
            <w:hideMark/>
          </w:tcPr>
          <w:p w14:paraId="471F5FE1" w14:textId="677F7E62" w:rsidR="00DE09A0" w:rsidRPr="00D92E20" w:rsidRDefault="00DE09A0" w:rsidP="00DE09A0">
            <w:pPr>
              <w:spacing w:after="0" w:line="240" w:lineRule="auto"/>
              <w:jc w:val="center"/>
              <w:rPr>
                <w:rFonts w:cs="Arial"/>
                <w:color w:val="000000"/>
                <w:sz w:val="16"/>
                <w:szCs w:val="16"/>
              </w:rPr>
            </w:pPr>
            <w:r>
              <w:rPr>
                <w:rFonts w:cs="Arial"/>
                <w:color w:val="000000"/>
                <w:sz w:val="16"/>
                <w:szCs w:val="16"/>
              </w:rPr>
              <w:t>40,0</w:t>
            </w:r>
          </w:p>
        </w:tc>
        <w:tc>
          <w:tcPr>
            <w:tcW w:w="595" w:type="dxa"/>
            <w:tcBorders>
              <w:top w:val="nil"/>
              <w:left w:val="nil"/>
              <w:bottom w:val="nil"/>
              <w:right w:val="nil"/>
            </w:tcBorders>
            <w:shd w:val="clear" w:color="auto" w:fill="auto"/>
            <w:noWrap/>
            <w:vAlign w:val="center"/>
            <w:hideMark/>
          </w:tcPr>
          <w:p w14:paraId="19AE0A04" w14:textId="73182B3E" w:rsidR="00DE09A0" w:rsidRPr="00D92E20" w:rsidRDefault="00DE09A0" w:rsidP="00DE09A0">
            <w:pPr>
              <w:spacing w:after="0" w:line="240" w:lineRule="auto"/>
              <w:jc w:val="center"/>
              <w:rPr>
                <w:rFonts w:cs="Arial"/>
                <w:color w:val="000000"/>
                <w:sz w:val="16"/>
                <w:szCs w:val="16"/>
              </w:rPr>
            </w:pPr>
            <w:r>
              <w:rPr>
                <w:rFonts w:cs="Arial"/>
                <w:color w:val="000000"/>
                <w:sz w:val="16"/>
                <w:szCs w:val="16"/>
              </w:rPr>
              <w:t>22,1</w:t>
            </w:r>
          </w:p>
        </w:tc>
      </w:tr>
      <w:tr w:rsidR="00DE09A0" w:rsidRPr="00D92E20" w14:paraId="5BE77F2E" w14:textId="77777777" w:rsidTr="00DC0DB3">
        <w:trPr>
          <w:trHeight w:val="300"/>
        </w:trPr>
        <w:tc>
          <w:tcPr>
            <w:tcW w:w="3175" w:type="dxa"/>
            <w:tcBorders>
              <w:top w:val="nil"/>
              <w:left w:val="nil"/>
              <w:bottom w:val="nil"/>
              <w:right w:val="single" w:sz="4" w:space="0" w:color="auto"/>
            </w:tcBorders>
            <w:shd w:val="clear" w:color="auto" w:fill="auto"/>
            <w:vAlign w:val="center"/>
            <w:hideMark/>
          </w:tcPr>
          <w:p w14:paraId="0657A67F" w14:textId="77777777" w:rsidR="00DE09A0" w:rsidRPr="00D92E20" w:rsidRDefault="00DE09A0" w:rsidP="00DE09A0">
            <w:pPr>
              <w:spacing w:after="0" w:line="240" w:lineRule="auto"/>
              <w:ind w:firstLineChars="100" w:firstLine="160"/>
              <w:rPr>
                <w:rFonts w:cs="Arial"/>
                <w:color w:val="000000"/>
                <w:sz w:val="16"/>
                <w:szCs w:val="16"/>
              </w:rPr>
            </w:pPr>
            <w:r w:rsidRPr="00D92E20">
              <w:rPr>
                <w:rFonts w:cs="Arial"/>
                <w:color w:val="000000"/>
                <w:sz w:val="16"/>
                <w:szCs w:val="16"/>
              </w:rPr>
              <w:t>S – Ostatní činnosti</w:t>
            </w:r>
          </w:p>
        </w:tc>
        <w:tc>
          <w:tcPr>
            <w:tcW w:w="595" w:type="dxa"/>
            <w:tcBorders>
              <w:top w:val="nil"/>
              <w:left w:val="nil"/>
              <w:bottom w:val="nil"/>
              <w:right w:val="nil"/>
            </w:tcBorders>
            <w:shd w:val="clear" w:color="auto" w:fill="auto"/>
            <w:noWrap/>
            <w:vAlign w:val="center"/>
            <w:hideMark/>
          </w:tcPr>
          <w:p w14:paraId="6B9B15E6" w14:textId="0850206D" w:rsidR="00DE09A0" w:rsidRPr="00D92E20" w:rsidRDefault="00DE09A0" w:rsidP="00DE09A0">
            <w:pPr>
              <w:spacing w:after="0" w:line="240" w:lineRule="auto"/>
              <w:jc w:val="center"/>
              <w:rPr>
                <w:rFonts w:cs="Arial"/>
                <w:color w:val="000000"/>
                <w:sz w:val="16"/>
                <w:szCs w:val="16"/>
              </w:rPr>
            </w:pPr>
            <w:r>
              <w:rPr>
                <w:rFonts w:cs="Arial"/>
                <w:sz w:val="16"/>
                <w:szCs w:val="16"/>
              </w:rPr>
              <w:t>51,3</w:t>
            </w:r>
          </w:p>
        </w:tc>
        <w:tc>
          <w:tcPr>
            <w:tcW w:w="595" w:type="dxa"/>
            <w:tcBorders>
              <w:top w:val="nil"/>
              <w:left w:val="nil"/>
              <w:bottom w:val="nil"/>
              <w:right w:val="nil"/>
            </w:tcBorders>
            <w:shd w:val="clear" w:color="auto" w:fill="auto"/>
            <w:noWrap/>
            <w:vAlign w:val="center"/>
            <w:hideMark/>
          </w:tcPr>
          <w:p w14:paraId="37A40880" w14:textId="53FF299E" w:rsidR="00DE09A0" w:rsidRPr="00D92E20" w:rsidRDefault="00DE09A0" w:rsidP="00DE09A0">
            <w:pPr>
              <w:spacing w:after="0" w:line="240" w:lineRule="auto"/>
              <w:jc w:val="center"/>
              <w:rPr>
                <w:rFonts w:cs="Arial"/>
                <w:color w:val="000000"/>
                <w:sz w:val="16"/>
                <w:szCs w:val="16"/>
              </w:rPr>
            </w:pPr>
            <w:r>
              <w:rPr>
                <w:rFonts w:cs="Arial"/>
                <w:sz w:val="16"/>
                <w:szCs w:val="16"/>
              </w:rPr>
              <w:t>46,1</w:t>
            </w:r>
          </w:p>
        </w:tc>
        <w:tc>
          <w:tcPr>
            <w:tcW w:w="595" w:type="dxa"/>
            <w:tcBorders>
              <w:top w:val="nil"/>
              <w:left w:val="nil"/>
              <w:bottom w:val="nil"/>
              <w:right w:val="nil"/>
            </w:tcBorders>
            <w:shd w:val="clear" w:color="auto" w:fill="auto"/>
            <w:noWrap/>
            <w:vAlign w:val="center"/>
            <w:hideMark/>
          </w:tcPr>
          <w:p w14:paraId="2AE6D85D" w14:textId="4E3F2A86" w:rsidR="00DE09A0" w:rsidRPr="00D92E20" w:rsidRDefault="00DE09A0" w:rsidP="00DE09A0">
            <w:pPr>
              <w:spacing w:after="0" w:line="240" w:lineRule="auto"/>
              <w:jc w:val="center"/>
              <w:rPr>
                <w:rFonts w:cs="Arial"/>
                <w:color w:val="000000"/>
                <w:sz w:val="16"/>
                <w:szCs w:val="16"/>
              </w:rPr>
            </w:pPr>
            <w:r>
              <w:rPr>
                <w:rFonts w:cs="Arial"/>
                <w:sz w:val="16"/>
                <w:szCs w:val="16"/>
              </w:rPr>
              <w:t>50,5</w:t>
            </w:r>
          </w:p>
        </w:tc>
        <w:tc>
          <w:tcPr>
            <w:tcW w:w="595" w:type="dxa"/>
            <w:tcBorders>
              <w:top w:val="nil"/>
              <w:left w:val="nil"/>
              <w:bottom w:val="nil"/>
              <w:right w:val="nil"/>
            </w:tcBorders>
            <w:shd w:val="clear" w:color="auto" w:fill="auto"/>
            <w:noWrap/>
            <w:vAlign w:val="center"/>
            <w:hideMark/>
          </w:tcPr>
          <w:p w14:paraId="750734A9" w14:textId="41DFA629" w:rsidR="00DE09A0" w:rsidRPr="00D92E20" w:rsidRDefault="00DE09A0" w:rsidP="00DE09A0">
            <w:pPr>
              <w:spacing w:after="0" w:line="240" w:lineRule="auto"/>
              <w:jc w:val="center"/>
              <w:rPr>
                <w:rFonts w:cs="Arial"/>
                <w:color w:val="000000"/>
                <w:sz w:val="16"/>
                <w:szCs w:val="16"/>
              </w:rPr>
            </w:pPr>
            <w:r>
              <w:rPr>
                <w:rFonts w:cs="Arial"/>
                <w:sz w:val="16"/>
                <w:szCs w:val="16"/>
              </w:rPr>
              <w:t>44,6</w:t>
            </w:r>
          </w:p>
        </w:tc>
        <w:tc>
          <w:tcPr>
            <w:tcW w:w="595" w:type="dxa"/>
            <w:tcBorders>
              <w:top w:val="nil"/>
              <w:left w:val="nil"/>
              <w:bottom w:val="nil"/>
              <w:right w:val="nil"/>
            </w:tcBorders>
            <w:shd w:val="clear" w:color="auto" w:fill="auto"/>
            <w:noWrap/>
            <w:vAlign w:val="center"/>
            <w:hideMark/>
          </w:tcPr>
          <w:p w14:paraId="307C1F2C" w14:textId="71E7E59B" w:rsidR="00DE09A0" w:rsidRPr="00D92E20" w:rsidRDefault="00DE09A0" w:rsidP="00DE09A0">
            <w:pPr>
              <w:spacing w:after="0" w:line="240" w:lineRule="auto"/>
              <w:jc w:val="center"/>
              <w:rPr>
                <w:rFonts w:cs="Arial"/>
                <w:color w:val="000000"/>
                <w:sz w:val="16"/>
                <w:szCs w:val="16"/>
              </w:rPr>
            </w:pPr>
            <w:r>
              <w:rPr>
                <w:rFonts w:cs="Arial"/>
                <w:color w:val="000000"/>
                <w:sz w:val="16"/>
                <w:szCs w:val="16"/>
              </w:rPr>
              <w:t>48,0</w:t>
            </w:r>
          </w:p>
        </w:tc>
        <w:tc>
          <w:tcPr>
            <w:tcW w:w="595" w:type="dxa"/>
            <w:tcBorders>
              <w:top w:val="nil"/>
              <w:left w:val="nil"/>
              <w:bottom w:val="nil"/>
              <w:right w:val="nil"/>
            </w:tcBorders>
            <w:shd w:val="clear" w:color="auto" w:fill="auto"/>
            <w:noWrap/>
            <w:vAlign w:val="center"/>
            <w:hideMark/>
          </w:tcPr>
          <w:p w14:paraId="24C4A47E" w14:textId="540F6919" w:rsidR="00DE09A0" w:rsidRPr="00D92E20" w:rsidRDefault="00DE09A0" w:rsidP="00DE09A0">
            <w:pPr>
              <w:spacing w:after="0" w:line="240" w:lineRule="auto"/>
              <w:jc w:val="center"/>
              <w:rPr>
                <w:rFonts w:cs="Arial"/>
                <w:color w:val="000000"/>
                <w:sz w:val="16"/>
                <w:szCs w:val="16"/>
              </w:rPr>
            </w:pPr>
            <w:r>
              <w:rPr>
                <w:rFonts w:cs="Arial"/>
                <w:color w:val="000000"/>
                <w:sz w:val="16"/>
                <w:szCs w:val="16"/>
              </w:rPr>
              <w:t>45,6</w:t>
            </w:r>
          </w:p>
        </w:tc>
        <w:tc>
          <w:tcPr>
            <w:tcW w:w="595" w:type="dxa"/>
            <w:tcBorders>
              <w:top w:val="nil"/>
              <w:left w:val="nil"/>
              <w:bottom w:val="nil"/>
              <w:right w:val="nil"/>
            </w:tcBorders>
            <w:shd w:val="clear" w:color="auto" w:fill="auto"/>
            <w:noWrap/>
            <w:vAlign w:val="center"/>
            <w:hideMark/>
          </w:tcPr>
          <w:p w14:paraId="26E73085" w14:textId="1ED5F35D" w:rsidR="00DE09A0" w:rsidRPr="00D92E20" w:rsidRDefault="00DE09A0" w:rsidP="00DE09A0">
            <w:pPr>
              <w:spacing w:after="0" w:line="240" w:lineRule="auto"/>
              <w:jc w:val="center"/>
              <w:rPr>
                <w:rFonts w:cs="Arial"/>
                <w:color w:val="000000"/>
                <w:sz w:val="16"/>
                <w:szCs w:val="16"/>
              </w:rPr>
            </w:pPr>
            <w:r>
              <w:rPr>
                <w:rFonts w:cs="Arial"/>
                <w:color w:val="000000"/>
                <w:sz w:val="16"/>
                <w:szCs w:val="16"/>
              </w:rPr>
              <w:t>42,7</w:t>
            </w:r>
          </w:p>
        </w:tc>
        <w:tc>
          <w:tcPr>
            <w:tcW w:w="595" w:type="dxa"/>
            <w:tcBorders>
              <w:top w:val="nil"/>
              <w:left w:val="nil"/>
              <w:bottom w:val="nil"/>
              <w:right w:val="nil"/>
            </w:tcBorders>
            <w:shd w:val="clear" w:color="auto" w:fill="auto"/>
            <w:noWrap/>
            <w:vAlign w:val="center"/>
            <w:hideMark/>
          </w:tcPr>
          <w:p w14:paraId="0E3D2161" w14:textId="63F368FC" w:rsidR="00DE09A0" w:rsidRPr="00D92E20" w:rsidRDefault="00DE09A0" w:rsidP="00DE09A0">
            <w:pPr>
              <w:spacing w:after="0" w:line="240" w:lineRule="auto"/>
              <w:jc w:val="center"/>
              <w:rPr>
                <w:rFonts w:cs="Arial"/>
                <w:color w:val="000000"/>
                <w:sz w:val="16"/>
                <w:szCs w:val="16"/>
              </w:rPr>
            </w:pPr>
            <w:r>
              <w:rPr>
                <w:rFonts w:cs="Arial"/>
                <w:color w:val="000000"/>
                <w:sz w:val="16"/>
                <w:szCs w:val="16"/>
              </w:rPr>
              <w:t>46,1</w:t>
            </w:r>
          </w:p>
        </w:tc>
        <w:tc>
          <w:tcPr>
            <w:tcW w:w="595" w:type="dxa"/>
            <w:tcBorders>
              <w:top w:val="nil"/>
              <w:left w:val="nil"/>
              <w:bottom w:val="nil"/>
              <w:right w:val="nil"/>
            </w:tcBorders>
            <w:shd w:val="clear" w:color="auto" w:fill="auto"/>
            <w:noWrap/>
            <w:vAlign w:val="center"/>
            <w:hideMark/>
          </w:tcPr>
          <w:p w14:paraId="5A364F84" w14:textId="4B209A0B" w:rsidR="00DE09A0" w:rsidRPr="00D92E20" w:rsidRDefault="00DE09A0" w:rsidP="00DE09A0">
            <w:pPr>
              <w:spacing w:after="0" w:line="240" w:lineRule="auto"/>
              <w:jc w:val="center"/>
              <w:rPr>
                <w:rFonts w:cs="Arial"/>
                <w:color w:val="000000"/>
                <w:sz w:val="16"/>
                <w:szCs w:val="16"/>
              </w:rPr>
            </w:pPr>
            <w:r>
              <w:rPr>
                <w:rFonts w:cs="Arial"/>
                <w:color w:val="000000"/>
                <w:sz w:val="16"/>
                <w:szCs w:val="16"/>
              </w:rPr>
              <w:t>47,9</w:t>
            </w:r>
          </w:p>
        </w:tc>
        <w:tc>
          <w:tcPr>
            <w:tcW w:w="595" w:type="dxa"/>
            <w:tcBorders>
              <w:top w:val="nil"/>
              <w:left w:val="nil"/>
              <w:bottom w:val="nil"/>
              <w:right w:val="nil"/>
            </w:tcBorders>
            <w:shd w:val="clear" w:color="auto" w:fill="auto"/>
            <w:noWrap/>
            <w:vAlign w:val="center"/>
            <w:hideMark/>
          </w:tcPr>
          <w:p w14:paraId="70956D84" w14:textId="0A9030AD" w:rsidR="00DE09A0" w:rsidRPr="00D92E20" w:rsidRDefault="00DE09A0" w:rsidP="00DE09A0">
            <w:pPr>
              <w:spacing w:after="0" w:line="240" w:lineRule="auto"/>
              <w:jc w:val="center"/>
              <w:rPr>
                <w:rFonts w:cs="Arial"/>
                <w:color w:val="000000"/>
                <w:sz w:val="16"/>
                <w:szCs w:val="16"/>
              </w:rPr>
            </w:pPr>
            <w:r>
              <w:rPr>
                <w:rFonts w:cs="Arial"/>
                <w:color w:val="000000"/>
                <w:sz w:val="16"/>
                <w:szCs w:val="16"/>
              </w:rPr>
              <w:t>42,2</w:t>
            </w:r>
          </w:p>
        </w:tc>
        <w:tc>
          <w:tcPr>
            <w:tcW w:w="595" w:type="dxa"/>
            <w:tcBorders>
              <w:top w:val="nil"/>
              <w:left w:val="nil"/>
              <w:bottom w:val="nil"/>
              <w:right w:val="nil"/>
            </w:tcBorders>
            <w:shd w:val="clear" w:color="auto" w:fill="auto"/>
            <w:noWrap/>
            <w:vAlign w:val="center"/>
            <w:hideMark/>
          </w:tcPr>
          <w:p w14:paraId="2F9756BE" w14:textId="43B20460" w:rsidR="00DE09A0" w:rsidRPr="00D92E20" w:rsidRDefault="00DE09A0" w:rsidP="00DE09A0">
            <w:pPr>
              <w:spacing w:after="0" w:line="240" w:lineRule="auto"/>
              <w:jc w:val="center"/>
              <w:rPr>
                <w:rFonts w:cs="Arial"/>
                <w:color w:val="000000"/>
                <w:sz w:val="16"/>
                <w:szCs w:val="16"/>
              </w:rPr>
            </w:pPr>
            <w:r>
              <w:rPr>
                <w:rFonts w:cs="Arial"/>
                <w:color w:val="000000"/>
                <w:sz w:val="16"/>
                <w:szCs w:val="16"/>
              </w:rPr>
              <w:t>27,0</w:t>
            </w:r>
          </w:p>
        </w:tc>
      </w:tr>
    </w:tbl>
    <w:p w14:paraId="5B06DE7A" w14:textId="77777777" w:rsidR="00502EDF" w:rsidRPr="00D92E20" w:rsidRDefault="00502EDF" w:rsidP="00502EDF">
      <w:pPr>
        <w:spacing w:before="120"/>
        <w:rPr>
          <w:sz w:val="16"/>
        </w:rPr>
      </w:pPr>
      <w:r w:rsidRPr="00D92E20">
        <w:rPr>
          <w:sz w:val="16"/>
        </w:rPr>
        <w:t>Zdroj: ČSÚ</w:t>
      </w:r>
    </w:p>
    <w:p w14:paraId="5179683A" w14:textId="4139177F" w:rsidR="00350B58" w:rsidRPr="00DE09A0" w:rsidRDefault="004A31C1" w:rsidP="004A31C1">
      <w:pPr>
        <w:spacing w:after="120"/>
        <w:jc w:val="both"/>
      </w:pPr>
      <w:r w:rsidRPr="00DE09A0">
        <w:t xml:space="preserve">Z pohledu </w:t>
      </w:r>
      <w:r w:rsidRPr="00DE09A0">
        <w:rPr>
          <w:b/>
        </w:rPr>
        <w:t>detailnějšího územního členění</w:t>
      </w:r>
      <w:r w:rsidRPr="00DE09A0">
        <w:t xml:space="preserve"> (viz kartogram 2.1) je zřejmý větší rozptyl hodnot tohoto relativního ukazatele. Nejvyšší průměrnou délku na jeden případ v 1. pol. 202</w:t>
      </w:r>
      <w:r w:rsidR="00DE09A0" w:rsidRPr="00DE09A0">
        <w:t>2</w:t>
      </w:r>
      <w:r w:rsidRPr="00DE09A0">
        <w:t xml:space="preserve"> vykazoval okres </w:t>
      </w:r>
      <w:r w:rsidR="00DE09A0" w:rsidRPr="00DE09A0">
        <w:t>Břeclav</w:t>
      </w:r>
      <w:r w:rsidRPr="00DE09A0">
        <w:t xml:space="preserve"> (</w:t>
      </w:r>
      <w:r w:rsidR="00DE09A0" w:rsidRPr="00DE09A0">
        <w:t>31,3</w:t>
      </w:r>
      <w:r w:rsidRPr="00DE09A0">
        <w:t> dne) v</w:t>
      </w:r>
      <w:r w:rsidR="00DE09A0" w:rsidRPr="00DE09A0">
        <w:t xml:space="preserve"> Jihomoravském </w:t>
      </w:r>
      <w:r w:rsidRPr="00DE09A0">
        <w:t>kraji</w:t>
      </w:r>
      <w:r w:rsidR="00BA34E3">
        <w:t xml:space="preserve">, </w:t>
      </w:r>
      <w:r w:rsidR="00DE09A0" w:rsidRPr="00DE09A0">
        <w:t xml:space="preserve">středočeský Rakovník (30,7 dne) a </w:t>
      </w:r>
      <w:r w:rsidRPr="00DE09A0">
        <w:t>Hodonín v Jihomoravském kraji</w:t>
      </w:r>
      <w:r w:rsidR="00DE09A0" w:rsidRPr="00DE09A0">
        <w:t xml:space="preserve"> (30,6</w:t>
      </w:r>
      <w:r w:rsidR="003E64F4">
        <w:t> </w:t>
      </w:r>
      <w:r w:rsidR="00DE09A0" w:rsidRPr="00DE09A0">
        <w:t xml:space="preserve">dne). </w:t>
      </w:r>
      <w:r w:rsidRPr="00DE09A0">
        <w:t xml:space="preserve">Následovaly okresy </w:t>
      </w:r>
      <w:r w:rsidR="00DE09A0" w:rsidRPr="00DE09A0">
        <w:t>Uherské Hradiště</w:t>
      </w:r>
      <w:r w:rsidRPr="00DE09A0">
        <w:t xml:space="preserve"> </w:t>
      </w:r>
      <w:r w:rsidR="00DE09A0" w:rsidRPr="00DE09A0">
        <w:t xml:space="preserve">(Zlínský kraj), </w:t>
      </w:r>
      <w:r w:rsidRPr="00DE09A0">
        <w:t>Prachatice (Jihočeský kraj)</w:t>
      </w:r>
      <w:r w:rsidR="00DE09A0" w:rsidRPr="00DE09A0">
        <w:t xml:space="preserve"> a Vsetín (Zlínský kraj)</w:t>
      </w:r>
      <w:r w:rsidRPr="00DE09A0">
        <w:t xml:space="preserve">, které vykazovaly průměrnou délku případu pracovní neschopnosti nad </w:t>
      </w:r>
      <w:r w:rsidR="00DE09A0" w:rsidRPr="00DE09A0">
        <w:t>30</w:t>
      </w:r>
      <w:r w:rsidRPr="00DE09A0">
        <w:t xml:space="preserve"> dnů. Naopak nejkratší dobou trvání se mohl opět pochlubit okres Mladá Boleslav (</w:t>
      </w:r>
      <w:r w:rsidR="00DE09A0" w:rsidRPr="00DE09A0">
        <w:t>19,5 dne</w:t>
      </w:r>
      <w:r w:rsidRPr="00DE09A0">
        <w:t>) ve Středních Čechách a královéhradecký okres Rychnov nad Kněžnou (</w:t>
      </w:r>
      <w:r w:rsidR="00DE09A0" w:rsidRPr="00DE09A0">
        <w:t>20,4</w:t>
      </w:r>
      <w:r w:rsidRPr="00DE09A0">
        <w:t xml:space="preserve"> dn</w:t>
      </w:r>
      <w:r w:rsidR="00DE09A0" w:rsidRPr="00DE09A0">
        <w:t>e</w:t>
      </w:r>
      <w:r w:rsidRPr="00DE09A0">
        <w:t>).</w:t>
      </w:r>
      <w:r w:rsidR="008616F7" w:rsidRPr="00DE09A0">
        <w:t xml:space="preserve"> Kompletní přehled je k dispozici v</w:t>
      </w:r>
      <w:r w:rsidR="001E73B2" w:rsidRPr="00DE09A0">
        <w:t xml:space="preserve"> tabulce 3.6 v </w:t>
      </w:r>
      <w:r w:rsidR="008616F7" w:rsidRPr="00DE09A0">
        <w:t xml:space="preserve">tabulkové části </w:t>
      </w:r>
      <w:r w:rsidR="001E73B2" w:rsidRPr="00DE09A0">
        <w:t>publikace.</w:t>
      </w:r>
    </w:p>
    <w:p w14:paraId="12C53BDA" w14:textId="77777777" w:rsidR="00473D4E" w:rsidRDefault="00473D4E">
      <w:pPr>
        <w:spacing w:after="0" w:line="240" w:lineRule="auto"/>
        <w:rPr>
          <w:b/>
        </w:rPr>
      </w:pPr>
      <w:r>
        <w:rPr>
          <w:b/>
        </w:rPr>
        <w:br w:type="page"/>
      </w:r>
    </w:p>
    <w:p w14:paraId="601CCF00" w14:textId="67ED3989" w:rsidR="000A3F99" w:rsidRPr="000A3F99" w:rsidRDefault="000A3F99" w:rsidP="000A3F99">
      <w:pPr>
        <w:spacing w:after="0"/>
        <w:jc w:val="both"/>
        <w:rPr>
          <w:b/>
        </w:rPr>
      </w:pPr>
      <w:r w:rsidRPr="00185E38">
        <w:rPr>
          <w:b/>
        </w:rPr>
        <w:lastRenderedPageBreak/>
        <w:t>Graf 2.11: Průměrná délka trvání dočasné pracovní neschopnosti podle krajů ČR, 1. pol. 20</w:t>
      </w:r>
      <w:r w:rsidR="007B5824" w:rsidRPr="00185E38">
        <w:rPr>
          <w:b/>
        </w:rPr>
        <w:t>1</w:t>
      </w:r>
      <w:r w:rsidRPr="00185E38">
        <w:rPr>
          <w:b/>
        </w:rPr>
        <w:t>9 a 2022</w:t>
      </w:r>
    </w:p>
    <w:p w14:paraId="1BF31173" w14:textId="56E931A0" w:rsidR="000A3F99" w:rsidRDefault="004524C4" w:rsidP="00BA6B4E">
      <w:pPr>
        <w:jc w:val="both"/>
        <w:rPr>
          <w:sz w:val="16"/>
        </w:rPr>
      </w:pPr>
      <w:r>
        <w:rPr>
          <w:noProof/>
        </w:rPr>
        <w:drawing>
          <wp:inline distT="0" distB="0" distL="0" distR="0" wp14:anchorId="4B21AAB4" wp14:editId="36344310">
            <wp:extent cx="6038850" cy="2743200"/>
            <wp:effectExtent l="0" t="0" r="0" b="0"/>
            <wp:docPr id="59" name="Graf 59"/>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49676850" w14:textId="38F68587" w:rsidR="000A3F99" w:rsidRPr="00D92E20" w:rsidRDefault="000A3F99" w:rsidP="00BA6B4E">
      <w:pPr>
        <w:jc w:val="both"/>
        <w:rPr>
          <w:sz w:val="16"/>
        </w:rPr>
      </w:pPr>
      <w:r w:rsidRPr="00D92E20">
        <w:rPr>
          <w:sz w:val="16"/>
        </w:rPr>
        <w:t>Zdroj: ČSÚ</w:t>
      </w:r>
    </w:p>
    <w:p w14:paraId="210AE9CA" w14:textId="0D816FED" w:rsidR="004A31C1" w:rsidRPr="00671960" w:rsidRDefault="004A31C1" w:rsidP="004A31C1">
      <w:pPr>
        <w:spacing w:after="0"/>
        <w:jc w:val="both"/>
        <w:rPr>
          <w:b/>
          <w:spacing w:val="-4"/>
        </w:rPr>
      </w:pPr>
      <w:r w:rsidRPr="00671960">
        <w:rPr>
          <w:b/>
          <w:spacing w:val="-4"/>
        </w:rPr>
        <w:t>Tab. 2.7: Průměrná délka trvání dočasné pracovn</w:t>
      </w:r>
      <w:r w:rsidR="009F34CD" w:rsidRPr="00671960">
        <w:rPr>
          <w:b/>
          <w:spacing w:val="-4"/>
        </w:rPr>
        <w:t>í neschopnosti podle krajů ČR, 1. pol. 2012 až 1. pol. 2022</w:t>
      </w:r>
    </w:p>
    <w:tbl>
      <w:tblPr>
        <w:tblW w:w="9670" w:type="dxa"/>
        <w:tblCellMar>
          <w:left w:w="70" w:type="dxa"/>
          <w:right w:w="70" w:type="dxa"/>
        </w:tblCellMar>
        <w:tblLook w:val="04A0" w:firstRow="1" w:lastRow="0" w:firstColumn="1" w:lastColumn="0" w:noHBand="0" w:noVBand="1"/>
      </w:tblPr>
      <w:tblGrid>
        <w:gridCol w:w="1871"/>
        <w:gridCol w:w="709"/>
        <w:gridCol w:w="709"/>
        <w:gridCol w:w="709"/>
        <w:gridCol w:w="709"/>
        <w:gridCol w:w="709"/>
        <w:gridCol w:w="709"/>
        <w:gridCol w:w="709"/>
        <w:gridCol w:w="709"/>
        <w:gridCol w:w="709"/>
        <w:gridCol w:w="709"/>
        <w:gridCol w:w="709"/>
      </w:tblGrid>
      <w:tr w:rsidR="00DE09A0" w:rsidRPr="00D92E20" w14:paraId="65BDEFBC" w14:textId="77777777" w:rsidTr="00161606">
        <w:trPr>
          <w:trHeight w:val="300"/>
        </w:trPr>
        <w:tc>
          <w:tcPr>
            <w:tcW w:w="1871" w:type="dxa"/>
            <w:tcBorders>
              <w:top w:val="single" w:sz="4" w:space="0" w:color="auto"/>
              <w:left w:val="nil"/>
              <w:bottom w:val="single" w:sz="4" w:space="0" w:color="auto"/>
              <w:right w:val="single" w:sz="4" w:space="0" w:color="auto"/>
            </w:tcBorders>
            <w:shd w:val="clear" w:color="000000" w:fill="F5DADD"/>
            <w:vAlign w:val="center"/>
            <w:hideMark/>
          </w:tcPr>
          <w:p w14:paraId="3AB7A61A" w14:textId="77777777" w:rsidR="00DE09A0" w:rsidRPr="00D92E20" w:rsidRDefault="00DE09A0" w:rsidP="00DE09A0">
            <w:pPr>
              <w:spacing w:after="0" w:line="240" w:lineRule="auto"/>
              <w:jc w:val="center"/>
              <w:rPr>
                <w:rFonts w:cs="Arial"/>
                <w:color w:val="000000"/>
                <w:sz w:val="16"/>
                <w:szCs w:val="16"/>
              </w:rPr>
            </w:pPr>
            <w:r w:rsidRPr="00D92E20">
              <w:rPr>
                <w:rFonts w:cs="Arial"/>
                <w:color w:val="000000"/>
                <w:sz w:val="16"/>
                <w:szCs w:val="16"/>
              </w:rPr>
              <w:t>Kraj ČR</w:t>
            </w:r>
          </w:p>
        </w:tc>
        <w:tc>
          <w:tcPr>
            <w:tcW w:w="709" w:type="dxa"/>
            <w:tcBorders>
              <w:top w:val="single" w:sz="4" w:space="0" w:color="auto"/>
              <w:left w:val="nil"/>
              <w:bottom w:val="single" w:sz="4" w:space="0" w:color="auto"/>
              <w:right w:val="nil"/>
            </w:tcBorders>
            <w:shd w:val="clear" w:color="000000" w:fill="F5DADD"/>
            <w:noWrap/>
            <w:vAlign w:val="bottom"/>
            <w:hideMark/>
          </w:tcPr>
          <w:p w14:paraId="326C045E" w14:textId="607E3C50" w:rsidR="00DE09A0" w:rsidRPr="00D92E20" w:rsidRDefault="00DE09A0" w:rsidP="00DE09A0">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2012</w:t>
            </w:r>
          </w:p>
        </w:tc>
        <w:tc>
          <w:tcPr>
            <w:tcW w:w="709" w:type="dxa"/>
            <w:tcBorders>
              <w:top w:val="single" w:sz="4" w:space="0" w:color="auto"/>
              <w:left w:val="nil"/>
              <w:bottom w:val="single" w:sz="4" w:space="0" w:color="auto"/>
              <w:right w:val="nil"/>
            </w:tcBorders>
            <w:shd w:val="clear" w:color="000000" w:fill="F5DADD"/>
            <w:noWrap/>
            <w:vAlign w:val="bottom"/>
            <w:hideMark/>
          </w:tcPr>
          <w:p w14:paraId="74F06A94" w14:textId="5C960743" w:rsidR="00DE09A0" w:rsidRPr="00D92E20" w:rsidRDefault="00DE09A0" w:rsidP="00DE09A0">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2013</w:t>
            </w:r>
          </w:p>
        </w:tc>
        <w:tc>
          <w:tcPr>
            <w:tcW w:w="709" w:type="dxa"/>
            <w:tcBorders>
              <w:top w:val="single" w:sz="4" w:space="0" w:color="auto"/>
              <w:left w:val="nil"/>
              <w:bottom w:val="single" w:sz="4" w:space="0" w:color="auto"/>
              <w:right w:val="nil"/>
            </w:tcBorders>
            <w:shd w:val="clear" w:color="000000" w:fill="F5DADD"/>
            <w:noWrap/>
            <w:vAlign w:val="bottom"/>
            <w:hideMark/>
          </w:tcPr>
          <w:p w14:paraId="4635A734" w14:textId="068385C4" w:rsidR="00DE09A0" w:rsidRPr="00D92E20" w:rsidRDefault="00DE09A0" w:rsidP="00DE09A0">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2014</w:t>
            </w:r>
          </w:p>
        </w:tc>
        <w:tc>
          <w:tcPr>
            <w:tcW w:w="709" w:type="dxa"/>
            <w:tcBorders>
              <w:top w:val="single" w:sz="4" w:space="0" w:color="auto"/>
              <w:left w:val="nil"/>
              <w:bottom w:val="single" w:sz="4" w:space="0" w:color="auto"/>
              <w:right w:val="nil"/>
            </w:tcBorders>
            <w:shd w:val="clear" w:color="000000" w:fill="F5DADD"/>
            <w:noWrap/>
            <w:vAlign w:val="bottom"/>
            <w:hideMark/>
          </w:tcPr>
          <w:p w14:paraId="135C3E0D" w14:textId="2973342C" w:rsidR="00DE09A0" w:rsidRPr="00D92E20" w:rsidRDefault="00DE09A0" w:rsidP="00DE09A0">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2015</w:t>
            </w:r>
          </w:p>
        </w:tc>
        <w:tc>
          <w:tcPr>
            <w:tcW w:w="709" w:type="dxa"/>
            <w:tcBorders>
              <w:top w:val="single" w:sz="4" w:space="0" w:color="auto"/>
              <w:left w:val="nil"/>
              <w:bottom w:val="single" w:sz="4" w:space="0" w:color="auto"/>
              <w:right w:val="nil"/>
            </w:tcBorders>
            <w:shd w:val="clear" w:color="000000" w:fill="F5DADD"/>
            <w:noWrap/>
            <w:vAlign w:val="bottom"/>
            <w:hideMark/>
          </w:tcPr>
          <w:p w14:paraId="54C52920" w14:textId="3592F717" w:rsidR="00DE09A0" w:rsidRPr="00D92E20" w:rsidRDefault="00DE09A0" w:rsidP="00DE09A0">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2016</w:t>
            </w:r>
          </w:p>
        </w:tc>
        <w:tc>
          <w:tcPr>
            <w:tcW w:w="709" w:type="dxa"/>
            <w:tcBorders>
              <w:top w:val="single" w:sz="4" w:space="0" w:color="auto"/>
              <w:left w:val="nil"/>
              <w:bottom w:val="single" w:sz="4" w:space="0" w:color="auto"/>
              <w:right w:val="nil"/>
            </w:tcBorders>
            <w:shd w:val="clear" w:color="000000" w:fill="F5DADD"/>
            <w:noWrap/>
            <w:vAlign w:val="bottom"/>
            <w:hideMark/>
          </w:tcPr>
          <w:p w14:paraId="2AC79781" w14:textId="31524584" w:rsidR="00DE09A0" w:rsidRPr="00D92E20" w:rsidRDefault="00DE09A0" w:rsidP="00DE09A0">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2017</w:t>
            </w:r>
          </w:p>
        </w:tc>
        <w:tc>
          <w:tcPr>
            <w:tcW w:w="709" w:type="dxa"/>
            <w:tcBorders>
              <w:top w:val="single" w:sz="4" w:space="0" w:color="auto"/>
              <w:left w:val="nil"/>
              <w:bottom w:val="single" w:sz="4" w:space="0" w:color="auto"/>
              <w:right w:val="nil"/>
            </w:tcBorders>
            <w:shd w:val="clear" w:color="000000" w:fill="F5DADD"/>
            <w:noWrap/>
            <w:vAlign w:val="bottom"/>
            <w:hideMark/>
          </w:tcPr>
          <w:p w14:paraId="460BF266" w14:textId="3C390CAA" w:rsidR="00DE09A0" w:rsidRPr="00D92E20" w:rsidRDefault="00DE09A0" w:rsidP="00DE09A0">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2018</w:t>
            </w:r>
          </w:p>
        </w:tc>
        <w:tc>
          <w:tcPr>
            <w:tcW w:w="709" w:type="dxa"/>
            <w:tcBorders>
              <w:top w:val="single" w:sz="4" w:space="0" w:color="auto"/>
              <w:left w:val="nil"/>
              <w:bottom w:val="single" w:sz="4" w:space="0" w:color="auto"/>
              <w:right w:val="nil"/>
            </w:tcBorders>
            <w:shd w:val="clear" w:color="000000" w:fill="F5DADD"/>
            <w:noWrap/>
            <w:vAlign w:val="bottom"/>
            <w:hideMark/>
          </w:tcPr>
          <w:p w14:paraId="535F1848" w14:textId="029B172C" w:rsidR="00DE09A0" w:rsidRPr="00D92E20" w:rsidRDefault="00DE09A0" w:rsidP="00DE09A0">
            <w:pPr>
              <w:spacing w:after="0" w:line="240" w:lineRule="auto"/>
              <w:jc w:val="center"/>
              <w:rPr>
                <w:rFonts w:cs="Arial"/>
                <w:color w:val="000000"/>
                <w:sz w:val="16"/>
                <w:szCs w:val="16"/>
              </w:rPr>
            </w:pPr>
            <w:r>
              <w:rPr>
                <w:rFonts w:cs="Arial"/>
                <w:sz w:val="16"/>
                <w:szCs w:val="16"/>
              </w:rPr>
              <w:t>1. pol. 2019</w:t>
            </w:r>
          </w:p>
        </w:tc>
        <w:tc>
          <w:tcPr>
            <w:tcW w:w="709" w:type="dxa"/>
            <w:tcBorders>
              <w:top w:val="single" w:sz="4" w:space="0" w:color="auto"/>
              <w:left w:val="nil"/>
              <w:bottom w:val="single" w:sz="4" w:space="0" w:color="auto"/>
              <w:right w:val="nil"/>
            </w:tcBorders>
            <w:shd w:val="clear" w:color="000000" w:fill="F5DADD"/>
            <w:noWrap/>
            <w:vAlign w:val="bottom"/>
            <w:hideMark/>
          </w:tcPr>
          <w:p w14:paraId="02336B36" w14:textId="036A49E4" w:rsidR="00DE09A0" w:rsidRPr="00D92E20" w:rsidRDefault="00DE09A0" w:rsidP="00DE09A0">
            <w:pPr>
              <w:spacing w:after="0" w:line="240" w:lineRule="auto"/>
              <w:jc w:val="center"/>
              <w:rPr>
                <w:rFonts w:cs="Arial"/>
                <w:color w:val="000000"/>
                <w:sz w:val="16"/>
                <w:szCs w:val="16"/>
              </w:rPr>
            </w:pPr>
            <w:r>
              <w:rPr>
                <w:rFonts w:cs="Arial"/>
                <w:sz w:val="16"/>
                <w:szCs w:val="16"/>
              </w:rPr>
              <w:t>1. pol. 2020</w:t>
            </w:r>
          </w:p>
        </w:tc>
        <w:tc>
          <w:tcPr>
            <w:tcW w:w="709" w:type="dxa"/>
            <w:tcBorders>
              <w:top w:val="single" w:sz="4" w:space="0" w:color="auto"/>
              <w:left w:val="nil"/>
              <w:bottom w:val="single" w:sz="4" w:space="0" w:color="auto"/>
              <w:right w:val="nil"/>
            </w:tcBorders>
            <w:shd w:val="clear" w:color="000000" w:fill="F5DADD"/>
            <w:noWrap/>
            <w:vAlign w:val="bottom"/>
            <w:hideMark/>
          </w:tcPr>
          <w:p w14:paraId="09A49D0F" w14:textId="0BD06B81" w:rsidR="00DE09A0" w:rsidRPr="00D92E20" w:rsidRDefault="00DE09A0" w:rsidP="00DE09A0">
            <w:pPr>
              <w:spacing w:after="0" w:line="240" w:lineRule="auto"/>
              <w:jc w:val="center"/>
              <w:rPr>
                <w:rFonts w:cs="Arial"/>
                <w:color w:val="000000"/>
                <w:sz w:val="16"/>
                <w:szCs w:val="16"/>
              </w:rPr>
            </w:pPr>
            <w:r>
              <w:rPr>
                <w:rFonts w:cs="Arial"/>
                <w:sz w:val="16"/>
                <w:szCs w:val="16"/>
              </w:rPr>
              <w:t>1. pol. 2021</w:t>
            </w:r>
          </w:p>
        </w:tc>
        <w:tc>
          <w:tcPr>
            <w:tcW w:w="709" w:type="dxa"/>
            <w:tcBorders>
              <w:top w:val="single" w:sz="4" w:space="0" w:color="auto"/>
              <w:left w:val="nil"/>
              <w:bottom w:val="single" w:sz="4" w:space="0" w:color="auto"/>
              <w:right w:val="nil"/>
            </w:tcBorders>
            <w:shd w:val="clear" w:color="000000" w:fill="F5DADD"/>
            <w:noWrap/>
            <w:vAlign w:val="bottom"/>
            <w:hideMark/>
          </w:tcPr>
          <w:p w14:paraId="0B2A02E6" w14:textId="33924F21" w:rsidR="00DE09A0" w:rsidRPr="00D92E20" w:rsidRDefault="00DE09A0" w:rsidP="00DE09A0">
            <w:pPr>
              <w:spacing w:after="0" w:line="240" w:lineRule="auto"/>
              <w:jc w:val="center"/>
              <w:rPr>
                <w:rFonts w:cs="Arial"/>
                <w:color w:val="000000"/>
                <w:sz w:val="16"/>
                <w:szCs w:val="16"/>
              </w:rPr>
            </w:pPr>
            <w:r>
              <w:rPr>
                <w:rFonts w:cs="Arial"/>
                <w:sz w:val="16"/>
                <w:szCs w:val="16"/>
              </w:rPr>
              <w:t>1. pol. 2022</w:t>
            </w:r>
          </w:p>
        </w:tc>
      </w:tr>
      <w:tr w:rsidR="00DE09A0" w:rsidRPr="00D92E20" w14:paraId="1FD7C5C8" w14:textId="77777777" w:rsidTr="00161606">
        <w:trPr>
          <w:trHeight w:val="300"/>
        </w:trPr>
        <w:tc>
          <w:tcPr>
            <w:tcW w:w="1871" w:type="dxa"/>
            <w:tcBorders>
              <w:top w:val="nil"/>
              <w:left w:val="nil"/>
              <w:bottom w:val="nil"/>
              <w:right w:val="single" w:sz="4" w:space="0" w:color="auto"/>
            </w:tcBorders>
            <w:shd w:val="clear" w:color="auto" w:fill="auto"/>
            <w:noWrap/>
            <w:vAlign w:val="center"/>
            <w:hideMark/>
          </w:tcPr>
          <w:p w14:paraId="42A2E71A" w14:textId="77777777" w:rsidR="00DE09A0" w:rsidRPr="00D92E20" w:rsidRDefault="00DE09A0" w:rsidP="00DE09A0">
            <w:pPr>
              <w:spacing w:after="0" w:line="240" w:lineRule="auto"/>
              <w:rPr>
                <w:rFonts w:cs="Arial"/>
                <w:b/>
                <w:bCs/>
                <w:color w:val="000000"/>
                <w:sz w:val="16"/>
                <w:szCs w:val="16"/>
              </w:rPr>
            </w:pPr>
            <w:r w:rsidRPr="00D92E20">
              <w:rPr>
                <w:rFonts w:cs="Arial"/>
                <w:b/>
                <w:bCs/>
                <w:color w:val="000000"/>
                <w:sz w:val="16"/>
                <w:szCs w:val="16"/>
              </w:rPr>
              <w:t>ČR celkem</w:t>
            </w:r>
          </w:p>
        </w:tc>
        <w:tc>
          <w:tcPr>
            <w:tcW w:w="709" w:type="dxa"/>
            <w:tcBorders>
              <w:top w:val="nil"/>
              <w:left w:val="nil"/>
              <w:bottom w:val="nil"/>
              <w:right w:val="nil"/>
            </w:tcBorders>
            <w:shd w:val="clear" w:color="auto" w:fill="auto"/>
            <w:noWrap/>
            <w:vAlign w:val="center"/>
            <w:hideMark/>
          </w:tcPr>
          <w:p w14:paraId="7E88A14A" w14:textId="0696CC99" w:rsidR="00DE09A0" w:rsidRPr="00D92E20" w:rsidRDefault="00DE09A0" w:rsidP="00DE09A0">
            <w:pPr>
              <w:spacing w:after="0" w:line="240" w:lineRule="auto"/>
              <w:jc w:val="center"/>
              <w:rPr>
                <w:rFonts w:cs="Arial"/>
                <w:b/>
                <w:bCs/>
                <w:color w:val="000000"/>
                <w:sz w:val="16"/>
                <w:szCs w:val="16"/>
              </w:rPr>
            </w:pPr>
            <w:r>
              <w:rPr>
                <w:rFonts w:cs="Arial"/>
                <w:b/>
                <w:bCs/>
                <w:sz w:val="16"/>
                <w:szCs w:val="16"/>
              </w:rPr>
              <w:t>47,7</w:t>
            </w:r>
          </w:p>
        </w:tc>
        <w:tc>
          <w:tcPr>
            <w:tcW w:w="709" w:type="dxa"/>
            <w:tcBorders>
              <w:top w:val="nil"/>
              <w:left w:val="nil"/>
              <w:bottom w:val="nil"/>
              <w:right w:val="nil"/>
            </w:tcBorders>
            <w:shd w:val="clear" w:color="auto" w:fill="auto"/>
            <w:noWrap/>
            <w:vAlign w:val="center"/>
            <w:hideMark/>
          </w:tcPr>
          <w:p w14:paraId="5AA093B6" w14:textId="7710CCCC" w:rsidR="00DE09A0" w:rsidRPr="00D92E20" w:rsidRDefault="00DE09A0" w:rsidP="00DE09A0">
            <w:pPr>
              <w:spacing w:after="0" w:line="240" w:lineRule="auto"/>
              <w:jc w:val="center"/>
              <w:rPr>
                <w:rFonts w:cs="Arial"/>
                <w:b/>
                <w:bCs/>
                <w:color w:val="000000"/>
                <w:sz w:val="16"/>
                <w:szCs w:val="16"/>
              </w:rPr>
            </w:pPr>
            <w:r>
              <w:rPr>
                <w:rFonts w:cs="Arial"/>
                <w:b/>
                <w:bCs/>
                <w:sz w:val="16"/>
                <w:szCs w:val="16"/>
              </w:rPr>
              <w:t>42,2</w:t>
            </w:r>
          </w:p>
        </w:tc>
        <w:tc>
          <w:tcPr>
            <w:tcW w:w="709" w:type="dxa"/>
            <w:tcBorders>
              <w:top w:val="nil"/>
              <w:left w:val="nil"/>
              <w:bottom w:val="nil"/>
              <w:right w:val="nil"/>
            </w:tcBorders>
            <w:shd w:val="clear" w:color="auto" w:fill="auto"/>
            <w:noWrap/>
            <w:vAlign w:val="center"/>
            <w:hideMark/>
          </w:tcPr>
          <w:p w14:paraId="5D4F8276" w14:textId="07F4E9C8" w:rsidR="00DE09A0" w:rsidRPr="00D92E20" w:rsidRDefault="00DE09A0" w:rsidP="00DE09A0">
            <w:pPr>
              <w:spacing w:after="0" w:line="240" w:lineRule="auto"/>
              <w:jc w:val="center"/>
              <w:rPr>
                <w:rFonts w:cs="Arial"/>
                <w:b/>
                <w:bCs/>
                <w:color w:val="000000"/>
                <w:sz w:val="16"/>
                <w:szCs w:val="16"/>
              </w:rPr>
            </w:pPr>
            <w:r>
              <w:rPr>
                <w:rFonts w:cs="Arial"/>
                <w:b/>
                <w:bCs/>
                <w:sz w:val="16"/>
                <w:szCs w:val="16"/>
              </w:rPr>
              <w:t>45,9</w:t>
            </w:r>
          </w:p>
        </w:tc>
        <w:tc>
          <w:tcPr>
            <w:tcW w:w="709" w:type="dxa"/>
            <w:tcBorders>
              <w:top w:val="nil"/>
              <w:left w:val="nil"/>
              <w:bottom w:val="nil"/>
              <w:right w:val="nil"/>
            </w:tcBorders>
            <w:shd w:val="clear" w:color="auto" w:fill="auto"/>
            <w:noWrap/>
            <w:vAlign w:val="center"/>
            <w:hideMark/>
          </w:tcPr>
          <w:p w14:paraId="4E4CBE6F" w14:textId="366FEB41" w:rsidR="00DE09A0" w:rsidRPr="00D92E20" w:rsidRDefault="00DE09A0" w:rsidP="00DE09A0">
            <w:pPr>
              <w:spacing w:after="0" w:line="240" w:lineRule="auto"/>
              <w:jc w:val="center"/>
              <w:rPr>
                <w:rFonts w:cs="Arial"/>
                <w:b/>
                <w:bCs/>
                <w:color w:val="000000"/>
                <w:sz w:val="16"/>
                <w:szCs w:val="16"/>
              </w:rPr>
            </w:pPr>
            <w:r>
              <w:rPr>
                <w:rFonts w:cs="Arial"/>
                <w:b/>
                <w:bCs/>
                <w:sz w:val="16"/>
                <w:szCs w:val="16"/>
              </w:rPr>
              <w:t>40,1</w:t>
            </w:r>
          </w:p>
        </w:tc>
        <w:tc>
          <w:tcPr>
            <w:tcW w:w="709" w:type="dxa"/>
            <w:tcBorders>
              <w:top w:val="nil"/>
              <w:left w:val="nil"/>
              <w:bottom w:val="nil"/>
              <w:right w:val="nil"/>
            </w:tcBorders>
            <w:shd w:val="clear" w:color="auto" w:fill="auto"/>
            <w:noWrap/>
            <w:vAlign w:val="center"/>
            <w:hideMark/>
          </w:tcPr>
          <w:p w14:paraId="713292CB" w14:textId="0154E3B8" w:rsidR="00DE09A0" w:rsidRPr="00D92E20" w:rsidRDefault="00DE09A0" w:rsidP="00DE09A0">
            <w:pPr>
              <w:spacing w:after="0" w:line="240" w:lineRule="auto"/>
              <w:jc w:val="center"/>
              <w:rPr>
                <w:rFonts w:cs="Arial"/>
                <w:b/>
                <w:bCs/>
                <w:color w:val="000000"/>
                <w:sz w:val="16"/>
                <w:szCs w:val="16"/>
              </w:rPr>
            </w:pPr>
            <w:r>
              <w:rPr>
                <w:rFonts w:cs="Arial"/>
                <w:b/>
                <w:bCs/>
                <w:sz w:val="16"/>
                <w:szCs w:val="16"/>
              </w:rPr>
              <w:t>42,0</w:t>
            </w:r>
          </w:p>
        </w:tc>
        <w:tc>
          <w:tcPr>
            <w:tcW w:w="709" w:type="dxa"/>
            <w:tcBorders>
              <w:top w:val="nil"/>
              <w:left w:val="nil"/>
              <w:bottom w:val="nil"/>
              <w:right w:val="nil"/>
            </w:tcBorders>
            <w:shd w:val="clear" w:color="auto" w:fill="auto"/>
            <w:noWrap/>
            <w:vAlign w:val="center"/>
            <w:hideMark/>
          </w:tcPr>
          <w:p w14:paraId="3C367A38" w14:textId="08F9B1D8" w:rsidR="00DE09A0" w:rsidRPr="00D92E20" w:rsidRDefault="00DE09A0" w:rsidP="00DE09A0">
            <w:pPr>
              <w:spacing w:after="0" w:line="240" w:lineRule="auto"/>
              <w:jc w:val="center"/>
              <w:rPr>
                <w:rFonts w:cs="Arial"/>
                <w:b/>
                <w:bCs/>
                <w:color w:val="000000"/>
                <w:sz w:val="16"/>
                <w:szCs w:val="16"/>
              </w:rPr>
            </w:pPr>
            <w:r>
              <w:rPr>
                <w:rFonts w:cs="Arial"/>
                <w:b/>
                <w:bCs/>
                <w:sz w:val="16"/>
                <w:szCs w:val="16"/>
              </w:rPr>
              <w:t>41,0</w:t>
            </w:r>
          </w:p>
        </w:tc>
        <w:tc>
          <w:tcPr>
            <w:tcW w:w="709" w:type="dxa"/>
            <w:tcBorders>
              <w:top w:val="nil"/>
              <w:left w:val="nil"/>
              <w:bottom w:val="nil"/>
              <w:right w:val="nil"/>
            </w:tcBorders>
            <w:shd w:val="clear" w:color="auto" w:fill="auto"/>
            <w:noWrap/>
            <w:vAlign w:val="center"/>
            <w:hideMark/>
          </w:tcPr>
          <w:p w14:paraId="10FB9595" w14:textId="1CC5578D" w:rsidR="00DE09A0" w:rsidRPr="00D92E20" w:rsidRDefault="00DE09A0" w:rsidP="00DE09A0">
            <w:pPr>
              <w:spacing w:after="0" w:line="240" w:lineRule="auto"/>
              <w:jc w:val="center"/>
              <w:rPr>
                <w:rFonts w:cs="Arial"/>
                <w:b/>
                <w:bCs/>
                <w:color w:val="000000"/>
                <w:sz w:val="16"/>
                <w:szCs w:val="16"/>
              </w:rPr>
            </w:pPr>
            <w:r>
              <w:rPr>
                <w:rFonts w:cs="Arial"/>
                <w:b/>
                <w:bCs/>
                <w:color w:val="000000"/>
                <w:sz w:val="16"/>
                <w:szCs w:val="16"/>
              </w:rPr>
              <w:t>39,1</w:t>
            </w:r>
          </w:p>
        </w:tc>
        <w:tc>
          <w:tcPr>
            <w:tcW w:w="709" w:type="dxa"/>
            <w:tcBorders>
              <w:top w:val="nil"/>
              <w:left w:val="nil"/>
              <w:bottom w:val="nil"/>
              <w:right w:val="nil"/>
            </w:tcBorders>
            <w:shd w:val="clear" w:color="auto" w:fill="auto"/>
            <w:noWrap/>
            <w:vAlign w:val="center"/>
            <w:hideMark/>
          </w:tcPr>
          <w:p w14:paraId="1EA62370" w14:textId="2F889B82" w:rsidR="00DE09A0" w:rsidRPr="00D92E20" w:rsidRDefault="00DE09A0" w:rsidP="00DE09A0">
            <w:pPr>
              <w:spacing w:after="0" w:line="240" w:lineRule="auto"/>
              <w:jc w:val="center"/>
              <w:rPr>
                <w:rFonts w:cs="Arial"/>
                <w:b/>
                <w:bCs/>
                <w:color w:val="000000"/>
                <w:sz w:val="16"/>
                <w:szCs w:val="16"/>
              </w:rPr>
            </w:pPr>
            <w:r>
              <w:rPr>
                <w:rFonts w:cs="Arial"/>
                <w:b/>
                <w:bCs/>
                <w:color w:val="000000"/>
                <w:sz w:val="16"/>
                <w:szCs w:val="16"/>
              </w:rPr>
              <w:t>42,6</w:t>
            </w:r>
          </w:p>
        </w:tc>
        <w:tc>
          <w:tcPr>
            <w:tcW w:w="709" w:type="dxa"/>
            <w:tcBorders>
              <w:top w:val="nil"/>
              <w:left w:val="nil"/>
              <w:bottom w:val="nil"/>
              <w:right w:val="nil"/>
            </w:tcBorders>
            <w:shd w:val="clear" w:color="auto" w:fill="auto"/>
            <w:noWrap/>
            <w:vAlign w:val="center"/>
            <w:hideMark/>
          </w:tcPr>
          <w:p w14:paraId="66AA3CE7" w14:textId="11A48E4D" w:rsidR="00DE09A0" w:rsidRPr="00D92E20" w:rsidRDefault="00DE09A0" w:rsidP="00DE09A0">
            <w:pPr>
              <w:spacing w:after="0" w:line="240" w:lineRule="auto"/>
              <w:jc w:val="center"/>
              <w:rPr>
                <w:rFonts w:cs="Arial"/>
                <w:b/>
                <w:bCs/>
                <w:color w:val="000000"/>
                <w:sz w:val="16"/>
                <w:szCs w:val="16"/>
              </w:rPr>
            </w:pPr>
            <w:r>
              <w:rPr>
                <w:rFonts w:cs="Arial"/>
                <w:b/>
                <w:bCs/>
                <w:color w:val="000000"/>
                <w:sz w:val="16"/>
                <w:szCs w:val="16"/>
              </w:rPr>
              <w:t>44,3</w:t>
            </w:r>
          </w:p>
        </w:tc>
        <w:tc>
          <w:tcPr>
            <w:tcW w:w="709" w:type="dxa"/>
            <w:tcBorders>
              <w:top w:val="nil"/>
              <w:left w:val="nil"/>
              <w:bottom w:val="nil"/>
              <w:right w:val="nil"/>
            </w:tcBorders>
            <w:shd w:val="clear" w:color="auto" w:fill="auto"/>
            <w:noWrap/>
            <w:vAlign w:val="center"/>
            <w:hideMark/>
          </w:tcPr>
          <w:p w14:paraId="2BEF531E" w14:textId="5895CB53" w:rsidR="00DE09A0" w:rsidRPr="00D92E20" w:rsidRDefault="00DE09A0" w:rsidP="00DE09A0">
            <w:pPr>
              <w:spacing w:after="0" w:line="240" w:lineRule="auto"/>
              <w:jc w:val="center"/>
              <w:rPr>
                <w:rFonts w:cs="Arial"/>
                <w:b/>
                <w:bCs/>
                <w:color w:val="000000"/>
                <w:sz w:val="16"/>
                <w:szCs w:val="16"/>
              </w:rPr>
            </w:pPr>
            <w:r>
              <w:rPr>
                <w:rFonts w:cs="Arial"/>
                <w:b/>
                <w:bCs/>
                <w:color w:val="000000"/>
                <w:sz w:val="16"/>
                <w:szCs w:val="16"/>
              </w:rPr>
              <w:t>36,3</w:t>
            </w:r>
          </w:p>
        </w:tc>
        <w:tc>
          <w:tcPr>
            <w:tcW w:w="709" w:type="dxa"/>
            <w:tcBorders>
              <w:top w:val="nil"/>
              <w:left w:val="nil"/>
              <w:bottom w:val="nil"/>
              <w:right w:val="nil"/>
            </w:tcBorders>
            <w:shd w:val="clear" w:color="auto" w:fill="auto"/>
            <w:noWrap/>
            <w:vAlign w:val="center"/>
            <w:hideMark/>
          </w:tcPr>
          <w:p w14:paraId="175480A4" w14:textId="4CB6D553" w:rsidR="00DE09A0" w:rsidRPr="00D92E20" w:rsidRDefault="00DE09A0" w:rsidP="00DE09A0">
            <w:pPr>
              <w:spacing w:after="0" w:line="240" w:lineRule="auto"/>
              <w:jc w:val="center"/>
              <w:rPr>
                <w:rFonts w:cs="Arial"/>
                <w:b/>
                <w:bCs/>
                <w:color w:val="000000"/>
                <w:sz w:val="16"/>
                <w:szCs w:val="16"/>
              </w:rPr>
            </w:pPr>
            <w:r>
              <w:rPr>
                <w:rFonts w:cs="Arial"/>
                <w:b/>
                <w:bCs/>
                <w:color w:val="000000"/>
                <w:sz w:val="16"/>
                <w:szCs w:val="16"/>
              </w:rPr>
              <w:t>24,5</w:t>
            </w:r>
          </w:p>
        </w:tc>
      </w:tr>
      <w:tr w:rsidR="00DE09A0" w:rsidRPr="00D92E20" w14:paraId="20CA713A" w14:textId="77777777" w:rsidTr="00161606">
        <w:trPr>
          <w:trHeight w:val="300"/>
        </w:trPr>
        <w:tc>
          <w:tcPr>
            <w:tcW w:w="1871" w:type="dxa"/>
            <w:tcBorders>
              <w:top w:val="nil"/>
              <w:left w:val="nil"/>
              <w:bottom w:val="nil"/>
              <w:right w:val="single" w:sz="4" w:space="0" w:color="auto"/>
            </w:tcBorders>
            <w:shd w:val="clear" w:color="auto" w:fill="auto"/>
            <w:noWrap/>
            <w:vAlign w:val="center"/>
            <w:hideMark/>
          </w:tcPr>
          <w:p w14:paraId="33CB57F5" w14:textId="77777777" w:rsidR="00DE09A0" w:rsidRPr="00D92E20" w:rsidRDefault="00DE09A0" w:rsidP="00DE09A0">
            <w:pPr>
              <w:spacing w:after="0" w:line="240" w:lineRule="auto"/>
              <w:ind w:firstLineChars="100" w:firstLine="160"/>
              <w:rPr>
                <w:rFonts w:cs="Arial"/>
                <w:color w:val="000000"/>
                <w:sz w:val="16"/>
                <w:szCs w:val="16"/>
              </w:rPr>
            </w:pPr>
            <w:r w:rsidRPr="00D92E20">
              <w:rPr>
                <w:rFonts w:cs="Arial"/>
                <w:color w:val="000000"/>
                <w:sz w:val="16"/>
                <w:szCs w:val="16"/>
              </w:rPr>
              <w:t>Hl. m. Praha</w:t>
            </w:r>
          </w:p>
        </w:tc>
        <w:tc>
          <w:tcPr>
            <w:tcW w:w="709" w:type="dxa"/>
            <w:tcBorders>
              <w:top w:val="nil"/>
              <w:left w:val="nil"/>
              <w:bottom w:val="nil"/>
              <w:right w:val="nil"/>
            </w:tcBorders>
            <w:shd w:val="clear" w:color="auto" w:fill="auto"/>
            <w:noWrap/>
            <w:vAlign w:val="center"/>
            <w:hideMark/>
          </w:tcPr>
          <w:p w14:paraId="1AFA24BA" w14:textId="589046B7" w:rsidR="00DE09A0" w:rsidRPr="00D92E20" w:rsidRDefault="00DE09A0" w:rsidP="00DE09A0">
            <w:pPr>
              <w:spacing w:after="0" w:line="240" w:lineRule="auto"/>
              <w:jc w:val="center"/>
              <w:rPr>
                <w:rFonts w:cs="Arial"/>
                <w:color w:val="000000"/>
                <w:sz w:val="16"/>
                <w:szCs w:val="16"/>
              </w:rPr>
            </w:pPr>
            <w:r>
              <w:rPr>
                <w:rFonts w:cs="Arial"/>
                <w:sz w:val="16"/>
                <w:szCs w:val="16"/>
              </w:rPr>
              <w:t>42,4</w:t>
            </w:r>
          </w:p>
        </w:tc>
        <w:tc>
          <w:tcPr>
            <w:tcW w:w="709" w:type="dxa"/>
            <w:tcBorders>
              <w:top w:val="nil"/>
              <w:left w:val="nil"/>
              <w:bottom w:val="nil"/>
              <w:right w:val="nil"/>
            </w:tcBorders>
            <w:shd w:val="clear" w:color="auto" w:fill="auto"/>
            <w:noWrap/>
            <w:vAlign w:val="center"/>
            <w:hideMark/>
          </w:tcPr>
          <w:p w14:paraId="095FBB6E" w14:textId="3E29D063" w:rsidR="00DE09A0" w:rsidRPr="00D92E20" w:rsidRDefault="00DE09A0" w:rsidP="00DE09A0">
            <w:pPr>
              <w:spacing w:after="0" w:line="240" w:lineRule="auto"/>
              <w:jc w:val="center"/>
              <w:rPr>
                <w:rFonts w:cs="Arial"/>
                <w:color w:val="000000"/>
                <w:sz w:val="16"/>
                <w:szCs w:val="16"/>
              </w:rPr>
            </w:pPr>
            <w:r>
              <w:rPr>
                <w:rFonts w:cs="Arial"/>
                <w:sz w:val="16"/>
                <w:szCs w:val="16"/>
              </w:rPr>
              <w:t>37,4</w:t>
            </w:r>
          </w:p>
        </w:tc>
        <w:tc>
          <w:tcPr>
            <w:tcW w:w="709" w:type="dxa"/>
            <w:tcBorders>
              <w:top w:val="nil"/>
              <w:left w:val="nil"/>
              <w:bottom w:val="nil"/>
              <w:right w:val="nil"/>
            </w:tcBorders>
            <w:shd w:val="clear" w:color="auto" w:fill="auto"/>
            <w:noWrap/>
            <w:vAlign w:val="center"/>
            <w:hideMark/>
          </w:tcPr>
          <w:p w14:paraId="38A625DB" w14:textId="6CF1DB02" w:rsidR="00DE09A0" w:rsidRPr="00D92E20" w:rsidRDefault="00DE09A0" w:rsidP="00DE09A0">
            <w:pPr>
              <w:spacing w:after="0" w:line="240" w:lineRule="auto"/>
              <w:jc w:val="center"/>
              <w:rPr>
                <w:rFonts w:cs="Arial"/>
                <w:color w:val="000000"/>
                <w:sz w:val="16"/>
                <w:szCs w:val="16"/>
              </w:rPr>
            </w:pPr>
            <w:r>
              <w:rPr>
                <w:rFonts w:cs="Arial"/>
                <w:sz w:val="16"/>
                <w:szCs w:val="16"/>
              </w:rPr>
              <w:t>40,3</w:t>
            </w:r>
          </w:p>
        </w:tc>
        <w:tc>
          <w:tcPr>
            <w:tcW w:w="709" w:type="dxa"/>
            <w:tcBorders>
              <w:top w:val="nil"/>
              <w:left w:val="nil"/>
              <w:bottom w:val="nil"/>
              <w:right w:val="nil"/>
            </w:tcBorders>
            <w:shd w:val="clear" w:color="auto" w:fill="auto"/>
            <w:noWrap/>
            <w:vAlign w:val="center"/>
            <w:hideMark/>
          </w:tcPr>
          <w:p w14:paraId="5907138E" w14:textId="61633EF0" w:rsidR="00DE09A0" w:rsidRPr="00D92E20" w:rsidRDefault="00DE09A0" w:rsidP="00DE09A0">
            <w:pPr>
              <w:spacing w:after="0" w:line="240" w:lineRule="auto"/>
              <w:jc w:val="center"/>
              <w:rPr>
                <w:rFonts w:cs="Arial"/>
                <w:color w:val="000000"/>
                <w:sz w:val="16"/>
                <w:szCs w:val="16"/>
              </w:rPr>
            </w:pPr>
            <w:r>
              <w:rPr>
                <w:rFonts w:cs="Arial"/>
                <w:sz w:val="16"/>
                <w:szCs w:val="16"/>
              </w:rPr>
              <w:t>36,5</w:t>
            </w:r>
          </w:p>
        </w:tc>
        <w:tc>
          <w:tcPr>
            <w:tcW w:w="709" w:type="dxa"/>
            <w:tcBorders>
              <w:top w:val="nil"/>
              <w:left w:val="nil"/>
              <w:bottom w:val="nil"/>
              <w:right w:val="nil"/>
            </w:tcBorders>
            <w:shd w:val="clear" w:color="auto" w:fill="auto"/>
            <w:noWrap/>
            <w:vAlign w:val="center"/>
            <w:hideMark/>
          </w:tcPr>
          <w:p w14:paraId="7F8615FC" w14:textId="394D9009" w:rsidR="00DE09A0" w:rsidRPr="00D92E20" w:rsidRDefault="00DE09A0" w:rsidP="00DE09A0">
            <w:pPr>
              <w:spacing w:after="0" w:line="240" w:lineRule="auto"/>
              <w:jc w:val="center"/>
              <w:rPr>
                <w:rFonts w:cs="Arial"/>
                <w:color w:val="000000"/>
                <w:sz w:val="16"/>
                <w:szCs w:val="16"/>
              </w:rPr>
            </w:pPr>
            <w:r>
              <w:rPr>
                <w:rFonts w:cs="Arial"/>
                <w:sz w:val="16"/>
                <w:szCs w:val="16"/>
              </w:rPr>
              <w:t>37,3</w:t>
            </w:r>
          </w:p>
        </w:tc>
        <w:tc>
          <w:tcPr>
            <w:tcW w:w="709" w:type="dxa"/>
            <w:tcBorders>
              <w:top w:val="nil"/>
              <w:left w:val="nil"/>
              <w:bottom w:val="nil"/>
              <w:right w:val="nil"/>
            </w:tcBorders>
            <w:shd w:val="clear" w:color="auto" w:fill="auto"/>
            <w:noWrap/>
            <w:vAlign w:val="center"/>
            <w:hideMark/>
          </w:tcPr>
          <w:p w14:paraId="560657DC" w14:textId="3855A522" w:rsidR="00DE09A0" w:rsidRPr="00D92E20" w:rsidRDefault="00DE09A0" w:rsidP="00DE09A0">
            <w:pPr>
              <w:spacing w:after="0" w:line="240" w:lineRule="auto"/>
              <w:jc w:val="center"/>
              <w:rPr>
                <w:rFonts w:cs="Arial"/>
                <w:color w:val="000000"/>
                <w:sz w:val="16"/>
                <w:szCs w:val="16"/>
              </w:rPr>
            </w:pPr>
            <w:r>
              <w:rPr>
                <w:rFonts w:cs="Arial"/>
                <w:sz w:val="16"/>
                <w:szCs w:val="16"/>
              </w:rPr>
              <w:t>37,2</w:t>
            </w:r>
          </w:p>
        </w:tc>
        <w:tc>
          <w:tcPr>
            <w:tcW w:w="709" w:type="dxa"/>
            <w:tcBorders>
              <w:top w:val="nil"/>
              <w:left w:val="nil"/>
              <w:bottom w:val="nil"/>
              <w:right w:val="nil"/>
            </w:tcBorders>
            <w:shd w:val="clear" w:color="auto" w:fill="auto"/>
            <w:noWrap/>
            <w:vAlign w:val="center"/>
            <w:hideMark/>
          </w:tcPr>
          <w:p w14:paraId="4C6581BE" w14:textId="2C4118B7" w:rsidR="00DE09A0" w:rsidRPr="00D92E20" w:rsidRDefault="00DE09A0" w:rsidP="00DE09A0">
            <w:pPr>
              <w:spacing w:after="0" w:line="240" w:lineRule="auto"/>
              <w:jc w:val="center"/>
              <w:rPr>
                <w:rFonts w:cs="Arial"/>
                <w:color w:val="000000"/>
                <w:sz w:val="16"/>
                <w:szCs w:val="16"/>
              </w:rPr>
            </w:pPr>
            <w:r>
              <w:rPr>
                <w:rFonts w:cs="Arial"/>
                <w:color w:val="000000"/>
                <w:sz w:val="16"/>
                <w:szCs w:val="16"/>
              </w:rPr>
              <w:t>36,7</w:t>
            </w:r>
          </w:p>
        </w:tc>
        <w:tc>
          <w:tcPr>
            <w:tcW w:w="709" w:type="dxa"/>
            <w:tcBorders>
              <w:top w:val="nil"/>
              <w:left w:val="nil"/>
              <w:bottom w:val="nil"/>
              <w:right w:val="nil"/>
            </w:tcBorders>
            <w:shd w:val="clear" w:color="auto" w:fill="auto"/>
            <w:noWrap/>
            <w:vAlign w:val="center"/>
            <w:hideMark/>
          </w:tcPr>
          <w:p w14:paraId="6D2F224C" w14:textId="2651BFBA" w:rsidR="00DE09A0" w:rsidRPr="00D92E20" w:rsidRDefault="00DE09A0" w:rsidP="00DE09A0">
            <w:pPr>
              <w:spacing w:after="0" w:line="240" w:lineRule="auto"/>
              <w:jc w:val="center"/>
              <w:rPr>
                <w:rFonts w:cs="Arial"/>
                <w:color w:val="000000"/>
                <w:sz w:val="16"/>
                <w:szCs w:val="16"/>
              </w:rPr>
            </w:pPr>
            <w:r>
              <w:rPr>
                <w:rFonts w:cs="Arial"/>
                <w:color w:val="000000"/>
                <w:sz w:val="16"/>
                <w:szCs w:val="16"/>
              </w:rPr>
              <w:t>39,5</w:t>
            </w:r>
          </w:p>
        </w:tc>
        <w:tc>
          <w:tcPr>
            <w:tcW w:w="709" w:type="dxa"/>
            <w:tcBorders>
              <w:top w:val="nil"/>
              <w:left w:val="nil"/>
              <w:bottom w:val="nil"/>
              <w:right w:val="nil"/>
            </w:tcBorders>
            <w:shd w:val="clear" w:color="auto" w:fill="auto"/>
            <w:noWrap/>
            <w:vAlign w:val="center"/>
            <w:hideMark/>
          </w:tcPr>
          <w:p w14:paraId="4443BA5D" w14:textId="7087F3C0" w:rsidR="00DE09A0" w:rsidRPr="00D92E20" w:rsidRDefault="00DE09A0" w:rsidP="00DE09A0">
            <w:pPr>
              <w:spacing w:after="0" w:line="240" w:lineRule="auto"/>
              <w:jc w:val="center"/>
              <w:rPr>
                <w:rFonts w:cs="Arial"/>
                <w:color w:val="000000"/>
                <w:sz w:val="16"/>
                <w:szCs w:val="16"/>
              </w:rPr>
            </w:pPr>
            <w:r>
              <w:rPr>
                <w:rFonts w:cs="Arial"/>
                <w:color w:val="000000"/>
                <w:sz w:val="16"/>
                <w:szCs w:val="16"/>
              </w:rPr>
              <w:t>40,5</w:t>
            </w:r>
          </w:p>
        </w:tc>
        <w:tc>
          <w:tcPr>
            <w:tcW w:w="709" w:type="dxa"/>
            <w:tcBorders>
              <w:top w:val="nil"/>
              <w:left w:val="nil"/>
              <w:bottom w:val="nil"/>
              <w:right w:val="nil"/>
            </w:tcBorders>
            <w:shd w:val="clear" w:color="auto" w:fill="auto"/>
            <w:noWrap/>
            <w:vAlign w:val="center"/>
            <w:hideMark/>
          </w:tcPr>
          <w:p w14:paraId="75516C41" w14:textId="336776E3" w:rsidR="00DE09A0" w:rsidRPr="00D92E20" w:rsidRDefault="00DE09A0" w:rsidP="00DE09A0">
            <w:pPr>
              <w:spacing w:after="0" w:line="240" w:lineRule="auto"/>
              <w:jc w:val="center"/>
              <w:rPr>
                <w:rFonts w:cs="Arial"/>
                <w:color w:val="000000"/>
                <w:sz w:val="16"/>
                <w:szCs w:val="16"/>
              </w:rPr>
            </w:pPr>
            <w:r>
              <w:rPr>
                <w:rFonts w:cs="Arial"/>
                <w:color w:val="000000"/>
                <w:sz w:val="16"/>
                <w:szCs w:val="16"/>
              </w:rPr>
              <w:t>35,8</w:t>
            </w:r>
          </w:p>
        </w:tc>
        <w:tc>
          <w:tcPr>
            <w:tcW w:w="709" w:type="dxa"/>
            <w:tcBorders>
              <w:top w:val="nil"/>
              <w:left w:val="nil"/>
              <w:bottom w:val="nil"/>
              <w:right w:val="nil"/>
            </w:tcBorders>
            <w:shd w:val="clear" w:color="auto" w:fill="auto"/>
            <w:noWrap/>
            <w:vAlign w:val="center"/>
            <w:hideMark/>
          </w:tcPr>
          <w:p w14:paraId="4FB2FE16" w14:textId="3813B205" w:rsidR="00DE09A0" w:rsidRPr="00D92E20" w:rsidRDefault="00DE09A0" w:rsidP="00DE09A0">
            <w:pPr>
              <w:spacing w:after="0" w:line="240" w:lineRule="auto"/>
              <w:jc w:val="center"/>
              <w:rPr>
                <w:rFonts w:cs="Arial"/>
                <w:color w:val="000000"/>
                <w:sz w:val="16"/>
                <w:szCs w:val="16"/>
              </w:rPr>
            </w:pPr>
            <w:r>
              <w:rPr>
                <w:rFonts w:cs="Arial"/>
                <w:color w:val="000000"/>
                <w:sz w:val="16"/>
                <w:szCs w:val="16"/>
              </w:rPr>
              <w:t>23,3</w:t>
            </w:r>
          </w:p>
        </w:tc>
      </w:tr>
      <w:tr w:rsidR="00DE09A0" w:rsidRPr="00D92E20" w14:paraId="02BA9F81" w14:textId="77777777" w:rsidTr="00161606">
        <w:trPr>
          <w:trHeight w:val="300"/>
        </w:trPr>
        <w:tc>
          <w:tcPr>
            <w:tcW w:w="1871" w:type="dxa"/>
            <w:tcBorders>
              <w:top w:val="nil"/>
              <w:left w:val="nil"/>
              <w:bottom w:val="nil"/>
              <w:right w:val="single" w:sz="4" w:space="0" w:color="auto"/>
            </w:tcBorders>
            <w:shd w:val="clear" w:color="auto" w:fill="auto"/>
            <w:noWrap/>
            <w:vAlign w:val="center"/>
            <w:hideMark/>
          </w:tcPr>
          <w:p w14:paraId="116692BE" w14:textId="77777777" w:rsidR="00DE09A0" w:rsidRPr="00D92E20" w:rsidRDefault="00DE09A0" w:rsidP="00DE09A0">
            <w:pPr>
              <w:spacing w:after="0" w:line="240" w:lineRule="auto"/>
              <w:ind w:firstLineChars="100" w:firstLine="160"/>
              <w:rPr>
                <w:rFonts w:cs="Arial"/>
                <w:color w:val="000000"/>
                <w:sz w:val="16"/>
                <w:szCs w:val="16"/>
              </w:rPr>
            </w:pPr>
            <w:r w:rsidRPr="00D92E20">
              <w:rPr>
                <w:rFonts w:cs="Arial"/>
                <w:color w:val="000000"/>
                <w:sz w:val="16"/>
                <w:szCs w:val="16"/>
              </w:rPr>
              <w:t>Středočeský kraj</w:t>
            </w:r>
          </w:p>
        </w:tc>
        <w:tc>
          <w:tcPr>
            <w:tcW w:w="709" w:type="dxa"/>
            <w:tcBorders>
              <w:top w:val="nil"/>
              <w:left w:val="nil"/>
              <w:bottom w:val="nil"/>
              <w:right w:val="nil"/>
            </w:tcBorders>
            <w:shd w:val="clear" w:color="auto" w:fill="auto"/>
            <w:noWrap/>
            <w:vAlign w:val="center"/>
            <w:hideMark/>
          </w:tcPr>
          <w:p w14:paraId="2718403E" w14:textId="4FC222D6" w:rsidR="00DE09A0" w:rsidRPr="00D92E20" w:rsidRDefault="00DE09A0" w:rsidP="00DE09A0">
            <w:pPr>
              <w:spacing w:after="0" w:line="240" w:lineRule="auto"/>
              <w:jc w:val="center"/>
              <w:rPr>
                <w:rFonts w:cs="Arial"/>
                <w:color w:val="000000"/>
                <w:sz w:val="16"/>
                <w:szCs w:val="16"/>
              </w:rPr>
            </w:pPr>
            <w:r>
              <w:rPr>
                <w:rFonts w:cs="Arial"/>
                <w:sz w:val="16"/>
                <w:szCs w:val="16"/>
              </w:rPr>
              <w:t>46,5</w:t>
            </w:r>
          </w:p>
        </w:tc>
        <w:tc>
          <w:tcPr>
            <w:tcW w:w="709" w:type="dxa"/>
            <w:tcBorders>
              <w:top w:val="nil"/>
              <w:left w:val="nil"/>
              <w:bottom w:val="nil"/>
              <w:right w:val="nil"/>
            </w:tcBorders>
            <w:shd w:val="clear" w:color="auto" w:fill="auto"/>
            <w:noWrap/>
            <w:vAlign w:val="center"/>
            <w:hideMark/>
          </w:tcPr>
          <w:p w14:paraId="68654D5B" w14:textId="789D771D" w:rsidR="00DE09A0" w:rsidRPr="00D92E20" w:rsidRDefault="00DE09A0" w:rsidP="00DE09A0">
            <w:pPr>
              <w:spacing w:after="0" w:line="240" w:lineRule="auto"/>
              <w:jc w:val="center"/>
              <w:rPr>
                <w:rFonts w:cs="Arial"/>
                <w:color w:val="000000"/>
                <w:sz w:val="16"/>
                <w:szCs w:val="16"/>
              </w:rPr>
            </w:pPr>
            <w:r>
              <w:rPr>
                <w:rFonts w:cs="Arial"/>
                <w:sz w:val="16"/>
                <w:szCs w:val="16"/>
              </w:rPr>
              <w:t>40,3</w:t>
            </w:r>
          </w:p>
        </w:tc>
        <w:tc>
          <w:tcPr>
            <w:tcW w:w="709" w:type="dxa"/>
            <w:tcBorders>
              <w:top w:val="nil"/>
              <w:left w:val="nil"/>
              <w:bottom w:val="nil"/>
              <w:right w:val="nil"/>
            </w:tcBorders>
            <w:shd w:val="clear" w:color="auto" w:fill="auto"/>
            <w:noWrap/>
            <w:vAlign w:val="center"/>
            <w:hideMark/>
          </w:tcPr>
          <w:p w14:paraId="11559D2A" w14:textId="3F1DC157" w:rsidR="00DE09A0" w:rsidRPr="00D92E20" w:rsidRDefault="00DE09A0" w:rsidP="00DE09A0">
            <w:pPr>
              <w:spacing w:after="0" w:line="240" w:lineRule="auto"/>
              <w:jc w:val="center"/>
              <w:rPr>
                <w:rFonts w:cs="Arial"/>
                <w:color w:val="000000"/>
                <w:sz w:val="16"/>
                <w:szCs w:val="16"/>
              </w:rPr>
            </w:pPr>
            <w:r>
              <w:rPr>
                <w:rFonts w:cs="Arial"/>
                <w:sz w:val="16"/>
                <w:szCs w:val="16"/>
              </w:rPr>
              <w:t>43,3</w:t>
            </w:r>
          </w:p>
        </w:tc>
        <w:tc>
          <w:tcPr>
            <w:tcW w:w="709" w:type="dxa"/>
            <w:tcBorders>
              <w:top w:val="nil"/>
              <w:left w:val="nil"/>
              <w:bottom w:val="nil"/>
              <w:right w:val="nil"/>
            </w:tcBorders>
            <w:shd w:val="clear" w:color="auto" w:fill="auto"/>
            <w:noWrap/>
            <w:vAlign w:val="center"/>
            <w:hideMark/>
          </w:tcPr>
          <w:p w14:paraId="1C7B0676" w14:textId="4D39A7CE" w:rsidR="00DE09A0" w:rsidRPr="00D92E20" w:rsidRDefault="00DE09A0" w:rsidP="00DE09A0">
            <w:pPr>
              <w:spacing w:after="0" w:line="240" w:lineRule="auto"/>
              <w:jc w:val="center"/>
              <w:rPr>
                <w:rFonts w:cs="Arial"/>
                <w:color w:val="000000"/>
                <w:sz w:val="16"/>
                <w:szCs w:val="16"/>
              </w:rPr>
            </w:pPr>
            <w:r>
              <w:rPr>
                <w:rFonts w:cs="Arial"/>
                <w:sz w:val="16"/>
                <w:szCs w:val="16"/>
              </w:rPr>
              <w:t>38,3</w:t>
            </w:r>
          </w:p>
        </w:tc>
        <w:tc>
          <w:tcPr>
            <w:tcW w:w="709" w:type="dxa"/>
            <w:tcBorders>
              <w:top w:val="nil"/>
              <w:left w:val="nil"/>
              <w:bottom w:val="nil"/>
              <w:right w:val="nil"/>
            </w:tcBorders>
            <w:shd w:val="clear" w:color="auto" w:fill="auto"/>
            <w:noWrap/>
            <w:vAlign w:val="center"/>
            <w:hideMark/>
          </w:tcPr>
          <w:p w14:paraId="36B3AB2B" w14:textId="43DEEA66" w:rsidR="00DE09A0" w:rsidRPr="00D92E20" w:rsidRDefault="00DE09A0" w:rsidP="00DE09A0">
            <w:pPr>
              <w:spacing w:after="0" w:line="240" w:lineRule="auto"/>
              <w:jc w:val="center"/>
              <w:rPr>
                <w:rFonts w:cs="Arial"/>
                <w:color w:val="000000"/>
                <w:sz w:val="16"/>
                <w:szCs w:val="16"/>
              </w:rPr>
            </w:pPr>
            <w:r>
              <w:rPr>
                <w:rFonts w:cs="Arial"/>
                <w:sz w:val="16"/>
                <w:szCs w:val="16"/>
              </w:rPr>
              <w:t>39,3</w:t>
            </w:r>
          </w:p>
        </w:tc>
        <w:tc>
          <w:tcPr>
            <w:tcW w:w="709" w:type="dxa"/>
            <w:tcBorders>
              <w:top w:val="nil"/>
              <w:left w:val="nil"/>
              <w:bottom w:val="nil"/>
              <w:right w:val="nil"/>
            </w:tcBorders>
            <w:shd w:val="clear" w:color="auto" w:fill="auto"/>
            <w:noWrap/>
            <w:vAlign w:val="center"/>
            <w:hideMark/>
          </w:tcPr>
          <w:p w14:paraId="25BA6358" w14:textId="12CB476C" w:rsidR="00DE09A0" w:rsidRPr="00D92E20" w:rsidRDefault="00DE09A0" w:rsidP="00DE09A0">
            <w:pPr>
              <w:spacing w:after="0" w:line="240" w:lineRule="auto"/>
              <w:jc w:val="center"/>
              <w:rPr>
                <w:rFonts w:cs="Arial"/>
                <w:color w:val="000000"/>
                <w:sz w:val="16"/>
                <w:szCs w:val="16"/>
              </w:rPr>
            </w:pPr>
            <w:r>
              <w:rPr>
                <w:rFonts w:cs="Arial"/>
                <w:sz w:val="16"/>
                <w:szCs w:val="16"/>
              </w:rPr>
              <w:t>38,9</w:t>
            </w:r>
          </w:p>
        </w:tc>
        <w:tc>
          <w:tcPr>
            <w:tcW w:w="709" w:type="dxa"/>
            <w:tcBorders>
              <w:top w:val="nil"/>
              <w:left w:val="nil"/>
              <w:bottom w:val="nil"/>
              <w:right w:val="nil"/>
            </w:tcBorders>
            <w:shd w:val="clear" w:color="auto" w:fill="auto"/>
            <w:noWrap/>
            <w:vAlign w:val="center"/>
            <w:hideMark/>
          </w:tcPr>
          <w:p w14:paraId="7A81EED2" w14:textId="0AB6C21F" w:rsidR="00DE09A0" w:rsidRPr="00D92E20" w:rsidRDefault="00DE09A0" w:rsidP="00DE09A0">
            <w:pPr>
              <w:spacing w:after="0" w:line="240" w:lineRule="auto"/>
              <w:jc w:val="center"/>
              <w:rPr>
                <w:rFonts w:cs="Arial"/>
                <w:color w:val="000000"/>
                <w:sz w:val="16"/>
                <w:szCs w:val="16"/>
              </w:rPr>
            </w:pPr>
            <w:r>
              <w:rPr>
                <w:rFonts w:cs="Arial"/>
                <w:color w:val="000000"/>
                <w:sz w:val="16"/>
                <w:szCs w:val="16"/>
              </w:rPr>
              <w:t>36,8</w:t>
            </w:r>
          </w:p>
        </w:tc>
        <w:tc>
          <w:tcPr>
            <w:tcW w:w="709" w:type="dxa"/>
            <w:tcBorders>
              <w:top w:val="nil"/>
              <w:left w:val="nil"/>
              <w:bottom w:val="nil"/>
              <w:right w:val="nil"/>
            </w:tcBorders>
            <w:shd w:val="clear" w:color="auto" w:fill="auto"/>
            <w:noWrap/>
            <w:vAlign w:val="center"/>
            <w:hideMark/>
          </w:tcPr>
          <w:p w14:paraId="65B3F5E8" w14:textId="1A71D4FD" w:rsidR="00DE09A0" w:rsidRPr="00D92E20" w:rsidRDefault="00DE09A0" w:rsidP="00DE09A0">
            <w:pPr>
              <w:spacing w:after="0" w:line="240" w:lineRule="auto"/>
              <w:jc w:val="center"/>
              <w:rPr>
                <w:rFonts w:cs="Arial"/>
                <w:color w:val="000000"/>
                <w:sz w:val="16"/>
                <w:szCs w:val="16"/>
              </w:rPr>
            </w:pPr>
            <w:r>
              <w:rPr>
                <w:rFonts w:cs="Arial"/>
                <w:color w:val="000000"/>
                <w:sz w:val="16"/>
                <w:szCs w:val="16"/>
              </w:rPr>
              <w:t>40,6</w:t>
            </w:r>
          </w:p>
        </w:tc>
        <w:tc>
          <w:tcPr>
            <w:tcW w:w="709" w:type="dxa"/>
            <w:tcBorders>
              <w:top w:val="nil"/>
              <w:left w:val="nil"/>
              <w:bottom w:val="nil"/>
              <w:right w:val="nil"/>
            </w:tcBorders>
            <w:shd w:val="clear" w:color="auto" w:fill="auto"/>
            <w:noWrap/>
            <w:vAlign w:val="center"/>
            <w:hideMark/>
          </w:tcPr>
          <w:p w14:paraId="43EDBCCB" w14:textId="784E6908" w:rsidR="00DE09A0" w:rsidRPr="00D92E20" w:rsidRDefault="00DE09A0" w:rsidP="00DE09A0">
            <w:pPr>
              <w:spacing w:after="0" w:line="240" w:lineRule="auto"/>
              <w:jc w:val="center"/>
              <w:rPr>
                <w:rFonts w:cs="Arial"/>
                <w:color w:val="000000"/>
                <w:sz w:val="16"/>
                <w:szCs w:val="16"/>
              </w:rPr>
            </w:pPr>
            <w:r>
              <w:rPr>
                <w:rFonts w:cs="Arial"/>
                <w:color w:val="000000"/>
                <w:sz w:val="16"/>
                <w:szCs w:val="16"/>
              </w:rPr>
              <w:t>42,7</w:t>
            </w:r>
          </w:p>
        </w:tc>
        <w:tc>
          <w:tcPr>
            <w:tcW w:w="709" w:type="dxa"/>
            <w:tcBorders>
              <w:top w:val="nil"/>
              <w:left w:val="nil"/>
              <w:bottom w:val="nil"/>
              <w:right w:val="nil"/>
            </w:tcBorders>
            <w:shd w:val="clear" w:color="auto" w:fill="auto"/>
            <w:noWrap/>
            <w:vAlign w:val="center"/>
            <w:hideMark/>
          </w:tcPr>
          <w:p w14:paraId="127086B9" w14:textId="38D013B7" w:rsidR="00DE09A0" w:rsidRPr="00D92E20" w:rsidRDefault="00DE09A0" w:rsidP="00DE09A0">
            <w:pPr>
              <w:spacing w:after="0" w:line="240" w:lineRule="auto"/>
              <w:jc w:val="center"/>
              <w:rPr>
                <w:rFonts w:cs="Arial"/>
                <w:color w:val="000000"/>
                <w:sz w:val="16"/>
                <w:szCs w:val="16"/>
              </w:rPr>
            </w:pPr>
            <w:r>
              <w:rPr>
                <w:rFonts w:cs="Arial"/>
                <w:color w:val="000000"/>
                <w:sz w:val="16"/>
                <w:szCs w:val="16"/>
              </w:rPr>
              <w:t>33,5</w:t>
            </w:r>
          </w:p>
        </w:tc>
        <w:tc>
          <w:tcPr>
            <w:tcW w:w="709" w:type="dxa"/>
            <w:tcBorders>
              <w:top w:val="nil"/>
              <w:left w:val="nil"/>
              <w:bottom w:val="nil"/>
              <w:right w:val="nil"/>
            </w:tcBorders>
            <w:shd w:val="clear" w:color="auto" w:fill="auto"/>
            <w:noWrap/>
            <w:vAlign w:val="center"/>
            <w:hideMark/>
          </w:tcPr>
          <w:p w14:paraId="01ED2BEC" w14:textId="59287899" w:rsidR="00DE09A0" w:rsidRPr="00D92E20" w:rsidRDefault="00DE09A0" w:rsidP="00DE09A0">
            <w:pPr>
              <w:spacing w:after="0" w:line="240" w:lineRule="auto"/>
              <w:jc w:val="center"/>
              <w:rPr>
                <w:rFonts w:cs="Arial"/>
                <w:color w:val="000000"/>
                <w:sz w:val="16"/>
                <w:szCs w:val="16"/>
              </w:rPr>
            </w:pPr>
            <w:r>
              <w:rPr>
                <w:rFonts w:cs="Arial"/>
                <w:color w:val="000000"/>
                <w:sz w:val="16"/>
                <w:szCs w:val="16"/>
              </w:rPr>
              <w:t>23,0</w:t>
            </w:r>
          </w:p>
        </w:tc>
      </w:tr>
      <w:tr w:rsidR="00DE09A0" w:rsidRPr="00D92E20" w14:paraId="0E7046AA" w14:textId="77777777" w:rsidTr="00161606">
        <w:trPr>
          <w:trHeight w:val="300"/>
        </w:trPr>
        <w:tc>
          <w:tcPr>
            <w:tcW w:w="1871" w:type="dxa"/>
            <w:tcBorders>
              <w:top w:val="nil"/>
              <w:left w:val="nil"/>
              <w:bottom w:val="nil"/>
              <w:right w:val="single" w:sz="4" w:space="0" w:color="auto"/>
            </w:tcBorders>
            <w:shd w:val="clear" w:color="auto" w:fill="auto"/>
            <w:noWrap/>
            <w:vAlign w:val="center"/>
            <w:hideMark/>
          </w:tcPr>
          <w:p w14:paraId="4C85D621" w14:textId="77777777" w:rsidR="00DE09A0" w:rsidRPr="00D92E20" w:rsidRDefault="00DE09A0" w:rsidP="00DE09A0">
            <w:pPr>
              <w:spacing w:after="0" w:line="240" w:lineRule="auto"/>
              <w:ind w:firstLineChars="100" w:firstLine="160"/>
              <w:rPr>
                <w:rFonts w:cs="Arial"/>
                <w:color w:val="000000"/>
                <w:sz w:val="16"/>
                <w:szCs w:val="16"/>
              </w:rPr>
            </w:pPr>
            <w:r w:rsidRPr="00D92E20">
              <w:rPr>
                <w:rFonts w:cs="Arial"/>
                <w:color w:val="000000"/>
                <w:sz w:val="16"/>
                <w:szCs w:val="16"/>
              </w:rPr>
              <w:t>Jihočeský kraj</w:t>
            </w:r>
          </w:p>
        </w:tc>
        <w:tc>
          <w:tcPr>
            <w:tcW w:w="709" w:type="dxa"/>
            <w:tcBorders>
              <w:top w:val="nil"/>
              <w:left w:val="nil"/>
              <w:bottom w:val="nil"/>
              <w:right w:val="nil"/>
            </w:tcBorders>
            <w:shd w:val="clear" w:color="auto" w:fill="auto"/>
            <w:noWrap/>
            <w:vAlign w:val="center"/>
            <w:hideMark/>
          </w:tcPr>
          <w:p w14:paraId="45749EA7" w14:textId="327727B7" w:rsidR="00DE09A0" w:rsidRPr="00D92E20" w:rsidRDefault="00DE09A0" w:rsidP="00DE09A0">
            <w:pPr>
              <w:spacing w:after="0" w:line="240" w:lineRule="auto"/>
              <w:jc w:val="center"/>
              <w:rPr>
                <w:rFonts w:cs="Arial"/>
                <w:color w:val="000000"/>
                <w:sz w:val="16"/>
                <w:szCs w:val="16"/>
              </w:rPr>
            </w:pPr>
            <w:r>
              <w:rPr>
                <w:rFonts w:cs="Arial"/>
                <w:sz w:val="16"/>
                <w:szCs w:val="16"/>
              </w:rPr>
              <w:t>51,4</w:t>
            </w:r>
          </w:p>
        </w:tc>
        <w:tc>
          <w:tcPr>
            <w:tcW w:w="709" w:type="dxa"/>
            <w:tcBorders>
              <w:top w:val="nil"/>
              <w:left w:val="nil"/>
              <w:bottom w:val="nil"/>
              <w:right w:val="nil"/>
            </w:tcBorders>
            <w:shd w:val="clear" w:color="auto" w:fill="auto"/>
            <w:noWrap/>
            <w:vAlign w:val="center"/>
            <w:hideMark/>
          </w:tcPr>
          <w:p w14:paraId="25F749BB" w14:textId="20FED06B" w:rsidR="00DE09A0" w:rsidRPr="00D92E20" w:rsidRDefault="00DE09A0" w:rsidP="00DE09A0">
            <w:pPr>
              <w:spacing w:after="0" w:line="240" w:lineRule="auto"/>
              <w:jc w:val="center"/>
              <w:rPr>
                <w:rFonts w:cs="Arial"/>
                <w:color w:val="000000"/>
                <w:sz w:val="16"/>
                <w:szCs w:val="16"/>
              </w:rPr>
            </w:pPr>
            <w:r>
              <w:rPr>
                <w:rFonts w:cs="Arial"/>
                <w:sz w:val="16"/>
                <w:szCs w:val="16"/>
              </w:rPr>
              <w:t>43,7</w:t>
            </w:r>
          </w:p>
        </w:tc>
        <w:tc>
          <w:tcPr>
            <w:tcW w:w="709" w:type="dxa"/>
            <w:tcBorders>
              <w:top w:val="nil"/>
              <w:left w:val="nil"/>
              <w:bottom w:val="nil"/>
              <w:right w:val="nil"/>
            </w:tcBorders>
            <w:shd w:val="clear" w:color="auto" w:fill="auto"/>
            <w:noWrap/>
            <w:vAlign w:val="center"/>
            <w:hideMark/>
          </w:tcPr>
          <w:p w14:paraId="1AD45557" w14:textId="701813CF" w:rsidR="00DE09A0" w:rsidRPr="00D92E20" w:rsidRDefault="00DE09A0" w:rsidP="00DE09A0">
            <w:pPr>
              <w:spacing w:after="0" w:line="240" w:lineRule="auto"/>
              <w:jc w:val="center"/>
              <w:rPr>
                <w:rFonts w:cs="Arial"/>
                <w:color w:val="000000"/>
                <w:sz w:val="16"/>
                <w:szCs w:val="16"/>
              </w:rPr>
            </w:pPr>
            <w:r>
              <w:rPr>
                <w:rFonts w:cs="Arial"/>
                <w:sz w:val="16"/>
                <w:szCs w:val="16"/>
              </w:rPr>
              <w:t>48,3</w:t>
            </w:r>
          </w:p>
        </w:tc>
        <w:tc>
          <w:tcPr>
            <w:tcW w:w="709" w:type="dxa"/>
            <w:tcBorders>
              <w:top w:val="nil"/>
              <w:left w:val="nil"/>
              <w:bottom w:val="nil"/>
              <w:right w:val="nil"/>
            </w:tcBorders>
            <w:shd w:val="clear" w:color="auto" w:fill="auto"/>
            <w:noWrap/>
            <w:vAlign w:val="center"/>
            <w:hideMark/>
          </w:tcPr>
          <w:p w14:paraId="5EDAAC3E" w14:textId="74E649DB" w:rsidR="00DE09A0" w:rsidRPr="00D92E20" w:rsidRDefault="00DE09A0" w:rsidP="00DE09A0">
            <w:pPr>
              <w:spacing w:after="0" w:line="240" w:lineRule="auto"/>
              <w:jc w:val="center"/>
              <w:rPr>
                <w:rFonts w:cs="Arial"/>
                <w:color w:val="000000"/>
                <w:sz w:val="16"/>
                <w:szCs w:val="16"/>
              </w:rPr>
            </w:pPr>
            <w:r>
              <w:rPr>
                <w:rFonts w:cs="Arial"/>
                <w:sz w:val="16"/>
                <w:szCs w:val="16"/>
              </w:rPr>
              <w:t>41,1</w:t>
            </w:r>
          </w:p>
        </w:tc>
        <w:tc>
          <w:tcPr>
            <w:tcW w:w="709" w:type="dxa"/>
            <w:tcBorders>
              <w:top w:val="nil"/>
              <w:left w:val="nil"/>
              <w:bottom w:val="nil"/>
              <w:right w:val="nil"/>
            </w:tcBorders>
            <w:shd w:val="clear" w:color="auto" w:fill="auto"/>
            <w:noWrap/>
            <w:vAlign w:val="center"/>
            <w:hideMark/>
          </w:tcPr>
          <w:p w14:paraId="060EA4DD" w14:textId="08280F98" w:rsidR="00DE09A0" w:rsidRPr="00D92E20" w:rsidRDefault="00DE09A0" w:rsidP="00DE09A0">
            <w:pPr>
              <w:spacing w:after="0" w:line="240" w:lineRule="auto"/>
              <w:jc w:val="center"/>
              <w:rPr>
                <w:rFonts w:cs="Arial"/>
                <w:color w:val="000000"/>
                <w:sz w:val="16"/>
                <w:szCs w:val="16"/>
              </w:rPr>
            </w:pPr>
            <w:r>
              <w:rPr>
                <w:rFonts w:cs="Arial"/>
                <w:sz w:val="16"/>
                <w:szCs w:val="16"/>
              </w:rPr>
              <w:t>44,1</w:t>
            </w:r>
          </w:p>
        </w:tc>
        <w:tc>
          <w:tcPr>
            <w:tcW w:w="709" w:type="dxa"/>
            <w:tcBorders>
              <w:top w:val="nil"/>
              <w:left w:val="nil"/>
              <w:bottom w:val="nil"/>
              <w:right w:val="nil"/>
            </w:tcBorders>
            <w:shd w:val="clear" w:color="auto" w:fill="auto"/>
            <w:noWrap/>
            <w:vAlign w:val="center"/>
            <w:hideMark/>
          </w:tcPr>
          <w:p w14:paraId="7AD759B2" w14:textId="64DECC28" w:rsidR="00DE09A0" w:rsidRPr="00D92E20" w:rsidRDefault="00DE09A0" w:rsidP="00DE09A0">
            <w:pPr>
              <w:spacing w:after="0" w:line="240" w:lineRule="auto"/>
              <w:jc w:val="center"/>
              <w:rPr>
                <w:rFonts w:cs="Arial"/>
                <w:color w:val="000000"/>
                <w:sz w:val="16"/>
                <w:szCs w:val="16"/>
              </w:rPr>
            </w:pPr>
            <w:r>
              <w:rPr>
                <w:rFonts w:cs="Arial"/>
                <w:sz w:val="16"/>
                <w:szCs w:val="16"/>
              </w:rPr>
              <w:t>42,8</w:t>
            </w:r>
          </w:p>
        </w:tc>
        <w:tc>
          <w:tcPr>
            <w:tcW w:w="709" w:type="dxa"/>
            <w:tcBorders>
              <w:top w:val="nil"/>
              <w:left w:val="nil"/>
              <w:bottom w:val="nil"/>
              <w:right w:val="nil"/>
            </w:tcBorders>
            <w:shd w:val="clear" w:color="auto" w:fill="auto"/>
            <w:noWrap/>
            <w:vAlign w:val="center"/>
            <w:hideMark/>
          </w:tcPr>
          <w:p w14:paraId="3298F056" w14:textId="222E7F6F" w:rsidR="00DE09A0" w:rsidRPr="00D92E20" w:rsidRDefault="00DE09A0" w:rsidP="00DE09A0">
            <w:pPr>
              <w:spacing w:after="0" w:line="240" w:lineRule="auto"/>
              <w:jc w:val="center"/>
              <w:rPr>
                <w:rFonts w:cs="Arial"/>
                <w:color w:val="000000"/>
                <w:sz w:val="16"/>
                <w:szCs w:val="16"/>
              </w:rPr>
            </w:pPr>
            <w:r>
              <w:rPr>
                <w:rFonts w:cs="Arial"/>
                <w:color w:val="000000"/>
                <w:sz w:val="16"/>
                <w:szCs w:val="16"/>
              </w:rPr>
              <w:t>40,5</w:t>
            </w:r>
          </w:p>
        </w:tc>
        <w:tc>
          <w:tcPr>
            <w:tcW w:w="709" w:type="dxa"/>
            <w:tcBorders>
              <w:top w:val="nil"/>
              <w:left w:val="nil"/>
              <w:bottom w:val="nil"/>
              <w:right w:val="nil"/>
            </w:tcBorders>
            <w:shd w:val="clear" w:color="auto" w:fill="auto"/>
            <w:noWrap/>
            <w:vAlign w:val="center"/>
            <w:hideMark/>
          </w:tcPr>
          <w:p w14:paraId="3048D1A9" w14:textId="3D14A6DB" w:rsidR="00DE09A0" w:rsidRPr="00D92E20" w:rsidRDefault="00DE09A0" w:rsidP="00DE09A0">
            <w:pPr>
              <w:spacing w:after="0" w:line="240" w:lineRule="auto"/>
              <w:jc w:val="center"/>
              <w:rPr>
                <w:rFonts w:cs="Arial"/>
                <w:color w:val="000000"/>
                <w:sz w:val="16"/>
                <w:szCs w:val="16"/>
              </w:rPr>
            </w:pPr>
            <w:r>
              <w:rPr>
                <w:rFonts w:cs="Arial"/>
                <w:color w:val="000000"/>
                <w:sz w:val="16"/>
                <w:szCs w:val="16"/>
              </w:rPr>
              <w:t>44,7</w:t>
            </w:r>
          </w:p>
        </w:tc>
        <w:tc>
          <w:tcPr>
            <w:tcW w:w="709" w:type="dxa"/>
            <w:tcBorders>
              <w:top w:val="nil"/>
              <w:left w:val="nil"/>
              <w:bottom w:val="nil"/>
              <w:right w:val="nil"/>
            </w:tcBorders>
            <w:shd w:val="clear" w:color="auto" w:fill="auto"/>
            <w:noWrap/>
            <w:vAlign w:val="center"/>
            <w:hideMark/>
          </w:tcPr>
          <w:p w14:paraId="749FFFA2" w14:textId="51B6BA42" w:rsidR="00DE09A0" w:rsidRPr="00D92E20" w:rsidRDefault="00DE09A0" w:rsidP="00DE09A0">
            <w:pPr>
              <w:spacing w:after="0" w:line="240" w:lineRule="auto"/>
              <w:jc w:val="center"/>
              <w:rPr>
                <w:rFonts w:cs="Arial"/>
                <w:color w:val="000000"/>
                <w:sz w:val="16"/>
                <w:szCs w:val="16"/>
              </w:rPr>
            </w:pPr>
            <w:r>
              <w:rPr>
                <w:rFonts w:cs="Arial"/>
                <w:color w:val="000000"/>
                <w:sz w:val="16"/>
                <w:szCs w:val="16"/>
              </w:rPr>
              <w:t>46,1</w:t>
            </w:r>
          </w:p>
        </w:tc>
        <w:tc>
          <w:tcPr>
            <w:tcW w:w="709" w:type="dxa"/>
            <w:tcBorders>
              <w:top w:val="nil"/>
              <w:left w:val="nil"/>
              <w:bottom w:val="nil"/>
              <w:right w:val="nil"/>
            </w:tcBorders>
            <w:shd w:val="clear" w:color="auto" w:fill="auto"/>
            <w:noWrap/>
            <w:vAlign w:val="center"/>
            <w:hideMark/>
          </w:tcPr>
          <w:p w14:paraId="391ECF61" w14:textId="292CCC41" w:rsidR="00DE09A0" w:rsidRPr="00D92E20" w:rsidRDefault="00DE09A0" w:rsidP="00DE09A0">
            <w:pPr>
              <w:spacing w:after="0" w:line="240" w:lineRule="auto"/>
              <w:jc w:val="center"/>
              <w:rPr>
                <w:rFonts w:cs="Arial"/>
                <w:color w:val="000000"/>
                <w:sz w:val="16"/>
                <w:szCs w:val="16"/>
              </w:rPr>
            </w:pPr>
            <w:r>
              <w:rPr>
                <w:rFonts w:cs="Arial"/>
                <w:color w:val="000000"/>
                <w:sz w:val="16"/>
                <w:szCs w:val="16"/>
              </w:rPr>
              <w:t>36,6</w:t>
            </w:r>
          </w:p>
        </w:tc>
        <w:tc>
          <w:tcPr>
            <w:tcW w:w="709" w:type="dxa"/>
            <w:tcBorders>
              <w:top w:val="nil"/>
              <w:left w:val="nil"/>
              <w:bottom w:val="nil"/>
              <w:right w:val="nil"/>
            </w:tcBorders>
            <w:shd w:val="clear" w:color="auto" w:fill="auto"/>
            <w:noWrap/>
            <w:vAlign w:val="center"/>
            <w:hideMark/>
          </w:tcPr>
          <w:p w14:paraId="6E069ADF" w14:textId="640A22E7" w:rsidR="00DE09A0" w:rsidRPr="00D92E20" w:rsidRDefault="00DE09A0" w:rsidP="00DE09A0">
            <w:pPr>
              <w:spacing w:after="0" w:line="240" w:lineRule="auto"/>
              <w:jc w:val="center"/>
              <w:rPr>
                <w:rFonts w:cs="Arial"/>
                <w:color w:val="000000"/>
                <w:sz w:val="16"/>
                <w:szCs w:val="16"/>
              </w:rPr>
            </w:pPr>
            <w:r>
              <w:rPr>
                <w:rFonts w:cs="Arial"/>
                <w:color w:val="000000"/>
                <w:sz w:val="16"/>
                <w:szCs w:val="16"/>
              </w:rPr>
              <w:t>25,1</w:t>
            </w:r>
          </w:p>
        </w:tc>
      </w:tr>
      <w:tr w:rsidR="00DE09A0" w:rsidRPr="00D92E20" w14:paraId="19B374FF" w14:textId="77777777" w:rsidTr="00161606">
        <w:trPr>
          <w:trHeight w:val="300"/>
        </w:trPr>
        <w:tc>
          <w:tcPr>
            <w:tcW w:w="1871" w:type="dxa"/>
            <w:tcBorders>
              <w:top w:val="nil"/>
              <w:left w:val="nil"/>
              <w:bottom w:val="nil"/>
              <w:right w:val="single" w:sz="4" w:space="0" w:color="auto"/>
            </w:tcBorders>
            <w:shd w:val="clear" w:color="auto" w:fill="auto"/>
            <w:noWrap/>
            <w:vAlign w:val="center"/>
            <w:hideMark/>
          </w:tcPr>
          <w:p w14:paraId="04539FBC" w14:textId="77777777" w:rsidR="00DE09A0" w:rsidRPr="00D92E20" w:rsidRDefault="00DE09A0" w:rsidP="00DE09A0">
            <w:pPr>
              <w:spacing w:after="0" w:line="240" w:lineRule="auto"/>
              <w:ind w:firstLineChars="100" w:firstLine="160"/>
              <w:rPr>
                <w:rFonts w:cs="Arial"/>
                <w:color w:val="000000"/>
                <w:sz w:val="16"/>
                <w:szCs w:val="16"/>
              </w:rPr>
            </w:pPr>
            <w:r w:rsidRPr="00D92E20">
              <w:rPr>
                <w:rFonts w:cs="Arial"/>
                <w:color w:val="000000"/>
                <w:sz w:val="16"/>
                <w:szCs w:val="16"/>
              </w:rPr>
              <w:t>Plzeňský kraj</w:t>
            </w:r>
          </w:p>
        </w:tc>
        <w:tc>
          <w:tcPr>
            <w:tcW w:w="709" w:type="dxa"/>
            <w:tcBorders>
              <w:top w:val="nil"/>
              <w:left w:val="nil"/>
              <w:bottom w:val="nil"/>
              <w:right w:val="nil"/>
            </w:tcBorders>
            <w:shd w:val="clear" w:color="auto" w:fill="auto"/>
            <w:noWrap/>
            <w:vAlign w:val="center"/>
            <w:hideMark/>
          </w:tcPr>
          <w:p w14:paraId="172396B6" w14:textId="6DCA3E01" w:rsidR="00DE09A0" w:rsidRPr="00D92E20" w:rsidRDefault="00DE09A0" w:rsidP="00DE09A0">
            <w:pPr>
              <w:spacing w:after="0" w:line="240" w:lineRule="auto"/>
              <w:jc w:val="center"/>
              <w:rPr>
                <w:rFonts w:cs="Arial"/>
                <w:color w:val="000000"/>
                <w:sz w:val="16"/>
                <w:szCs w:val="16"/>
              </w:rPr>
            </w:pPr>
            <w:r>
              <w:rPr>
                <w:rFonts w:cs="Arial"/>
                <w:sz w:val="16"/>
                <w:szCs w:val="16"/>
              </w:rPr>
              <w:t>44,0</w:t>
            </w:r>
          </w:p>
        </w:tc>
        <w:tc>
          <w:tcPr>
            <w:tcW w:w="709" w:type="dxa"/>
            <w:tcBorders>
              <w:top w:val="nil"/>
              <w:left w:val="nil"/>
              <w:bottom w:val="nil"/>
              <w:right w:val="nil"/>
            </w:tcBorders>
            <w:shd w:val="clear" w:color="auto" w:fill="auto"/>
            <w:noWrap/>
            <w:vAlign w:val="center"/>
            <w:hideMark/>
          </w:tcPr>
          <w:p w14:paraId="4B598C6C" w14:textId="28A80237" w:rsidR="00DE09A0" w:rsidRPr="00D92E20" w:rsidRDefault="00DE09A0" w:rsidP="00DE09A0">
            <w:pPr>
              <w:spacing w:after="0" w:line="240" w:lineRule="auto"/>
              <w:jc w:val="center"/>
              <w:rPr>
                <w:rFonts w:cs="Arial"/>
                <w:color w:val="000000"/>
                <w:sz w:val="16"/>
                <w:szCs w:val="16"/>
              </w:rPr>
            </w:pPr>
            <w:r>
              <w:rPr>
                <w:rFonts w:cs="Arial"/>
                <w:sz w:val="16"/>
                <w:szCs w:val="16"/>
              </w:rPr>
              <w:t>40,0</w:t>
            </w:r>
          </w:p>
        </w:tc>
        <w:tc>
          <w:tcPr>
            <w:tcW w:w="709" w:type="dxa"/>
            <w:tcBorders>
              <w:top w:val="nil"/>
              <w:left w:val="nil"/>
              <w:bottom w:val="nil"/>
              <w:right w:val="nil"/>
            </w:tcBorders>
            <w:shd w:val="clear" w:color="auto" w:fill="auto"/>
            <w:noWrap/>
            <w:vAlign w:val="center"/>
            <w:hideMark/>
          </w:tcPr>
          <w:p w14:paraId="456CEFF0" w14:textId="06B76D10" w:rsidR="00DE09A0" w:rsidRPr="00D92E20" w:rsidRDefault="00DE09A0" w:rsidP="00DE09A0">
            <w:pPr>
              <w:spacing w:after="0" w:line="240" w:lineRule="auto"/>
              <w:jc w:val="center"/>
              <w:rPr>
                <w:rFonts w:cs="Arial"/>
                <w:color w:val="000000"/>
                <w:sz w:val="16"/>
                <w:szCs w:val="16"/>
              </w:rPr>
            </w:pPr>
            <w:r>
              <w:rPr>
                <w:rFonts w:cs="Arial"/>
                <w:sz w:val="16"/>
                <w:szCs w:val="16"/>
              </w:rPr>
              <w:t>41,9</w:t>
            </w:r>
          </w:p>
        </w:tc>
        <w:tc>
          <w:tcPr>
            <w:tcW w:w="709" w:type="dxa"/>
            <w:tcBorders>
              <w:top w:val="nil"/>
              <w:left w:val="nil"/>
              <w:bottom w:val="nil"/>
              <w:right w:val="nil"/>
            </w:tcBorders>
            <w:shd w:val="clear" w:color="auto" w:fill="auto"/>
            <w:noWrap/>
            <w:vAlign w:val="center"/>
            <w:hideMark/>
          </w:tcPr>
          <w:p w14:paraId="7F3DA8D2" w14:textId="31C7928E" w:rsidR="00DE09A0" w:rsidRPr="00D92E20" w:rsidRDefault="00DE09A0" w:rsidP="00DE09A0">
            <w:pPr>
              <w:spacing w:after="0" w:line="240" w:lineRule="auto"/>
              <w:jc w:val="center"/>
              <w:rPr>
                <w:rFonts w:cs="Arial"/>
                <w:color w:val="000000"/>
                <w:sz w:val="16"/>
                <w:szCs w:val="16"/>
              </w:rPr>
            </w:pPr>
            <w:r>
              <w:rPr>
                <w:rFonts w:cs="Arial"/>
                <w:sz w:val="16"/>
                <w:szCs w:val="16"/>
              </w:rPr>
              <w:t>36,6</w:t>
            </w:r>
          </w:p>
        </w:tc>
        <w:tc>
          <w:tcPr>
            <w:tcW w:w="709" w:type="dxa"/>
            <w:tcBorders>
              <w:top w:val="nil"/>
              <w:left w:val="nil"/>
              <w:bottom w:val="nil"/>
              <w:right w:val="nil"/>
            </w:tcBorders>
            <w:shd w:val="clear" w:color="auto" w:fill="auto"/>
            <w:noWrap/>
            <w:vAlign w:val="center"/>
            <w:hideMark/>
          </w:tcPr>
          <w:p w14:paraId="7B8269EF" w14:textId="61D3870B" w:rsidR="00DE09A0" w:rsidRPr="00D92E20" w:rsidRDefault="00DE09A0" w:rsidP="00DE09A0">
            <w:pPr>
              <w:spacing w:after="0" w:line="240" w:lineRule="auto"/>
              <w:jc w:val="center"/>
              <w:rPr>
                <w:rFonts w:cs="Arial"/>
                <w:color w:val="000000"/>
                <w:sz w:val="16"/>
                <w:szCs w:val="16"/>
              </w:rPr>
            </w:pPr>
            <w:r>
              <w:rPr>
                <w:rFonts w:cs="Arial"/>
                <w:sz w:val="16"/>
                <w:szCs w:val="16"/>
              </w:rPr>
              <w:t>39,1</w:t>
            </w:r>
          </w:p>
        </w:tc>
        <w:tc>
          <w:tcPr>
            <w:tcW w:w="709" w:type="dxa"/>
            <w:tcBorders>
              <w:top w:val="nil"/>
              <w:left w:val="nil"/>
              <w:bottom w:val="nil"/>
              <w:right w:val="nil"/>
            </w:tcBorders>
            <w:shd w:val="clear" w:color="auto" w:fill="auto"/>
            <w:noWrap/>
            <w:vAlign w:val="center"/>
            <w:hideMark/>
          </w:tcPr>
          <w:p w14:paraId="5526FA85" w14:textId="4CAE5B83" w:rsidR="00DE09A0" w:rsidRPr="00D92E20" w:rsidRDefault="00DE09A0" w:rsidP="00DE09A0">
            <w:pPr>
              <w:spacing w:after="0" w:line="240" w:lineRule="auto"/>
              <w:jc w:val="center"/>
              <w:rPr>
                <w:rFonts w:cs="Arial"/>
                <w:color w:val="000000"/>
                <w:sz w:val="16"/>
                <w:szCs w:val="16"/>
              </w:rPr>
            </w:pPr>
            <w:r>
              <w:rPr>
                <w:rFonts w:cs="Arial"/>
                <w:sz w:val="16"/>
                <w:szCs w:val="16"/>
              </w:rPr>
              <w:t>37,6</w:t>
            </w:r>
          </w:p>
        </w:tc>
        <w:tc>
          <w:tcPr>
            <w:tcW w:w="709" w:type="dxa"/>
            <w:tcBorders>
              <w:top w:val="nil"/>
              <w:left w:val="nil"/>
              <w:bottom w:val="nil"/>
              <w:right w:val="nil"/>
            </w:tcBorders>
            <w:shd w:val="clear" w:color="auto" w:fill="auto"/>
            <w:noWrap/>
            <w:vAlign w:val="center"/>
            <w:hideMark/>
          </w:tcPr>
          <w:p w14:paraId="5365B488" w14:textId="1C4EA37B" w:rsidR="00DE09A0" w:rsidRPr="00D92E20" w:rsidRDefault="00DE09A0" w:rsidP="00DE09A0">
            <w:pPr>
              <w:spacing w:after="0" w:line="240" w:lineRule="auto"/>
              <w:jc w:val="center"/>
              <w:rPr>
                <w:rFonts w:cs="Arial"/>
                <w:color w:val="000000"/>
                <w:sz w:val="16"/>
                <w:szCs w:val="16"/>
              </w:rPr>
            </w:pPr>
            <w:r>
              <w:rPr>
                <w:rFonts w:cs="Arial"/>
                <w:color w:val="000000"/>
                <w:sz w:val="16"/>
                <w:szCs w:val="16"/>
              </w:rPr>
              <w:t>35,7</w:t>
            </w:r>
          </w:p>
        </w:tc>
        <w:tc>
          <w:tcPr>
            <w:tcW w:w="709" w:type="dxa"/>
            <w:tcBorders>
              <w:top w:val="nil"/>
              <w:left w:val="nil"/>
              <w:bottom w:val="nil"/>
              <w:right w:val="nil"/>
            </w:tcBorders>
            <w:shd w:val="clear" w:color="auto" w:fill="auto"/>
            <w:noWrap/>
            <w:vAlign w:val="center"/>
            <w:hideMark/>
          </w:tcPr>
          <w:p w14:paraId="7FCB94AD" w14:textId="78E252CE" w:rsidR="00DE09A0" w:rsidRPr="00D92E20" w:rsidRDefault="00DE09A0" w:rsidP="00DE09A0">
            <w:pPr>
              <w:spacing w:after="0" w:line="240" w:lineRule="auto"/>
              <w:jc w:val="center"/>
              <w:rPr>
                <w:rFonts w:cs="Arial"/>
                <w:color w:val="000000"/>
                <w:sz w:val="16"/>
                <w:szCs w:val="16"/>
              </w:rPr>
            </w:pPr>
            <w:r>
              <w:rPr>
                <w:rFonts w:cs="Arial"/>
                <w:color w:val="000000"/>
                <w:sz w:val="16"/>
                <w:szCs w:val="16"/>
              </w:rPr>
              <w:t>39,2</w:t>
            </w:r>
          </w:p>
        </w:tc>
        <w:tc>
          <w:tcPr>
            <w:tcW w:w="709" w:type="dxa"/>
            <w:tcBorders>
              <w:top w:val="nil"/>
              <w:left w:val="nil"/>
              <w:bottom w:val="nil"/>
              <w:right w:val="nil"/>
            </w:tcBorders>
            <w:shd w:val="clear" w:color="auto" w:fill="auto"/>
            <w:noWrap/>
            <w:vAlign w:val="center"/>
            <w:hideMark/>
          </w:tcPr>
          <w:p w14:paraId="4013B7CB" w14:textId="2B5A761F" w:rsidR="00DE09A0" w:rsidRPr="00D92E20" w:rsidRDefault="00DE09A0" w:rsidP="00DE09A0">
            <w:pPr>
              <w:spacing w:after="0" w:line="240" w:lineRule="auto"/>
              <w:jc w:val="center"/>
              <w:rPr>
                <w:rFonts w:cs="Arial"/>
                <w:color w:val="000000"/>
                <w:sz w:val="16"/>
                <w:szCs w:val="16"/>
              </w:rPr>
            </w:pPr>
            <w:r>
              <w:rPr>
                <w:rFonts w:cs="Arial"/>
                <w:color w:val="000000"/>
                <w:sz w:val="16"/>
                <w:szCs w:val="16"/>
              </w:rPr>
              <w:t>42,2</w:t>
            </w:r>
          </w:p>
        </w:tc>
        <w:tc>
          <w:tcPr>
            <w:tcW w:w="709" w:type="dxa"/>
            <w:tcBorders>
              <w:top w:val="nil"/>
              <w:left w:val="nil"/>
              <w:bottom w:val="nil"/>
              <w:right w:val="nil"/>
            </w:tcBorders>
            <w:shd w:val="clear" w:color="auto" w:fill="auto"/>
            <w:noWrap/>
            <w:vAlign w:val="center"/>
            <w:hideMark/>
          </w:tcPr>
          <w:p w14:paraId="4F7EC5D4" w14:textId="66286317" w:rsidR="00DE09A0" w:rsidRPr="00D92E20" w:rsidRDefault="00DE09A0" w:rsidP="00DE09A0">
            <w:pPr>
              <w:spacing w:after="0" w:line="240" w:lineRule="auto"/>
              <w:jc w:val="center"/>
              <w:rPr>
                <w:rFonts w:cs="Arial"/>
                <w:color w:val="000000"/>
                <w:sz w:val="16"/>
                <w:szCs w:val="16"/>
              </w:rPr>
            </w:pPr>
            <w:r>
              <w:rPr>
                <w:rFonts w:cs="Arial"/>
                <w:color w:val="000000"/>
                <w:sz w:val="16"/>
                <w:szCs w:val="16"/>
              </w:rPr>
              <w:t>33,8</w:t>
            </w:r>
          </w:p>
        </w:tc>
        <w:tc>
          <w:tcPr>
            <w:tcW w:w="709" w:type="dxa"/>
            <w:tcBorders>
              <w:top w:val="nil"/>
              <w:left w:val="nil"/>
              <w:bottom w:val="nil"/>
              <w:right w:val="nil"/>
            </w:tcBorders>
            <w:shd w:val="clear" w:color="auto" w:fill="auto"/>
            <w:noWrap/>
            <w:vAlign w:val="center"/>
            <w:hideMark/>
          </w:tcPr>
          <w:p w14:paraId="4D78431C" w14:textId="41B82872" w:rsidR="00DE09A0" w:rsidRPr="00D92E20" w:rsidRDefault="00DE09A0" w:rsidP="00DE09A0">
            <w:pPr>
              <w:spacing w:after="0" w:line="240" w:lineRule="auto"/>
              <w:jc w:val="center"/>
              <w:rPr>
                <w:rFonts w:cs="Arial"/>
                <w:color w:val="000000"/>
                <w:sz w:val="16"/>
                <w:szCs w:val="16"/>
              </w:rPr>
            </w:pPr>
            <w:r>
              <w:rPr>
                <w:rFonts w:cs="Arial"/>
                <w:color w:val="000000"/>
                <w:sz w:val="16"/>
                <w:szCs w:val="16"/>
              </w:rPr>
              <w:t>23,1</w:t>
            </w:r>
          </w:p>
        </w:tc>
      </w:tr>
      <w:tr w:rsidR="00DE09A0" w:rsidRPr="00D92E20" w14:paraId="7AC7BFB6" w14:textId="77777777" w:rsidTr="00161606">
        <w:trPr>
          <w:trHeight w:val="300"/>
        </w:trPr>
        <w:tc>
          <w:tcPr>
            <w:tcW w:w="1871" w:type="dxa"/>
            <w:tcBorders>
              <w:top w:val="nil"/>
              <w:left w:val="nil"/>
              <w:bottom w:val="nil"/>
              <w:right w:val="single" w:sz="4" w:space="0" w:color="auto"/>
            </w:tcBorders>
            <w:shd w:val="clear" w:color="auto" w:fill="auto"/>
            <w:noWrap/>
            <w:vAlign w:val="center"/>
            <w:hideMark/>
          </w:tcPr>
          <w:p w14:paraId="149C1CBA" w14:textId="77777777" w:rsidR="00DE09A0" w:rsidRPr="00D92E20" w:rsidRDefault="00DE09A0" w:rsidP="00DE09A0">
            <w:pPr>
              <w:spacing w:after="0" w:line="240" w:lineRule="auto"/>
              <w:ind w:firstLineChars="100" w:firstLine="160"/>
              <w:rPr>
                <w:rFonts w:cs="Arial"/>
                <w:color w:val="000000"/>
                <w:sz w:val="16"/>
                <w:szCs w:val="16"/>
              </w:rPr>
            </w:pPr>
            <w:r w:rsidRPr="00D92E20">
              <w:rPr>
                <w:rFonts w:cs="Arial"/>
                <w:color w:val="000000"/>
                <w:sz w:val="16"/>
                <w:szCs w:val="16"/>
              </w:rPr>
              <w:t>Karlovarský kraj</w:t>
            </w:r>
          </w:p>
        </w:tc>
        <w:tc>
          <w:tcPr>
            <w:tcW w:w="709" w:type="dxa"/>
            <w:tcBorders>
              <w:top w:val="nil"/>
              <w:left w:val="nil"/>
              <w:bottom w:val="nil"/>
              <w:right w:val="nil"/>
            </w:tcBorders>
            <w:shd w:val="clear" w:color="auto" w:fill="auto"/>
            <w:noWrap/>
            <w:vAlign w:val="center"/>
            <w:hideMark/>
          </w:tcPr>
          <w:p w14:paraId="4406C6FD" w14:textId="4C173B3A" w:rsidR="00DE09A0" w:rsidRPr="00D92E20" w:rsidRDefault="00DE09A0" w:rsidP="00DE09A0">
            <w:pPr>
              <w:spacing w:after="0" w:line="240" w:lineRule="auto"/>
              <w:jc w:val="center"/>
              <w:rPr>
                <w:rFonts w:cs="Arial"/>
                <w:color w:val="000000"/>
                <w:sz w:val="16"/>
                <w:szCs w:val="16"/>
              </w:rPr>
            </w:pPr>
            <w:r>
              <w:rPr>
                <w:rFonts w:cs="Arial"/>
                <w:sz w:val="16"/>
                <w:szCs w:val="16"/>
              </w:rPr>
              <w:t>41,9</w:t>
            </w:r>
          </w:p>
        </w:tc>
        <w:tc>
          <w:tcPr>
            <w:tcW w:w="709" w:type="dxa"/>
            <w:tcBorders>
              <w:top w:val="nil"/>
              <w:left w:val="nil"/>
              <w:bottom w:val="nil"/>
              <w:right w:val="nil"/>
            </w:tcBorders>
            <w:shd w:val="clear" w:color="auto" w:fill="auto"/>
            <w:noWrap/>
            <w:vAlign w:val="center"/>
            <w:hideMark/>
          </w:tcPr>
          <w:p w14:paraId="530CB352" w14:textId="0EA44D50" w:rsidR="00DE09A0" w:rsidRPr="00D92E20" w:rsidRDefault="00DE09A0" w:rsidP="00DE09A0">
            <w:pPr>
              <w:spacing w:after="0" w:line="240" w:lineRule="auto"/>
              <w:jc w:val="center"/>
              <w:rPr>
                <w:rFonts w:cs="Arial"/>
                <w:color w:val="000000"/>
                <w:sz w:val="16"/>
                <w:szCs w:val="16"/>
              </w:rPr>
            </w:pPr>
            <w:r>
              <w:rPr>
                <w:rFonts w:cs="Arial"/>
                <w:sz w:val="16"/>
                <w:szCs w:val="16"/>
              </w:rPr>
              <w:t>40,2</w:t>
            </w:r>
          </w:p>
        </w:tc>
        <w:tc>
          <w:tcPr>
            <w:tcW w:w="709" w:type="dxa"/>
            <w:tcBorders>
              <w:top w:val="nil"/>
              <w:left w:val="nil"/>
              <w:bottom w:val="nil"/>
              <w:right w:val="nil"/>
            </w:tcBorders>
            <w:shd w:val="clear" w:color="auto" w:fill="auto"/>
            <w:noWrap/>
            <w:vAlign w:val="center"/>
            <w:hideMark/>
          </w:tcPr>
          <w:p w14:paraId="294841B5" w14:textId="5A1BDB6F" w:rsidR="00DE09A0" w:rsidRPr="00D92E20" w:rsidRDefault="00DE09A0" w:rsidP="00DE09A0">
            <w:pPr>
              <w:spacing w:after="0" w:line="240" w:lineRule="auto"/>
              <w:jc w:val="center"/>
              <w:rPr>
                <w:rFonts w:cs="Arial"/>
                <w:color w:val="000000"/>
                <w:sz w:val="16"/>
                <w:szCs w:val="16"/>
              </w:rPr>
            </w:pPr>
            <w:r>
              <w:rPr>
                <w:rFonts w:cs="Arial"/>
                <w:sz w:val="16"/>
                <w:szCs w:val="16"/>
              </w:rPr>
              <w:t>41,2</w:t>
            </w:r>
          </w:p>
        </w:tc>
        <w:tc>
          <w:tcPr>
            <w:tcW w:w="709" w:type="dxa"/>
            <w:tcBorders>
              <w:top w:val="nil"/>
              <w:left w:val="nil"/>
              <w:bottom w:val="nil"/>
              <w:right w:val="nil"/>
            </w:tcBorders>
            <w:shd w:val="clear" w:color="auto" w:fill="auto"/>
            <w:noWrap/>
            <w:vAlign w:val="center"/>
            <w:hideMark/>
          </w:tcPr>
          <w:p w14:paraId="540D8C54" w14:textId="0F4587D1" w:rsidR="00DE09A0" w:rsidRPr="00D92E20" w:rsidRDefault="00DE09A0" w:rsidP="00DE09A0">
            <w:pPr>
              <w:spacing w:after="0" w:line="240" w:lineRule="auto"/>
              <w:jc w:val="center"/>
              <w:rPr>
                <w:rFonts w:cs="Arial"/>
                <w:color w:val="000000"/>
                <w:sz w:val="16"/>
                <w:szCs w:val="16"/>
              </w:rPr>
            </w:pPr>
            <w:r>
              <w:rPr>
                <w:rFonts w:cs="Arial"/>
                <w:sz w:val="16"/>
                <w:szCs w:val="16"/>
              </w:rPr>
              <w:t>36,8</w:t>
            </w:r>
          </w:p>
        </w:tc>
        <w:tc>
          <w:tcPr>
            <w:tcW w:w="709" w:type="dxa"/>
            <w:tcBorders>
              <w:top w:val="nil"/>
              <w:left w:val="nil"/>
              <w:bottom w:val="nil"/>
              <w:right w:val="nil"/>
            </w:tcBorders>
            <w:shd w:val="clear" w:color="auto" w:fill="auto"/>
            <w:noWrap/>
            <w:vAlign w:val="center"/>
            <w:hideMark/>
          </w:tcPr>
          <w:p w14:paraId="26CD489C" w14:textId="0C5F6502" w:rsidR="00DE09A0" w:rsidRPr="00D92E20" w:rsidRDefault="00DE09A0" w:rsidP="00DE09A0">
            <w:pPr>
              <w:spacing w:after="0" w:line="240" w:lineRule="auto"/>
              <w:jc w:val="center"/>
              <w:rPr>
                <w:rFonts w:cs="Arial"/>
                <w:color w:val="000000"/>
                <w:sz w:val="16"/>
                <w:szCs w:val="16"/>
              </w:rPr>
            </w:pPr>
            <w:r>
              <w:rPr>
                <w:rFonts w:cs="Arial"/>
                <w:sz w:val="16"/>
                <w:szCs w:val="16"/>
              </w:rPr>
              <w:t>38,7</w:t>
            </w:r>
          </w:p>
        </w:tc>
        <w:tc>
          <w:tcPr>
            <w:tcW w:w="709" w:type="dxa"/>
            <w:tcBorders>
              <w:top w:val="nil"/>
              <w:left w:val="nil"/>
              <w:bottom w:val="nil"/>
              <w:right w:val="nil"/>
            </w:tcBorders>
            <w:shd w:val="clear" w:color="auto" w:fill="auto"/>
            <w:noWrap/>
            <w:vAlign w:val="center"/>
            <w:hideMark/>
          </w:tcPr>
          <w:p w14:paraId="2C675733" w14:textId="5F52C662" w:rsidR="00DE09A0" w:rsidRPr="00D92E20" w:rsidRDefault="00DE09A0" w:rsidP="00DE09A0">
            <w:pPr>
              <w:spacing w:after="0" w:line="240" w:lineRule="auto"/>
              <w:jc w:val="center"/>
              <w:rPr>
                <w:rFonts w:cs="Arial"/>
                <w:color w:val="000000"/>
                <w:sz w:val="16"/>
                <w:szCs w:val="16"/>
              </w:rPr>
            </w:pPr>
            <w:r>
              <w:rPr>
                <w:rFonts w:cs="Arial"/>
                <w:sz w:val="16"/>
                <w:szCs w:val="16"/>
              </w:rPr>
              <w:t>37,5</w:t>
            </w:r>
          </w:p>
        </w:tc>
        <w:tc>
          <w:tcPr>
            <w:tcW w:w="709" w:type="dxa"/>
            <w:tcBorders>
              <w:top w:val="nil"/>
              <w:left w:val="nil"/>
              <w:bottom w:val="nil"/>
              <w:right w:val="nil"/>
            </w:tcBorders>
            <w:shd w:val="clear" w:color="auto" w:fill="auto"/>
            <w:noWrap/>
            <w:vAlign w:val="center"/>
            <w:hideMark/>
          </w:tcPr>
          <w:p w14:paraId="138900CB" w14:textId="3D0C88C5" w:rsidR="00DE09A0" w:rsidRPr="00D92E20" w:rsidRDefault="00DE09A0" w:rsidP="00DE09A0">
            <w:pPr>
              <w:spacing w:after="0" w:line="240" w:lineRule="auto"/>
              <w:jc w:val="center"/>
              <w:rPr>
                <w:rFonts w:cs="Arial"/>
                <w:color w:val="000000"/>
                <w:sz w:val="16"/>
                <w:szCs w:val="16"/>
              </w:rPr>
            </w:pPr>
            <w:r>
              <w:rPr>
                <w:rFonts w:cs="Arial"/>
                <w:color w:val="000000"/>
                <w:sz w:val="16"/>
                <w:szCs w:val="16"/>
              </w:rPr>
              <w:t>36,1</w:t>
            </w:r>
          </w:p>
        </w:tc>
        <w:tc>
          <w:tcPr>
            <w:tcW w:w="709" w:type="dxa"/>
            <w:tcBorders>
              <w:top w:val="nil"/>
              <w:left w:val="nil"/>
              <w:bottom w:val="nil"/>
              <w:right w:val="nil"/>
            </w:tcBorders>
            <w:shd w:val="clear" w:color="auto" w:fill="auto"/>
            <w:noWrap/>
            <w:vAlign w:val="center"/>
            <w:hideMark/>
          </w:tcPr>
          <w:p w14:paraId="09F0273E" w14:textId="68EB48B2" w:rsidR="00DE09A0" w:rsidRPr="00D92E20" w:rsidRDefault="00DE09A0" w:rsidP="00DE09A0">
            <w:pPr>
              <w:spacing w:after="0" w:line="240" w:lineRule="auto"/>
              <w:jc w:val="center"/>
              <w:rPr>
                <w:rFonts w:cs="Arial"/>
                <w:color w:val="000000"/>
                <w:sz w:val="16"/>
                <w:szCs w:val="16"/>
              </w:rPr>
            </w:pPr>
            <w:r>
              <w:rPr>
                <w:rFonts w:cs="Arial"/>
                <w:color w:val="000000"/>
                <w:sz w:val="16"/>
                <w:szCs w:val="16"/>
              </w:rPr>
              <w:t>40,3</w:t>
            </w:r>
          </w:p>
        </w:tc>
        <w:tc>
          <w:tcPr>
            <w:tcW w:w="709" w:type="dxa"/>
            <w:tcBorders>
              <w:top w:val="nil"/>
              <w:left w:val="nil"/>
              <w:bottom w:val="nil"/>
              <w:right w:val="nil"/>
            </w:tcBorders>
            <w:shd w:val="clear" w:color="auto" w:fill="auto"/>
            <w:noWrap/>
            <w:vAlign w:val="center"/>
            <w:hideMark/>
          </w:tcPr>
          <w:p w14:paraId="5D1E318A" w14:textId="25EF7DC2" w:rsidR="00DE09A0" w:rsidRPr="00D92E20" w:rsidRDefault="00DE09A0" w:rsidP="00DE09A0">
            <w:pPr>
              <w:spacing w:after="0" w:line="240" w:lineRule="auto"/>
              <w:jc w:val="center"/>
              <w:rPr>
                <w:rFonts w:cs="Arial"/>
                <w:color w:val="000000"/>
                <w:sz w:val="16"/>
                <w:szCs w:val="16"/>
              </w:rPr>
            </w:pPr>
            <w:r>
              <w:rPr>
                <w:rFonts w:cs="Arial"/>
                <w:color w:val="000000"/>
                <w:sz w:val="16"/>
                <w:szCs w:val="16"/>
              </w:rPr>
              <w:t>44,4</w:t>
            </w:r>
          </w:p>
        </w:tc>
        <w:tc>
          <w:tcPr>
            <w:tcW w:w="709" w:type="dxa"/>
            <w:tcBorders>
              <w:top w:val="nil"/>
              <w:left w:val="nil"/>
              <w:bottom w:val="nil"/>
              <w:right w:val="nil"/>
            </w:tcBorders>
            <w:shd w:val="clear" w:color="auto" w:fill="auto"/>
            <w:noWrap/>
            <w:vAlign w:val="center"/>
            <w:hideMark/>
          </w:tcPr>
          <w:p w14:paraId="6A5F67ED" w14:textId="0A5AFC62" w:rsidR="00DE09A0" w:rsidRPr="00D92E20" w:rsidRDefault="00DE09A0" w:rsidP="00DE09A0">
            <w:pPr>
              <w:spacing w:after="0" w:line="240" w:lineRule="auto"/>
              <w:jc w:val="center"/>
              <w:rPr>
                <w:rFonts w:cs="Arial"/>
                <w:color w:val="000000"/>
                <w:sz w:val="16"/>
                <w:szCs w:val="16"/>
              </w:rPr>
            </w:pPr>
            <w:r>
              <w:rPr>
                <w:rFonts w:cs="Arial"/>
                <w:color w:val="000000"/>
                <w:sz w:val="16"/>
                <w:szCs w:val="16"/>
              </w:rPr>
              <w:t>35,6</w:t>
            </w:r>
          </w:p>
        </w:tc>
        <w:tc>
          <w:tcPr>
            <w:tcW w:w="709" w:type="dxa"/>
            <w:tcBorders>
              <w:top w:val="nil"/>
              <w:left w:val="nil"/>
              <w:bottom w:val="nil"/>
              <w:right w:val="nil"/>
            </w:tcBorders>
            <w:shd w:val="clear" w:color="auto" w:fill="auto"/>
            <w:noWrap/>
            <w:vAlign w:val="center"/>
            <w:hideMark/>
          </w:tcPr>
          <w:p w14:paraId="6922E568" w14:textId="54FA31E7" w:rsidR="00DE09A0" w:rsidRPr="00D92E20" w:rsidRDefault="00DE09A0" w:rsidP="00DE09A0">
            <w:pPr>
              <w:spacing w:after="0" w:line="240" w:lineRule="auto"/>
              <w:jc w:val="center"/>
              <w:rPr>
                <w:rFonts w:cs="Arial"/>
                <w:color w:val="000000"/>
                <w:sz w:val="16"/>
                <w:szCs w:val="16"/>
              </w:rPr>
            </w:pPr>
            <w:r>
              <w:rPr>
                <w:rFonts w:cs="Arial"/>
                <w:color w:val="000000"/>
                <w:sz w:val="16"/>
                <w:szCs w:val="16"/>
              </w:rPr>
              <w:t>24,8</w:t>
            </w:r>
          </w:p>
        </w:tc>
      </w:tr>
      <w:tr w:rsidR="00DE09A0" w:rsidRPr="00D92E20" w14:paraId="1E820421" w14:textId="77777777" w:rsidTr="00161606">
        <w:trPr>
          <w:trHeight w:val="300"/>
        </w:trPr>
        <w:tc>
          <w:tcPr>
            <w:tcW w:w="1871" w:type="dxa"/>
            <w:tcBorders>
              <w:top w:val="nil"/>
              <w:left w:val="nil"/>
              <w:bottom w:val="nil"/>
              <w:right w:val="single" w:sz="4" w:space="0" w:color="auto"/>
            </w:tcBorders>
            <w:shd w:val="clear" w:color="auto" w:fill="auto"/>
            <w:noWrap/>
            <w:vAlign w:val="center"/>
            <w:hideMark/>
          </w:tcPr>
          <w:p w14:paraId="5C12AFC3" w14:textId="77777777" w:rsidR="00DE09A0" w:rsidRPr="00D92E20" w:rsidRDefault="00DE09A0" w:rsidP="00DE09A0">
            <w:pPr>
              <w:spacing w:after="0" w:line="240" w:lineRule="auto"/>
              <w:ind w:firstLineChars="100" w:firstLine="160"/>
              <w:rPr>
                <w:rFonts w:cs="Arial"/>
                <w:color w:val="000000"/>
                <w:sz w:val="16"/>
                <w:szCs w:val="16"/>
              </w:rPr>
            </w:pPr>
            <w:r w:rsidRPr="00D92E20">
              <w:rPr>
                <w:rFonts w:cs="Arial"/>
                <w:color w:val="000000"/>
                <w:sz w:val="16"/>
                <w:szCs w:val="16"/>
              </w:rPr>
              <w:t>Ústecký kraj</w:t>
            </w:r>
          </w:p>
        </w:tc>
        <w:tc>
          <w:tcPr>
            <w:tcW w:w="709" w:type="dxa"/>
            <w:tcBorders>
              <w:top w:val="nil"/>
              <w:left w:val="nil"/>
              <w:bottom w:val="nil"/>
              <w:right w:val="nil"/>
            </w:tcBorders>
            <w:shd w:val="clear" w:color="auto" w:fill="auto"/>
            <w:noWrap/>
            <w:vAlign w:val="center"/>
            <w:hideMark/>
          </w:tcPr>
          <w:p w14:paraId="53EDB56A" w14:textId="0813B119" w:rsidR="00DE09A0" w:rsidRPr="00D92E20" w:rsidRDefault="00DE09A0" w:rsidP="00DE09A0">
            <w:pPr>
              <w:spacing w:after="0" w:line="240" w:lineRule="auto"/>
              <w:jc w:val="center"/>
              <w:rPr>
                <w:rFonts w:cs="Arial"/>
                <w:color w:val="000000"/>
                <w:sz w:val="16"/>
                <w:szCs w:val="16"/>
              </w:rPr>
            </w:pPr>
            <w:r>
              <w:rPr>
                <w:rFonts w:cs="Arial"/>
                <w:sz w:val="16"/>
                <w:szCs w:val="16"/>
              </w:rPr>
              <w:t>50,4</w:t>
            </w:r>
          </w:p>
        </w:tc>
        <w:tc>
          <w:tcPr>
            <w:tcW w:w="709" w:type="dxa"/>
            <w:tcBorders>
              <w:top w:val="nil"/>
              <w:left w:val="nil"/>
              <w:bottom w:val="nil"/>
              <w:right w:val="nil"/>
            </w:tcBorders>
            <w:shd w:val="clear" w:color="auto" w:fill="auto"/>
            <w:noWrap/>
            <w:vAlign w:val="center"/>
            <w:hideMark/>
          </w:tcPr>
          <w:p w14:paraId="61557AB9" w14:textId="4E8FC0A0" w:rsidR="00DE09A0" w:rsidRPr="00D92E20" w:rsidRDefault="00DE09A0" w:rsidP="00DE09A0">
            <w:pPr>
              <w:spacing w:after="0" w:line="240" w:lineRule="auto"/>
              <w:jc w:val="center"/>
              <w:rPr>
                <w:rFonts w:cs="Arial"/>
                <w:color w:val="000000"/>
                <w:sz w:val="16"/>
                <w:szCs w:val="16"/>
              </w:rPr>
            </w:pPr>
            <w:r>
              <w:rPr>
                <w:rFonts w:cs="Arial"/>
                <w:sz w:val="16"/>
                <w:szCs w:val="16"/>
              </w:rPr>
              <w:t>44,8</w:t>
            </w:r>
          </w:p>
        </w:tc>
        <w:tc>
          <w:tcPr>
            <w:tcW w:w="709" w:type="dxa"/>
            <w:tcBorders>
              <w:top w:val="nil"/>
              <w:left w:val="nil"/>
              <w:bottom w:val="nil"/>
              <w:right w:val="nil"/>
            </w:tcBorders>
            <w:shd w:val="clear" w:color="auto" w:fill="auto"/>
            <w:noWrap/>
            <w:vAlign w:val="center"/>
            <w:hideMark/>
          </w:tcPr>
          <w:p w14:paraId="2751F588" w14:textId="7E03C217" w:rsidR="00DE09A0" w:rsidRPr="00D92E20" w:rsidRDefault="00DE09A0" w:rsidP="00DE09A0">
            <w:pPr>
              <w:spacing w:after="0" w:line="240" w:lineRule="auto"/>
              <w:jc w:val="center"/>
              <w:rPr>
                <w:rFonts w:cs="Arial"/>
                <w:color w:val="000000"/>
                <w:sz w:val="16"/>
                <w:szCs w:val="16"/>
              </w:rPr>
            </w:pPr>
            <w:r>
              <w:rPr>
                <w:rFonts w:cs="Arial"/>
                <w:sz w:val="16"/>
                <w:szCs w:val="16"/>
              </w:rPr>
              <w:t>48,2</w:t>
            </w:r>
          </w:p>
        </w:tc>
        <w:tc>
          <w:tcPr>
            <w:tcW w:w="709" w:type="dxa"/>
            <w:tcBorders>
              <w:top w:val="nil"/>
              <w:left w:val="nil"/>
              <w:bottom w:val="nil"/>
              <w:right w:val="nil"/>
            </w:tcBorders>
            <w:shd w:val="clear" w:color="auto" w:fill="auto"/>
            <w:noWrap/>
            <w:vAlign w:val="center"/>
            <w:hideMark/>
          </w:tcPr>
          <w:p w14:paraId="0E453295" w14:textId="54970E51" w:rsidR="00DE09A0" w:rsidRPr="00D92E20" w:rsidRDefault="00DE09A0" w:rsidP="00DE09A0">
            <w:pPr>
              <w:spacing w:after="0" w:line="240" w:lineRule="auto"/>
              <w:jc w:val="center"/>
              <w:rPr>
                <w:rFonts w:cs="Arial"/>
                <w:color w:val="000000"/>
                <w:sz w:val="16"/>
                <w:szCs w:val="16"/>
              </w:rPr>
            </w:pPr>
            <w:r>
              <w:rPr>
                <w:rFonts w:cs="Arial"/>
                <w:sz w:val="16"/>
                <w:szCs w:val="16"/>
              </w:rPr>
              <w:t>41,6</w:t>
            </w:r>
          </w:p>
        </w:tc>
        <w:tc>
          <w:tcPr>
            <w:tcW w:w="709" w:type="dxa"/>
            <w:tcBorders>
              <w:top w:val="nil"/>
              <w:left w:val="nil"/>
              <w:bottom w:val="nil"/>
              <w:right w:val="nil"/>
            </w:tcBorders>
            <w:shd w:val="clear" w:color="auto" w:fill="auto"/>
            <w:noWrap/>
            <w:vAlign w:val="center"/>
            <w:hideMark/>
          </w:tcPr>
          <w:p w14:paraId="0FB23F3F" w14:textId="0E57BEF6" w:rsidR="00DE09A0" w:rsidRPr="00D92E20" w:rsidRDefault="00DE09A0" w:rsidP="00DE09A0">
            <w:pPr>
              <w:spacing w:after="0" w:line="240" w:lineRule="auto"/>
              <w:jc w:val="center"/>
              <w:rPr>
                <w:rFonts w:cs="Arial"/>
                <w:color w:val="000000"/>
                <w:sz w:val="16"/>
                <w:szCs w:val="16"/>
              </w:rPr>
            </w:pPr>
            <w:r>
              <w:rPr>
                <w:rFonts w:cs="Arial"/>
                <w:sz w:val="16"/>
                <w:szCs w:val="16"/>
              </w:rPr>
              <w:t>42,0</w:t>
            </w:r>
          </w:p>
        </w:tc>
        <w:tc>
          <w:tcPr>
            <w:tcW w:w="709" w:type="dxa"/>
            <w:tcBorders>
              <w:top w:val="nil"/>
              <w:left w:val="nil"/>
              <w:bottom w:val="nil"/>
              <w:right w:val="nil"/>
            </w:tcBorders>
            <w:shd w:val="clear" w:color="auto" w:fill="auto"/>
            <w:noWrap/>
            <w:vAlign w:val="center"/>
            <w:hideMark/>
          </w:tcPr>
          <w:p w14:paraId="44310171" w14:textId="224E7E70" w:rsidR="00DE09A0" w:rsidRPr="00D92E20" w:rsidRDefault="00DE09A0" w:rsidP="00DE09A0">
            <w:pPr>
              <w:spacing w:after="0" w:line="240" w:lineRule="auto"/>
              <w:jc w:val="center"/>
              <w:rPr>
                <w:rFonts w:cs="Arial"/>
                <w:color w:val="000000"/>
                <w:sz w:val="16"/>
                <w:szCs w:val="16"/>
              </w:rPr>
            </w:pPr>
            <w:r>
              <w:rPr>
                <w:rFonts w:cs="Arial"/>
                <w:sz w:val="16"/>
                <w:szCs w:val="16"/>
              </w:rPr>
              <w:t>41,7</w:t>
            </w:r>
          </w:p>
        </w:tc>
        <w:tc>
          <w:tcPr>
            <w:tcW w:w="709" w:type="dxa"/>
            <w:tcBorders>
              <w:top w:val="nil"/>
              <w:left w:val="nil"/>
              <w:bottom w:val="nil"/>
              <w:right w:val="nil"/>
            </w:tcBorders>
            <w:shd w:val="clear" w:color="auto" w:fill="auto"/>
            <w:noWrap/>
            <w:vAlign w:val="center"/>
            <w:hideMark/>
          </w:tcPr>
          <w:p w14:paraId="271136AD" w14:textId="3CDA7445" w:rsidR="00DE09A0" w:rsidRPr="00D92E20" w:rsidRDefault="00DE09A0" w:rsidP="00DE09A0">
            <w:pPr>
              <w:spacing w:after="0" w:line="240" w:lineRule="auto"/>
              <w:jc w:val="center"/>
              <w:rPr>
                <w:rFonts w:cs="Arial"/>
                <w:color w:val="000000"/>
                <w:sz w:val="16"/>
                <w:szCs w:val="16"/>
              </w:rPr>
            </w:pPr>
            <w:r>
              <w:rPr>
                <w:rFonts w:cs="Arial"/>
                <w:color w:val="000000"/>
                <w:sz w:val="16"/>
                <w:szCs w:val="16"/>
              </w:rPr>
              <w:t>39,1</w:t>
            </w:r>
          </w:p>
        </w:tc>
        <w:tc>
          <w:tcPr>
            <w:tcW w:w="709" w:type="dxa"/>
            <w:tcBorders>
              <w:top w:val="nil"/>
              <w:left w:val="nil"/>
              <w:bottom w:val="nil"/>
              <w:right w:val="nil"/>
            </w:tcBorders>
            <w:shd w:val="clear" w:color="auto" w:fill="auto"/>
            <w:noWrap/>
            <w:vAlign w:val="center"/>
            <w:hideMark/>
          </w:tcPr>
          <w:p w14:paraId="5A6B5088" w14:textId="000A4CC4" w:rsidR="00DE09A0" w:rsidRPr="00D92E20" w:rsidRDefault="00DE09A0" w:rsidP="00DE09A0">
            <w:pPr>
              <w:spacing w:after="0" w:line="240" w:lineRule="auto"/>
              <w:jc w:val="center"/>
              <w:rPr>
                <w:rFonts w:cs="Arial"/>
                <w:color w:val="000000"/>
                <w:sz w:val="16"/>
                <w:szCs w:val="16"/>
              </w:rPr>
            </w:pPr>
            <w:r>
              <w:rPr>
                <w:rFonts w:cs="Arial"/>
                <w:color w:val="000000"/>
                <w:sz w:val="16"/>
                <w:szCs w:val="16"/>
              </w:rPr>
              <w:t>42,2</w:t>
            </w:r>
          </w:p>
        </w:tc>
        <w:tc>
          <w:tcPr>
            <w:tcW w:w="709" w:type="dxa"/>
            <w:tcBorders>
              <w:top w:val="nil"/>
              <w:left w:val="nil"/>
              <w:bottom w:val="nil"/>
              <w:right w:val="nil"/>
            </w:tcBorders>
            <w:shd w:val="clear" w:color="auto" w:fill="auto"/>
            <w:noWrap/>
            <w:vAlign w:val="center"/>
            <w:hideMark/>
          </w:tcPr>
          <w:p w14:paraId="61FD4865" w14:textId="0E7B18D1" w:rsidR="00DE09A0" w:rsidRPr="00D92E20" w:rsidRDefault="00DE09A0" w:rsidP="00DE09A0">
            <w:pPr>
              <w:spacing w:after="0" w:line="240" w:lineRule="auto"/>
              <w:jc w:val="center"/>
              <w:rPr>
                <w:rFonts w:cs="Arial"/>
                <w:color w:val="000000"/>
                <w:sz w:val="16"/>
                <w:szCs w:val="16"/>
              </w:rPr>
            </w:pPr>
            <w:r>
              <w:rPr>
                <w:rFonts w:cs="Arial"/>
                <w:color w:val="000000"/>
                <w:sz w:val="16"/>
                <w:szCs w:val="16"/>
              </w:rPr>
              <w:t>44,4</w:t>
            </w:r>
          </w:p>
        </w:tc>
        <w:tc>
          <w:tcPr>
            <w:tcW w:w="709" w:type="dxa"/>
            <w:tcBorders>
              <w:top w:val="nil"/>
              <w:left w:val="nil"/>
              <w:bottom w:val="nil"/>
              <w:right w:val="nil"/>
            </w:tcBorders>
            <w:shd w:val="clear" w:color="auto" w:fill="auto"/>
            <w:noWrap/>
            <w:vAlign w:val="center"/>
            <w:hideMark/>
          </w:tcPr>
          <w:p w14:paraId="4CCF4679" w14:textId="2DCDC0B5" w:rsidR="00DE09A0" w:rsidRPr="00D92E20" w:rsidRDefault="00DE09A0" w:rsidP="00DE09A0">
            <w:pPr>
              <w:spacing w:after="0" w:line="240" w:lineRule="auto"/>
              <w:jc w:val="center"/>
              <w:rPr>
                <w:rFonts w:cs="Arial"/>
                <w:color w:val="000000"/>
                <w:sz w:val="16"/>
                <w:szCs w:val="16"/>
              </w:rPr>
            </w:pPr>
            <w:r>
              <w:rPr>
                <w:rFonts w:cs="Arial"/>
                <w:color w:val="000000"/>
                <w:sz w:val="16"/>
                <w:szCs w:val="16"/>
              </w:rPr>
              <w:t>34,8</w:t>
            </w:r>
          </w:p>
        </w:tc>
        <w:tc>
          <w:tcPr>
            <w:tcW w:w="709" w:type="dxa"/>
            <w:tcBorders>
              <w:top w:val="nil"/>
              <w:left w:val="nil"/>
              <w:bottom w:val="nil"/>
              <w:right w:val="nil"/>
            </w:tcBorders>
            <w:shd w:val="clear" w:color="auto" w:fill="auto"/>
            <w:noWrap/>
            <w:vAlign w:val="center"/>
            <w:hideMark/>
          </w:tcPr>
          <w:p w14:paraId="46CF6C7E" w14:textId="02B1A780" w:rsidR="00DE09A0" w:rsidRPr="00D92E20" w:rsidRDefault="00DE09A0" w:rsidP="00DE09A0">
            <w:pPr>
              <w:spacing w:after="0" w:line="240" w:lineRule="auto"/>
              <w:jc w:val="center"/>
              <w:rPr>
                <w:rFonts w:cs="Arial"/>
                <w:color w:val="000000"/>
                <w:sz w:val="16"/>
                <w:szCs w:val="16"/>
              </w:rPr>
            </w:pPr>
            <w:r>
              <w:rPr>
                <w:rFonts w:cs="Arial"/>
                <w:color w:val="000000"/>
                <w:sz w:val="16"/>
                <w:szCs w:val="16"/>
              </w:rPr>
              <w:t>24,3</w:t>
            </w:r>
          </w:p>
        </w:tc>
      </w:tr>
      <w:tr w:rsidR="00DE09A0" w:rsidRPr="00D92E20" w14:paraId="72DD9458" w14:textId="77777777" w:rsidTr="00161606">
        <w:trPr>
          <w:trHeight w:val="300"/>
        </w:trPr>
        <w:tc>
          <w:tcPr>
            <w:tcW w:w="1871" w:type="dxa"/>
            <w:tcBorders>
              <w:top w:val="nil"/>
              <w:left w:val="nil"/>
              <w:bottom w:val="nil"/>
              <w:right w:val="single" w:sz="4" w:space="0" w:color="auto"/>
            </w:tcBorders>
            <w:shd w:val="clear" w:color="auto" w:fill="auto"/>
            <w:noWrap/>
            <w:vAlign w:val="center"/>
            <w:hideMark/>
          </w:tcPr>
          <w:p w14:paraId="7CE51E1B" w14:textId="77777777" w:rsidR="00DE09A0" w:rsidRPr="00D92E20" w:rsidRDefault="00DE09A0" w:rsidP="00DE09A0">
            <w:pPr>
              <w:spacing w:after="0" w:line="240" w:lineRule="auto"/>
              <w:ind w:firstLineChars="100" w:firstLine="160"/>
              <w:rPr>
                <w:rFonts w:cs="Arial"/>
                <w:color w:val="000000"/>
                <w:sz w:val="16"/>
                <w:szCs w:val="16"/>
              </w:rPr>
            </w:pPr>
            <w:r w:rsidRPr="00D92E20">
              <w:rPr>
                <w:rFonts w:cs="Arial"/>
                <w:color w:val="000000"/>
                <w:sz w:val="16"/>
                <w:szCs w:val="16"/>
              </w:rPr>
              <w:t>Liberecký kraj</w:t>
            </w:r>
          </w:p>
        </w:tc>
        <w:tc>
          <w:tcPr>
            <w:tcW w:w="709" w:type="dxa"/>
            <w:tcBorders>
              <w:top w:val="nil"/>
              <w:left w:val="nil"/>
              <w:bottom w:val="nil"/>
              <w:right w:val="nil"/>
            </w:tcBorders>
            <w:shd w:val="clear" w:color="auto" w:fill="auto"/>
            <w:noWrap/>
            <w:vAlign w:val="center"/>
            <w:hideMark/>
          </w:tcPr>
          <w:p w14:paraId="7CC0F3E1" w14:textId="116F936D" w:rsidR="00DE09A0" w:rsidRPr="00D92E20" w:rsidRDefault="00DE09A0" w:rsidP="00DE09A0">
            <w:pPr>
              <w:spacing w:after="0" w:line="240" w:lineRule="auto"/>
              <w:jc w:val="center"/>
              <w:rPr>
                <w:rFonts w:cs="Arial"/>
                <w:color w:val="000000"/>
                <w:sz w:val="16"/>
                <w:szCs w:val="16"/>
              </w:rPr>
            </w:pPr>
            <w:r>
              <w:rPr>
                <w:rFonts w:cs="Arial"/>
                <w:sz w:val="16"/>
                <w:szCs w:val="16"/>
              </w:rPr>
              <w:t>47,3</w:t>
            </w:r>
          </w:p>
        </w:tc>
        <w:tc>
          <w:tcPr>
            <w:tcW w:w="709" w:type="dxa"/>
            <w:tcBorders>
              <w:top w:val="nil"/>
              <w:left w:val="nil"/>
              <w:bottom w:val="nil"/>
              <w:right w:val="nil"/>
            </w:tcBorders>
            <w:shd w:val="clear" w:color="auto" w:fill="auto"/>
            <w:noWrap/>
            <w:vAlign w:val="center"/>
            <w:hideMark/>
          </w:tcPr>
          <w:p w14:paraId="11590B88" w14:textId="036EFF6B" w:rsidR="00DE09A0" w:rsidRPr="00D92E20" w:rsidRDefault="00DE09A0" w:rsidP="00DE09A0">
            <w:pPr>
              <w:spacing w:after="0" w:line="240" w:lineRule="auto"/>
              <w:jc w:val="center"/>
              <w:rPr>
                <w:rFonts w:cs="Arial"/>
                <w:color w:val="000000"/>
                <w:sz w:val="16"/>
                <w:szCs w:val="16"/>
              </w:rPr>
            </w:pPr>
            <w:r>
              <w:rPr>
                <w:rFonts w:cs="Arial"/>
                <w:sz w:val="16"/>
                <w:szCs w:val="16"/>
              </w:rPr>
              <w:t>40,2</w:t>
            </w:r>
          </w:p>
        </w:tc>
        <w:tc>
          <w:tcPr>
            <w:tcW w:w="709" w:type="dxa"/>
            <w:tcBorders>
              <w:top w:val="nil"/>
              <w:left w:val="nil"/>
              <w:bottom w:val="nil"/>
              <w:right w:val="nil"/>
            </w:tcBorders>
            <w:shd w:val="clear" w:color="auto" w:fill="auto"/>
            <w:noWrap/>
            <w:vAlign w:val="center"/>
            <w:hideMark/>
          </w:tcPr>
          <w:p w14:paraId="201C1F93" w14:textId="20541A0D" w:rsidR="00DE09A0" w:rsidRPr="00D92E20" w:rsidRDefault="00DE09A0" w:rsidP="00DE09A0">
            <w:pPr>
              <w:spacing w:after="0" w:line="240" w:lineRule="auto"/>
              <w:jc w:val="center"/>
              <w:rPr>
                <w:rFonts w:cs="Arial"/>
                <w:color w:val="000000"/>
                <w:sz w:val="16"/>
                <w:szCs w:val="16"/>
              </w:rPr>
            </w:pPr>
            <w:r>
              <w:rPr>
                <w:rFonts w:cs="Arial"/>
                <w:sz w:val="16"/>
                <w:szCs w:val="16"/>
              </w:rPr>
              <w:t>43,2</w:t>
            </w:r>
          </w:p>
        </w:tc>
        <w:tc>
          <w:tcPr>
            <w:tcW w:w="709" w:type="dxa"/>
            <w:tcBorders>
              <w:top w:val="nil"/>
              <w:left w:val="nil"/>
              <w:bottom w:val="nil"/>
              <w:right w:val="nil"/>
            </w:tcBorders>
            <w:shd w:val="clear" w:color="auto" w:fill="auto"/>
            <w:noWrap/>
            <w:vAlign w:val="center"/>
            <w:hideMark/>
          </w:tcPr>
          <w:p w14:paraId="71F40299" w14:textId="7E5E8A80" w:rsidR="00DE09A0" w:rsidRPr="00D92E20" w:rsidRDefault="00DE09A0" w:rsidP="00DE09A0">
            <w:pPr>
              <w:spacing w:after="0" w:line="240" w:lineRule="auto"/>
              <w:jc w:val="center"/>
              <w:rPr>
                <w:rFonts w:cs="Arial"/>
                <w:color w:val="000000"/>
                <w:sz w:val="16"/>
                <w:szCs w:val="16"/>
              </w:rPr>
            </w:pPr>
            <w:r>
              <w:rPr>
                <w:rFonts w:cs="Arial"/>
                <w:sz w:val="16"/>
                <w:szCs w:val="16"/>
              </w:rPr>
              <w:t>37,8</w:t>
            </w:r>
          </w:p>
        </w:tc>
        <w:tc>
          <w:tcPr>
            <w:tcW w:w="709" w:type="dxa"/>
            <w:tcBorders>
              <w:top w:val="nil"/>
              <w:left w:val="nil"/>
              <w:bottom w:val="nil"/>
              <w:right w:val="nil"/>
            </w:tcBorders>
            <w:shd w:val="clear" w:color="auto" w:fill="auto"/>
            <w:noWrap/>
            <w:vAlign w:val="center"/>
            <w:hideMark/>
          </w:tcPr>
          <w:p w14:paraId="39148A43" w14:textId="38BD04A3" w:rsidR="00DE09A0" w:rsidRPr="00D92E20" w:rsidRDefault="00DE09A0" w:rsidP="00DE09A0">
            <w:pPr>
              <w:spacing w:after="0" w:line="240" w:lineRule="auto"/>
              <w:jc w:val="center"/>
              <w:rPr>
                <w:rFonts w:cs="Arial"/>
                <w:color w:val="000000"/>
                <w:sz w:val="16"/>
                <w:szCs w:val="16"/>
              </w:rPr>
            </w:pPr>
            <w:r>
              <w:rPr>
                <w:rFonts w:cs="Arial"/>
                <w:sz w:val="16"/>
                <w:szCs w:val="16"/>
              </w:rPr>
              <w:t>38,5</w:t>
            </w:r>
          </w:p>
        </w:tc>
        <w:tc>
          <w:tcPr>
            <w:tcW w:w="709" w:type="dxa"/>
            <w:tcBorders>
              <w:top w:val="nil"/>
              <w:left w:val="nil"/>
              <w:bottom w:val="nil"/>
              <w:right w:val="nil"/>
            </w:tcBorders>
            <w:shd w:val="clear" w:color="auto" w:fill="auto"/>
            <w:noWrap/>
            <w:vAlign w:val="center"/>
            <w:hideMark/>
          </w:tcPr>
          <w:p w14:paraId="64090EB8" w14:textId="11805C4A" w:rsidR="00DE09A0" w:rsidRPr="00D92E20" w:rsidRDefault="00DE09A0" w:rsidP="00DE09A0">
            <w:pPr>
              <w:spacing w:after="0" w:line="240" w:lineRule="auto"/>
              <w:jc w:val="center"/>
              <w:rPr>
                <w:rFonts w:cs="Arial"/>
                <w:color w:val="000000"/>
                <w:sz w:val="16"/>
                <w:szCs w:val="16"/>
              </w:rPr>
            </w:pPr>
            <w:r>
              <w:rPr>
                <w:rFonts w:cs="Arial"/>
                <w:sz w:val="16"/>
                <w:szCs w:val="16"/>
              </w:rPr>
              <w:t>37,8</w:t>
            </w:r>
          </w:p>
        </w:tc>
        <w:tc>
          <w:tcPr>
            <w:tcW w:w="709" w:type="dxa"/>
            <w:tcBorders>
              <w:top w:val="nil"/>
              <w:left w:val="nil"/>
              <w:bottom w:val="nil"/>
              <w:right w:val="nil"/>
            </w:tcBorders>
            <w:shd w:val="clear" w:color="auto" w:fill="auto"/>
            <w:noWrap/>
            <w:vAlign w:val="center"/>
            <w:hideMark/>
          </w:tcPr>
          <w:p w14:paraId="4A8695A4" w14:textId="24492CBD" w:rsidR="00DE09A0" w:rsidRPr="00D92E20" w:rsidRDefault="00DE09A0" w:rsidP="00DE09A0">
            <w:pPr>
              <w:spacing w:after="0" w:line="240" w:lineRule="auto"/>
              <w:jc w:val="center"/>
              <w:rPr>
                <w:rFonts w:cs="Arial"/>
                <w:color w:val="000000"/>
                <w:sz w:val="16"/>
                <w:szCs w:val="16"/>
              </w:rPr>
            </w:pPr>
            <w:r>
              <w:rPr>
                <w:rFonts w:cs="Arial"/>
                <w:color w:val="000000"/>
                <w:sz w:val="16"/>
                <w:szCs w:val="16"/>
              </w:rPr>
              <w:t>35,3</w:t>
            </w:r>
          </w:p>
        </w:tc>
        <w:tc>
          <w:tcPr>
            <w:tcW w:w="709" w:type="dxa"/>
            <w:tcBorders>
              <w:top w:val="nil"/>
              <w:left w:val="nil"/>
              <w:bottom w:val="nil"/>
              <w:right w:val="nil"/>
            </w:tcBorders>
            <w:shd w:val="clear" w:color="auto" w:fill="auto"/>
            <w:noWrap/>
            <w:vAlign w:val="center"/>
            <w:hideMark/>
          </w:tcPr>
          <w:p w14:paraId="28278487" w14:textId="679EA0F2" w:rsidR="00DE09A0" w:rsidRPr="00D92E20" w:rsidRDefault="00DE09A0" w:rsidP="00DE09A0">
            <w:pPr>
              <w:spacing w:after="0" w:line="240" w:lineRule="auto"/>
              <w:jc w:val="center"/>
              <w:rPr>
                <w:rFonts w:cs="Arial"/>
                <w:color w:val="000000"/>
                <w:sz w:val="16"/>
                <w:szCs w:val="16"/>
              </w:rPr>
            </w:pPr>
            <w:r>
              <w:rPr>
                <w:rFonts w:cs="Arial"/>
                <w:color w:val="000000"/>
                <w:sz w:val="16"/>
                <w:szCs w:val="16"/>
              </w:rPr>
              <w:t>38,6</w:t>
            </w:r>
          </w:p>
        </w:tc>
        <w:tc>
          <w:tcPr>
            <w:tcW w:w="709" w:type="dxa"/>
            <w:tcBorders>
              <w:top w:val="nil"/>
              <w:left w:val="nil"/>
              <w:bottom w:val="nil"/>
              <w:right w:val="nil"/>
            </w:tcBorders>
            <w:shd w:val="clear" w:color="auto" w:fill="auto"/>
            <w:noWrap/>
            <w:vAlign w:val="center"/>
            <w:hideMark/>
          </w:tcPr>
          <w:p w14:paraId="0F14019E" w14:textId="1ED27D17" w:rsidR="00DE09A0" w:rsidRPr="00D92E20" w:rsidRDefault="00DE09A0" w:rsidP="00DE09A0">
            <w:pPr>
              <w:spacing w:after="0" w:line="240" w:lineRule="auto"/>
              <w:jc w:val="center"/>
              <w:rPr>
                <w:rFonts w:cs="Arial"/>
                <w:color w:val="000000"/>
                <w:sz w:val="16"/>
                <w:szCs w:val="16"/>
              </w:rPr>
            </w:pPr>
            <w:r>
              <w:rPr>
                <w:rFonts w:cs="Arial"/>
                <w:color w:val="000000"/>
                <w:sz w:val="16"/>
                <w:szCs w:val="16"/>
              </w:rPr>
              <w:t>41,2</w:t>
            </w:r>
          </w:p>
        </w:tc>
        <w:tc>
          <w:tcPr>
            <w:tcW w:w="709" w:type="dxa"/>
            <w:tcBorders>
              <w:top w:val="nil"/>
              <w:left w:val="nil"/>
              <w:bottom w:val="nil"/>
              <w:right w:val="nil"/>
            </w:tcBorders>
            <w:shd w:val="clear" w:color="auto" w:fill="auto"/>
            <w:noWrap/>
            <w:vAlign w:val="center"/>
            <w:hideMark/>
          </w:tcPr>
          <w:p w14:paraId="0D8EC452" w14:textId="31B0B794" w:rsidR="00DE09A0" w:rsidRPr="00D92E20" w:rsidRDefault="00DE09A0" w:rsidP="00DE09A0">
            <w:pPr>
              <w:spacing w:after="0" w:line="240" w:lineRule="auto"/>
              <w:jc w:val="center"/>
              <w:rPr>
                <w:rFonts w:cs="Arial"/>
                <w:color w:val="000000"/>
                <w:sz w:val="16"/>
                <w:szCs w:val="16"/>
              </w:rPr>
            </w:pPr>
            <w:r>
              <w:rPr>
                <w:rFonts w:cs="Arial"/>
                <w:color w:val="000000"/>
                <w:sz w:val="16"/>
                <w:szCs w:val="16"/>
              </w:rPr>
              <w:t>32,6</w:t>
            </w:r>
          </w:p>
        </w:tc>
        <w:tc>
          <w:tcPr>
            <w:tcW w:w="709" w:type="dxa"/>
            <w:tcBorders>
              <w:top w:val="nil"/>
              <w:left w:val="nil"/>
              <w:bottom w:val="nil"/>
              <w:right w:val="nil"/>
            </w:tcBorders>
            <w:shd w:val="clear" w:color="auto" w:fill="auto"/>
            <w:noWrap/>
            <w:vAlign w:val="center"/>
            <w:hideMark/>
          </w:tcPr>
          <w:p w14:paraId="390E40ED" w14:textId="2C4F76AA" w:rsidR="00DE09A0" w:rsidRPr="00D92E20" w:rsidRDefault="00DE09A0" w:rsidP="00DE09A0">
            <w:pPr>
              <w:spacing w:after="0" w:line="240" w:lineRule="auto"/>
              <w:jc w:val="center"/>
              <w:rPr>
                <w:rFonts w:cs="Arial"/>
                <w:color w:val="000000"/>
                <w:sz w:val="16"/>
                <w:szCs w:val="16"/>
              </w:rPr>
            </w:pPr>
            <w:r>
              <w:rPr>
                <w:rFonts w:cs="Arial"/>
                <w:color w:val="000000"/>
                <w:sz w:val="16"/>
                <w:szCs w:val="16"/>
              </w:rPr>
              <w:t>22,8</w:t>
            </w:r>
          </w:p>
        </w:tc>
      </w:tr>
      <w:tr w:rsidR="00DE09A0" w:rsidRPr="00D92E20" w14:paraId="021B216A" w14:textId="77777777" w:rsidTr="00161606">
        <w:trPr>
          <w:trHeight w:val="300"/>
        </w:trPr>
        <w:tc>
          <w:tcPr>
            <w:tcW w:w="1871" w:type="dxa"/>
            <w:tcBorders>
              <w:top w:val="nil"/>
              <w:left w:val="nil"/>
              <w:bottom w:val="nil"/>
              <w:right w:val="single" w:sz="4" w:space="0" w:color="auto"/>
            </w:tcBorders>
            <w:shd w:val="clear" w:color="auto" w:fill="auto"/>
            <w:noWrap/>
            <w:vAlign w:val="center"/>
            <w:hideMark/>
          </w:tcPr>
          <w:p w14:paraId="3990E26A" w14:textId="77777777" w:rsidR="00DE09A0" w:rsidRPr="00D92E20" w:rsidRDefault="00DE09A0" w:rsidP="00DE09A0">
            <w:pPr>
              <w:spacing w:after="0" w:line="240" w:lineRule="auto"/>
              <w:ind w:firstLineChars="100" w:firstLine="160"/>
              <w:rPr>
                <w:rFonts w:cs="Arial"/>
                <w:color w:val="000000"/>
                <w:sz w:val="16"/>
                <w:szCs w:val="16"/>
              </w:rPr>
            </w:pPr>
            <w:r w:rsidRPr="00D92E20">
              <w:rPr>
                <w:rFonts w:cs="Arial"/>
                <w:color w:val="000000"/>
                <w:sz w:val="16"/>
                <w:szCs w:val="16"/>
              </w:rPr>
              <w:t>Královéhradecký kraj</w:t>
            </w:r>
          </w:p>
        </w:tc>
        <w:tc>
          <w:tcPr>
            <w:tcW w:w="709" w:type="dxa"/>
            <w:tcBorders>
              <w:top w:val="nil"/>
              <w:left w:val="nil"/>
              <w:bottom w:val="nil"/>
              <w:right w:val="nil"/>
            </w:tcBorders>
            <w:shd w:val="clear" w:color="auto" w:fill="auto"/>
            <w:noWrap/>
            <w:vAlign w:val="center"/>
            <w:hideMark/>
          </w:tcPr>
          <w:p w14:paraId="064ACC76" w14:textId="26007679" w:rsidR="00DE09A0" w:rsidRPr="00D92E20" w:rsidRDefault="00DE09A0" w:rsidP="00DE09A0">
            <w:pPr>
              <w:spacing w:after="0" w:line="240" w:lineRule="auto"/>
              <w:jc w:val="center"/>
              <w:rPr>
                <w:rFonts w:cs="Arial"/>
                <w:color w:val="000000"/>
                <w:sz w:val="16"/>
                <w:szCs w:val="16"/>
              </w:rPr>
            </w:pPr>
            <w:r>
              <w:rPr>
                <w:rFonts w:cs="Arial"/>
                <w:sz w:val="16"/>
                <w:szCs w:val="16"/>
              </w:rPr>
              <w:t>45,2</w:t>
            </w:r>
          </w:p>
        </w:tc>
        <w:tc>
          <w:tcPr>
            <w:tcW w:w="709" w:type="dxa"/>
            <w:tcBorders>
              <w:top w:val="nil"/>
              <w:left w:val="nil"/>
              <w:bottom w:val="nil"/>
              <w:right w:val="nil"/>
            </w:tcBorders>
            <w:shd w:val="clear" w:color="auto" w:fill="auto"/>
            <w:noWrap/>
            <w:vAlign w:val="center"/>
            <w:hideMark/>
          </w:tcPr>
          <w:p w14:paraId="7E927712" w14:textId="4326DB71" w:rsidR="00DE09A0" w:rsidRPr="00D92E20" w:rsidRDefault="00DE09A0" w:rsidP="00DE09A0">
            <w:pPr>
              <w:spacing w:after="0" w:line="240" w:lineRule="auto"/>
              <w:jc w:val="center"/>
              <w:rPr>
                <w:rFonts w:cs="Arial"/>
                <w:color w:val="000000"/>
                <w:sz w:val="16"/>
                <w:szCs w:val="16"/>
              </w:rPr>
            </w:pPr>
            <w:r>
              <w:rPr>
                <w:rFonts w:cs="Arial"/>
                <w:sz w:val="16"/>
                <w:szCs w:val="16"/>
              </w:rPr>
              <w:t>39,5</w:t>
            </w:r>
          </w:p>
        </w:tc>
        <w:tc>
          <w:tcPr>
            <w:tcW w:w="709" w:type="dxa"/>
            <w:tcBorders>
              <w:top w:val="nil"/>
              <w:left w:val="nil"/>
              <w:bottom w:val="nil"/>
              <w:right w:val="nil"/>
            </w:tcBorders>
            <w:shd w:val="clear" w:color="auto" w:fill="auto"/>
            <w:noWrap/>
            <w:vAlign w:val="center"/>
            <w:hideMark/>
          </w:tcPr>
          <w:p w14:paraId="53EEF42F" w14:textId="2D9FA5FC" w:rsidR="00DE09A0" w:rsidRPr="00D92E20" w:rsidRDefault="00DE09A0" w:rsidP="00DE09A0">
            <w:pPr>
              <w:spacing w:after="0" w:line="240" w:lineRule="auto"/>
              <w:jc w:val="center"/>
              <w:rPr>
                <w:rFonts w:cs="Arial"/>
                <w:color w:val="000000"/>
                <w:sz w:val="16"/>
                <w:szCs w:val="16"/>
              </w:rPr>
            </w:pPr>
            <w:r>
              <w:rPr>
                <w:rFonts w:cs="Arial"/>
                <w:sz w:val="16"/>
                <w:szCs w:val="16"/>
              </w:rPr>
              <w:t>43,7</w:t>
            </w:r>
          </w:p>
        </w:tc>
        <w:tc>
          <w:tcPr>
            <w:tcW w:w="709" w:type="dxa"/>
            <w:tcBorders>
              <w:top w:val="nil"/>
              <w:left w:val="nil"/>
              <w:bottom w:val="nil"/>
              <w:right w:val="nil"/>
            </w:tcBorders>
            <w:shd w:val="clear" w:color="auto" w:fill="auto"/>
            <w:noWrap/>
            <w:vAlign w:val="center"/>
            <w:hideMark/>
          </w:tcPr>
          <w:p w14:paraId="111A98A7" w14:textId="4A12FC58" w:rsidR="00DE09A0" w:rsidRPr="00D92E20" w:rsidRDefault="00DE09A0" w:rsidP="00DE09A0">
            <w:pPr>
              <w:spacing w:after="0" w:line="240" w:lineRule="auto"/>
              <w:jc w:val="center"/>
              <w:rPr>
                <w:rFonts w:cs="Arial"/>
                <w:color w:val="000000"/>
                <w:sz w:val="16"/>
                <w:szCs w:val="16"/>
              </w:rPr>
            </w:pPr>
            <w:r>
              <w:rPr>
                <w:rFonts w:cs="Arial"/>
                <w:sz w:val="16"/>
                <w:szCs w:val="16"/>
              </w:rPr>
              <w:t>38,4</w:t>
            </w:r>
          </w:p>
        </w:tc>
        <w:tc>
          <w:tcPr>
            <w:tcW w:w="709" w:type="dxa"/>
            <w:tcBorders>
              <w:top w:val="nil"/>
              <w:left w:val="nil"/>
              <w:bottom w:val="nil"/>
              <w:right w:val="nil"/>
            </w:tcBorders>
            <w:shd w:val="clear" w:color="auto" w:fill="auto"/>
            <w:noWrap/>
            <w:vAlign w:val="center"/>
            <w:hideMark/>
          </w:tcPr>
          <w:p w14:paraId="445EEF85" w14:textId="016C7D91" w:rsidR="00DE09A0" w:rsidRPr="00D92E20" w:rsidRDefault="00DE09A0" w:rsidP="00DE09A0">
            <w:pPr>
              <w:spacing w:after="0" w:line="240" w:lineRule="auto"/>
              <w:jc w:val="center"/>
              <w:rPr>
                <w:rFonts w:cs="Arial"/>
                <w:color w:val="000000"/>
                <w:sz w:val="16"/>
                <w:szCs w:val="16"/>
              </w:rPr>
            </w:pPr>
            <w:r>
              <w:rPr>
                <w:rFonts w:cs="Arial"/>
                <w:sz w:val="16"/>
                <w:szCs w:val="16"/>
              </w:rPr>
              <w:t>39,0</w:t>
            </w:r>
          </w:p>
        </w:tc>
        <w:tc>
          <w:tcPr>
            <w:tcW w:w="709" w:type="dxa"/>
            <w:tcBorders>
              <w:top w:val="nil"/>
              <w:left w:val="nil"/>
              <w:bottom w:val="nil"/>
              <w:right w:val="nil"/>
            </w:tcBorders>
            <w:shd w:val="clear" w:color="auto" w:fill="auto"/>
            <w:noWrap/>
            <w:vAlign w:val="center"/>
            <w:hideMark/>
          </w:tcPr>
          <w:p w14:paraId="0917ABA5" w14:textId="0ABC17BA" w:rsidR="00DE09A0" w:rsidRPr="00D92E20" w:rsidRDefault="00DE09A0" w:rsidP="00DE09A0">
            <w:pPr>
              <w:spacing w:after="0" w:line="240" w:lineRule="auto"/>
              <w:jc w:val="center"/>
              <w:rPr>
                <w:rFonts w:cs="Arial"/>
                <w:color w:val="000000"/>
                <w:sz w:val="16"/>
                <w:szCs w:val="16"/>
              </w:rPr>
            </w:pPr>
            <w:r>
              <w:rPr>
                <w:rFonts w:cs="Arial"/>
                <w:sz w:val="16"/>
                <w:szCs w:val="16"/>
              </w:rPr>
              <w:t>38,2</w:t>
            </w:r>
          </w:p>
        </w:tc>
        <w:tc>
          <w:tcPr>
            <w:tcW w:w="709" w:type="dxa"/>
            <w:tcBorders>
              <w:top w:val="nil"/>
              <w:left w:val="nil"/>
              <w:bottom w:val="nil"/>
              <w:right w:val="nil"/>
            </w:tcBorders>
            <w:shd w:val="clear" w:color="auto" w:fill="auto"/>
            <w:noWrap/>
            <w:vAlign w:val="center"/>
            <w:hideMark/>
          </w:tcPr>
          <w:p w14:paraId="6C2082C0" w14:textId="721BF5F8" w:rsidR="00DE09A0" w:rsidRPr="00D92E20" w:rsidRDefault="00DE09A0" w:rsidP="00DE09A0">
            <w:pPr>
              <w:spacing w:after="0" w:line="240" w:lineRule="auto"/>
              <w:jc w:val="center"/>
              <w:rPr>
                <w:rFonts w:cs="Arial"/>
                <w:color w:val="000000"/>
                <w:sz w:val="16"/>
                <w:szCs w:val="16"/>
              </w:rPr>
            </w:pPr>
            <w:r>
              <w:rPr>
                <w:rFonts w:cs="Arial"/>
                <w:color w:val="000000"/>
                <w:sz w:val="16"/>
                <w:szCs w:val="16"/>
              </w:rPr>
              <w:t>36,1</w:t>
            </w:r>
          </w:p>
        </w:tc>
        <w:tc>
          <w:tcPr>
            <w:tcW w:w="709" w:type="dxa"/>
            <w:tcBorders>
              <w:top w:val="nil"/>
              <w:left w:val="nil"/>
              <w:bottom w:val="nil"/>
              <w:right w:val="nil"/>
            </w:tcBorders>
            <w:shd w:val="clear" w:color="auto" w:fill="auto"/>
            <w:noWrap/>
            <w:vAlign w:val="center"/>
            <w:hideMark/>
          </w:tcPr>
          <w:p w14:paraId="3644E73A" w14:textId="73176EBC" w:rsidR="00DE09A0" w:rsidRPr="00D92E20" w:rsidRDefault="00DE09A0" w:rsidP="00DE09A0">
            <w:pPr>
              <w:spacing w:after="0" w:line="240" w:lineRule="auto"/>
              <w:jc w:val="center"/>
              <w:rPr>
                <w:rFonts w:cs="Arial"/>
                <w:color w:val="000000"/>
                <w:sz w:val="16"/>
                <w:szCs w:val="16"/>
              </w:rPr>
            </w:pPr>
            <w:r>
              <w:rPr>
                <w:rFonts w:cs="Arial"/>
                <w:color w:val="000000"/>
                <w:sz w:val="16"/>
                <w:szCs w:val="16"/>
              </w:rPr>
              <w:t>38,7</w:t>
            </w:r>
          </w:p>
        </w:tc>
        <w:tc>
          <w:tcPr>
            <w:tcW w:w="709" w:type="dxa"/>
            <w:tcBorders>
              <w:top w:val="nil"/>
              <w:left w:val="nil"/>
              <w:bottom w:val="nil"/>
              <w:right w:val="nil"/>
            </w:tcBorders>
            <w:shd w:val="clear" w:color="auto" w:fill="auto"/>
            <w:noWrap/>
            <w:vAlign w:val="center"/>
            <w:hideMark/>
          </w:tcPr>
          <w:p w14:paraId="0C677012" w14:textId="51B3F4C3" w:rsidR="00DE09A0" w:rsidRPr="00D92E20" w:rsidRDefault="00DE09A0" w:rsidP="00DE09A0">
            <w:pPr>
              <w:spacing w:after="0" w:line="240" w:lineRule="auto"/>
              <w:jc w:val="center"/>
              <w:rPr>
                <w:rFonts w:cs="Arial"/>
                <w:color w:val="000000"/>
                <w:sz w:val="16"/>
                <w:szCs w:val="16"/>
              </w:rPr>
            </w:pPr>
            <w:r>
              <w:rPr>
                <w:rFonts w:cs="Arial"/>
                <w:color w:val="000000"/>
                <w:sz w:val="16"/>
                <w:szCs w:val="16"/>
              </w:rPr>
              <w:t>41,8</w:t>
            </w:r>
          </w:p>
        </w:tc>
        <w:tc>
          <w:tcPr>
            <w:tcW w:w="709" w:type="dxa"/>
            <w:tcBorders>
              <w:top w:val="nil"/>
              <w:left w:val="nil"/>
              <w:bottom w:val="nil"/>
              <w:right w:val="nil"/>
            </w:tcBorders>
            <w:shd w:val="clear" w:color="auto" w:fill="auto"/>
            <w:noWrap/>
            <w:vAlign w:val="center"/>
            <w:hideMark/>
          </w:tcPr>
          <w:p w14:paraId="77430767" w14:textId="4400349A" w:rsidR="00DE09A0" w:rsidRPr="00D92E20" w:rsidRDefault="00DE09A0" w:rsidP="00DE09A0">
            <w:pPr>
              <w:spacing w:after="0" w:line="240" w:lineRule="auto"/>
              <w:jc w:val="center"/>
              <w:rPr>
                <w:rFonts w:cs="Arial"/>
                <w:color w:val="000000"/>
                <w:sz w:val="16"/>
                <w:szCs w:val="16"/>
              </w:rPr>
            </w:pPr>
            <w:r>
              <w:rPr>
                <w:rFonts w:cs="Arial"/>
                <w:color w:val="000000"/>
                <w:sz w:val="16"/>
                <w:szCs w:val="16"/>
              </w:rPr>
              <w:t>32,5</w:t>
            </w:r>
          </w:p>
        </w:tc>
        <w:tc>
          <w:tcPr>
            <w:tcW w:w="709" w:type="dxa"/>
            <w:tcBorders>
              <w:top w:val="nil"/>
              <w:left w:val="nil"/>
              <w:bottom w:val="nil"/>
              <w:right w:val="nil"/>
            </w:tcBorders>
            <w:shd w:val="clear" w:color="auto" w:fill="auto"/>
            <w:noWrap/>
            <w:vAlign w:val="center"/>
            <w:hideMark/>
          </w:tcPr>
          <w:p w14:paraId="617FE258" w14:textId="2143B118" w:rsidR="00DE09A0" w:rsidRPr="00D92E20" w:rsidRDefault="00DE09A0" w:rsidP="00DE09A0">
            <w:pPr>
              <w:spacing w:after="0" w:line="240" w:lineRule="auto"/>
              <w:jc w:val="center"/>
              <w:rPr>
                <w:rFonts w:cs="Arial"/>
                <w:color w:val="000000"/>
                <w:sz w:val="16"/>
                <w:szCs w:val="16"/>
              </w:rPr>
            </w:pPr>
            <w:r>
              <w:rPr>
                <w:rFonts w:cs="Arial"/>
                <w:color w:val="000000"/>
                <w:sz w:val="16"/>
                <w:szCs w:val="16"/>
              </w:rPr>
              <w:t>22,6</w:t>
            </w:r>
          </w:p>
        </w:tc>
      </w:tr>
      <w:tr w:rsidR="00DE09A0" w:rsidRPr="00D92E20" w14:paraId="1812B0BF" w14:textId="77777777" w:rsidTr="00161606">
        <w:trPr>
          <w:trHeight w:val="300"/>
        </w:trPr>
        <w:tc>
          <w:tcPr>
            <w:tcW w:w="1871" w:type="dxa"/>
            <w:tcBorders>
              <w:top w:val="nil"/>
              <w:left w:val="nil"/>
              <w:bottom w:val="nil"/>
              <w:right w:val="single" w:sz="4" w:space="0" w:color="auto"/>
            </w:tcBorders>
            <w:shd w:val="clear" w:color="auto" w:fill="auto"/>
            <w:noWrap/>
            <w:vAlign w:val="center"/>
            <w:hideMark/>
          </w:tcPr>
          <w:p w14:paraId="65DD9202" w14:textId="77777777" w:rsidR="00DE09A0" w:rsidRPr="00D92E20" w:rsidRDefault="00DE09A0" w:rsidP="00DE09A0">
            <w:pPr>
              <w:spacing w:after="0" w:line="240" w:lineRule="auto"/>
              <w:ind w:firstLineChars="100" w:firstLine="160"/>
              <w:rPr>
                <w:rFonts w:cs="Arial"/>
                <w:color w:val="000000"/>
                <w:sz w:val="16"/>
                <w:szCs w:val="16"/>
              </w:rPr>
            </w:pPr>
            <w:r w:rsidRPr="00D92E20">
              <w:rPr>
                <w:rFonts w:cs="Arial"/>
                <w:color w:val="000000"/>
                <w:sz w:val="16"/>
                <w:szCs w:val="16"/>
              </w:rPr>
              <w:t>Pardubický kraj</w:t>
            </w:r>
          </w:p>
        </w:tc>
        <w:tc>
          <w:tcPr>
            <w:tcW w:w="709" w:type="dxa"/>
            <w:tcBorders>
              <w:top w:val="nil"/>
              <w:left w:val="nil"/>
              <w:bottom w:val="nil"/>
              <w:right w:val="nil"/>
            </w:tcBorders>
            <w:shd w:val="clear" w:color="auto" w:fill="auto"/>
            <w:noWrap/>
            <w:vAlign w:val="center"/>
            <w:hideMark/>
          </w:tcPr>
          <w:p w14:paraId="003740E8" w14:textId="02B05E1D" w:rsidR="00DE09A0" w:rsidRPr="00D92E20" w:rsidRDefault="00DE09A0" w:rsidP="00DE09A0">
            <w:pPr>
              <w:spacing w:after="0" w:line="240" w:lineRule="auto"/>
              <w:jc w:val="center"/>
              <w:rPr>
                <w:rFonts w:cs="Arial"/>
                <w:color w:val="000000"/>
                <w:sz w:val="16"/>
                <w:szCs w:val="16"/>
              </w:rPr>
            </w:pPr>
            <w:r>
              <w:rPr>
                <w:rFonts w:cs="Arial"/>
                <w:sz w:val="16"/>
                <w:szCs w:val="16"/>
              </w:rPr>
              <w:t>46,6</w:t>
            </w:r>
          </w:p>
        </w:tc>
        <w:tc>
          <w:tcPr>
            <w:tcW w:w="709" w:type="dxa"/>
            <w:tcBorders>
              <w:top w:val="nil"/>
              <w:left w:val="nil"/>
              <w:bottom w:val="nil"/>
              <w:right w:val="nil"/>
            </w:tcBorders>
            <w:shd w:val="clear" w:color="auto" w:fill="auto"/>
            <w:noWrap/>
            <w:vAlign w:val="center"/>
            <w:hideMark/>
          </w:tcPr>
          <w:p w14:paraId="62C1B728" w14:textId="6E36941F" w:rsidR="00DE09A0" w:rsidRPr="00D92E20" w:rsidRDefault="00DE09A0" w:rsidP="00DE09A0">
            <w:pPr>
              <w:spacing w:after="0" w:line="240" w:lineRule="auto"/>
              <w:jc w:val="center"/>
              <w:rPr>
                <w:rFonts w:cs="Arial"/>
                <w:color w:val="000000"/>
                <w:sz w:val="16"/>
                <w:szCs w:val="16"/>
              </w:rPr>
            </w:pPr>
            <w:r>
              <w:rPr>
                <w:rFonts w:cs="Arial"/>
                <w:sz w:val="16"/>
                <w:szCs w:val="16"/>
              </w:rPr>
              <w:t>41,4</w:t>
            </w:r>
          </w:p>
        </w:tc>
        <w:tc>
          <w:tcPr>
            <w:tcW w:w="709" w:type="dxa"/>
            <w:tcBorders>
              <w:top w:val="nil"/>
              <w:left w:val="nil"/>
              <w:bottom w:val="nil"/>
              <w:right w:val="nil"/>
            </w:tcBorders>
            <w:shd w:val="clear" w:color="auto" w:fill="auto"/>
            <w:noWrap/>
            <w:vAlign w:val="center"/>
            <w:hideMark/>
          </w:tcPr>
          <w:p w14:paraId="3C9C602F" w14:textId="4C078FE0" w:rsidR="00DE09A0" w:rsidRPr="00D92E20" w:rsidRDefault="00DE09A0" w:rsidP="00DE09A0">
            <w:pPr>
              <w:spacing w:after="0" w:line="240" w:lineRule="auto"/>
              <w:jc w:val="center"/>
              <w:rPr>
                <w:rFonts w:cs="Arial"/>
                <w:color w:val="000000"/>
                <w:sz w:val="16"/>
                <w:szCs w:val="16"/>
              </w:rPr>
            </w:pPr>
            <w:r>
              <w:rPr>
                <w:rFonts w:cs="Arial"/>
                <w:sz w:val="16"/>
                <w:szCs w:val="16"/>
              </w:rPr>
              <w:t>45,5</w:t>
            </w:r>
          </w:p>
        </w:tc>
        <w:tc>
          <w:tcPr>
            <w:tcW w:w="709" w:type="dxa"/>
            <w:tcBorders>
              <w:top w:val="nil"/>
              <w:left w:val="nil"/>
              <w:bottom w:val="nil"/>
              <w:right w:val="nil"/>
            </w:tcBorders>
            <w:shd w:val="clear" w:color="auto" w:fill="auto"/>
            <w:noWrap/>
            <w:vAlign w:val="center"/>
            <w:hideMark/>
          </w:tcPr>
          <w:p w14:paraId="5622CD74" w14:textId="56F44E8A" w:rsidR="00DE09A0" w:rsidRPr="00D92E20" w:rsidRDefault="00DE09A0" w:rsidP="00DE09A0">
            <w:pPr>
              <w:spacing w:after="0" w:line="240" w:lineRule="auto"/>
              <w:jc w:val="center"/>
              <w:rPr>
                <w:rFonts w:cs="Arial"/>
                <w:color w:val="000000"/>
                <w:sz w:val="16"/>
                <w:szCs w:val="16"/>
              </w:rPr>
            </w:pPr>
            <w:r>
              <w:rPr>
                <w:rFonts w:cs="Arial"/>
                <w:sz w:val="16"/>
                <w:szCs w:val="16"/>
              </w:rPr>
              <w:t>39,7</w:t>
            </w:r>
          </w:p>
        </w:tc>
        <w:tc>
          <w:tcPr>
            <w:tcW w:w="709" w:type="dxa"/>
            <w:tcBorders>
              <w:top w:val="nil"/>
              <w:left w:val="nil"/>
              <w:bottom w:val="nil"/>
              <w:right w:val="nil"/>
            </w:tcBorders>
            <w:shd w:val="clear" w:color="auto" w:fill="auto"/>
            <w:noWrap/>
            <w:vAlign w:val="center"/>
            <w:hideMark/>
          </w:tcPr>
          <w:p w14:paraId="1030C7F1" w14:textId="464745D4" w:rsidR="00DE09A0" w:rsidRPr="00D92E20" w:rsidRDefault="00DE09A0" w:rsidP="00DE09A0">
            <w:pPr>
              <w:spacing w:after="0" w:line="240" w:lineRule="auto"/>
              <w:jc w:val="center"/>
              <w:rPr>
                <w:rFonts w:cs="Arial"/>
                <w:color w:val="000000"/>
                <w:sz w:val="16"/>
                <w:szCs w:val="16"/>
              </w:rPr>
            </w:pPr>
            <w:r>
              <w:rPr>
                <w:rFonts w:cs="Arial"/>
                <w:sz w:val="16"/>
                <w:szCs w:val="16"/>
              </w:rPr>
              <w:t>42,0</w:t>
            </w:r>
          </w:p>
        </w:tc>
        <w:tc>
          <w:tcPr>
            <w:tcW w:w="709" w:type="dxa"/>
            <w:tcBorders>
              <w:top w:val="nil"/>
              <w:left w:val="nil"/>
              <w:bottom w:val="nil"/>
              <w:right w:val="nil"/>
            </w:tcBorders>
            <w:shd w:val="clear" w:color="auto" w:fill="auto"/>
            <w:noWrap/>
            <w:vAlign w:val="center"/>
            <w:hideMark/>
          </w:tcPr>
          <w:p w14:paraId="3A731223" w14:textId="5E5BD1A5" w:rsidR="00DE09A0" w:rsidRPr="00D92E20" w:rsidRDefault="00DE09A0" w:rsidP="00DE09A0">
            <w:pPr>
              <w:spacing w:after="0" w:line="240" w:lineRule="auto"/>
              <w:jc w:val="center"/>
              <w:rPr>
                <w:rFonts w:cs="Arial"/>
                <w:color w:val="000000"/>
                <w:sz w:val="16"/>
                <w:szCs w:val="16"/>
              </w:rPr>
            </w:pPr>
            <w:r>
              <w:rPr>
                <w:rFonts w:cs="Arial"/>
                <w:sz w:val="16"/>
                <w:szCs w:val="16"/>
              </w:rPr>
              <w:t>41,0</w:t>
            </w:r>
          </w:p>
        </w:tc>
        <w:tc>
          <w:tcPr>
            <w:tcW w:w="709" w:type="dxa"/>
            <w:tcBorders>
              <w:top w:val="nil"/>
              <w:left w:val="nil"/>
              <w:bottom w:val="nil"/>
              <w:right w:val="nil"/>
            </w:tcBorders>
            <w:shd w:val="clear" w:color="auto" w:fill="auto"/>
            <w:noWrap/>
            <w:vAlign w:val="center"/>
            <w:hideMark/>
          </w:tcPr>
          <w:p w14:paraId="6B8B9B49" w14:textId="5E6857E4" w:rsidR="00DE09A0" w:rsidRPr="00D92E20" w:rsidRDefault="00DE09A0" w:rsidP="00DE09A0">
            <w:pPr>
              <w:spacing w:after="0" w:line="240" w:lineRule="auto"/>
              <w:jc w:val="center"/>
              <w:rPr>
                <w:rFonts w:cs="Arial"/>
                <w:color w:val="000000"/>
                <w:sz w:val="16"/>
                <w:szCs w:val="16"/>
              </w:rPr>
            </w:pPr>
            <w:r>
              <w:rPr>
                <w:rFonts w:cs="Arial"/>
                <w:color w:val="000000"/>
                <w:sz w:val="16"/>
                <w:szCs w:val="16"/>
              </w:rPr>
              <w:t>38,3</w:t>
            </w:r>
          </w:p>
        </w:tc>
        <w:tc>
          <w:tcPr>
            <w:tcW w:w="709" w:type="dxa"/>
            <w:tcBorders>
              <w:top w:val="nil"/>
              <w:left w:val="nil"/>
              <w:bottom w:val="nil"/>
              <w:right w:val="nil"/>
            </w:tcBorders>
            <w:shd w:val="clear" w:color="auto" w:fill="auto"/>
            <w:noWrap/>
            <w:vAlign w:val="center"/>
            <w:hideMark/>
          </w:tcPr>
          <w:p w14:paraId="65D11FCD" w14:textId="07842E97" w:rsidR="00DE09A0" w:rsidRPr="00D92E20" w:rsidRDefault="00DE09A0" w:rsidP="00DE09A0">
            <w:pPr>
              <w:spacing w:after="0" w:line="240" w:lineRule="auto"/>
              <w:jc w:val="center"/>
              <w:rPr>
                <w:rFonts w:cs="Arial"/>
                <w:color w:val="000000"/>
                <w:sz w:val="16"/>
                <w:szCs w:val="16"/>
              </w:rPr>
            </w:pPr>
            <w:r>
              <w:rPr>
                <w:rFonts w:cs="Arial"/>
                <w:color w:val="000000"/>
                <w:sz w:val="16"/>
                <w:szCs w:val="16"/>
              </w:rPr>
              <w:t>41,9</w:t>
            </w:r>
          </w:p>
        </w:tc>
        <w:tc>
          <w:tcPr>
            <w:tcW w:w="709" w:type="dxa"/>
            <w:tcBorders>
              <w:top w:val="nil"/>
              <w:left w:val="nil"/>
              <w:bottom w:val="nil"/>
              <w:right w:val="nil"/>
            </w:tcBorders>
            <w:shd w:val="clear" w:color="auto" w:fill="auto"/>
            <w:noWrap/>
            <w:vAlign w:val="center"/>
            <w:hideMark/>
          </w:tcPr>
          <w:p w14:paraId="22BDE50C" w14:textId="032DFBAD" w:rsidR="00DE09A0" w:rsidRPr="00D92E20" w:rsidRDefault="00DE09A0" w:rsidP="00DE09A0">
            <w:pPr>
              <w:spacing w:after="0" w:line="240" w:lineRule="auto"/>
              <w:jc w:val="center"/>
              <w:rPr>
                <w:rFonts w:cs="Arial"/>
                <w:color w:val="000000"/>
                <w:sz w:val="16"/>
                <w:szCs w:val="16"/>
              </w:rPr>
            </w:pPr>
            <w:r>
              <w:rPr>
                <w:rFonts w:cs="Arial"/>
                <w:color w:val="000000"/>
                <w:sz w:val="16"/>
                <w:szCs w:val="16"/>
              </w:rPr>
              <w:t>44,6</w:t>
            </w:r>
          </w:p>
        </w:tc>
        <w:tc>
          <w:tcPr>
            <w:tcW w:w="709" w:type="dxa"/>
            <w:tcBorders>
              <w:top w:val="nil"/>
              <w:left w:val="nil"/>
              <w:bottom w:val="nil"/>
              <w:right w:val="nil"/>
            </w:tcBorders>
            <w:shd w:val="clear" w:color="auto" w:fill="auto"/>
            <w:noWrap/>
            <w:vAlign w:val="center"/>
            <w:hideMark/>
          </w:tcPr>
          <w:p w14:paraId="6A08D493" w14:textId="6B97E5D3" w:rsidR="00DE09A0" w:rsidRPr="00D92E20" w:rsidRDefault="00DE09A0" w:rsidP="00DE09A0">
            <w:pPr>
              <w:spacing w:after="0" w:line="240" w:lineRule="auto"/>
              <w:jc w:val="center"/>
              <w:rPr>
                <w:rFonts w:cs="Arial"/>
                <w:color w:val="000000"/>
                <w:sz w:val="16"/>
                <w:szCs w:val="16"/>
              </w:rPr>
            </w:pPr>
            <w:r>
              <w:rPr>
                <w:rFonts w:cs="Arial"/>
                <w:color w:val="000000"/>
                <w:sz w:val="16"/>
                <w:szCs w:val="16"/>
              </w:rPr>
              <w:t>33,8</w:t>
            </w:r>
          </w:p>
        </w:tc>
        <w:tc>
          <w:tcPr>
            <w:tcW w:w="709" w:type="dxa"/>
            <w:tcBorders>
              <w:top w:val="nil"/>
              <w:left w:val="nil"/>
              <w:bottom w:val="nil"/>
              <w:right w:val="nil"/>
            </w:tcBorders>
            <w:shd w:val="clear" w:color="auto" w:fill="auto"/>
            <w:noWrap/>
            <w:vAlign w:val="center"/>
            <w:hideMark/>
          </w:tcPr>
          <w:p w14:paraId="6FCFF5B9" w14:textId="0E25F00B" w:rsidR="00DE09A0" w:rsidRPr="00D92E20" w:rsidRDefault="00DE09A0" w:rsidP="00DE09A0">
            <w:pPr>
              <w:spacing w:after="0" w:line="240" w:lineRule="auto"/>
              <w:jc w:val="center"/>
              <w:rPr>
                <w:rFonts w:cs="Arial"/>
                <w:color w:val="000000"/>
                <w:sz w:val="16"/>
                <w:szCs w:val="16"/>
              </w:rPr>
            </w:pPr>
            <w:r>
              <w:rPr>
                <w:rFonts w:cs="Arial"/>
                <w:color w:val="000000"/>
                <w:sz w:val="16"/>
                <w:szCs w:val="16"/>
              </w:rPr>
              <w:t>23,7</w:t>
            </w:r>
          </w:p>
        </w:tc>
      </w:tr>
      <w:tr w:rsidR="00DE09A0" w:rsidRPr="00D92E20" w14:paraId="5A9936A5" w14:textId="77777777" w:rsidTr="00161606">
        <w:trPr>
          <w:trHeight w:val="300"/>
        </w:trPr>
        <w:tc>
          <w:tcPr>
            <w:tcW w:w="1871" w:type="dxa"/>
            <w:tcBorders>
              <w:top w:val="nil"/>
              <w:left w:val="nil"/>
              <w:bottom w:val="nil"/>
              <w:right w:val="single" w:sz="4" w:space="0" w:color="auto"/>
            </w:tcBorders>
            <w:shd w:val="clear" w:color="auto" w:fill="auto"/>
            <w:noWrap/>
            <w:vAlign w:val="center"/>
            <w:hideMark/>
          </w:tcPr>
          <w:p w14:paraId="201350A7" w14:textId="77777777" w:rsidR="00DE09A0" w:rsidRPr="00D92E20" w:rsidRDefault="00DE09A0" w:rsidP="00DE09A0">
            <w:pPr>
              <w:spacing w:after="0" w:line="240" w:lineRule="auto"/>
              <w:ind w:firstLineChars="100" w:firstLine="160"/>
              <w:rPr>
                <w:rFonts w:cs="Arial"/>
                <w:color w:val="000000"/>
                <w:sz w:val="16"/>
                <w:szCs w:val="16"/>
              </w:rPr>
            </w:pPr>
            <w:r w:rsidRPr="00D92E20">
              <w:rPr>
                <w:rFonts w:cs="Arial"/>
                <w:color w:val="000000"/>
                <w:sz w:val="16"/>
                <w:szCs w:val="16"/>
              </w:rPr>
              <w:t>Kraj Vysočina</w:t>
            </w:r>
          </w:p>
        </w:tc>
        <w:tc>
          <w:tcPr>
            <w:tcW w:w="709" w:type="dxa"/>
            <w:tcBorders>
              <w:top w:val="nil"/>
              <w:left w:val="nil"/>
              <w:bottom w:val="nil"/>
              <w:right w:val="nil"/>
            </w:tcBorders>
            <w:shd w:val="clear" w:color="auto" w:fill="auto"/>
            <w:noWrap/>
            <w:vAlign w:val="center"/>
            <w:hideMark/>
          </w:tcPr>
          <w:p w14:paraId="2009D22A" w14:textId="3E8D583E" w:rsidR="00DE09A0" w:rsidRPr="00D92E20" w:rsidRDefault="00DE09A0" w:rsidP="00DE09A0">
            <w:pPr>
              <w:spacing w:after="0" w:line="240" w:lineRule="auto"/>
              <w:jc w:val="center"/>
              <w:rPr>
                <w:rFonts w:cs="Arial"/>
                <w:color w:val="000000"/>
                <w:sz w:val="16"/>
                <w:szCs w:val="16"/>
              </w:rPr>
            </w:pPr>
            <w:r>
              <w:rPr>
                <w:rFonts w:cs="Arial"/>
                <w:sz w:val="16"/>
                <w:szCs w:val="16"/>
              </w:rPr>
              <w:t>45,6</w:t>
            </w:r>
          </w:p>
        </w:tc>
        <w:tc>
          <w:tcPr>
            <w:tcW w:w="709" w:type="dxa"/>
            <w:tcBorders>
              <w:top w:val="nil"/>
              <w:left w:val="nil"/>
              <w:bottom w:val="nil"/>
              <w:right w:val="nil"/>
            </w:tcBorders>
            <w:shd w:val="clear" w:color="auto" w:fill="auto"/>
            <w:noWrap/>
            <w:vAlign w:val="center"/>
            <w:hideMark/>
          </w:tcPr>
          <w:p w14:paraId="33D05147" w14:textId="58846392" w:rsidR="00DE09A0" w:rsidRPr="00D92E20" w:rsidRDefault="00DE09A0" w:rsidP="00DE09A0">
            <w:pPr>
              <w:spacing w:after="0" w:line="240" w:lineRule="auto"/>
              <w:jc w:val="center"/>
              <w:rPr>
                <w:rFonts w:cs="Arial"/>
                <w:color w:val="000000"/>
                <w:sz w:val="16"/>
                <w:szCs w:val="16"/>
              </w:rPr>
            </w:pPr>
            <w:r>
              <w:rPr>
                <w:rFonts w:cs="Arial"/>
                <w:sz w:val="16"/>
                <w:szCs w:val="16"/>
              </w:rPr>
              <w:t>41,6</w:t>
            </w:r>
          </w:p>
        </w:tc>
        <w:tc>
          <w:tcPr>
            <w:tcW w:w="709" w:type="dxa"/>
            <w:tcBorders>
              <w:top w:val="nil"/>
              <w:left w:val="nil"/>
              <w:bottom w:val="nil"/>
              <w:right w:val="nil"/>
            </w:tcBorders>
            <w:shd w:val="clear" w:color="auto" w:fill="auto"/>
            <w:noWrap/>
            <w:vAlign w:val="center"/>
            <w:hideMark/>
          </w:tcPr>
          <w:p w14:paraId="59CAD739" w14:textId="3A7EDEBF" w:rsidR="00DE09A0" w:rsidRPr="00D92E20" w:rsidRDefault="00DE09A0" w:rsidP="00DE09A0">
            <w:pPr>
              <w:spacing w:after="0" w:line="240" w:lineRule="auto"/>
              <w:jc w:val="center"/>
              <w:rPr>
                <w:rFonts w:cs="Arial"/>
                <w:color w:val="000000"/>
                <w:sz w:val="16"/>
                <w:szCs w:val="16"/>
              </w:rPr>
            </w:pPr>
            <w:r>
              <w:rPr>
                <w:rFonts w:cs="Arial"/>
                <w:sz w:val="16"/>
                <w:szCs w:val="16"/>
              </w:rPr>
              <w:t>46,6</w:t>
            </w:r>
          </w:p>
        </w:tc>
        <w:tc>
          <w:tcPr>
            <w:tcW w:w="709" w:type="dxa"/>
            <w:tcBorders>
              <w:top w:val="nil"/>
              <w:left w:val="nil"/>
              <w:bottom w:val="nil"/>
              <w:right w:val="nil"/>
            </w:tcBorders>
            <w:shd w:val="clear" w:color="auto" w:fill="auto"/>
            <w:noWrap/>
            <w:vAlign w:val="center"/>
            <w:hideMark/>
          </w:tcPr>
          <w:p w14:paraId="55AF9C05" w14:textId="56C4D21A" w:rsidR="00DE09A0" w:rsidRPr="00D92E20" w:rsidRDefault="00DE09A0" w:rsidP="00DE09A0">
            <w:pPr>
              <w:spacing w:after="0" w:line="240" w:lineRule="auto"/>
              <w:jc w:val="center"/>
              <w:rPr>
                <w:rFonts w:cs="Arial"/>
                <w:color w:val="000000"/>
                <w:sz w:val="16"/>
                <w:szCs w:val="16"/>
              </w:rPr>
            </w:pPr>
            <w:r>
              <w:rPr>
                <w:rFonts w:cs="Arial"/>
                <w:sz w:val="16"/>
                <w:szCs w:val="16"/>
              </w:rPr>
              <w:t>40,4</w:t>
            </w:r>
          </w:p>
        </w:tc>
        <w:tc>
          <w:tcPr>
            <w:tcW w:w="709" w:type="dxa"/>
            <w:tcBorders>
              <w:top w:val="nil"/>
              <w:left w:val="nil"/>
              <w:bottom w:val="nil"/>
              <w:right w:val="nil"/>
            </w:tcBorders>
            <w:shd w:val="clear" w:color="auto" w:fill="auto"/>
            <w:noWrap/>
            <w:vAlign w:val="center"/>
            <w:hideMark/>
          </w:tcPr>
          <w:p w14:paraId="4D013E63" w14:textId="0925B230" w:rsidR="00DE09A0" w:rsidRPr="00D92E20" w:rsidRDefault="00DE09A0" w:rsidP="00DE09A0">
            <w:pPr>
              <w:spacing w:after="0" w:line="240" w:lineRule="auto"/>
              <w:jc w:val="center"/>
              <w:rPr>
                <w:rFonts w:cs="Arial"/>
                <w:color w:val="000000"/>
                <w:sz w:val="16"/>
                <w:szCs w:val="16"/>
              </w:rPr>
            </w:pPr>
            <w:r>
              <w:rPr>
                <w:rFonts w:cs="Arial"/>
                <w:sz w:val="16"/>
                <w:szCs w:val="16"/>
              </w:rPr>
              <w:t>43,7</w:t>
            </w:r>
          </w:p>
        </w:tc>
        <w:tc>
          <w:tcPr>
            <w:tcW w:w="709" w:type="dxa"/>
            <w:tcBorders>
              <w:top w:val="nil"/>
              <w:left w:val="nil"/>
              <w:bottom w:val="nil"/>
              <w:right w:val="nil"/>
            </w:tcBorders>
            <w:shd w:val="clear" w:color="auto" w:fill="auto"/>
            <w:noWrap/>
            <w:vAlign w:val="center"/>
            <w:hideMark/>
          </w:tcPr>
          <w:p w14:paraId="43C33C3F" w14:textId="36F3D0CB" w:rsidR="00DE09A0" w:rsidRPr="00D92E20" w:rsidRDefault="00DE09A0" w:rsidP="00DE09A0">
            <w:pPr>
              <w:spacing w:after="0" w:line="240" w:lineRule="auto"/>
              <w:jc w:val="center"/>
              <w:rPr>
                <w:rFonts w:cs="Arial"/>
                <w:color w:val="000000"/>
                <w:sz w:val="16"/>
                <w:szCs w:val="16"/>
              </w:rPr>
            </w:pPr>
            <w:r>
              <w:rPr>
                <w:rFonts w:cs="Arial"/>
                <w:sz w:val="16"/>
                <w:szCs w:val="16"/>
              </w:rPr>
              <w:t>42,9</w:t>
            </w:r>
          </w:p>
        </w:tc>
        <w:tc>
          <w:tcPr>
            <w:tcW w:w="709" w:type="dxa"/>
            <w:tcBorders>
              <w:top w:val="nil"/>
              <w:left w:val="nil"/>
              <w:bottom w:val="nil"/>
              <w:right w:val="nil"/>
            </w:tcBorders>
            <w:shd w:val="clear" w:color="auto" w:fill="auto"/>
            <w:noWrap/>
            <w:vAlign w:val="center"/>
            <w:hideMark/>
          </w:tcPr>
          <w:p w14:paraId="33EB2663" w14:textId="38D8F28A" w:rsidR="00DE09A0" w:rsidRPr="00D92E20" w:rsidRDefault="00DE09A0" w:rsidP="00DE09A0">
            <w:pPr>
              <w:spacing w:after="0" w:line="240" w:lineRule="auto"/>
              <w:jc w:val="center"/>
              <w:rPr>
                <w:rFonts w:cs="Arial"/>
                <w:color w:val="000000"/>
                <w:sz w:val="16"/>
                <w:szCs w:val="16"/>
              </w:rPr>
            </w:pPr>
            <w:r>
              <w:rPr>
                <w:rFonts w:cs="Arial"/>
                <w:color w:val="000000"/>
                <w:sz w:val="16"/>
                <w:szCs w:val="16"/>
              </w:rPr>
              <w:t>40,8</w:t>
            </w:r>
          </w:p>
        </w:tc>
        <w:tc>
          <w:tcPr>
            <w:tcW w:w="709" w:type="dxa"/>
            <w:tcBorders>
              <w:top w:val="nil"/>
              <w:left w:val="nil"/>
              <w:bottom w:val="nil"/>
              <w:right w:val="nil"/>
            </w:tcBorders>
            <w:shd w:val="clear" w:color="auto" w:fill="auto"/>
            <w:noWrap/>
            <w:vAlign w:val="center"/>
            <w:hideMark/>
          </w:tcPr>
          <w:p w14:paraId="5F2C7436" w14:textId="4B9B0CEE" w:rsidR="00DE09A0" w:rsidRPr="00D92E20" w:rsidRDefault="00DE09A0" w:rsidP="00DE09A0">
            <w:pPr>
              <w:spacing w:after="0" w:line="240" w:lineRule="auto"/>
              <w:jc w:val="center"/>
              <w:rPr>
                <w:rFonts w:cs="Arial"/>
                <w:color w:val="000000"/>
                <w:sz w:val="16"/>
                <w:szCs w:val="16"/>
              </w:rPr>
            </w:pPr>
            <w:r>
              <w:rPr>
                <w:rFonts w:cs="Arial"/>
                <w:color w:val="000000"/>
                <w:sz w:val="16"/>
                <w:szCs w:val="16"/>
              </w:rPr>
              <w:t>45,2</w:t>
            </w:r>
          </w:p>
        </w:tc>
        <w:tc>
          <w:tcPr>
            <w:tcW w:w="709" w:type="dxa"/>
            <w:tcBorders>
              <w:top w:val="nil"/>
              <w:left w:val="nil"/>
              <w:bottom w:val="nil"/>
              <w:right w:val="nil"/>
            </w:tcBorders>
            <w:shd w:val="clear" w:color="auto" w:fill="auto"/>
            <w:noWrap/>
            <w:vAlign w:val="center"/>
            <w:hideMark/>
          </w:tcPr>
          <w:p w14:paraId="47732A10" w14:textId="78DA30C7" w:rsidR="00DE09A0" w:rsidRPr="00D92E20" w:rsidRDefault="00DE09A0" w:rsidP="00DE09A0">
            <w:pPr>
              <w:spacing w:after="0" w:line="240" w:lineRule="auto"/>
              <w:jc w:val="center"/>
              <w:rPr>
                <w:rFonts w:cs="Arial"/>
                <w:color w:val="000000"/>
                <w:sz w:val="16"/>
                <w:szCs w:val="16"/>
              </w:rPr>
            </w:pPr>
            <w:r>
              <w:rPr>
                <w:rFonts w:cs="Arial"/>
                <w:color w:val="000000"/>
                <w:sz w:val="16"/>
                <w:szCs w:val="16"/>
              </w:rPr>
              <w:t>47,8</w:t>
            </w:r>
          </w:p>
        </w:tc>
        <w:tc>
          <w:tcPr>
            <w:tcW w:w="709" w:type="dxa"/>
            <w:tcBorders>
              <w:top w:val="nil"/>
              <w:left w:val="nil"/>
              <w:bottom w:val="nil"/>
              <w:right w:val="nil"/>
            </w:tcBorders>
            <w:shd w:val="clear" w:color="auto" w:fill="auto"/>
            <w:noWrap/>
            <w:vAlign w:val="center"/>
            <w:hideMark/>
          </w:tcPr>
          <w:p w14:paraId="2821779D" w14:textId="1D661637" w:rsidR="00DE09A0" w:rsidRPr="00D92E20" w:rsidRDefault="00DE09A0" w:rsidP="00DE09A0">
            <w:pPr>
              <w:spacing w:after="0" w:line="240" w:lineRule="auto"/>
              <w:jc w:val="center"/>
              <w:rPr>
                <w:rFonts w:cs="Arial"/>
                <w:color w:val="000000"/>
                <w:sz w:val="16"/>
                <w:szCs w:val="16"/>
              </w:rPr>
            </w:pPr>
            <w:r>
              <w:rPr>
                <w:rFonts w:cs="Arial"/>
                <w:color w:val="000000"/>
                <w:sz w:val="16"/>
                <w:szCs w:val="16"/>
              </w:rPr>
              <w:t>37,5</w:t>
            </w:r>
          </w:p>
        </w:tc>
        <w:tc>
          <w:tcPr>
            <w:tcW w:w="709" w:type="dxa"/>
            <w:tcBorders>
              <w:top w:val="nil"/>
              <w:left w:val="nil"/>
              <w:bottom w:val="nil"/>
              <w:right w:val="nil"/>
            </w:tcBorders>
            <w:shd w:val="clear" w:color="auto" w:fill="auto"/>
            <w:noWrap/>
            <w:vAlign w:val="center"/>
            <w:hideMark/>
          </w:tcPr>
          <w:p w14:paraId="26F686AC" w14:textId="6B7D8652" w:rsidR="00DE09A0" w:rsidRPr="00D92E20" w:rsidRDefault="00DE09A0" w:rsidP="00DE09A0">
            <w:pPr>
              <w:spacing w:after="0" w:line="240" w:lineRule="auto"/>
              <w:jc w:val="center"/>
              <w:rPr>
                <w:rFonts w:cs="Arial"/>
                <w:color w:val="000000"/>
                <w:sz w:val="16"/>
                <w:szCs w:val="16"/>
              </w:rPr>
            </w:pPr>
            <w:r>
              <w:rPr>
                <w:rFonts w:cs="Arial"/>
                <w:color w:val="000000"/>
                <w:sz w:val="16"/>
                <w:szCs w:val="16"/>
              </w:rPr>
              <w:t>25,4</w:t>
            </w:r>
          </w:p>
        </w:tc>
      </w:tr>
      <w:tr w:rsidR="00DE09A0" w:rsidRPr="00D92E20" w14:paraId="4FD377EA" w14:textId="77777777" w:rsidTr="00161606">
        <w:trPr>
          <w:trHeight w:val="300"/>
        </w:trPr>
        <w:tc>
          <w:tcPr>
            <w:tcW w:w="1871" w:type="dxa"/>
            <w:tcBorders>
              <w:top w:val="nil"/>
              <w:left w:val="nil"/>
              <w:bottom w:val="nil"/>
              <w:right w:val="single" w:sz="4" w:space="0" w:color="auto"/>
            </w:tcBorders>
            <w:shd w:val="clear" w:color="auto" w:fill="auto"/>
            <w:noWrap/>
            <w:vAlign w:val="center"/>
            <w:hideMark/>
          </w:tcPr>
          <w:p w14:paraId="42D240B1" w14:textId="77777777" w:rsidR="00DE09A0" w:rsidRPr="00D92E20" w:rsidRDefault="00DE09A0" w:rsidP="00DE09A0">
            <w:pPr>
              <w:spacing w:after="0" w:line="240" w:lineRule="auto"/>
              <w:ind w:firstLineChars="100" w:firstLine="160"/>
              <w:rPr>
                <w:rFonts w:cs="Arial"/>
                <w:color w:val="000000"/>
                <w:sz w:val="16"/>
                <w:szCs w:val="16"/>
              </w:rPr>
            </w:pPr>
            <w:r w:rsidRPr="00D92E20">
              <w:rPr>
                <w:rFonts w:cs="Arial"/>
                <w:color w:val="000000"/>
                <w:sz w:val="16"/>
                <w:szCs w:val="16"/>
              </w:rPr>
              <w:t>Jihomoravský kraj</w:t>
            </w:r>
          </w:p>
        </w:tc>
        <w:tc>
          <w:tcPr>
            <w:tcW w:w="709" w:type="dxa"/>
            <w:tcBorders>
              <w:top w:val="nil"/>
              <w:left w:val="nil"/>
              <w:bottom w:val="nil"/>
              <w:right w:val="nil"/>
            </w:tcBorders>
            <w:shd w:val="clear" w:color="auto" w:fill="auto"/>
            <w:noWrap/>
            <w:vAlign w:val="center"/>
            <w:hideMark/>
          </w:tcPr>
          <w:p w14:paraId="17089D98" w14:textId="3BA9CB94" w:rsidR="00DE09A0" w:rsidRPr="00D92E20" w:rsidRDefault="00DE09A0" w:rsidP="00DE09A0">
            <w:pPr>
              <w:spacing w:after="0" w:line="240" w:lineRule="auto"/>
              <w:jc w:val="center"/>
              <w:rPr>
                <w:rFonts w:cs="Arial"/>
                <w:color w:val="000000"/>
                <w:sz w:val="16"/>
                <w:szCs w:val="16"/>
              </w:rPr>
            </w:pPr>
            <w:r>
              <w:rPr>
                <w:rFonts w:cs="Arial"/>
                <w:sz w:val="16"/>
                <w:szCs w:val="16"/>
              </w:rPr>
              <w:t>49,6</w:t>
            </w:r>
          </w:p>
        </w:tc>
        <w:tc>
          <w:tcPr>
            <w:tcW w:w="709" w:type="dxa"/>
            <w:tcBorders>
              <w:top w:val="nil"/>
              <w:left w:val="nil"/>
              <w:bottom w:val="nil"/>
              <w:right w:val="nil"/>
            </w:tcBorders>
            <w:shd w:val="clear" w:color="auto" w:fill="auto"/>
            <w:noWrap/>
            <w:vAlign w:val="center"/>
            <w:hideMark/>
          </w:tcPr>
          <w:p w14:paraId="40929B26" w14:textId="512E2475" w:rsidR="00DE09A0" w:rsidRPr="00D92E20" w:rsidRDefault="00DE09A0" w:rsidP="00DE09A0">
            <w:pPr>
              <w:spacing w:after="0" w:line="240" w:lineRule="auto"/>
              <w:jc w:val="center"/>
              <w:rPr>
                <w:rFonts w:cs="Arial"/>
                <w:color w:val="000000"/>
                <w:sz w:val="16"/>
                <w:szCs w:val="16"/>
              </w:rPr>
            </w:pPr>
            <w:r>
              <w:rPr>
                <w:rFonts w:cs="Arial"/>
                <w:sz w:val="16"/>
                <w:szCs w:val="16"/>
              </w:rPr>
              <w:t>43,5</w:t>
            </w:r>
          </w:p>
        </w:tc>
        <w:tc>
          <w:tcPr>
            <w:tcW w:w="709" w:type="dxa"/>
            <w:tcBorders>
              <w:top w:val="nil"/>
              <w:left w:val="nil"/>
              <w:bottom w:val="nil"/>
              <w:right w:val="nil"/>
            </w:tcBorders>
            <w:shd w:val="clear" w:color="auto" w:fill="auto"/>
            <w:noWrap/>
            <w:vAlign w:val="center"/>
            <w:hideMark/>
          </w:tcPr>
          <w:p w14:paraId="5356CCDB" w14:textId="1FB7B414" w:rsidR="00DE09A0" w:rsidRPr="00D92E20" w:rsidRDefault="00DE09A0" w:rsidP="00DE09A0">
            <w:pPr>
              <w:spacing w:after="0" w:line="240" w:lineRule="auto"/>
              <w:jc w:val="center"/>
              <w:rPr>
                <w:rFonts w:cs="Arial"/>
                <w:color w:val="000000"/>
                <w:sz w:val="16"/>
                <w:szCs w:val="16"/>
              </w:rPr>
            </w:pPr>
            <w:r>
              <w:rPr>
                <w:rFonts w:cs="Arial"/>
                <w:sz w:val="16"/>
                <w:szCs w:val="16"/>
              </w:rPr>
              <w:t>47,2</w:t>
            </w:r>
          </w:p>
        </w:tc>
        <w:tc>
          <w:tcPr>
            <w:tcW w:w="709" w:type="dxa"/>
            <w:tcBorders>
              <w:top w:val="nil"/>
              <w:left w:val="nil"/>
              <w:bottom w:val="nil"/>
              <w:right w:val="nil"/>
            </w:tcBorders>
            <w:shd w:val="clear" w:color="auto" w:fill="auto"/>
            <w:noWrap/>
            <w:vAlign w:val="center"/>
            <w:hideMark/>
          </w:tcPr>
          <w:p w14:paraId="43FDD569" w14:textId="172FCB49" w:rsidR="00DE09A0" w:rsidRPr="00D92E20" w:rsidRDefault="00DE09A0" w:rsidP="00DE09A0">
            <w:pPr>
              <w:spacing w:after="0" w:line="240" w:lineRule="auto"/>
              <w:jc w:val="center"/>
              <w:rPr>
                <w:rFonts w:cs="Arial"/>
                <w:color w:val="000000"/>
                <w:sz w:val="16"/>
                <w:szCs w:val="16"/>
              </w:rPr>
            </w:pPr>
            <w:r>
              <w:rPr>
                <w:rFonts w:cs="Arial"/>
                <w:sz w:val="16"/>
                <w:szCs w:val="16"/>
              </w:rPr>
              <w:t>41,4</w:t>
            </w:r>
          </w:p>
        </w:tc>
        <w:tc>
          <w:tcPr>
            <w:tcW w:w="709" w:type="dxa"/>
            <w:tcBorders>
              <w:top w:val="nil"/>
              <w:left w:val="nil"/>
              <w:bottom w:val="nil"/>
              <w:right w:val="nil"/>
            </w:tcBorders>
            <w:shd w:val="clear" w:color="auto" w:fill="auto"/>
            <w:noWrap/>
            <w:vAlign w:val="center"/>
            <w:hideMark/>
          </w:tcPr>
          <w:p w14:paraId="7BF0ED8A" w14:textId="6829D941" w:rsidR="00DE09A0" w:rsidRPr="00D92E20" w:rsidRDefault="00DE09A0" w:rsidP="00DE09A0">
            <w:pPr>
              <w:spacing w:after="0" w:line="240" w:lineRule="auto"/>
              <w:jc w:val="center"/>
              <w:rPr>
                <w:rFonts w:cs="Arial"/>
                <w:color w:val="000000"/>
                <w:sz w:val="16"/>
                <w:szCs w:val="16"/>
              </w:rPr>
            </w:pPr>
            <w:r>
              <w:rPr>
                <w:rFonts w:cs="Arial"/>
                <w:sz w:val="16"/>
                <w:szCs w:val="16"/>
              </w:rPr>
              <w:t>44,3</w:t>
            </w:r>
          </w:p>
        </w:tc>
        <w:tc>
          <w:tcPr>
            <w:tcW w:w="709" w:type="dxa"/>
            <w:tcBorders>
              <w:top w:val="nil"/>
              <w:left w:val="nil"/>
              <w:bottom w:val="nil"/>
              <w:right w:val="nil"/>
            </w:tcBorders>
            <w:shd w:val="clear" w:color="auto" w:fill="auto"/>
            <w:noWrap/>
            <w:vAlign w:val="center"/>
            <w:hideMark/>
          </w:tcPr>
          <w:p w14:paraId="64D5C383" w14:textId="647F50C6" w:rsidR="00DE09A0" w:rsidRPr="00D92E20" w:rsidRDefault="00DE09A0" w:rsidP="00DE09A0">
            <w:pPr>
              <w:spacing w:after="0" w:line="240" w:lineRule="auto"/>
              <w:jc w:val="center"/>
              <w:rPr>
                <w:rFonts w:cs="Arial"/>
                <w:color w:val="000000"/>
                <w:sz w:val="16"/>
                <w:szCs w:val="16"/>
              </w:rPr>
            </w:pPr>
            <w:r>
              <w:rPr>
                <w:rFonts w:cs="Arial"/>
                <w:sz w:val="16"/>
                <w:szCs w:val="16"/>
              </w:rPr>
              <w:t>42,0</w:t>
            </w:r>
          </w:p>
        </w:tc>
        <w:tc>
          <w:tcPr>
            <w:tcW w:w="709" w:type="dxa"/>
            <w:tcBorders>
              <w:top w:val="nil"/>
              <w:left w:val="nil"/>
              <w:bottom w:val="nil"/>
              <w:right w:val="nil"/>
            </w:tcBorders>
            <w:shd w:val="clear" w:color="auto" w:fill="auto"/>
            <w:noWrap/>
            <w:vAlign w:val="center"/>
            <w:hideMark/>
          </w:tcPr>
          <w:p w14:paraId="77BA6682" w14:textId="60912A87" w:rsidR="00DE09A0" w:rsidRPr="00D92E20" w:rsidRDefault="00DE09A0" w:rsidP="00DE09A0">
            <w:pPr>
              <w:spacing w:after="0" w:line="240" w:lineRule="auto"/>
              <w:jc w:val="center"/>
              <w:rPr>
                <w:rFonts w:cs="Arial"/>
                <w:color w:val="000000"/>
                <w:sz w:val="16"/>
                <w:szCs w:val="16"/>
              </w:rPr>
            </w:pPr>
            <w:r>
              <w:rPr>
                <w:rFonts w:cs="Arial"/>
                <w:color w:val="000000"/>
                <w:sz w:val="16"/>
                <w:szCs w:val="16"/>
              </w:rPr>
              <w:t>39,9</w:t>
            </w:r>
          </w:p>
        </w:tc>
        <w:tc>
          <w:tcPr>
            <w:tcW w:w="709" w:type="dxa"/>
            <w:tcBorders>
              <w:top w:val="nil"/>
              <w:left w:val="nil"/>
              <w:bottom w:val="nil"/>
              <w:right w:val="nil"/>
            </w:tcBorders>
            <w:shd w:val="clear" w:color="auto" w:fill="auto"/>
            <w:noWrap/>
            <w:vAlign w:val="center"/>
            <w:hideMark/>
          </w:tcPr>
          <w:p w14:paraId="44FB74F9" w14:textId="369C5CF2" w:rsidR="00DE09A0" w:rsidRPr="00D92E20" w:rsidRDefault="00DE09A0" w:rsidP="00DE09A0">
            <w:pPr>
              <w:spacing w:after="0" w:line="240" w:lineRule="auto"/>
              <w:jc w:val="center"/>
              <w:rPr>
                <w:rFonts w:cs="Arial"/>
                <w:color w:val="000000"/>
                <w:sz w:val="16"/>
                <w:szCs w:val="16"/>
              </w:rPr>
            </w:pPr>
            <w:r>
              <w:rPr>
                <w:rFonts w:cs="Arial"/>
                <w:color w:val="000000"/>
                <w:sz w:val="16"/>
                <w:szCs w:val="16"/>
              </w:rPr>
              <w:t>44,0</w:t>
            </w:r>
          </w:p>
        </w:tc>
        <w:tc>
          <w:tcPr>
            <w:tcW w:w="709" w:type="dxa"/>
            <w:tcBorders>
              <w:top w:val="nil"/>
              <w:left w:val="nil"/>
              <w:bottom w:val="nil"/>
              <w:right w:val="nil"/>
            </w:tcBorders>
            <w:shd w:val="clear" w:color="auto" w:fill="auto"/>
            <w:noWrap/>
            <w:vAlign w:val="center"/>
            <w:hideMark/>
          </w:tcPr>
          <w:p w14:paraId="7DC35616" w14:textId="3913F8E7" w:rsidR="00DE09A0" w:rsidRPr="00D92E20" w:rsidRDefault="00DE09A0" w:rsidP="00DE09A0">
            <w:pPr>
              <w:spacing w:after="0" w:line="240" w:lineRule="auto"/>
              <w:jc w:val="center"/>
              <w:rPr>
                <w:rFonts w:cs="Arial"/>
                <w:color w:val="000000"/>
                <w:sz w:val="16"/>
                <w:szCs w:val="16"/>
              </w:rPr>
            </w:pPr>
            <w:r>
              <w:rPr>
                <w:rFonts w:cs="Arial"/>
                <w:color w:val="000000"/>
                <w:sz w:val="16"/>
                <w:szCs w:val="16"/>
              </w:rPr>
              <w:t>45,9</w:t>
            </w:r>
          </w:p>
        </w:tc>
        <w:tc>
          <w:tcPr>
            <w:tcW w:w="709" w:type="dxa"/>
            <w:tcBorders>
              <w:top w:val="nil"/>
              <w:left w:val="nil"/>
              <w:bottom w:val="nil"/>
              <w:right w:val="nil"/>
            </w:tcBorders>
            <w:shd w:val="clear" w:color="auto" w:fill="auto"/>
            <w:noWrap/>
            <w:vAlign w:val="center"/>
            <w:hideMark/>
          </w:tcPr>
          <w:p w14:paraId="49CA7DD5" w14:textId="1A2621B3" w:rsidR="00DE09A0" w:rsidRPr="00D92E20" w:rsidRDefault="00DE09A0" w:rsidP="00DE09A0">
            <w:pPr>
              <w:spacing w:after="0" w:line="240" w:lineRule="auto"/>
              <w:jc w:val="center"/>
              <w:rPr>
                <w:rFonts w:cs="Arial"/>
                <w:color w:val="000000"/>
                <w:sz w:val="16"/>
                <w:szCs w:val="16"/>
              </w:rPr>
            </w:pPr>
            <w:r>
              <w:rPr>
                <w:rFonts w:cs="Arial"/>
                <w:color w:val="000000"/>
                <w:sz w:val="16"/>
                <w:szCs w:val="16"/>
              </w:rPr>
              <w:t>38,7</w:t>
            </w:r>
          </w:p>
        </w:tc>
        <w:tc>
          <w:tcPr>
            <w:tcW w:w="709" w:type="dxa"/>
            <w:tcBorders>
              <w:top w:val="nil"/>
              <w:left w:val="nil"/>
              <w:bottom w:val="nil"/>
              <w:right w:val="nil"/>
            </w:tcBorders>
            <w:shd w:val="clear" w:color="auto" w:fill="auto"/>
            <w:noWrap/>
            <w:vAlign w:val="center"/>
            <w:hideMark/>
          </w:tcPr>
          <w:p w14:paraId="784A2752" w14:textId="259287AE" w:rsidR="00DE09A0" w:rsidRPr="00D92E20" w:rsidRDefault="00DE09A0" w:rsidP="00DE09A0">
            <w:pPr>
              <w:spacing w:after="0" w:line="240" w:lineRule="auto"/>
              <w:jc w:val="center"/>
              <w:rPr>
                <w:rFonts w:cs="Arial"/>
                <w:color w:val="000000"/>
                <w:sz w:val="16"/>
                <w:szCs w:val="16"/>
              </w:rPr>
            </w:pPr>
            <w:r>
              <w:rPr>
                <w:rFonts w:cs="Arial"/>
                <w:color w:val="000000"/>
                <w:sz w:val="16"/>
                <w:szCs w:val="16"/>
              </w:rPr>
              <w:t>25,0</w:t>
            </w:r>
          </w:p>
        </w:tc>
      </w:tr>
      <w:tr w:rsidR="00DE09A0" w:rsidRPr="00D92E20" w14:paraId="26E57087" w14:textId="77777777" w:rsidTr="00161606">
        <w:trPr>
          <w:trHeight w:val="300"/>
        </w:trPr>
        <w:tc>
          <w:tcPr>
            <w:tcW w:w="1871" w:type="dxa"/>
            <w:tcBorders>
              <w:top w:val="nil"/>
              <w:left w:val="nil"/>
              <w:bottom w:val="nil"/>
              <w:right w:val="single" w:sz="4" w:space="0" w:color="auto"/>
            </w:tcBorders>
            <w:shd w:val="clear" w:color="auto" w:fill="auto"/>
            <w:noWrap/>
            <w:vAlign w:val="center"/>
            <w:hideMark/>
          </w:tcPr>
          <w:p w14:paraId="7EAC210C" w14:textId="77777777" w:rsidR="00DE09A0" w:rsidRPr="00D92E20" w:rsidRDefault="00DE09A0" w:rsidP="00DE09A0">
            <w:pPr>
              <w:spacing w:after="0" w:line="240" w:lineRule="auto"/>
              <w:ind w:firstLineChars="100" w:firstLine="160"/>
              <w:rPr>
                <w:rFonts w:cs="Arial"/>
                <w:color w:val="000000"/>
                <w:sz w:val="16"/>
                <w:szCs w:val="16"/>
              </w:rPr>
            </w:pPr>
            <w:r w:rsidRPr="00D92E20">
              <w:rPr>
                <w:rFonts w:cs="Arial"/>
                <w:color w:val="000000"/>
                <w:sz w:val="16"/>
                <w:szCs w:val="16"/>
              </w:rPr>
              <w:t>Olomoucký kraj</w:t>
            </w:r>
          </w:p>
        </w:tc>
        <w:tc>
          <w:tcPr>
            <w:tcW w:w="709" w:type="dxa"/>
            <w:tcBorders>
              <w:top w:val="nil"/>
              <w:left w:val="nil"/>
              <w:bottom w:val="nil"/>
              <w:right w:val="nil"/>
            </w:tcBorders>
            <w:shd w:val="clear" w:color="auto" w:fill="auto"/>
            <w:noWrap/>
            <w:vAlign w:val="center"/>
            <w:hideMark/>
          </w:tcPr>
          <w:p w14:paraId="2C7CCFC8" w14:textId="25238764" w:rsidR="00DE09A0" w:rsidRPr="00D92E20" w:rsidRDefault="00DE09A0" w:rsidP="00DE09A0">
            <w:pPr>
              <w:spacing w:after="0" w:line="240" w:lineRule="auto"/>
              <w:jc w:val="center"/>
              <w:rPr>
                <w:rFonts w:cs="Arial"/>
                <w:color w:val="000000"/>
                <w:sz w:val="16"/>
                <w:szCs w:val="16"/>
              </w:rPr>
            </w:pPr>
            <w:r>
              <w:rPr>
                <w:rFonts w:cs="Arial"/>
                <w:sz w:val="16"/>
                <w:szCs w:val="16"/>
              </w:rPr>
              <w:t>54,5</w:t>
            </w:r>
          </w:p>
        </w:tc>
        <w:tc>
          <w:tcPr>
            <w:tcW w:w="709" w:type="dxa"/>
            <w:tcBorders>
              <w:top w:val="nil"/>
              <w:left w:val="nil"/>
              <w:bottom w:val="nil"/>
              <w:right w:val="nil"/>
            </w:tcBorders>
            <w:shd w:val="clear" w:color="auto" w:fill="auto"/>
            <w:noWrap/>
            <w:vAlign w:val="center"/>
            <w:hideMark/>
          </w:tcPr>
          <w:p w14:paraId="4B3C0066" w14:textId="2D73A61F" w:rsidR="00DE09A0" w:rsidRPr="00D92E20" w:rsidRDefault="00DE09A0" w:rsidP="00DE09A0">
            <w:pPr>
              <w:spacing w:after="0" w:line="240" w:lineRule="auto"/>
              <w:jc w:val="center"/>
              <w:rPr>
                <w:rFonts w:cs="Arial"/>
                <w:color w:val="000000"/>
                <w:sz w:val="16"/>
                <w:szCs w:val="16"/>
              </w:rPr>
            </w:pPr>
            <w:r>
              <w:rPr>
                <w:rFonts w:cs="Arial"/>
                <w:sz w:val="16"/>
                <w:szCs w:val="16"/>
              </w:rPr>
              <w:t>48,0</w:t>
            </w:r>
          </w:p>
        </w:tc>
        <w:tc>
          <w:tcPr>
            <w:tcW w:w="709" w:type="dxa"/>
            <w:tcBorders>
              <w:top w:val="nil"/>
              <w:left w:val="nil"/>
              <w:bottom w:val="nil"/>
              <w:right w:val="nil"/>
            </w:tcBorders>
            <w:shd w:val="clear" w:color="auto" w:fill="auto"/>
            <w:noWrap/>
            <w:vAlign w:val="center"/>
            <w:hideMark/>
          </w:tcPr>
          <w:p w14:paraId="57E8339A" w14:textId="7395DC24" w:rsidR="00DE09A0" w:rsidRPr="00D92E20" w:rsidRDefault="00DE09A0" w:rsidP="00DE09A0">
            <w:pPr>
              <w:spacing w:after="0" w:line="240" w:lineRule="auto"/>
              <w:jc w:val="center"/>
              <w:rPr>
                <w:rFonts w:cs="Arial"/>
                <w:color w:val="000000"/>
                <w:sz w:val="16"/>
                <w:szCs w:val="16"/>
              </w:rPr>
            </w:pPr>
            <w:r>
              <w:rPr>
                <w:rFonts w:cs="Arial"/>
                <w:sz w:val="16"/>
                <w:szCs w:val="16"/>
              </w:rPr>
              <w:t>54,8</w:t>
            </w:r>
          </w:p>
        </w:tc>
        <w:tc>
          <w:tcPr>
            <w:tcW w:w="709" w:type="dxa"/>
            <w:tcBorders>
              <w:top w:val="nil"/>
              <w:left w:val="nil"/>
              <w:bottom w:val="nil"/>
              <w:right w:val="nil"/>
            </w:tcBorders>
            <w:shd w:val="clear" w:color="auto" w:fill="auto"/>
            <w:noWrap/>
            <w:vAlign w:val="center"/>
            <w:hideMark/>
          </w:tcPr>
          <w:p w14:paraId="02108007" w14:textId="33BA6A40" w:rsidR="00DE09A0" w:rsidRPr="00D92E20" w:rsidRDefault="00DE09A0" w:rsidP="00DE09A0">
            <w:pPr>
              <w:spacing w:after="0" w:line="240" w:lineRule="auto"/>
              <w:jc w:val="center"/>
              <w:rPr>
                <w:rFonts w:cs="Arial"/>
                <w:color w:val="000000"/>
                <w:sz w:val="16"/>
                <w:szCs w:val="16"/>
              </w:rPr>
            </w:pPr>
            <w:r>
              <w:rPr>
                <w:rFonts w:cs="Arial"/>
                <w:sz w:val="16"/>
                <w:szCs w:val="16"/>
              </w:rPr>
              <w:t>44,0</w:t>
            </w:r>
          </w:p>
        </w:tc>
        <w:tc>
          <w:tcPr>
            <w:tcW w:w="709" w:type="dxa"/>
            <w:tcBorders>
              <w:top w:val="nil"/>
              <w:left w:val="nil"/>
              <w:bottom w:val="nil"/>
              <w:right w:val="nil"/>
            </w:tcBorders>
            <w:shd w:val="clear" w:color="auto" w:fill="auto"/>
            <w:noWrap/>
            <w:vAlign w:val="center"/>
            <w:hideMark/>
          </w:tcPr>
          <w:p w14:paraId="4E0C414B" w14:textId="1B969FC7" w:rsidR="00DE09A0" w:rsidRPr="00D92E20" w:rsidRDefault="00DE09A0" w:rsidP="00DE09A0">
            <w:pPr>
              <w:spacing w:after="0" w:line="240" w:lineRule="auto"/>
              <w:jc w:val="center"/>
              <w:rPr>
                <w:rFonts w:cs="Arial"/>
                <w:color w:val="000000"/>
                <w:sz w:val="16"/>
                <w:szCs w:val="16"/>
              </w:rPr>
            </w:pPr>
            <w:r>
              <w:rPr>
                <w:rFonts w:cs="Arial"/>
                <w:sz w:val="16"/>
                <w:szCs w:val="16"/>
              </w:rPr>
              <w:t>47,0</w:t>
            </w:r>
          </w:p>
        </w:tc>
        <w:tc>
          <w:tcPr>
            <w:tcW w:w="709" w:type="dxa"/>
            <w:tcBorders>
              <w:top w:val="nil"/>
              <w:left w:val="nil"/>
              <w:bottom w:val="nil"/>
              <w:right w:val="nil"/>
            </w:tcBorders>
            <w:shd w:val="clear" w:color="auto" w:fill="auto"/>
            <w:noWrap/>
            <w:vAlign w:val="center"/>
            <w:hideMark/>
          </w:tcPr>
          <w:p w14:paraId="4731AF4B" w14:textId="4AB234B1" w:rsidR="00DE09A0" w:rsidRPr="00D92E20" w:rsidRDefault="00DE09A0" w:rsidP="00DE09A0">
            <w:pPr>
              <w:spacing w:after="0" w:line="240" w:lineRule="auto"/>
              <w:jc w:val="center"/>
              <w:rPr>
                <w:rFonts w:cs="Arial"/>
                <w:color w:val="000000"/>
                <w:sz w:val="16"/>
                <w:szCs w:val="16"/>
              </w:rPr>
            </w:pPr>
            <w:r>
              <w:rPr>
                <w:rFonts w:cs="Arial"/>
                <w:sz w:val="16"/>
                <w:szCs w:val="16"/>
              </w:rPr>
              <w:t>45,0</w:t>
            </w:r>
          </w:p>
        </w:tc>
        <w:tc>
          <w:tcPr>
            <w:tcW w:w="709" w:type="dxa"/>
            <w:tcBorders>
              <w:top w:val="nil"/>
              <w:left w:val="nil"/>
              <w:bottom w:val="nil"/>
              <w:right w:val="nil"/>
            </w:tcBorders>
            <w:shd w:val="clear" w:color="auto" w:fill="auto"/>
            <w:noWrap/>
            <w:vAlign w:val="center"/>
            <w:hideMark/>
          </w:tcPr>
          <w:p w14:paraId="581EA0F1" w14:textId="50E98207" w:rsidR="00DE09A0" w:rsidRPr="00D92E20" w:rsidRDefault="00DE09A0" w:rsidP="00DE09A0">
            <w:pPr>
              <w:spacing w:after="0" w:line="240" w:lineRule="auto"/>
              <w:jc w:val="center"/>
              <w:rPr>
                <w:rFonts w:cs="Arial"/>
                <w:color w:val="000000"/>
                <w:sz w:val="16"/>
                <w:szCs w:val="16"/>
              </w:rPr>
            </w:pPr>
            <w:r>
              <w:rPr>
                <w:rFonts w:cs="Arial"/>
                <w:color w:val="000000"/>
                <w:sz w:val="16"/>
                <w:szCs w:val="16"/>
              </w:rPr>
              <w:t>42,7</w:t>
            </w:r>
          </w:p>
        </w:tc>
        <w:tc>
          <w:tcPr>
            <w:tcW w:w="709" w:type="dxa"/>
            <w:tcBorders>
              <w:top w:val="nil"/>
              <w:left w:val="nil"/>
              <w:bottom w:val="nil"/>
              <w:right w:val="nil"/>
            </w:tcBorders>
            <w:shd w:val="clear" w:color="auto" w:fill="auto"/>
            <w:noWrap/>
            <w:vAlign w:val="center"/>
            <w:hideMark/>
          </w:tcPr>
          <w:p w14:paraId="2A112F72" w14:textId="6B7A4BCE" w:rsidR="00DE09A0" w:rsidRPr="00D92E20" w:rsidRDefault="00DE09A0" w:rsidP="00DE09A0">
            <w:pPr>
              <w:spacing w:after="0" w:line="240" w:lineRule="auto"/>
              <w:jc w:val="center"/>
              <w:rPr>
                <w:rFonts w:cs="Arial"/>
                <w:color w:val="000000"/>
                <w:sz w:val="16"/>
                <w:szCs w:val="16"/>
              </w:rPr>
            </w:pPr>
            <w:r>
              <w:rPr>
                <w:rFonts w:cs="Arial"/>
                <w:color w:val="000000"/>
                <w:sz w:val="16"/>
                <w:szCs w:val="16"/>
              </w:rPr>
              <w:t>46,3</w:t>
            </w:r>
          </w:p>
        </w:tc>
        <w:tc>
          <w:tcPr>
            <w:tcW w:w="709" w:type="dxa"/>
            <w:tcBorders>
              <w:top w:val="nil"/>
              <w:left w:val="nil"/>
              <w:bottom w:val="nil"/>
              <w:right w:val="nil"/>
            </w:tcBorders>
            <w:shd w:val="clear" w:color="auto" w:fill="auto"/>
            <w:noWrap/>
            <w:vAlign w:val="center"/>
            <w:hideMark/>
          </w:tcPr>
          <w:p w14:paraId="7055DF7C" w14:textId="19A26F40" w:rsidR="00DE09A0" w:rsidRPr="00D92E20" w:rsidRDefault="00DE09A0" w:rsidP="00DE09A0">
            <w:pPr>
              <w:spacing w:after="0" w:line="240" w:lineRule="auto"/>
              <w:jc w:val="center"/>
              <w:rPr>
                <w:rFonts w:cs="Arial"/>
                <w:color w:val="000000"/>
                <w:sz w:val="16"/>
                <w:szCs w:val="16"/>
              </w:rPr>
            </w:pPr>
            <w:r>
              <w:rPr>
                <w:rFonts w:cs="Arial"/>
                <w:color w:val="000000"/>
                <w:sz w:val="16"/>
                <w:szCs w:val="16"/>
              </w:rPr>
              <w:t>44,2</w:t>
            </w:r>
          </w:p>
        </w:tc>
        <w:tc>
          <w:tcPr>
            <w:tcW w:w="709" w:type="dxa"/>
            <w:tcBorders>
              <w:top w:val="nil"/>
              <w:left w:val="nil"/>
              <w:bottom w:val="nil"/>
              <w:right w:val="nil"/>
            </w:tcBorders>
            <w:shd w:val="clear" w:color="auto" w:fill="auto"/>
            <w:noWrap/>
            <w:vAlign w:val="center"/>
            <w:hideMark/>
          </w:tcPr>
          <w:p w14:paraId="296B854B" w14:textId="2209B418" w:rsidR="00DE09A0" w:rsidRPr="00D92E20" w:rsidRDefault="00DE09A0" w:rsidP="00DE09A0">
            <w:pPr>
              <w:spacing w:after="0" w:line="240" w:lineRule="auto"/>
              <w:jc w:val="center"/>
              <w:rPr>
                <w:rFonts w:cs="Arial"/>
                <w:color w:val="000000"/>
                <w:sz w:val="16"/>
                <w:szCs w:val="16"/>
              </w:rPr>
            </w:pPr>
            <w:r>
              <w:rPr>
                <w:rFonts w:cs="Arial"/>
                <w:color w:val="000000"/>
                <w:sz w:val="16"/>
                <w:szCs w:val="16"/>
              </w:rPr>
              <w:t>38,6</w:t>
            </w:r>
          </w:p>
        </w:tc>
        <w:tc>
          <w:tcPr>
            <w:tcW w:w="709" w:type="dxa"/>
            <w:tcBorders>
              <w:top w:val="nil"/>
              <w:left w:val="nil"/>
              <w:bottom w:val="nil"/>
              <w:right w:val="nil"/>
            </w:tcBorders>
            <w:shd w:val="clear" w:color="auto" w:fill="auto"/>
            <w:noWrap/>
            <w:vAlign w:val="center"/>
            <w:hideMark/>
          </w:tcPr>
          <w:p w14:paraId="1CE561CB" w14:textId="0C820C0D" w:rsidR="00DE09A0" w:rsidRPr="00D92E20" w:rsidRDefault="00DE09A0" w:rsidP="00DE09A0">
            <w:pPr>
              <w:spacing w:after="0" w:line="240" w:lineRule="auto"/>
              <w:jc w:val="center"/>
              <w:rPr>
                <w:rFonts w:cs="Arial"/>
                <w:color w:val="000000"/>
                <w:sz w:val="16"/>
                <w:szCs w:val="16"/>
              </w:rPr>
            </w:pPr>
            <w:r>
              <w:rPr>
                <w:rFonts w:cs="Arial"/>
                <w:color w:val="000000"/>
                <w:sz w:val="16"/>
                <w:szCs w:val="16"/>
              </w:rPr>
              <w:t>26,2</w:t>
            </w:r>
          </w:p>
        </w:tc>
      </w:tr>
      <w:tr w:rsidR="00DE09A0" w:rsidRPr="00D92E20" w14:paraId="32F60489" w14:textId="77777777" w:rsidTr="00161606">
        <w:trPr>
          <w:trHeight w:val="300"/>
        </w:trPr>
        <w:tc>
          <w:tcPr>
            <w:tcW w:w="1871" w:type="dxa"/>
            <w:tcBorders>
              <w:top w:val="nil"/>
              <w:left w:val="nil"/>
              <w:bottom w:val="nil"/>
              <w:right w:val="single" w:sz="4" w:space="0" w:color="auto"/>
            </w:tcBorders>
            <w:shd w:val="clear" w:color="auto" w:fill="auto"/>
            <w:noWrap/>
            <w:vAlign w:val="center"/>
            <w:hideMark/>
          </w:tcPr>
          <w:p w14:paraId="4B1AC555" w14:textId="77777777" w:rsidR="00DE09A0" w:rsidRPr="00D92E20" w:rsidRDefault="00DE09A0" w:rsidP="00DE09A0">
            <w:pPr>
              <w:spacing w:after="0" w:line="240" w:lineRule="auto"/>
              <w:ind w:firstLineChars="100" w:firstLine="160"/>
              <w:rPr>
                <w:rFonts w:cs="Arial"/>
                <w:color w:val="000000"/>
                <w:sz w:val="16"/>
                <w:szCs w:val="16"/>
              </w:rPr>
            </w:pPr>
            <w:r w:rsidRPr="00D92E20">
              <w:rPr>
                <w:rFonts w:cs="Arial"/>
                <w:color w:val="000000"/>
                <w:sz w:val="16"/>
                <w:szCs w:val="16"/>
              </w:rPr>
              <w:t>Zlínský kraj</w:t>
            </w:r>
          </w:p>
        </w:tc>
        <w:tc>
          <w:tcPr>
            <w:tcW w:w="709" w:type="dxa"/>
            <w:tcBorders>
              <w:top w:val="nil"/>
              <w:left w:val="nil"/>
              <w:bottom w:val="nil"/>
              <w:right w:val="nil"/>
            </w:tcBorders>
            <w:shd w:val="clear" w:color="auto" w:fill="auto"/>
            <w:noWrap/>
            <w:vAlign w:val="center"/>
            <w:hideMark/>
          </w:tcPr>
          <w:p w14:paraId="5D1122FF" w14:textId="682FAB99" w:rsidR="00DE09A0" w:rsidRPr="00D92E20" w:rsidRDefault="00DE09A0" w:rsidP="00DE09A0">
            <w:pPr>
              <w:spacing w:after="0" w:line="240" w:lineRule="auto"/>
              <w:jc w:val="center"/>
              <w:rPr>
                <w:rFonts w:cs="Arial"/>
                <w:color w:val="000000"/>
                <w:sz w:val="16"/>
                <w:szCs w:val="16"/>
              </w:rPr>
            </w:pPr>
            <w:r>
              <w:rPr>
                <w:rFonts w:cs="Arial"/>
                <w:sz w:val="16"/>
                <w:szCs w:val="16"/>
              </w:rPr>
              <w:t>56,1</w:t>
            </w:r>
          </w:p>
        </w:tc>
        <w:tc>
          <w:tcPr>
            <w:tcW w:w="709" w:type="dxa"/>
            <w:tcBorders>
              <w:top w:val="nil"/>
              <w:left w:val="nil"/>
              <w:bottom w:val="nil"/>
              <w:right w:val="nil"/>
            </w:tcBorders>
            <w:shd w:val="clear" w:color="auto" w:fill="auto"/>
            <w:noWrap/>
            <w:vAlign w:val="center"/>
            <w:hideMark/>
          </w:tcPr>
          <w:p w14:paraId="757877A9" w14:textId="5DB6A7D9" w:rsidR="00DE09A0" w:rsidRPr="00D92E20" w:rsidRDefault="00DE09A0" w:rsidP="00DE09A0">
            <w:pPr>
              <w:spacing w:after="0" w:line="240" w:lineRule="auto"/>
              <w:jc w:val="center"/>
              <w:rPr>
                <w:rFonts w:cs="Arial"/>
                <w:color w:val="000000"/>
                <w:sz w:val="16"/>
                <w:szCs w:val="16"/>
              </w:rPr>
            </w:pPr>
            <w:r>
              <w:rPr>
                <w:rFonts w:cs="Arial"/>
                <w:sz w:val="16"/>
                <w:szCs w:val="16"/>
              </w:rPr>
              <w:t>51,4</w:t>
            </w:r>
          </w:p>
        </w:tc>
        <w:tc>
          <w:tcPr>
            <w:tcW w:w="709" w:type="dxa"/>
            <w:tcBorders>
              <w:top w:val="nil"/>
              <w:left w:val="nil"/>
              <w:bottom w:val="nil"/>
              <w:right w:val="nil"/>
            </w:tcBorders>
            <w:shd w:val="clear" w:color="auto" w:fill="auto"/>
            <w:noWrap/>
            <w:vAlign w:val="center"/>
            <w:hideMark/>
          </w:tcPr>
          <w:p w14:paraId="2993853C" w14:textId="406EB8F2" w:rsidR="00DE09A0" w:rsidRPr="00D92E20" w:rsidRDefault="00DE09A0" w:rsidP="00DE09A0">
            <w:pPr>
              <w:spacing w:after="0" w:line="240" w:lineRule="auto"/>
              <w:jc w:val="center"/>
              <w:rPr>
                <w:rFonts w:cs="Arial"/>
                <w:color w:val="000000"/>
                <w:sz w:val="16"/>
                <w:szCs w:val="16"/>
              </w:rPr>
            </w:pPr>
            <w:r>
              <w:rPr>
                <w:rFonts w:cs="Arial"/>
                <w:sz w:val="16"/>
                <w:szCs w:val="16"/>
              </w:rPr>
              <w:t>56,4</w:t>
            </w:r>
          </w:p>
        </w:tc>
        <w:tc>
          <w:tcPr>
            <w:tcW w:w="709" w:type="dxa"/>
            <w:tcBorders>
              <w:top w:val="nil"/>
              <w:left w:val="nil"/>
              <w:bottom w:val="nil"/>
              <w:right w:val="nil"/>
            </w:tcBorders>
            <w:shd w:val="clear" w:color="auto" w:fill="auto"/>
            <w:noWrap/>
            <w:vAlign w:val="center"/>
            <w:hideMark/>
          </w:tcPr>
          <w:p w14:paraId="1B6B0592" w14:textId="629184BB" w:rsidR="00DE09A0" w:rsidRPr="00D92E20" w:rsidRDefault="00DE09A0" w:rsidP="00DE09A0">
            <w:pPr>
              <w:spacing w:after="0" w:line="240" w:lineRule="auto"/>
              <w:jc w:val="center"/>
              <w:rPr>
                <w:rFonts w:cs="Arial"/>
                <w:color w:val="000000"/>
                <w:sz w:val="16"/>
                <w:szCs w:val="16"/>
              </w:rPr>
            </w:pPr>
            <w:r>
              <w:rPr>
                <w:rFonts w:cs="Arial"/>
                <w:sz w:val="16"/>
                <w:szCs w:val="16"/>
              </w:rPr>
              <w:t>47,0</w:t>
            </w:r>
          </w:p>
        </w:tc>
        <w:tc>
          <w:tcPr>
            <w:tcW w:w="709" w:type="dxa"/>
            <w:tcBorders>
              <w:top w:val="nil"/>
              <w:left w:val="nil"/>
              <w:bottom w:val="nil"/>
              <w:right w:val="nil"/>
            </w:tcBorders>
            <w:shd w:val="clear" w:color="auto" w:fill="auto"/>
            <w:noWrap/>
            <w:vAlign w:val="center"/>
            <w:hideMark/>
          </w:tcPr>
          <w:p w14:paraId="73C18369" w14:textId="5E2A670A" w:rsidR="00DE09A0" w:rsidRPr="00D92E20" w:rsidRDefault="00DE09A0" w:rsidP="00DE09A0">
            <w:pPr>
              <w:spacing w:after="0" w:line="240" w:lineRule="auto"/>
              <w:jc w:val="center"/>
              <w:rPr>
                <w:rFonts w:cs="Arial"/>
                <w:color w:val="000000"/>
                <w:sz w:val="16"/>
                <w:szCs w:val="16"/>
              </w:rPr>
            </w:pPr>
            <w:r>
              <w:rPr>
                <w:rFonts w:cs="Arial"/>
                <w:sz w:val="16"/>
                <w:szCs w:val="16"/>
              </w:rPr>
              <w:t>50,5</w:t>
            </w:r>
          </w:p>
        </w:tc>
        <w:tc>
          <w:tcPr>
            <w:tcW w:w="709" w:type="dxa"/>
            <w:tcBorders>
              <w:top w:val="nil"/>
              <w:left w:val="nil"/>
              <w:bottom w:val="nil"/>
              <w:right w:val="nil"/>
            </w:tcBorders>
            <w:shd w:val="clear" w:color="auto" w:fill="auto"/>
            <w:noWrap/>
            <w:vAlign w:val="center"/>
            <w:hideMark/>
          </w:tcPr>
          <w:p w14:paraId="61DB3706" w14:textId="2BCC2EFC" w:rsidR="00DE09A0" w:rsidRPr="00D92E20" w:rsidRDefault="00DE09A0" w:rsidP="00DE09A0">
            <w:pPr>
              <w:spacing w:after="0" w:line="240" w:lineRule="auto"/>
              <w:jc w:val="center"/>
              <w:rPr>
                <w:rFonts w:cs="Arial"/>
                <w:color w:val="000000"/>
                <w:sz w:val="16"/>
                <w:szCs w:val="16"/>
              </w:rPr>
            </w:pPr>
            <w:r>
              <w:rPr>
                <w:rFonts w:cs="Arial"/>
                <w:sz w:val="16"/>
                <w:szCs w:val="16"/>
              </w:rPr>
              <w:t>48,2</w:t>
            </w:r>
          </w:p>
        </w:tc>
        <w:tc>
          <w:tcPr>
            <w:tcW w:w="709" w:type="dxa"/>
            <w:tcBorders>
              <w:top w:val="nil"/>
              <w:left w:val="nil"/>
              <w:bottom w:val="nil"/>
              <w:right w:val="nil"/>
            </w:tcBorders>
            <w:shd w:val="clear" w:color="auto" w:fill="auto"/>
            <w:noWrap/>
            <w:vAlign w:val="center"/>
            <w:hideMark/>
          </w:tcPr>
          <w:p w14:paraId="31DABFF7" w14:textId="72B6D2C6" w:rsidR="00DE09A0" w:rsidRPr="00D92E20" w:rsidRDefault="00DE09A0" w:rsidP="00DE09A0">
            <w:pPr>
              <w:spacing w:after="0" w:line="240" w:lineRule="auto"/>
              <w:jc w:val="center"/>
              <w:rPr>
                <w:rFonts w:cs="Arial"/>
                <w:color w:val="000000"/>
                <w:sz w:val="16"/>
                <w:szCs w:val="16"/>
              </w:rPr>
            </w:pPr>
            <w:r>
              <w:rPr>
                <w:rFonts w:cs="Arial"/>
                <w:color w:val="000000"/>
                <w:sz w:val="16"/>
                <w:szCs w:val="16"/>
              </w:rPr>
              <w:t>46,1</w:t>
            </w:r>
          </w:p>
        </w:tc>
        <w:tc>
          <w:tcPr>
            <w:tcW w:w="709" w:type="dxa"/>
            <w:tcBorders>
              <w:top w:val="nil"/>
              <w:left w:val="nil"/>
              <w:bottom w:val="nil"/>
              <w:right w:val="nil"/>
            </w:tcBorders>
            <w:shd w:val="clear" w:color="auto" w:fill="auto"/>
            <w:noWrap/>
            <w:vAlign w:val="center"/>
            <w:hideMark/>
          </w:tcPr>
          <w:p w14:paraId="300337F4" w14:textId="04622E20" w:rsidR="00DE09A0" w:rsidRPr="00D92E20" w:rsidRDefault="00DE09A0" w:rsidP="00DE09A0">
            <w:pPr>
              <w:spacing w:after="0" w:line="240" w:lineRule="auto"/>
              <w:jc w:val="center"/>
              <w:rPr>
                <w:rFonts w:cs="Arial"/>
                <w:color w:val="000000"/>
                <w:sz w:val="16"/>
                <w:szCs w:val="16"/>
              </w:rPr>
            </w:pPr>
            <w:r>
              <w:rPr>
                <w:rFonts w:cs="Arial"/>
                <w:color w:val="000000"/>
                <w:sz w:val="16"/>
                <w:szCs w:val="16"/>
              </w:rPr>
              <w:t>49,3</w:t>
            </w:r>
          </w:p>
        </w:tc>
        <w:tc>
          <w:tcPr>
            <w:tcW w:w="709" w:type="dxa"/>
            <w:tcBorders>
              <w:top w:val="nil"/>
              <w:left w:val="nil"/>
              <w:bottom w:val="nil"/>
              <w:right w:val="nil"/>
            </w:tcBorders>
            <w:shd w:val="clear" w:color="auto" w:fill="auto"/>
            <w:noWrap/>
            <w:vAlign w:val="center"/>
            <w:hideMark/>
          </w:tcPr>
          <w:p w14:paraId="06866196" w14:textId="46E4E88B" w:rsidR="00DE09A0" w:rsidRPr="00D92E20" w:rsidRDefault="00DE09A0" w:rsidP="00DE09A0">
            <w:pPr>
              <w:spacing w:after="0" w:line="240" w:lineRule="auto"/>
              <w:jc w:val="center"/>
              <w:rPr>
                <w:rFonts w:cs="Arial"/>
                <w:color w:val="000000"/>
                <w:sz w:val="16"/>
                <w:szCs w:val="16"/>
              </w:rPr>
            </w:pPr>
            <w:r>
              <w:rPr>
                <w:rFonts w:cs="Arial"/>
                <w:color w:val="000000"/>
                <w:sz w:val="16"/>
                <w:szCs w:val="16"/>
              </w:rPr>
              <w:t>51,8</w:t>
            </w:r>
          </w:p>
        </w:tc>
        <w:tc>
          <w:tcPr>
            <w:tcW w:w="709" w:type="dxa"/>
            <w:tcBorders>
              <w:top w:val="nil"/>
              <w:left w:val="nil"/>
              <w:bottom w:val="nil"/>
              <w:right w:val="nil"/>
            </w:tcBorders>
            <w:shd w:val="clear" w:color="auto" w:fill="auto"/>
            <w:noWrap/>
            <w:vAlign w:val="center"/>
            <w:hideMark/>
          </w:tcPr>
          <w:p w14:paraId="6C5A7814" w14:textId="350CCB5C" w:rsidR="00DE09A0" w:rsidRPr="00D92E20" w:rsidRDefault="00DE09A0" w:rsidP="00DE09A0">
            <w:pPr>
              <w:spacing w:after="0" w:line="240" w:lineRule="auto"/>
              <w:jc w:val="center"/>
              <w:rPr>
                <w:rFonts w:cs="Arial"/>
                <w:color w:val="000000"/>
                <w:sz w:val="16"/>
                <w:szCs w:val="16"/>
              </w:rPr>
            </w:pPr>
            <w:r>
              <w:rPr>
                <w:rFonts w:cs="Arial"/>
                <w:color w:val="000000"/>
                <w:sz w:val="16"/>
                <w:szCs w:val="16"/>
              </w:rPr>
              <w:t>42,4</w:t>
            </w:r>
          </w:p>
        </w:tc>
        <w:tc>
          <w:tcPr>
            <w:tcW w:w="709" w:type="dxa"/>
            <w:tcBorders>
              <w:top w:val="nil"/>
              <w:left w:val="nil"/>
              <w:bottom w:val="nil"/>
              <w:right w:val="nil"/>
            </w:tcBorders>
            <w:shd w:val="clear" w:color="auto" w:fill="auto"/>
            <w:noWrap/>
            <w:vAlign w:val="center"/>
            <w:hideMark/>
          </w:tcPr>
          <w:p w14:paraId="65BD8722" w14:textId="71CD04F4" w:rsidR="00DE09A0" w:rsidRPr="00D92E20" w:rsidRDefault="00DE09A0" w:rsidP="00DE09A0">
            <w:pPr>
              <w:spacing w:after="0" w:line="240" w:lineRule="auto"/>
              <w:jc w:val="center"/>
              <w:rPr>
                <w:rFonts w:cs="Arial"/>
                <w:color w:val="000000"/>
                <w:sz w:val="16"/>
                <w:szCs w:val="16"/>
              </w:rPr>
            </w:pPr>
            <w:r>
              <w:rPr>
                <w:rFonts w:cs="Arial"/>
                <w:color w:val="000000"/>
                <w:sz w:val="16"/>
                <w:szCs w:val="16"/>
              </w:rPr>
              <w:t>27,0</w:t>
            </w:r>
          </w:p>
        </w:tc>
      </w:tr>
      <w:tr w:rsidR="00DE09A0" w:rsidRPr="00D92E20" w14:paraId="3BEAF281" w14:textId="77777777" w:rsidTr="00161606">
        <w:trPr>
          <w:trHeight w:val="300"/>
        </w:trPr>
        <w:tc>
          <w:tcPr>
            <w:tcW w:w="1871" w:type="dxa"/>
            <w:tcBorders>
              <w:top w:val="nil"/>
              <w:left w:val="nil"/>
              <w:bottom w:val="nil"/>
              <w:right w:val="single" w:sz="4" w:space="0" w:color="auto"/>
            </w:tcBorders>
            <w:shd w:val="clear" w:color="auto" w:fill="auto"/>
            <w:noWrap/>
            <w:vAlign w:val="center"/>
            <w:hideMark/>
          </w:tcPr>
          <w:p w14:paraId="2318C5CD" w14:textId="77777777" w:rsidR="00DE09A0" w:rsidRPr="00D92E20" w:rsidRDefault="00DE09A0" w:rsidP="00DE09A0">
            <w:pPr>
              <w:spacing w:after="0" w:line="240" w:lineRule="auto"/>
              <w:ind w:firstLineChars="100" w:firstLine="160"/>
              <w:rPr>
                <w:rFonts w:cs="Arial"/>
                <w:color w:val="000000"/>
                <w:sz w:val="16"/>
                <w:szCs w:val="16"/>
              </w:rPr>
            </w:pPr>
            <w:r w:rsidRPr="00D92E20">
              <w:rPr>
                <w:rFonts w:cs="Arial"/>
                <w:color w:val="000000"/>
                <w:sz w:val="16"/>
                <w:szCs w:val="16"/>
              </w:rPr>
              <w:t>Moravskoslezský kraj</w:t>
            </w:r>
          </w:p>
        </w:tc>
        <w:tc>
          <w:tcPr>
            <w:tcW w:w="709" w:type="dxa"/>
            <w:tcBorders>
              <w:top w:val="nil"/>
              <w:left w:val="nil"/>
              <w:bottom w:val="nil"/>
              <w:right w:val="nil"/>
            </w:tcBorders>
            <w:shd w:val="clear" w:color="auto" w:fill="auto"/>
            <w:noWrap/>
            <w:vAlign w:val="center"/>
            <w:hideMark/>
          </w:tcPr>
          <w:p w14:paraId="08690EA3" w14:textId="0960C575" w:rsidR="00DE09A0" w:rsidRPr="00D92E20" w:rsidRDefault="00DE09A0" w:rsidP="00DE09A0">
            <w:pPr>
              <w:spacing w:after="0" w:line="240" w:lineRule="auto"/>
              <w:jc w:val="center"/>
              <w:rPr>
                <w:rFonts w:cs="Arial"/>
                <w:color w:val="000000"/>
                <w:sz w:val="16"/>
                <w:szCs w:val="16"/>
              </w:rPr>
            </w:pPr>
            <w:r>
              <w:rPr>
                <w:rFonts w:cs="Arial"/>
                <w:sz w:val="16"/>
                <w:szCs w:val="16"/>
              </w:rPr>
              <w:t>52,2</w:t>
            </w:r>
          </w:p>
        </w:tc>
        <w:tc>
          <w:tcPr>
            <w:tcW w:w="709" w:type="dxa"/>
            <w:tcBorders>
              <w:top w:val="nil"/>
              <w:left w:val="nil"/>
              <w:bottom w:val="nil"/>
              <w:right w:val="nil"/>
            </w:tcBorders>
            <w:shd w:val="clear" w:color="auto" w:fill="auto"/>
            <w:noWrap/>
            <w:vAlign w:val="center"/>
            <w:hideMark/>
          </w:tcPr>
          <w:p w14:paraId="4163296E" w14:textId="3D3015C7" w:rsidR="00DE09A0" w:rsidRPr="00D92E20" w:rsidRDefault="00DE09A0" w:rsidP="00DE09A0">
            <w:pPr>
              <w:spacing w:after="0" w:line="240" w:lineRule="auto"/>
              <w:jc w:val="center"/>
              <w:rPr>
                <w:rFonts w:cs="Arial"/>
                <w:color w:val="000000"/>
                <w:sz w:val="16"/>
                <w:szCs w:val="16"/>
              </w:rPr>
            </w:pPr>
            <w:r>
              <w:rPr>
                <w:rFonts w:cs="Arial"/>
                <w:sz w:val="16"/>
                <w:szCs w:val="16"/>
              </w:rPr>
              <w:t>47,6</w:t>
            </w:r>
          </w:p>
        </w:tc>
        <w:tc>
          <w:tcPr>
            <w:tcW w:w="709" w:type="dxa"/>
            <w:tcBorders>
              <w:top w:val="nil"/>
              <w:left w:val="nil"/>
              <w:bottom w:val="nil"/>
              <w:right w:val="nil"/>
            </w:tcBorders>
            <w:shd w:val="clear" w:color="auto" w:fill="auto"/>
            <w:noWrap/>
            <w:vAlign w:val="center"/>
            <w:hideMark/>
          </w:tcPr>
          <w:p w14:paraId="14392CDE" w14:textId="015C658F" w:rsidR="00DE09A0" w:rsidRPr="00D92E20" w:rsidRDefault="00DE09A0" w:rsidP="00DE09A0">
            <w:pPr>
              <w:spacing w:after="0" w:line="240" w:lineRule="auto"/>
              <w:jc w:val="center"/>
              <w:rPr>
                <w:rFonts w:cs="Arial"/>
                <w:color w:val="000000"/>
                <w:sz w:val="16"/>
                <w:szCs w:val="16"/>
              </w:rPr>
            </w:pPr>
            <w:r>
              <w:rPr>
                <w:rFonts w:cs="Arial"/>
                <w:sz w:val="16"/>
                <w:szCs w:val="16"/>
              </w:rPr>
              <w:t>53,4</w:t>
            </w:r>
          </w:p>
        </w:tc>
        <w:tc>
          <w:tcPr>
            <w:tcW w:w="709" w:type="dxa"/>
            <w:tcBorders>
              <w:top w:val="nil"/>
              <w:left w:val="nil"/>
              <w:bottom w:val="nil"/>
              <w:right w:val="nil"/>
            </w:tcBorders>
            <w:shd w:val="clear" w:color="auto" w:fill="auto"/>
            <w:noWrap/>
            <w:vAlign w:val="center"/>
            <w:hideMark/>
          </w:tcPr>
          <w:p w14:paraId="707AF432" w14:textId="28A28700" w:rsidR="00DE09A0" w:rsidRPr="00D92E20" w:rsidRDefault="00DE09A0" w:rsidP="00DE09A0">
            <w:pPr>
              <w:spacing w:after="0" w:line="240" w:lineRule="auto"/>
              <w:jc w:val="center"/>
              <w:rPr>
                <w:rFonts w:cs="Arial"/>
                <w:color w:val="000000"/>
                <w:sz w:val="16"/>
                <w:szCs w:val="16"/>
              </w:rPr>
            </w:pPr>
            <w:r>
              <w:rPr>
                <w:rFonts w:cs="Arial"/>
                <w:sz w:val="16"/>
                <w:szCs w:val="16"/>
              </w:rPr>
              <w:t>46,0</w:t>
            </w:r>
          </w:p>
        </w:tc>
        <w:tc>
          <w:tcPr>
            <w:tcW w:w="709" w:type="dxa"/>
            <w:tcBorders>
              <w:top w:val="nil"/>
              <w:left w:val="nil"/>
              <w:bottom w:val="nil"/>
              <w:right w:val="nil"/>
            </w:tcBorders>
            <w:shd w:val="clear" w:color="auto" w:fill="auto"/>
            <w:noWrap/>
            <w:vAlign w:val="center"/>
            <w:hideMark/>
          </w:tcPr>
          <w:p w14:paraId="37F7212B" w14:textId="7180A9E0" w:rsidR="00DE09A0" w:rsidRPr="00D92E20" w:rsidRDefault="00DE09A0" w:rsidP="00DE09A0">
            <w:pPr>
              <w:spacing w:after="0" w:line="240" w:lineRule="auto"/>
              <w:jc w:val="center"/>
              <w:rPr>
                <w:rFonts w:cs="Arial"/>
                <w:color w:val="000000"/>
                <w:sz w:val="16"/>
                <w:szCs w:val="16"/>
              </w:rPr>
            </w:pPr>
            <w:r>
              <w:rPr>
                <w:rFonts w:cs="Arial"/>
                <w:sz w:val="16"/>
                <w:szCs w:val="16"/>
              </w:rPr>
              <w:t>48,6</w:t>
            </w:r>
          </w:p>
        </w:tc>
        <w:tc>
          <w:tcPr>
            <w:tcW w:w="709" w:type="dxa"/>
            <w:tcBorders>
              <w:top w:val="nil"/>
              <w:left w:val="nil"/>
              <w:bottom w:val="nil"/>
              <w:right w:val="nil"/>
            </w:tcBorders>
            <w:shd w:val="clear" w:color="auto" w:fill="auto"/>
            <w:noWrap/>
            <w:vAlign w:val="center"/>
            <w:hideMark/>
          </w:tcPr>
          <w:p w14:paraId="1EC043F7" w14:textId="142FB69B" w:rsidR="00DE09A0" w:rsidRPr="00D92E20" w:rsidRDefault="00DE09A0" w:rsidP="00DE09A0">
            <w:pPr>
              <w:spacing w:after="0" w:line="240" w:lineRule="auto"/>
              <w:jc w:val="center"/>
              <w:rPr>
                <w:rFonts w:cs="Arial"/>
                <w:color w:val="000000"/>
                <w:sz w:val="16"/>
                <w:szCs w:val="16"/>
              </w:rPr>
            </w:pPr>
            <w:r>
              <w:rPr>
                <w:rFonts w:cs="Arial"/>
                <w:sz w:val="16"/>
                <w:szCs w:val="16"/>
              </w:rPr>
              <w:t>47,4</w:t>
            </w:r>
          </w:p>
        </w:tc>
        <w:tc>
          <w:tcPr>
            <w:tcW w:w="709" w:type="dxa"/>
            <w:tcBorders>
              <w:top w:val="nil"/>
              <w:left w:val="nil"/>
              <w:bottom w:val="nil"/>
              <w:right w:val="nil"/>
            </w:tcBorders>
            <w:shd w:val="clear" w:color="auto" w:fill="auto"/>
            <w:noWrap/>
            <w:vAlign w:val="center"/>
            <w:hideMark/>
          </w:tcPr>
          <w:p w14:paraId="50FC304C" w14:textId="294B2EEB" w:rsidR="00DE09A0" w:rsidRPr="00D92E20" w:rsidRDefault="00DE09A0" w:rsidP="00DE09A0">
            <w:pPr>
              <w:spacing w:after="0" w:line="240" w:lineRule="auto"/>
              <w:jc w:val="center"/>
              <w:rPr>
                <w:rFonts w:cs="Arial"/>
                <w:color w:val="000000"/>
                <w:sz w:val="16"/>
                <w:szCs w:val="16"/>
              </w:rPr>
            </w:pPr>
            <w:r>
              <w:rPr>
                <w:rFonts w:cs="Arial"/>
                <w:color w:val="000000"/>
                <w:sz w:val="16"/>
                <w:szCs w:val="16"/>
              </w:rPr>
              <w:t>44,4</w:t>
            </w:r>
          </w:p>
        </w:tc>
        <w:tc>
          <w:tcPr>
            <w:tcW w:w="709" w:type="dxa"/>
            <w:tcBorders>
              <w:top w:val="nil"/>
              <w:left w:val="nil"/>
              <w:bottom w:val="nil"/>
              <w:right w:val="nil"/>
            </w:tcBorders>
            <w:shd w:val="clear" w:color="auto" w:fill="auto"/>
            <w:noWrap/>
            <w:vAlign w:val="center"/>
            <w:hideMark/>
          </w:tcPr>
          <w:p w14:paraId="75D5BE14" w14:textId="59485FBE" w:rsidR="00DE09A0" w:rsidRPr="00D92E20" w:rsidRDefault="00DE09A0" w:rsidP="00DE09A0">
            <w:pPr>
              <w:spacing w:after="0" w:line="240" w:lineRule="auto"/>
              <w:jc w:val="center"/>
              <w:rPr>
                <w:rFonts w:cs="Arial"/>
                <w:color w:val="000000"/>
                <w:sz w:val="16"/>
                <w:szCs w:val="16"/>
              </w:rPr>
            </w:pPr>
            <w:r>
              <w:rPr>
                <w:rFonts w:cs="Arial"/>
                <w:color w:val="000000"/>
                <w:sz w:val="16"/>
                <w:szCs w:val="16"/>
              </w:rPr>
              <w:t>49,0</w:t>
            </w:r>
          </w:p>
        </w:tc>
        <w:tc>
          <w:tcPr>
            <w:tcW w:w="709" w:type="dxa"/>
            <w:tcBorders>
              <w:top w:val="nil"/>
              <w:left w:val="nil"/>
              <w:bottom w:val="nil"/>
              <w:right w:val="nil"/>
            </w:tcBorders>
            <w:shd w:val="clear" w:color="auto" w:fill="auto"/>
            <w:noWrap/>
            <w:vAlign w:val="center"/>
            <w:hideMark/>
          </w:tcPr>
          <w:p w14:paraId="23EA09BE" w14:textId="04CB0B87" w:rsidR="00DE09A0" w:rsidRPr="00D92E20" w:rsidRDefault="00DE09A0" w:rsidP="00DE09A0">
            <w:pPr>
              <w:spacing w:after="0" w:line="240" w:lineRule="auto"/>
              <w:jc w:val="center"/>
              <w:rPr>
                <w:rFonts w:cs="Arial"/>
                <w:color w:val="000000"/>
                <w:sz w:val="16"/>
                <w:szCs w:val="16"/>
              </w:rPr>
            </w:pPr>
            <w:r>
              <w:rPr>
                <w:rFonts w:cs="Arial"/>
                <w:color w:val="000000"/>
                <w:sz w:val="16"/>
                <w:szCs w:val="16"/>
              </w:rPr>
              <w:t>48,8</w:t>
            </w:r>
          </w:p>
        </w:tc>
        <w:tc>
          <w:tcPr>
            <w:tcW w:w="709" w:type="dxa"/>
            <w:tcBorders>
              <w:top w:val="nil"/>
              <w:left w:val="nil"/>
              <w:bottom w:val="nil"/>
              <w:right w:val="nil"/>
            </w:tcBorders>
            <w:shd w:val="clear" w:color="auto" w:fill="auto"/>
            <w:noWrap/>
            <w:vAlign w:val="center"/>
            <w:hideMark/>
          </w:tcPr>
          <w:p w14:paraId="648476E4" w14:textId="3BB3396F" w:rsidR="00DE09A0" w:rsidRPr="00D92E20" w:rsidRDefault="00DE09A0" w:rsidP="00DE09A0">
            <w:pPr>
              <w:spacing w:after="0" w:line="240" w:lineRule="auto"/>
              <w:jc w:val="center"/>
              <w:rPr>
                <w:rFonts w:cs="Arial"/>
                <w:color w:val="000000"/>
                <w:sz w:val="16"/>
                <w:szCs w:val="16"/>
              </w:rPr>
            </w:pPr>
            <w:r>
              <w:rPr>
                <w:rFonts w:cs="Arial"/>
                <w:color w:val="000000"/>
                <w:sz w:val="16"/>
                <w:szCs w:val="16"/>
              </w:rPr>
              <w:t>40,9</w:t>
            </w:r>
          </w:p>
        </w:tc>
        <w:tc>
          <w:tcPr>
            <w:tcW w:w="709" w:type="dxa"/>
            <w:tcBorders>
              <w:top w:val="nil"/>
              <w:left w:val="nil"/>
              <w:bottom w:val="nil"/>
              <w:right w:val="nil"/>
            </w:tcBorders>
            <w:shd w:val="clear" w:color="auto" w:fill="auto"/>
            <w:noWrap/>
            <w:vAlign w:val="center"/>
            <w:hideMark/>
          </w:tcPr>
          <w:p w14:paraId="48D203DC" w14:textId="0BBBF86B" w:rsidR="00DE09A0" w:rsidRPr="00D92E20" w:rsidRDefault="00DE09A0" w:rsidP="00DE09A0">
            <w:pPr>
              <w:spacing w:after="0" w:line="240" w:lineRule="auto"/>
              <w:jc w:val="center"/>
              <w:rPr>
                <w:rFonts w:cs="Arial"/>
                <w:color w:val="000000"/>
                <w:sz w:val="16"/>
                <w:szCs w:val="16"/>
              </w:rPr>
            </w:pPr>
            <w:r>
              <w:rPr>
                <w:rFonts w:cs="Arial"/>
                <w:color w:val="000000"/>
                <w:sz w:val="16"/>
                <w:szCs w:val="16"/>
              </w:rPr>
              <w:t>28,2</w:t>
            </w:r>
          </w:p>
        </w:tc>
      </w:tr>
    </w:tbl>
    <w:p w14:paraId="3F6601B3" w14:textId="77777777" w:rsidR="004A31C1" w:rsidRPr="00D92E20" w:rsidRDefault="004A31C1" w:rsidP="004A31C1">
      <w:pPr>
        <w:spacing w:before="120"/>
        <w:rPr>
          <w:sz w:val="16"/>
        </w:rPr>
      </w:pPr>
      <w:r w:rsidRPr="00D92E20">
        <w:rPr>
          <w:sz w:val="16"/>
        </w:rPr>
        <w:t>Zdroj: ČSÚ</w:t>
      </w:r>
    </w:p>
    <w:p w14:paraId="0334B10B" w14:textId="77777777" w:rsidR="004A31C1" w:rsidRDefault="004A31C1">
      <w:pPr>
        <w:spacing w:after="0" w:line="240" w:lineRule="auto"/>
        <w:rPr>
          <w:b/>
          <w:spacing w:val="-4"/>
        </w:rPr>
      </w:pPr>
      <w:r>
        <w:rPr>
          <w:b/>
          <w:spacing w:val="-4"/>
        </w:rPr>
        <w:br w:type="page"/>
      </w:r>
    </w:p>
    <w:p w14:paraId="19E33E55" w14:textId="77777777" w:rsidR="00626EB8" w:rsidRPr="006D1946" w:rsidRDefault="00626EB8" w:rsidP="00626EB8">
      <w:pPr>
        <w:jc w:val="both"/>
        <w:rPr>
          <w:b/>
          <w:spacing w:val="-4"/>
        </w:rPr>
      </w:pPr>
      <w:r w:rsidRPr="006D1946">
        <w:rPr>
          <w:b/>
          <w:spacing w:val="-4"/>
        </w:rPr>
        <w:lastRenderedPageBreak/>
        <w:t>Kartogram 2.1: Průměrná délka trvání dočasné pracovní neschopnosti v okresech a krajích ČR, 1. pol. 2022</w:t>
      </w:r>
    </w:p>
    <w:p w14:paraId="560FAFAE" w14:textId="7FC72D2A" w:rsidR="00693023" w:rsidRPr="00D92E20" w:rsidRDefault="00626EB8" w:rsidP="007B0701">
      <w:pPr>
        <w:jc w:val="both"/>
        <w:rPr>
          <w:b/>
        </w:rPr>
      </w:pPr>
      <w:r w:rsidRPr="006D1946">
        <w:rPr>
          <w:b/>
          <w:noProof/>
        </w:rPr>
        <w:drawing>
          <wp:inline distT="0" distB="0" distL="0" distR="0" wp14:anchorId="171CA8A9" wp14:editId="004A5E0E">
            <wp:extent cx="6120130" cy="4152900"/>
            <wp:effectExtent l="0" t="0" r="0" b="0"/>
            <wp:docPr id="40" name="Obrázek 40" descr="D:\hykysova23070\Documents\PN\2022\1. pol\publ\KTG\02\PN_2022_dny_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hykysova23070\Documents\PN\2022\1. pol\publ\KTG\02\PN_2022_dny_02.png"/>
                    <pic:cNvPicPr>
                      <a:picLocks noChangeAspect="1" noChangeArrowheads="1"/>
                    </pic:cNvPicPr>
                  </pic:nvPicPr>
                  <pic:blipFill rotWithShape="1">
                    <a:blip r:embed="rId23">
                      <a:extLst>
                        <a:ext uri="{28A0092B-C50C-407E-A947-70E740481C1C}">
                          <a14:useLocalDpi xmlns:a14="http://schemas.microsoft.com/office/drawing/2010/main" val="0"/>
                        </a:ext>
                      </a:extLst>
                    </a:blip>
                    <a:srcRect t="1980" b="2055"/>
                    <a:stretch/>
                  </pic:blipFill>
                  <pic:spPr bwMode="auto">
                    <a:xfrm>
                      <a:off x="0" y="0"/>
                      <a:ext cx="6120130" cy="4152900"/>
                    </a:xfrm>
                    <a:prstGeom prst="rect">
                      <a:avLst/>
                    </a:prstGeom>
                    <a:noFill/>
                    <a:ln>
                      <a:noFill/>
                    </a:ln>
                    <a:extLst>
                      <a:ext uri="{53640926-AAD7-44D8-BBD7-CCE9431645EC}">
                        <a14:shadowObscured xmlns:a14="http://schemas.microsoft.com/office/drawing/2010/main"/>
                      </a:ext>
                    </a:extLst>
                  </pic:spPr>
                </pic:pic>
              </a:graphicData>
            </a:graphic>
          </wp:inline>
        </w:drawing>
      </w:r>
    </w:p>
    <w:p w14:paraId="32D39987" w14:textId="77777777" w:rsidR="007B0701" w:rsidRPr="00D92E20" w:rsidRDefault="007B0701" w:rsidP="007B0701">
      <w:pPr>
        <w:spacing w:before="120"/>
        <w:rPr>
          <w:sz w:val="16"/>
        </w:rPr>
      </w:pPr>
      <w:r w:rsidRPr="00D92E20">
        <w:rPr>
          <w:sz w:val="16"/>
        </w:rPr>
        <w:t>Zdroj: ČSÚ</w:t>
      </w:r>
    </w:p>
    <w:p w14:paraId="161BB50D" w14:textId="04A14AF5" w:rsidR="007B0701" w:rsidRPr="00DE09A0" w:rsidRDefault="00551C14" w:rsidP="00000A90">
      <w:pPr>
        <w:spacing w:before="120" w:after="120"/>
        <w:jc w:val="both"/>
      </w:pPr>
      <w:r w:rsidRPr="00DE09A0">
        <w:rPr>
          <w:b/>
        </w:rPr>
        <w:t>Osoby samostatně výdělečně činné (</w:t>
      </w:r>
      <w:r w:rsidR="007B0701" w:rsidRPr="00DE09A0">
        <w:rPr>
          <w:b/>
        </w:rPr>
        <w:t>OSVČ</w:t>
      </w:r>
      <w:r w:rsidRPr="00DE09A0">
        <w:rPr>
          <w:b/>
        </w:rPr>
        <w:t>)</w:t>
      </w:r>
      <w:r w:rsidR="007B0701" w:rsidRPr="00DE09A0">
        <w:t xml:space="preserve"> nastupují do pracovní neschopnosti méně často než zaměstnanci (</w:t>
      </w:r>
      <w:r w:rsidR="008D7B44" w:rsidRPr="00DE09A0">
        <w:t>1</w:t>
      </w:r>
      <w:r w:rsidR="00DE09A0" w:rsidRPr="00DE09A0">
        <w:t>1</w:t>
      </w:r>
      <w:r w:rsidR="007B0701" w:rsidRPr="00DE09A0">
        <w:t xml:space="preserve"> případů na 100 nemocensky pojištěných OSVČ vs. </w:t>
      </w:r>
      <w:r w:rsidR="00DE09A0" w:rsidRPr="00DE09A0">
        <w:t>44</w:t>
      </w:r>
      <w:r w:rsidR="008D7B44" w:rsidRPr="00DE09A0">
        <w:t xml:space="preserve"> </w:t>
      </w:r>
      <w:r w:rsidR="007B0701" w:rsidRPr="00DE09A0">
        <w:t>případů u zaměstnanců za</w:t>
      </w:r>
      <w:r w:rsidR="00CD63E8" w:rsidRPr="00DE09A0">
        <w:t> </w:t>
      </w:r>
      <w:r w:rsidR="00DA3030" w:rsidRPr="00DE09A0">
        <w:t>1.</w:t>
      </w:r>
      <w:r w:rsidR="00CD63E8" w:rsidRPr="00DE09A0">
        <w:t> </w:t>
      </w:r>
      <w:r w:rsidR="00DA3030" w:rsidRPr="00DE09A0">
        <w:t>pol.</w:t>
      </w:r>
      <w:r w:rsidR="00CD63E8" w:rsidRPr="00DE09A0">
        <w:t> </w:t>
      </w:r>
      <w:r w:rsidR="00DA3030" w:rsidRPr="00DE09A0">
        <w:t>202</w:t>
      </w:r>
      <w:r w:rsidR="00DE09A0" w:rsidRPr="00DE09A0">
        <w:t>2</w:t>
      </w:r>
      <w:r w:rsidR="007B0701" w:rsidRPr="00DE09A0">
        <w:t>). Pokud jsou však ze zdravotních důvodů z výkonu práce indisponováni, průměrná délka jejich pracovní neschopnosti značně převyšuje ostatní sledované kategorie velikosti podniku (podle počtu zaměstnanců; viz</w:t>
      </w:r>
      <w:r w:rsidR="00B74855" w:rsidRPr="00DE09A0">
        <w:t> </w:t>
      </w:r>
      <w:r w:rsidR="007B0701" w:rsidRPr="00DE09A0">
        <w:t>graf 2.</w:t>
      </w:r>
      <w:r w:rsidR="008D7B44" w:rsidRPr="00DE09A0">
        <w:t>12</w:t>
      </w:r>
      <w:r w:rsidR="007B0701" w:rsidRPr="00DE09A0">
        <w:t>).</w:t>
      </w:r>
    </w:p>
    <w:p w14:paraId="4722479A" w14:textId="14EECE09" w:rsidR="004A31C1" w:rsidRPr="00CF3713" w:rsidRDefault="004A31C1" w:rsidP="004A31C1">
      <w:pPr>
        <w:spacing w:before="120" w:after="120"/>
        <w:jc w:val="both"/>
      </w:pPr>
      <w:r w:rsidRPr="00DE09A0">
        <w:t>Dočasná pracovní neschopnost OSVČ v 1. pol. 202</w:t>
      </w:r>
      <w:r w:rsidR="00DE09A0" w:rsidRPr="00DE09A0">
        <w:t>2</w:t>
      </w:r>
      <w:r w:rsidRPr="00DE09A0">
        <w:t xml:space="preserve"> trvala průměrně </w:t>
      </w:r>
      <w:r w:rsidR="00DE09A0" w:rsidRPr="00DE09A0">
        <w:t>78</w:t>
      </w:r>
      <w:r w:rsidRPr="00DE09A0">
        <w:t xml:space="preserve"> dní. Delší doba trvání pracovní neschopnosti u OSVČ může souviset se skutečností, že tato skupina pojištěnců v době prvních 14 dnů pracovní neschopnosti není finančně zabezpečena jako ostatní pojištěnci, je jim vypláceno až nemocenské od 15. dne. Vzhledem k tomuto faktu pak krátkodobé případy lehčích forem nemocí neřeší pracovní neschopností, tu si nechávají vystavit až při onemocnění vážnější chorobou, která si pak vyžádá dlouhodobější pracovní neschopnost. Další možností, kterou OSVČ mohou využít, je sjednání pojištění pracovní </w:t>
      </w:r>
      <w:r w:rsidRPr="00CF3713">
        <w:t>neschopnosti u soukromých pojišťoven v rámci životního pojištění. Tomu se však tato publikace nevěnuje.</w:t>
      </w:r>
    </w:p>
    <w:p w14:paraId="0921A84E" w14:textId="1C89B57C" w:rsidR="004A31C1" w:rsidRPr="00D92E20" w:rsidRDefault="004A31C1" w:rsidP="004A31C1">
      <w:pPr>
        <w:spacing w:before="120" w:after="120"/>
        <w:jc w:val="both"/>
      </w:pPr>
      <w:r w:rsidRPr="00CF3713">
        <w:t xml:space="preserve">U zaměstnanců byla průměrná délka pracovní neschopnosti (bez ohledu na příčinu) ve srovnání s OSVČ zhruba </w:t>
      </w:r>
      <w:r w:rsidR="00DE09A0" w:rsidRPr="00CF3713">
        <w:t>třetinová (24,3 dne)</w:t>
      </w:r>
      <w:r w:rsidRPr="00CF3713">
        <w:t>. Nejdelší zaznamenaly malé podniky mající do 49 zaměstnanců (</w:t>
      </w:r>
      <w:r w:rsidR="00CF3713" w:rsidRPr="00CF3713">
        <w:t>27</w:t>
      </w:r>
      <w:r w:rsidRPr="00CF3713">
        <w:t xml:space="preserve"> dnů). V ostatních velikostních kategoriích se tato hodnota pohybovala okolo </w:t>
      </w:r>
      <w:r w:rsidR="00CF3713" w:rsidRPr="00CF3713">
        <w:t>2</w:t>
      </w:r>
      <w:r w:rsidRPr="00CF3713">
        <w:t>4 dnů.</w:t>
      </w:r>
    </w:p>
    <w:p w14:paraId="6B60DFB2" w14:textId="77777777" w:rsidR="004A31C1" w:rsidRDefault="004A31C1">
      <w:pPr>
        <w:spacing w:after="0" w:line="240" w:lineRule="auto"/>
        <w:rPr>
          <w:b/>
        </w:rPr>
      </w:pPr>
      <w:r>
        <w:rPr>
          <w:b/>
        </w:rPr>
        <w:br w:type="page"/>
      </w:r>
    </w:p>
    <w:p w14:paraId="69C373E7" w14:textId="32782BBE" w:rsidR="007B0701" w:rsidRPr="00DC0DB3" w:rsidRDefault="007B0701" w:rsidP="00000A90">
      <w:pPr>
        <w:spacing w:after="0"/>
        <w:jc w:val="both"/>
        <w:rPr>
          <w:b/>
        </w:rPr>
      </w:pPr>
      <w:r w:rsidRPr="00DC0DB3">
        <w:rPr>
          <w:b/>
        </w:rPr>
        <w:lastRenderedPageBreak/>
        <w:t xml:space="preserve">Graf 2.12: Průměrná délka trvání dočasné pracovní neschopnosti podle velikosti podniku a příčiny, </w:t>
      </w:r>
      <w:r w:rsidR="00DC0DB3">
        <w:rPr>
          <w:b/>
        </w:rPr>
        <w:br/>
      </w:r>
      <w:r w:rsidR="00DC0DB3" w:rsidRPr="00DC0DB3">
        <w:rPr>
          <w:b/>
        </w:rPr>
        <w:t>1. pol. 202</w:t>
      </w:r>
      <w:r w:rsidR="00DE09A0">
        <w:rPr>
          <w:b/>
        </w:rPr>
        <w:t>2</w:t>
      </w:r>
    </w:p>
    <w:p w14:paraId="0A425FBB" w14:textId="76ACC602" w:rsidR="00A71AB2" w:rsidRPr="00D92E20" w:rsidRDefault="00DE09A0" w:rsidP="00C371A5">
      <w:pPr>
        <w:tabs>
          <w:tab w:val="left" w:pos="1418"/>
        </w:tabs>
        <w:spacing w:after="0"/>
        <w:jc w:val="both"/>
        <w:rPr>
          <w:rFonts w:cs="Arial"/>
        </w:rPr>
      </w:pPr>
      <w:r>
        <w:rPr>
          <w:noProof/>
        </w:rPr>
        <w:drawing>
          <wp:inline distT="0" distB="0" distL="0" distR="0" wp14:anchorId="5D353096" wp14:editId="21341336">
            <wp:extent cx="6105525" cy="2752725"/>
            <wp:effectExtent l="0" t="0" r="9525" b="9525"/>
            <wp:docPr id="46" name="Graf 46"/>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2F5F313F" w14:textId="36C314F3" w:rsidR="007B0701" w:rsidRDefault="007B0701" w:rsidP="007B0701">
      <w:pPr>
        <w:spacing w:before="120"/>
        <w:rPr>
          <w:sz w:val="16"/>
        </w:rPr>
      </w:pPr>
      <w:r w:rsidRPr="00D92E20">
        <w:rPr>
          <w:sz w:val="16"/>
        </w:rPr>
        <w:t>Zdroj: ČSÚ</w:t>
      </w:r>
    </w:p>
    <w:p w14:paraId="71F10D15" w14:textId="27BF3EA5" w:rsidR="000273BE" w:rsidRPr="00D92E20" w:rsidRDefault="000273BE" w:rsidP="00000A90">
      <w:pPr>
        <w:pStyle w:val="Nadpis3"/>
        <w:numPr>
          <w:ilvl w:val="2"/>
          <w:numId w:val="22"/>
        </w:numPr>
        <w:spacing w:after="120"/>
        <w:ind w:left="709"/>
        <w:jc w:val="both"/>
      </w:pPr>
      <w:bookmarkStart w:id="20" w:name="_Toc54262802"/>
      <w:bookmarkStart w:id="21" w:name="_Toc117774430"/>
      <w:r w:rsidRPr="00D92E20">
        <w:t>Průměrné procento dočasné pracovní nes</w:t>
      </w:r>
      <w:r w:rsidR="004A31C1">
        <w:t xml:space="preserve">chopnosti a průměrný denní stav </w:t>
      </w:r>
      <w:r w:rsidRPr="00D92E20">
        <w:t>dočasně práce neschopných</w:t>
      </w:r>
      <w:bookmarkEnd w:id="20"/>
      <w:bookmarkEnd w:id="21"/>
    </w:p>
    <w:p w14:paraId="478FDE9B" w14:textId="77777777" w:rsidR="000273BE" w:rsidRPr="00D92E20" w:rsidRDefault="000273BE" w:rsidP="00000A90">
      <w:pPr>
        <w:spacing w:after="120"/>
        <w:jc w:val="both"/>
      </w:pPr>
      <w:r w:rsidRPr="00D92E20">
        <w:t xml:space="preserve">Nejkomplexnějším ukazatelem statistiky pracovní neschopnosti pro nemoc a úraz je </w:t>
      </w:r>
      <w:r w:rsidRPr="00D92E20">
        <w:rPr>
          <w:b/>
        </w:rPr>
        <w:t>průměrné procento dočasné pracovní neschopnosti</w:t>
      </w:r>
      <w:r w:rsidRPr="00D92E20">
        <w:t xml:space="preserve">. Zohledňuje jak celkový počet případů pracovní neschopnosti (jak často lidé do pracovní neschopnosti nastupují), tak i průměrné trvání jednoho případu pracovní neschopnosti (jak dlouho v pracovní neschopnosti setrvávají). Statistiky pak doplňuje ještě další ukazatel – </w:t>
      </w:r>
      <w:r w:rsidRPr="00D92E20">
        <w:rPr>
          <w:b/>
        </w:rPr>
        <w:t>průměrný denní stav dočasně práce neschopných</w:t>
      </w:r>
      <w:r w:rsidRPr="00D92E20">
        <w:t>, který říká, kolik osob průměrně denně chybělo na pracovišti v důsledku dočasné pracovní neschopnosti pro nemoc a úraz.</w:t>
      </w:r>
    </w:p>
    <w:p w14:paraId="755BC370" w14:textId="77777777" w:rsidR="000273BE" w:rsidRPr="00D92E20" w:rsidRDefault="000273BE" w:rsidP="000273BE">
      <w:pPr>
        <w:pStyle w:val="Box1"/>
        <w:ind w:left="0"/>
        <w:jc w:val="both"/>
        <w:rPr>
          <w:i/>
        </w:rPr>
      </w:pPr>
      <w:r w:rsidRPr="00D92E20">
        <w:rPr>
          <w:b/>
          <w:i/>
        </w:rPr>
        <w:t xml:space="preserve">Průměrné procento dočasné pracovní neschopnosti </w:t>
      </w:r>
      <w:r w:rsidRPr="00D92E20">
        <w:rPr>
          <w:i/>
        </w:rPr>
        <w:t xml:space="preserve">– ukazatel udává, kolik ze 100 nemocensky pojištěných je průměrně každý den v pracovní neschopnosti pro nemoc či úraz. </w:t>
      </w:r>
    </w:p>
    <w:p w14:paraId="5C658570" w14:textId="77777777" w:rsidR="000273BE" w:rsidRPr="00D92E20" w:rsidRDefault="000273BE" w:rsidP="000273BE">
      <w:pPr>
        <w:pStyle w:val="Box1"/>
        <w:ind w:left="0"/>
        <w:jc w:val="both"/>
        <w:rPr>
          <w:i/>
          <w:u w:val="single"/>
        </w:rPr>
      </w:pPr>
      <w:r w:rsidRPr="00D92E20">
        <w:rPr>
          <w:i/>
          <w:u w:val="single"/>
        </w:rPr>
        <w:t>Způsob výpočtu:</w:t>
      </w:r>
    </w:p>
    <w:p w14:paraId="3DBD0D4D" w14:textId="77777777" w:rsidR="000273BE" w:rsidRPr="00D92E20" w:rsidRDefault="000273BE" w:rsidP="00000A90">
      <w:pPr>
        <w:pStyle w:val="Box1"/>
        <w:spacing w:before="120" w:after="120"/>
        <w:ind w:left="0"/>
        <w:contextualSpacing w:val="0"/>
        <w:jc w:val="both"/>
        <w:rPr>
          <w:i/>
        </w:rPr>
      </w:pPr>
      <w:r w:rsidRPr="00D92E20">
        <w:rPr>
          <w:i/>
        </w:rPr>
        <w:t>Průměrné procento dočasné pracovní neschopnosti = počet kalendářních dnů dočasné pracovní neschopnosti x 100 / (průměrný počet osob nemocensky pojištěných x počet kalendářních dnů ve sledovaném období).</w:t>
      </w:r>
    </w:p>
    <w:p w14:paraId="18B4273B" w14:textId="1B5DF887" w:rsidR="000273BE" w:rsidRPr="00D92E20" w:rsidRDefault="000273BE" w:rsidP="000273BE">
      <w:pPr>
        <w:pStyle w:val="Box1"/>
        <w:ind w:left="0"/>
        <w:jc w:val="both"/>
        <w:rPr>
          <w:i/>
        </w:rPr>
      </w:pPr>
      <w:r w:rsidRPr="00D92E20">
        <w:rPr>
          <w:b/>
          <w:i/>
        </w:rPr>
        <w:t xml:space="preserve">Průměrný denní stav </w:t>
      </w:r>
      <w:r w:rsidR="008B4180" w:rsidRPr="00D92E20">
        <w:rPr>
          <w:b/>
          <w:i/>
        </w:rPr>
        <w:t xml:space="preserve">dočasně </w:t>
      </w:r>
      <w:r w:rsidRPr="00D92E20">
        <w:rPr>
          <w:b/>
          <w:i/>
        </w:rPr>
        <w:t xml:space="preserve">práce neschopných </w:t>
      </w:r>
      <w:r w:rsidRPr="00D92E20">
        <w:rPr>
          <w:i/>
        </w:rPr>
        <w:t>– ukazatel vyjadřuje počet nemocensky pojištěných, kteří byli ve sledovaném období (</w:t>
      </w:r>
      <w:r w:rsidR="00FF4E21">
        <w:rPr>
          <w:i/>
        </w:rPr>
        <w:t>1. pololetí</w:t>
      </w:r>
      <w:r w:rsidRPr="00D92E20">
        <w:rPr>
          <w:i/>
        </w:rPr>
        <w:t xml:space="preserve">) denně nepřítomni v práci z důvodů pracovní neschopnosti. </w:t>
      </w:r>
    </w:p>
    <w:p w14:paraId="5251B742" w14:textId="77777777" w:rsidR="000273BE" w:rsidRPr="00D92E20" w:rsidRDefault="000273BE" w:rsidP="000273BE">
      <w:pPr>
        <w:pStyle w:val="Box1"/>
        <w:ind w:left="0"/>
        <w:jc w:val="both"/>
        <w:rPr>
          <w:i/>
          <w:u w:val="single"/>
        </w:rPr>
      </w:pPr>
      <w:r w:rsidRPr="00D92E20">
        <w:rPr>
          <w:i/>
          <w:u w:val="single"/>
        </w:rPr>
        <w:t>Způsob výpočtu:</w:t>
      </w:r>
    </w:p>
    <w:p w14:paraId="23F03AFE" w14:textId="0E01620F" w:rsidR="000273BE" w:rsidRPr="00D92E20" w:rsidRDefault="000273BE" w:rsidP="00000A90">
      <w:pPr>
        <w:pStyle w:val="Box1"/>
        <w:spacing w:before="120" w:after="120"/>
        <w:ind w:left="0"/>
        <w:contextualSpacing w:val="0"/>
        <w:jc w:val="both"/>
        <w:rPr>
          <w:i/>
        </w:rPr>
      </w:pPr>
      <w:r w:rsidRPr="00D92E20">
        <w:rPr>
          <w:i/>
        </w:rPr>
        <w:t xml:space="preserve">Průměrný denní stav </w:t>
      </w:r>
      <w:r w:rsidR="008B4180" w:rsidRPr="00D92E20">
        <w:rPr>
          <w:i/>
        </w:rPr>
        <w:t xml:space="preserve">dočasně </w:t>
      </w:r>
      <w:r w:rsidRPr="00D92E20">
        <w:rPr>
          <w:i/>
        </w:rPr>
        <w:t xml:space="preserve">práce neschopných = </w:t>
      </w:r>
      <w:r w:rsidR="00BE43F5">
        <w:rPr>
          <w:i/>
        </w:rPr>
        <w:t xml:space="preserve">počet </w:t>
      </w:r>
      <w:r w:rsidRPr="00D92E20">
        <w:rPr>
          <w:i/>
        </w:rPr>
        <w:t>kalendářní</w:t>
      </w:r>
      <w:r w:rsidR="00BE43F5">
        <w:rPr>
          <w:i/>
        </w:rPr>
        <w:t>ch</w:t>
      </w:r>
      <w:r w:rsidRPr="00D92E20">
        <w:rPr>
          <w:i/>
        </w:rPr>
        <w:t xml:space="preserve"> dn</w:t>
      </w:r>
      <w:r w:rsidR="00BE43F5">
        <w:rPr>
          <w:i/>
        </w:rPr>
        <w:t>ů</w:t>
      </w:r>
      <w:r w:rsidRPr="00D92E20">
        <w:rPr>
          <w:i/>
        </w:rPr>
        <w:t xml:space="preserve"> dočasné pracovní neschopnosti / počet kalendářních dnů ve sledovaném období.</w:t>
      </w:r>
    </w:p>
    <w:p w14:paraId="5213D7D9" w14:textId="29C0A828" w:rsidR="00425CDF" w:rsidRPr="00D92E20" w:rsidRDefault="00425CDF" w:rsidP="00000A90">
      <w:pPr>
        <w:spacing w:before="120" w:after="120"/>
        <w:jc w:val="both"/>
      </w:pPr>
      <w:r w:rsidRPr="00D92E20">
        <w:t xml:space="preserve">Hodnota ukazatele </w:t>
      </w:r>
      <w:r w:rsidRPr="00D92E20">
        <w:rPr>
          <w:b/>
        </w:rPr>
        <w:t>průměrné procento dočasné pracovní neschopnosti</w:t>
      </w:r>
      <w:r w:rsidR="00A100AA">
        <w:t xml:space="preserve"> měla</w:t>
      </w:r>
      <w:r w:rsidRPr="00D92E20">
        <w:t xml:space="preserve"> od </w:t>
      </w:r>
      <w:r w:rsidR="00FF4E21">
        <w:t>1. pol. 2015</w:t>
      </w:r>
      <w:r w:rsidRPr="00D92E20">
        <w:t xml:space="preserve"> </w:t>
      </w:r>
      <w:r w:rsidR="00A100AA">
        <w:t xml:space="preserve">až do loňského roku </w:t>
      </w:r>
      <w:r w:rsidRPr="00D92E20">
        <w:t xml:space="preserve">rostoucí tendenci. Meziročně oproti </w:t>
      </w:r>
      <w:r w:rsidR="00A100AA">
        <w:t>1. pol. 2021 mírně poklesla</w:t>
      </w:r>
      <w:r w:rsidRPr="00D92E20">
        <w:t xml:space="preserve"> o 0,</w:t>
      </w:r>
      <w:r w:rsidR="00A100AA">
        <w:t>1</w:t>
      </w:r>
      <w:r w:rsidRPr="00D92E20">
        <w:t xml:space="preserve"> p. b. na </w:t>
      </w:r>
      <w:r w:rsidR="00A100AA">
        <w:t>5,9</w:t>
      </w:r>
      <w:r w:rsidRPr="00D92E20">
        <w:t xml:space="preserve"> % v</w:t>
      </w:r>
      <w:r w:rsidR="00FF4E21">
        <w:t> 1. pol. 202</w:t>
      </w:r>
      <w:r w:rsidR="00A100AA">
        <w:t>2</w:t>
      </w:r>
      <w:r w:rsidRPr="00D92E20">
        <w:t>. Ve srovnání s</w:t>
      </w:r>
      <w:r w:rsidR="00FF4E21">
        <w:t xml:space="preserve"> 1. pol. </w:t>
      </w:r>
      <w:r w:rsidRPr="00D92E20">
        <w:t xml:space="preserve">2012 </w:t>
      </w:r>
      <w:r w:rsidR="006F113C" w:rsidRPr="00D92E20">
        <w:t xml:space="preserve">průměrné procento dočasné pracovní neschopnosti </w:t>
      </w:r>
      <w:r w:rsidRPr="00D92E20">
        <w:t>vzrostl</w:t>
      </w:r>
      <w:r w:rsidR="006F113C" w:rsidRPr="00D92E20">
        <w:t>o</w:t>
      </w:r>
      <w:r w:rsidRPr="00D92E20">
        <w:t xml:space="preserve"> o 2</w:t>
      </w:r>
      <w:r w:rsidR="00A100AA">
        <w:t>,3</w:t>
      </w:r>
      <w:r w:rsidRPr="00D92E20">
        <w:t xml:space="preserve"> p. b. Podíl na růstu může mít mj. </w:t>
      </w:r>
      <w:r w:rsidR="00551C14" w:rsidRPr="00D92E20">
        <w:t xml:space="preserve">i </w:t>
      </w:r>
      <w:r w:rsidRPr="00D92E20">
        <w:t>stárnutí populace a zvyšování průměrného věku zaměstnanců (dáno vyšším věkem odchodu do důchodu</w:t>
      </w:r>
      <w:r w:rsidR="00105452">
        <w:t>,</w:t>
      </w:r>
      <w:r w:rsidRPr="00D92E20">
        <w:t xml:space="preserve"> než bylo v minulosti). Průměrné procento dočasné pracovní neschopnosti je dlouhodobě vyšší u žen</w:t>
      </w:r>
      <w:r w:rsidR="00BE43F5">
        <w:t>, u kterých</w:t>
      </w:r>
      <w:r w:rsidR="00A771D5">
        <w:t xml:space="preserve"> v 1. pol. 202</w:t>
      </w:r>
      <w:r w:rsidR="00A100AA">
        <w:t>2</w:t>
      </w:r>
      <w:r w:rsidR="00BE43F5">
        <w:t xml:space="preserve"> č</w:t>
      </w:r>
      <w:r w:rsidRPr="00D92E20">
        <w:t xml:space="preserve">inilo </w:t>
      </w:r>
      <w:r w:rsidR="006F113C" w:rsidRPr="00D92E20">
        <w:t>6</w:t>
      </w:r>
      <w:r w:rsidR="00FF4E21">
        <w:t>,4</w:t>
      </w:r>
      <w:r w:rsidRPr="00D92E20">
        <w:t xml:space="preserve"> %, zatímco pro muže 5</w:t>
      </w:r>
      <w:r w:rsidR="00FF4E21">
        <w:t>,</w:t>
      </w:r>
      <w:r w:rsidR="00A100AA">
        <w:t>4</w:t>
      </w:r>
      <w:r w:rsidRPr="00D92E20">
        <w:t xml:space="preserve"> %.</w:t>
      </w:r>
    </w:p>
    <w:p w14:paraId="37D71C20" w14:textId="77777777" w:rsidR="00350B58" w:rsidRDefault="00350B58">
      <w:pPr>
        <w:spacing w:after="0" w:line="240" w:lineRule="auto"/>
        <w:rPr>
          <w:b/>
        </w:rPr>
      </w:pPr>
      <w:r>
        <w:rPr>
          <w:b/>
        </w:rPr>
        <w:br w:type="page"/>
      </w:r>
    </w:p>
    <w:p w14:paraId="5E4C74CD" w14:textId="5B5A2DF2" w:rsidR="006F113C" w:rsidRDefault="006F113C" w:rsidP="00000A90">
      <w:pPr>
        <w:spacing w:after="0"/>
        <w:jc w:val="both"/>
        <w:rPr>
          <w:b/>
        </w:rPr>
      </w:pPr>
      <w:r w:rsidRPr="00D92E20">
        <w:rPr>
          <w:b/>
        </w:rPr>
        <w:lastRenderedPageBreak/>
        <w:t xml:space="preserve">Graf 2.13: Průměrné procento dočasné pracovní neschopnosti podle odvětví (sekce CZ-NACE), </w:t>
      </w:r>
      <w:r w:rsidR="00FF4E21">
        <w:rPr>
          <w:b/>
        </w:rPr>
        <w:br/>
      </w:r>
      <w:r w:rsidR="00A100AA">
        <w:rPr>
          <w:b/>
        </w:rPr>
        <w:t>1. pol. 2022</w:t>
      </w:r>
    </w:p>
    <w:p w14:paraId="2DA17BC6" w14:textId="2B3DFBF0" w:rsidR="00A100AA" w:rsidRPr="00D92E20" w:rsidRDefault="00A100AA" w:rsidP="00000A90">
      <w:pPr>
        <w:spacing w:after="0"/>
        <w:jc w:val="both"/>
        <w:rPr>
          <w:b/>
        </w:rPr>
      </w:pPr>
      <w:r>
        <w:rPr>
          <w:noProof/>
        </w:rPr>
        <w:drawing>
          <wp:inline distT="0" distB="0" distL="0" distR="0" wp14:anchorId="03F6FDEF" wp14:editId="3B50CA7B">
            <wp:extent cx="5881689" cy="4938714"/>
            <wp:effectExtent l="0" t="0" r="5080" b="14605"/>
            <wp:docPr id="18" name="Graf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3629B590" w14:textId="68D87EBF" w:rsidR="006F113C" w:rsidRPr="00D92E20" w:rsidRDefault="006F113C" w:rsidP="00000A90">
      <w:pPr>
        <w:pStyle w:val="Seznam"/>
        <w:jc w:val="both"/>
      </w:pPr>
      <w:r w:rsidRPr="00D92E20">
        <w:rPr>
          <w:sz w:val="16"/>
        </w:rPr>
        <w:t>Zdroj: ČSÚ</w:t>
      </w:r>
    </w:p>
    <w:p w14:paraId="6F1D9EC7" w14:textId="4C7BC448" w:rsidR="00350B58" w:rsidRDefault="006F113C" w:rsidP="006C7D54">
      <w:pPr>
        <w:spacing w:before="120" w:after="120"/>
        <w:jc w:val="both"/>
        <w:rPr>
          <w:rFonts w:cs="Arial"/>
          <w:color w:val="000000"/>
          <w:szCs w:val="16"/>
        </w:rPr>
      </w:pPr>
      <w:r w:rsidRPr="00D92E20">
        <w:rPr>
          <w:rFonts w:cs="Arial"/>
          <w:color w:val="000000"/>
          <w:szCs w:val="16"/>
        </w:rPr>
        <w:t xml:space="preserve">Nejvyšší průměrné procento dočasné pracovní neschopnosti </w:t>
      </w:r>
      <w:r w:rsidRPr="00D92E20">
        <w:rPr>
          <w:rFonts w:cs="Arial"/>
          <w:b/>
          <w:color w:val="000000"/>
          <w:szCs w:val="16"/>
        </w:rPr>
        <w:t>z hlediska odvětvové činnosti</w:t>
      </w:r>
      <w:r w:rsidRPr="00D92E20">
        <w:rPr>
          <w:rFonts w:cs="Arial"/>
          <w:color w:val="000000"/>
          <w:szCs w:val="16"/>
        </w:rPr>
        <w:t xml:space="preserve"> bylo zaznamenáno v odvětví </w:t>
      </w:r>
      <w:r w:rsidR="0001377E">
        <w:rPr>
          <w:rFonts w:cs="Arial"/>
          <w:color w:val="000000"/>
          <w:szCs w:val="16"/>
        </w:rPr>
        <w:t xml:space="preserve">Zpracovatelský průmysl </w:t>
      </w:r>
      <w:r w:rsidRPr="00D92E20">
        <w:rPr>
          <w:rFonts w:cs="Arial"/>
          <w:color w:val="000000"/>
          <w:szCs w:val="16"/>
        </w:rPr>
        <w:t>(</w:t>
      </w:r>
      <w:r w:rsidR="0001377E">
        <w:rPr>
          <w:rFonts w:cs="Arial"/>
          <w:color w:val="000000"/>
          <w:szCs w:val="16"/>
        </w:rPr>
        <w:t>7</w:t>
      </w:r>
      <w:r w:rsidR="00FF4E21">
        <w:rPr>
          <w:rFonts w:cs="Arial"/>
          <w:color w:val="000000"/>
          <w:szCs w:val="16"/>
        </w:rPr>
        <w:t>,</w:t>
      </w:r>
      <w:r w:rsidR="0001377E">
        <w:rPr>
          <w:rFonts w:cs="Arial"/>
          <w:color w:val="000000"/>
          <w:szCs w:val="16"/>
        </w:rPr>
        <w:t>6</w:t>
      </w:r>
      <w:r w:rsidRPr="00D92E20">
        <w:rPr>
          <w:rFonts w:cs="Arial"/>
          <w:color w:val="000000"/>
          <w:szCs w:val="16"/>
        </w:rPr>
        <w:t xml:space="preserve"> %)</w:t>
      </w:r>
      <w:r w:rsidR="006C7D54">
        <w:rPr>
          <w:rFonts w:cs="Arial"/>
          <w:color w:val="000000"/>
          <w:szCs w:val="16"/>
        </w:rPr>
        <w:t xml:space="preserve">. Jinými slovy, téměř </w:t>
      </w:r>
      <w:r w:rsidR="0001377E">
        <w:rPr>
          <w:rFonts w:cs="Arial"/>
          <w:color w:val="000000"/>
          <w:szCs w:val="16"/>
        </w:rPr>
        <w:t>8</w:t>
      </w:r>
      <w:r w:rsidRPr="00D92E20">
        <w:rPr>
          <w:rFonts w:cs="Arial"/>
          <w:color w:val="000000"/>
          <w:szCs w:val="16"/>
        </w:rPr>
        <w:t xml:space="preserve"> % pojištěnců pracujících v</w:t>
      </w:r>
      <w:r w:rsidR="0001377E">
        <w:rPr>
          <w:rFonts w:cs="Arial"/>
          <w:color w:val="000000"/>
          <w:szCs w:val="16"/>
        </w:rPr>
        <w:t xml:space="preserve"> této sekci </w:t>
      </w:r>
      <w:r w:rsidRPr="00D92E20">
        <w:rPr>
          <w:rFonts w:cs="Arial"/>
          <w:color w:val="000000"/>
          <w:szCs w:val="16"/>
        </w:rPr>
        <w:t>bylo denně v </w:t>
      </w:r>
      <w:r w:rsidR="00A9687B">
        <w:rPr>
          <w:rFonts w:cs="Arial"/>
          <w:color w:val="000000"/>
          <w:szCs w:val="16"/>
        </w:rPr>
        <w:t>pracovní neschopnosti. Odvětvím</w:t>
      </w:r>
      <w:r w:rsidRPr="00D92E20">
        <w:rPr>
          <w:rFonts w:cs="Arial"/>
          <w:color w:val="000000"/>
          <w:szCs w:val="16"/>
        </w:rPr>
        <w:t xml:space="preserve"> s</w:t>
      </w:r>
      <w:r w:rsidR="00BE43F5">
        <w:rPr>
          <w:rFonts w:cs="Arial"/>
          <w:color w:val="000000"/>
          <w:szCs w:val="16"/>
        </w:rPr>
        <w:t xml:space="preserve"> více než </w:t>
      </w:r>
      <w:r w:rsidRPr="00D92E20">
        <w:rPr>
          <w:rFonts w:cs="Arial"/>
          <w:color w:val="000000"/>
          <w:szCs w:val="16"/>
        </w:rPr>
        <w:t xml:space="preserve">7% podílem osob </w:t>
      </w:r>
      <w:r w:rsidR="00BE43F5">
        <w:rPr>
          <w:rFonts w:cs="Arial"/>
          <w:color w:val="000000"/>
          <w:szCs w:val="16"/>
        </w:rPr>
        <w:t xml:space="preserve">denně </w:t>
      </w:r>
      <w:r w:rsidRPr="00D92E20">
        <w:rPr>
          <w:rFonts w:cs="Arial"/>
          <w:color w:val="000000"/>
          <w:szCs w:val="16"/>
        </w:rPr>
        <w:t>dočasně práce neschopných byl</w:t>
      </w:r>
      <w:r w:rsidR="00A9687B">
        <w:rPr>
          <w:rFonts w:cs="Arial"/>
          <w:color w:val="000000"/>
          <w:szCs w:val="16"/>
        </w:rPr>
        <w:t xml:space="preserve">a </w:t>
      </w:r>
      <w:r w:rsidRPr="00D92E20">
        <w:rPr>
          <w:rFonts w:cs="Arial"/>
          <w:color w:val="000000"/>
          <w:szCs w:val="16"/>
        </w:rPr>
        <w:t>i </w:t>
      </w:r>
      <w:r w:rsidR="00A9687B">
        <w:rPr>
          <w:rFonts w:cs="Arial"/>
          <w:color w:val="000000"/>
          <w:szCs w:val="16"/>
        </w:rPr>
        <w:t>Těžba a dobývání</w:t>
      </w:r>
      <w:r w:rsidRPr="00D92E20">
        <w:rPr>
          <w:rFonts w:cs="Arial"/>
          <w:color w:val="000000"/>
          <w:szCs w:val="16"/>
        </w:rPr>
        <w:t xml:space="preserve"> (7,</w:t>
      </w:r>
      <w:r w:rsidR="00A9687B">
        <w:rPr>
          <w:rFonts w:cs="Arial"/>
          <w:color w:val="000000"/>
          <w:szCs w:val="16"/>
        </w:rPr>
        <w:t xml:space="preserve">3 %). </w:t>
      </w:r>
      <w:r w:rsidRPr="00D92E20">
        <w:rPr>
          <w:rFonts w:cs="Arial"/>
          <w:color w:val="000000"/>
          <w:szCs w:val="16"/>
        </w:rPr>
        <w:t xml:space="preserve">Naopak nejméně pracovníků </w:t>
      </w:r>
      <w:r w:rsidR="00600B22">
        <w:rPr>
          <w:rFonts w:cs="Arial"/>
          <w:color w:val="000000"/>
          <w:szCs w:val="16"/>
        </w:rPr>
        <w:t>na neschopence</w:t>
      </w:r>
      <w:r w:rsidRPr="00D92E20">
        <w:rPr>
          <w:rFonts w:cs="Arial"/>
          <w:color w:val="000000"/>
          <w:szCs w:val="16"/>
        </w:rPr>
        <w:t xml:space="preserve"> ze 100 pojištěnců bylo denně evidováno v odvětví Informa</w:t>
      </w:r>
      <w:r w:rsidR="00CD287A" w:rsidRPr="00D92E20">
        <w:rPr>
          <w:rFonts w:cs="Arial"/>
          <w:color w:val="000000"/>
          <w:szCs w:val="16"/>
        </w:rPr>
        <w:t>ční a komunikační činnosti (</w:t>
      </w:r>
      <w:r w:rsidR="006C7D54">
        <w:rPr>
          <w:rFonts w:cs="Arial"/>
          <w:color w:val="000000"/>
          <w:szCs w:val="16"/>
        </w:rPr>
        <w:t>2,0</w:t>
      </w:r>
      <w:r w:rsidRPr="00D92E20">
        <w:rPr>
          <w:rFonts w:cs="Arial"/>
          <w:color w:val="000000"/>
          <w:szCs w:val="16"/>
        </w:rPr>
        <w:t>) a Peněžnictví a</w:t>
      </w:r>
      <w:r w:rsidR="00A9687B">
        <w:rPr>
          <w:rFonts w:cs="Arial"/>
          <w:color w:val="000000"/>
          <w:szCs w:val="16"/>
        </w:rPr>
        <w:t> </w:t>
      </w:r>
      <w:r w:rsidRPr="00D92E20">
        <w:rPr>
          <w:rFonts w:cs="Arial"/>
          <w:color w:val="000000"/>
          <w:szCs w:val="16"/>
        </w:rPr>
        <w:t>pojišťovnictví (2,</w:t>
      </w:r>
      <w:r w:rsidR="00A9687B">
        <w:rPr>
          <w:rFonts w:cs="Arial"/>
          <w:color w:val="000000"/>
          <w:szCs w:val="16"/>
        </w:rPr>
        <w:t>7</w:t>
      </w:r>
      <w:r w:rsidRPr="00D92E20">
        <w:rPr>
          <w:rFonts w:cs="Arial"/>
          <w:color w:val="000000"/>
          <w:szCs w:val="16"/>
        </w:rPr>
        <w:t>). Podrobněji viz graf 2.13 a</w:t>
      </w:r>
      <w:r w:rsidR="00C02C40" w:rsidRPr="00D92E20">
        <w:rPr>
          <w:rFonts w:cs="Arial"/>
          <w:color w:val="000000"/>
          <w:szCs w:val="16"/>
        </w:rPr>
        <w:t> </w:t>
      </w:r>
      <w:r w:rsidRPr="00D92E20">
        <w:rPr>
          <w:rFonts w:cs="Arial"/>
          <w:color w:val="000000"/>
          <w:szCs w:val="16"/>
        </w:rPr>
        <w:t>tabulka</w:t>
      </w:r>
      <w:r w:rsidR="00CD287A" w:rsidRPr="00D92E20">
        <w:rPr>
          <w:rFonts w:cs="Arial"/>
          <w:color w:val="000000"/>
          <w:szCs w:val="16"/>
        </w:rPr>
        <w:t> </w:t>
      </w:r>
      <w:r w:rsidRPr="00D92E20">
        <w:rPr>
          <w:rFonts w:cs="Arial"/>
          <w:color w:val="000000"/>
          <w:szCs w:val="16"/>
        </w:rPr>
        <w:t>2.8.</w:t>
      </w:r>
    </w:p>
    <w:p w14:paraId="7262CA26" w14:textId="77777777" w:rsidR="00350B58" w:rsidRDefault="00350B58">
      <w:pPr>
        <w:spacing w:after="0" w:line="240" w:lineRule="auto"/>
        <w:rPr>
          <w:rFonts w:cs="Arial"/>
          <w:color w:val="000000"/>
          <w:szCs w:val="16"/>
        </w:rPr>
      </w:pPr>
      <w:r>
        <w:rPr>
          <w:rFonts w:cs="Arial"/>
          <w:color w:val="000000"/>
          <w:szCs w:val="16"/>
        </w:rPr>
        <w:br w:type="page"/>
      </w:r>
    </w:p>
    <w:p w14:paraId="5E612935" w14:textId="34131B54" w:rsidR="006F113C" w:rsidRPr="006C7D54" w:rsidRDefault="006F113C" w:rsidP="00000A90">
      <w:pPr>
        <w:spacing w:before="120" w:after="0"/>
        <w:jc w:val="both"/>
        <w:rPr>
          <w:rFonts w:cs="Arial"/>
          <w:b/>
          <w:color w:val="000000"/>
          <w:szCs w:val="16"/>
        </w:rPr>
      </w:pPr>
      <w:r w:rsidRPr="006C7D54">
        <w:rPr>
          <w:rFonts w:cs="Arial"/>
          <w:b/>
          <w:color w:val="000000"/>
          <w:szCs w:val="16"/>
        </w:rPr>
        <w:lastRenderedPageBreak/>
        <w:t xml:space="preserve">Tab. 2.8: Průměrné procento dočasné pracovní neschopnosti podle odvětví (sekce CZ-NACE), </w:t>
      </w:r>
      <w:r w:rsidR="006C7D54">
        <w:rPr>
          <w:rFonts w:cs="Arial"/>
          <w:b/>
          <w:color w:val="000000"/>
          <w:szCs w:val="16"/>
        </w:rPr>
        <w:br/>
      </w:r>
      <w:r w:rsidR="009F34CD" w:rsidRPr="0050059C">
        <w:rPr>
          <w:b/>
          <w:spacing w:val="-2"/>
        </w:rPr>
        <w:t>1. pol. 201</w:t>
      </w:r>
      <w:r w:rsidR="009F34CD">
        <w:rPr>
          <w:b/>
          <w:spacing w:val="-2"/>
        </w:rPr>
        <w:t>2</w:t>
      </w:r>
      <w:r w:rsidR="009F34CD" w:rsidRPr="0050059C">
        <w:rPr>
          <w:b/>
          <w:spacing w:val="-2"/>
        </w:rPr>
        <w:t xml:space="preserve"> až 1. pol. 202</w:t>
      </w:r>
      <w:r w:rsidR="009F34CD">
        <w:rPr>
          <w:b/>
          <w:spacing w:val="-2"/>
        </w:rPr>
        <w:t>2</w:t>
      </w:r>
    </w:p>
    <w:tbl>
      <w:tblPr>
        <w:tblW w:w="9663" w:type="dxa"/>
        <w:tblCellMar>
          <w:left w:w="70" w:type="dxa"/>
          <w:right w:w="70" w:type="dxa"/>
        </w:tblCellMar>
        <w:tblLook w:val="04A0" w:firstRow="1" w:lastRow="0" w:firstColumn="1" w:lastColumn="0" w:noHBand="0" w:noVBand="1"/>
      </w:tblPr>
      <w:tblGrid>
        <w:gridCol w:w="3118"/>
        <w:gridCol w:w="595"/>
        <w:gridCol w:w="595"/>
        <w:gridCol w:w="595"/>
        <w:gridCol w:w="595"/>
        <w:gridCol w:w="595"/>
        <w:gridCol w:w="595"/>
        <w:gridCol w:w="595"/>
        <w:gridCol w:w="595"/>
        <w:gridCol w:w="595"/>
        <w:gridCol w:w="595"/>
        <w:gridCol w:w="595"/>
      </w:tblGrid>
      <w:tr w:rsidR="00A9687B" w:rsidRPr="00D92E20" w14:paraId="048D215C" w14:textId="77777777" w:rsidTr="006C7D54">
        <w:trPr>
          <w:trHeight w:val="300"/>
        </w:trPr>
        <w:tc>
          <w:tcPr>
            <w:tcW w:w="3118" w:type="dxa"/>
            <w:tcBorders>
              <w:top w:val="single" w:sz="4" w:space="0" w:color="auto"/>
              <w:left w:val="nil"/>
              <w:bottom w:val="single" w:sz="4" w:space="0" w:color="auto"/>
              <w:right w:val="single" w:sz="4" w:space="0" w:color="auto"/>
            </w:tcBorders>
            <w:shd w:val="clear" w:color="000000" w:fill="F5DADD"/>
            <w:vAlign w:val="center"/>
            <w:hideMark/>
          </w:tcPr>
          <w:p w14:paraId="5076CC44" w14:textId="77777777" w:rsidR="00A9687B" w:rsidRPr="00D92E20" w:rsidRDefault="00A9687B" w:rsidP="00A9687B">
            <w:pPr>
              <w:spacing w:after="0" w:line="240" w:lineRule="auto"/>
              <w:jc w:val="center"/>
              <w:rPr>
                <w:rFonts w:cs="Arial"/>
                <w:color w:val="000000"/>
                <w:sz w:val="16"/>
                <w:szCs w:val="16"/>
              </w:rPr>
            </w:pPr>
            <w:r w:rsidRPr="00D92E20">
              <w:rPr>
                <w:rFonts w:cs="Arial"/>
                <w:color w:val="000000"/>
                <w:sz w:val="16"/>
                <w:szCs w:val="16"/>
              </w:rPr>
              <w:t>Sekce CZ-NACE</w:t>
            </w:r>
          </w:p>
        </w:tc>
        <w:tc>
          <w:tcPr>
            <w:tcW w:w="595" w:type="dxa"/>
            <w:tcBorders>
              <w:top w:val="single" w:sz="4" w:space="0" w:color="auto"/>
              <w:left w:val="nil"/>
              <w:bottom w:val="single" w:sz="4" w:space="0" w:color="auto"/>
              <w:right w:val="nil"/>
            </w:tcBorders>
            <w:shd w:val="clear" w:color="000000" w:fill="F5DADD"/>
            <w:noWrap/>
            <w:vAlign w:val="bottom"/>
            <w:hideMark/>
          </w:tcPr>
          <w:p w14:paraId="788729C3" w14:textId="0400B330" w:rsidR="00A9687B" w:rsidRPr="00D92E20" w:rsidRDefault="00A9687B" w:rsidP="00A9687B">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2012</w:t>
            </w:r>
          </w:p>
        </w:tc>
        <w:tc>
          <w:tcPr>
            <w:tcW w:w="595" w:type="dxa"/>
            <w:tcBorders>
              <w:top w:val="single" w:sz="4" w:space="0" w:color="auto"/>
              <w:left w:val="nil"/>
              <w:bottom w:val="single" w:sz="4" w:space="0" w:color="auto"/>
              <w:right w:val="nil"/>
            </w:tcBorders>
            <w:shd w:val="clear" w:color="000000" w:fill="F5DADD"/>
            <w:noWrap/>
            <w:vAlign w:val="bottom"/>
            <w:hideMark/>
          </w:tcPr>
          <w:p w14:paraId="745A0E9B" w14:textId="19D8AE7C" w:rsidR="00A9687B" w:rsidRPr="00D92E20" w:rsidRDefault="00A9687B" w:rsidP="00A9687B">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2013</w:t>
            </w:r>
          </w:p>
        </w:tc>
        <w:tc>
          <w:tcPr>
            <w:tcW w:w="595" w:type="dxa"/>
            <w:tcBorders>
              <w:top w:val="single" w:sz="4" w:space="0" w:color="auto"/>
              <w:left w:val="nil"/>
              <w:bottom w:val="single" w:sz="4" w:space="0" w:color="auto"/>
              <w:right w:val="nil"/>
            </w:tcBorders>
            <w:shd w:val="clear" w:color="000000" w:fill="F5DADD"/>
            <w:noWrap/>
            <w:vAlign w:val="bottom"/>
            <w:hideMark/>
          </w:tcPr>
          <w:p w14:paraId="3DEF3862" w14:textId="3359A319" w:rsidR="00A9687B" w:rsidRPr="00D92E20" w:rsidRDefault="00A9687B" w:rsidP="00A9687B">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2014</w:t>
            </w:r>
          </w:p>
        </w:tc>
        <w:tc>
          <w:tcPr>
            <w:tcW w:w="595" w:type="dxa"/>
            <w:tcBorders>
              <w:top w:val="single" w:sz="4" w:space="0" w:color="auto"/>
              <w:left w:val="nil"/>
              <w:bottom w:val="single" w:sz="4" w:space="0" w:color="auto"/>
              <w:right w:val="nil"/>
            </w:tcBorders>
            <w:shd w:val="clear" w:color="000000" w:fill="F5DADD"/>
            <w:noWrap/>
            <w:vAlign w:val="bottom"/>
            <w:hideMark/>
          </w:tcPr>
          <w:p w14:paraId="1D52ECFB" w14:textId="00E454E7" w:rsidR="00A9687B" w:rsidRPr="00D92E20" w:rsidRDefault="00A9687B" w:rsidP="00A9687B">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2015</w:t>
            </w:r>
          </w:p>
        </w:tc>
        <w:tc>
          <w:tcPr>
            <w:tcW w:w="595" w:type="dxa"/>
            <w:tcBorders>
              <w:top w:val="single" w:sz="4" w:space="0" w:color="auto"/>
              <w:left w:val="nil"/>
              <w:bottom w:val="single" w:sz="4" w:space="0" w:color="auto"/>
              <w:right w:val="nil"/>
            </w:tcBorders>
            <w:shd w:val="clear" w:color="000000" w:fill="F5DADD"/>
            <w:noWrap/>
            <w:vAlign w:val="bottom"/>
            <w:hideMark/>
          </w:tcPr>
          <w:p w14:paraId="115A29CF" w14:textId="749EDE36" w:rsidR="00A9687B" w:rsidRPr="00D92E20" w:rsidRDefault="00A9687B" w:rsidP="00A9687B">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2016</w:t>
            </w:r>
          </w:p>
        </w:tc>
        <w:tc>
          <w:tcPr>
            <w:tcW w:w="595" w:type="dxa"/>
            <w:tcBorders>
              <w:top w:val="single" w:sz="4" w:space="0" w:color="auto"/>
              <w:left w:val="nil"/>
              <w:bottom w:val="single" w:sz="4" w:space="0" w:color="auto"/>
              <w:right w:val="nil"/>
            </w:tcBorders>
            <w:shd w:val="clear" w:color="000000" w:fill="F5DADD"/>
            <w:noWrap/>
            <w:vAlign w:val="bottom"/>
            <w:hideMark/>
          </w:tcPr>
          <w:p w14:paraId="4B02AEC2" w14:textId="10382F29" w:rsidR="00A9687B" w:rsidRPr="00D92E20" w:rsidRDefault="00A9687B" w:rsidP="00A9687B">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2017</w:t>
            </w:r>
          </w:p>
        </w:tc>
        <w:tc>
          <w:tcPr>
            <w:tcW w:w="595" w:type="dxa"/>
            <w:tcBorders>
              <w:top w:val="single" w:sz="4" w:space="0" w:color="auto"/>
              <w:left w:val="nil"/>
              <w:bottom w:val="single" w:sz="4" w:space="0" w:color="auto"/>
              <w:right w:val="nil"/>
            </w:tcBorders>
            <w:shd w:val="clear" w:color="000000" w:fill="F5DADD"/>
            <w:noWrap/>
            <w:vAlign w:val="bottom"/>
            <w:hideMark/>
          </w:tcPr>
          <w:p w14:paraId="40F72A09" w14:textId="0485D0AE" w:rsidR="00A9687B" w:rsidRPr="00D92E20" w:rsidRDefault="00A9687B" w:rsidP="00A9687B">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2018</w:t>
            </w:r>
          </w:p>
        </w:tc>
        <w:tc>
          <w:tcPr>
            <w:tcW w:w="595" w:type="dxa"/>
            <w:tcBorders>
              <w:top w:val="single" w:sz="4" w:space="0" w:color="auto"/>
              <w:left w:val="nil"/>
              <w:bottom w:val="single" w:sz="4" w:space="0" w:color="auto"/>
              <w:right w:val="nil"/>
            </w:tcBorders>
            <w:shd w:val="clear" w:color="000000" w:fill="F5DADD"/>
            <w:noWrap/>
            <w:vAlign w:val="bottom"/>
            <w:hideMark/>
          </w:tcPr>
          <w:p w14:paraId="651461C6" w14:textId="409D96FB" w:rsidR="00A9687B" w:rsidRPr="00D92E20" w:rsidRDefault="00A9687B" w:rsidP="00A9687B">
            <w:pPr>
              <w:spacing w:after="0" w:line="240" w:lineRule="auto"/>
              <w:jc w:val="center"/>
              <w:rPr>
                <w:rFonts w:cs="Arial"/>
                <w:color w:val="000000"/>
                <w:sz w:val="16"/>
                <w:szCs w:val="16"/>
              </w:rPr>
            </w:pPr>
            <w:r>
              <w:rPr>
                <w:rFonts w:cs="Arial"/>
                <w:sz w:val="16"/>
                <w:szCs w:val="16"/>
              </w:rPr>
              <w:t>1. pol. 2019</w:t>
            </w:r>
          </w:p>
        </w:tc>
        <w:tc>
          <w:tcPr>
            <w:tcW w:w="595" w:type="dxa"/>
            <w:tcBorders>
              <w:top w:val="single" w:sz="4" w:space="0" w:color="auto"/>
              <w:left w:val="nil"/>
              <w:bottom w:val="single" w:sz="4" w:space="0" w:color="auto"/>
              <w:right w:val="nil"/>
            </w:tcBorders>
            <w:shd w:val="clear" w:color="000000" w:fill="F5DADD"/>
            <w:noWrap/>
            <w:vAlign w:val="bottom"/>
            <w:hideMark/>
          </w:tcPr>
          <w:p w14:paraId="59F7E635" w14:textId="7829917A" w:rsidR="00A9687B" w:rsidRPr="00D92E20" w:rsidRDefault="00A9687B" w:rsidP="00A9687B">
            <w:pPr>
              <w:spacing w:after="0" w:line="240" w:lineRule="auto"/>
              <w:jc w:val="center"/>
              <w:rPr>
                <w:rFonts w:cs="Arial"/>
                <w:color w:val="000000"/>
                <w:sz w:val="16"/>
                <w:szCs w:val="16"/>
              </w:rPr>
            </w:pPr>
            <w:r>
              <w:rPr>
                <w:rFonts w:cs="Arial"/>
                <w:sz w:val="16"/>
                <w:szCs w:val="16"/>
              </w:rPr>
              <w:t>1. pol. 2020</w:t>
            </w:r>
          </w:p>
        </w:tc>
        <w:tc>
          <w:tcPr>
            <w:tcW w:w="595" w:type="dxa"/>
            <w:tcBorders>
              <w:top w:val="single" w:sz="4" w:space="0" w:color="auto"/>
              <w:left w:val="nil"/>
              <w:bottom w:val="single" w:sz="4" w:space="0" w:color="auto"/>
              <w:right w:val="nil"/>
            </w:tcBorders>
            <w:shd w:val="clear" w:color="000000" w:fill="F5DADD"/>
            <w:noWrap/>
            <w:vAlign w:val="bottom"/>
            <w:hideMark/>
          </w:tcPr>
          <w:p w14:paraId="16477412" w14:textId="511A7038" w:rsidR="00A9687B" w:rsidRPr="00D92E20" w:rsidRDefault="00A9687B" w:rsidP="00A9687B">
            <w:pPr>
              <w:spacing w:after="0" w:line="240" w:lineRule="auto"/>
              <w:jc w:val="center"/>
              <w:rPr>
                <w:rFonts w:cs="Arial"/>
                <w:color w:val="000000"/>
                <w:sz w:val="16"/>
                <w:szCs w:val="16"/>
              </w:rPr>
            </w:pPr>
            <w:r>
              <w:rPr>
                <w:rFonts w:cs="Arial"/>
                <w:sz w:val="16"/>
                <w:szCs w:val="16"/>
              </w:rPr>
              <w:t>1. pol. 2021</w:t>
            </w:r>
          </w:p>
        </w:tc>
        <w:tc>
          <w:tcPr>
            <w:tcW w:w="595" w:type="dxa"/>
            <w:tcBorders>
              <w:top w:val="single" w:sz="4" w:space="0" w:color="auto"/>
              <w:left w:val="nil"/>
              <w:bottom w:val="single" w:sz="4" w:space="0" w:color="auto"/>
              <w:right w:val="nil"/>
            </w:tcBorders>
            <w:shd w:val="clear" w:color="000000" w:fill="F5DADD"/>
            <w:noWrap/>
            <w:vAlign w:val="bottom"/>
            <w:hideMark/>
          </w:tcPr>
          <w:p w14:paraId="4E3C90D5" w14:textId="5E2EB330" w:rsidR="00A9687B" w:rsidRPr="00D92E20" w:rsidRDefault="00A9687B" w:rsidP="00A9687B">
            <w:pPr>
              <w:spacing w:after="0" w:line="240" w:lineRule="auto"/>
              <w:jc w:val="center"/>
              <w:rPr>
                <w:rFonts w:cs="Arial"/>
                <w:color w:val="000000"/>
                <w:sz w:val="16"/>
                <w:szCs w:val="16"/>
              </w:rPr>
            </w:pPr>
            <w:r>
              <w:rPr>
                <w:rFonts w:cs="Arial"/>
                <w:sz w:val="16"/>
                <w:szCs w:val="16"/>
              </w:rPr>
              <w:t>1. pol. 2022</w:t>
            </w:r>
          </w:p>
        </w:tc>
      </w:tr>
      <w:tr w:rsidR="00A9687B" w:rsidRPr="00D92E20" w14:paraId="7A24A8AA" w14:textId="77777777" w:rsidTr="006C7D54">
        <w:trPr>
          <w:trHeight w:val="300"/>
        </w:trPr>
        <w:tc>
          <w:tcPr>
            <w:tcW w:w="3118" w:type="dxa"/>
            <w:tcBorders>
              <w:top w:val="nil"/>
              <w:left w:val="nil"/>
              <w:bottom w:val="nil"/>
              <w:right w:val="single" w:sz="4" w:space="0" w:color="auto"/>
            </w:tcBorders>
            <w:shd w:val="clear" w:color="auto" w:fill="auto"/>
            <w:vAlign w:val="center"/>
            <w:hideMark/>
          </w:tcPr>
          <w:p w14:paraId="35458211" w14:textId="77777777" w:rsidR="00A9687B" w:rsidRPr="00D92E20" w:rsidRDefault="00A9687B" w:rsidP="00A9687B">
            <w:pPr>
              <w:spacing w:after="0" w:line="240" w:lineRule="auto"/>
              <w:rPr>
                <w:rFonts w:cs="Arial"/>
                <w:b/>
                <w:bCs/>
                <w:color w:val="000000"/>
                <w:sz w:val="16"/>
                <w:szCs w:val="16"/>
              </w:rPr>
            </w:pPr>
            <w:r w:rsidRPr="00D92E20">
              <w:rPr>
                <w:rFonts w:cs="Arial"/>
                <w:b/>
                <w:bCs/>
                <w:color w:val="000000"/>
                <w:sz w:val="16"/>
                <w:szCs w:val="16"/>
              </w:rPr>
              <w:t>Celkem</w:t>
            </w:r>
          </w:p>
        </w:tc>
        <w:tc>
          <w:tcPr>
            <w:tcW w:w="595" w:type="dxa"/>
            <w:tcBorders>
              <w:top w:val="nil"/>
              <w:left w:val="nil"/>
              <w:bottom w:val="nil"/>
              <w:right w:val="nil"/>
            </w:tcBorders>
            <w:shd w:val="clear" w:color="auto" w:fill="auto"/>
            <w:noWrap/>
            <w:vAlign w:val="center"/>
            <w:hideMark/>
          </w:tcPr>
          <w:p w14:paraId="469B9021" w14:textId="6950CBBB" w:rsidR="00A9687B" w:rsidRPr="00D92E20" w:rsidRDefault="00A9687B" w:rsidP="00A9687B">
            <w:pPr>
              <w:spacing w:after="0" w:line="240" w:lineRule="auto"/>
              <w:jc w:val="center"/>
              <w:rPr>
                <w:rFonts w:cs="Arial"/>
                <w:b/>
                <w:bCs/>
                <w:color w:val="000000"/>
                <w:sz w:val="16"/>
                <w:szCs w:val="16"/>
              </w:rPr>
            </w:pPr>
            <w:r>
              <w:rPr>
                <w:rFonts w:cs="Arial"/>
                <w:b/>
                <w:bCs/>
                <w:sz w:val="16"/>
                <w:szCs w:val="16"/>
              </w:rPr>
              <w:t>3,6</w:t>
            </w:r>
          </w:p>
        </w:tc>
        <w:tc>
          <w:tcPr>
            <w:tcW w:w="595" w:type="dxa"/>
            <w:tcBorders>
              <w:top w:val="nil"/>
              <w:left w:val="nil"/>
              <w:bottom w:val="nil"/>
              <w:right w:val="nil"/>
            </w:tcBorders>
            <w:shd w:val="clear" w:color="auto" w:fill="auto"/>
            <w:noWrap/>
            <w:vAlign w:val="center"/>
            <w:hideMark/>
          </w:tcPr>
          <w:p w14:paraId="58F5268A" w14:textId="5B486018" w:rsidR="00A9687B" w:rsidRPr="00D92E20" w:rsidRDefault="00A9687B" w:rsidP="00A9687B">
            <w:pPr>
              <w:spacing w:after="0" w:line="240" w:lineRule="auto"/>
              <w:jc w:val="center"/>
              <w:rPr>
                <w:rFonts w:cs="Arial"/>
                <w:b/>
                <w:bCs/>
                <w:color w:val="000000"/>
                <w:sz w:val="16"/>
                <w:szCs w:val="16"/>
              </w:rPr>
            </w:pPr>
            <w:r>
              <w:rPr>
                <w:rFonts w:cs="Arial"/>
                <w:b/>
                <w:bCs/>
                <w:sz w:val="16"/>
                <w:szCs w:val="16"/>
              </w:rPr>
              <w:t>4,0</w:t>
            </w:r>
          </w:p>
        </w:tc>
        <w:tc>
          <w:tcPr>
            <w:tcW w:w="595" w:type="dxa"/>
            <w:tcBorders>
              <w:top w:val="nil"/>
              <w:left w:val="nil"/>
              <w:bottom w:val="nil"/>
              <w:right w:val="nil"/>
            </w:tcBorders>
            <w:shd w:val="clear" w:color="auto" w:fill="auto"/>
            <w:noWrap/>
            <w:vAlign w:val="center"/>
            <w:hideMark/>
          </w:tcPr>
          <w:p w14:paraId="4FD47331" w14:textId="1B3C8F50" w:rsidR="00A9687B" w:rsidRPr="00D92E20" w:rsidRDefault="00A9687B" w:rsidP="00A9687B">
            <w:pPr>
              <w:spacing w:after="0" w:line="240" w:lineRule="auto"/>
              <w:jc w:val="center"/>
              <w:rPr>
                <w:rFonts w:cs="Arial"/>
                <w:b/>
                <w:bCs/>
                <w:color w:val="000000"/>
                <w:sz w:val="16"/>
                <w:szCs w:val="16"/>
              </w:rPr>
            </w:pPr>
            <w:r>
              <w:rPr>
                <w:rFonts w:cs="Arial"/>
                <w:b/>
                <w:bCs/>
                <w:sz w:val="16"/>
                <w:szCs w:val="16"/>
              </w:rPr>
              <w:t>3,8</w:t>
            </w:r>
          </w:p>
        </w:tc>
        <w:tc>
          <w:tcPr>
            <w:tcW w:w="595" w:type="dxa"/>
            <w:tcBorders>
              <w:top w:val="nil"/>
              <w:left w:val="nil"/>
              <w:bottom w:val="nil"/>
              <w:right w:val="nil"/>
            </w:tcBorders>
            <w:shd w:val="clear" w:color="auto" w:fill="auto"/>
            <w:noWrap/>
            <w:vAlign w:val="center"/>
            <w:hideMark/>
          </w:tcPr>
          <w:p w14:paraId="245410B2" w14:textId="6A74DE79" w:rsidR="00A9687B" w:rsidRPr="00D92E20" w:rsidRDefault="00A9687B" w:rsidP="00A9687B">
            <w:pPr>
              <w:spacing w:after="0" w:line="240" w:lineRule="auto"/>
              <w:jc w:val="center"/>
              <w:rPr>
                <w:rFonts w:cs="Arial"/>
                <w:b/>
                <w:bCs/>
                <w:color w:val="000000"/>
                <w:sz w:val="16"/>
                <w:szCs w:val="16"/>
              </w:rPr>
            </w:pPr>
            <w:r>
              <w:rPr>
                <w:rFonts w:cs="Arial"/>
                <w:b/>
                <w:bCs/>
                <w:sz w:val="16"/>
                <w:szCs w:val="16"/>
              </w:rPr>
              <w:t>4,3</w:t>
            </w:r>
          </w:p>
        </w:tc>
        <w:tc>
          <w:tcPr>
            <w:tcW w:w="595" w:type="dxa"/>
            <w:tcBorders>
              <w:top w:val="nil"/>
              <w:left w:val="nil"/>
              <w:bottom w:val="nil"/>
              <w:right w:val="nil"/>
            </w:tcBorders>
            <w:shd w:val="clear" w:color="auto" w:fill="auto"/>
            <w:noWrap/>
            <w:vAlign w:val="center"/>
            <w:hideMark/>
          </w:tcPr>
          <w:p w14:paraId="481133BC" w14:textId="10DAC3D1" w:rsidR="00A9687B" w:rsidRPr="00D92E20" w:rsidRDefault="00A9687B" w:rsidP="00A9687B">
            <w:pPr>
              <w:spacing w:after="0" w:line="240" w:lineRule="auto"/>
              <w:jc w:val="center"/>
              <w:rPr>
                <w:rFonts w:cs="Arial"/>
                <w:b/>
                <w:bCs/>
                <w:color w:val="000000"/>
                <w:sz w:val="16"/>
                <w:szCs w:val="16"/>
              </w:rPr>
            </w:pPr>
            <w:r>
              <w:rPr>
                <w:rFonts w:cs="Arial"/>
                <w:b/>
                <w:bCs/>
                <w:color w:val="000000"/>
                <w:sz w:val="16"/>
                <w:szCs w:val="16"/>
              </w:rPr>
              <w:t>4,5</w:t>
            </w:r>
          </w:p>
        </w:tc>
        <w:tc>
          <w:tcPr>
            <w:tcW w:w="595" w:type="dxa"/>
            <w:tcBorders>
              <w:top w:val="nil"/>
              <w:left w:val="nil"/>
              <w:bottom w:val="nil"/>
              <w:right w:val="nil"/>
            </w:tcBorders>
            <w:shd w:val="clear" w:color="auto" w:fill="auto"/>
            <w:noWrap/>
            <w:vAlign w:val="center"/>
            <w:hideMark/>
          </w:tcPr>
          <w:p w14:paraId="56FAA08B" w14:textId="3D24F201" w:rsidR="00A9687B" w:rsidRPr="00D92E20" w:rsidRDefault="00A9687B" w:rsidP="00A9687B">
            <w:pPr>
              <w:spacing w:after="0" w:line="240" w:lineRule="auto"/>
              <w:jc w:val="center"/>
              <w:rPr>
                <w:rFonts w:cs="Arial"/>
                <w:b/>
                <w:bCs/>
                <w:color w:val="000000"/>
                <w:sz w:val="16"/>
                <w:szCs w:val="16"/>
              </w:rPr>
            </w:pPr>
            <w:r>
              <w:rPr>
                <w:rFonts w:cs="Arial"/>
                <w:b/>
                <w:bCs/>
                <w:color w:val="000000"/>
                <w:sz w:val="16"/>
                <w:szCs w:val="16"/>
              </w:rPr>
              <w:t>4,6</w:t>
            </w:r>
          </w:p>
        </w:tc>
        <w:tc>
          <w:tcPr>
            <w:tcW w:w="595" w:type="dxa"/>
            <w:tcBorders>
              <w:top w:val="nil"/>
              <w:left w:val="nil"/>
              <w:bottom w:val="nil"/>
              <w:right w:val="nil"/>
            </w:tcBorders>
            <w:shd w:val="clear" w:color="auto" w:fill="auto"/>
            <w:noWrap/>
            <w:vAlign w:val="center"/>
            <w:hideMark/>
          </w:tcPr>
          <w:p w14:paraId="67EDC7E4" w14:textId="33E119E8" w:rsidR="00A9687B" w:rsidRPr="00D92E20" w:rsidRDefault="00A9687B" w:rsidP="00A9687B">
            <w:pPr>
              <w:spacing w:after="0" w:line="240" w:lineRule="auto"/>
              <w:jc w:val="center"/>
              <w:rPr>
                <w:rFonts w:cs="Arial"/>
                <w:b/>
                <w:bCs/>
                <w:color w:val="000000"/>
                <w:sz w:val="16"/>
                <w:szCs w:val="16"/>
              </w:rPr>
            </w:pPr>
            <w:r>
              <w:rPr>
                <w:rFonts w:cs="Arial"/>
                <w:b/>
                <w:bCs/>
                <w:color w:val="000000"/>
                <w:sz w:val="16"/>
                <w:szCs w:val="16"/>
              </w:rPr>
              <w:t>4,8</w:t>
            </w:r>
          </w:p>
        </w:tc>
        <w:tc>
          <w:tcPr>
            <w:tcW w:w="595" w:type="dxa"/>
            <w:tcBorders>
              <w:top w:val="nil"/>
              <w:left w:val="nil"/>
              <w:bottom w:val="nil"/>
              <w:right w:val="nil"/>
            </w:tcBorders>
            <w:shd w:val="clear" w:color="auto" w:fill="auto"/>
            <w:noWrap/>
            <w:vAlign w:val="center"/>
            <w:hideMark/>
          </w:tcPr>
          <w:p w14:paraId="281A560A" w14:textId="1FB5B5EB" w:rsidR="00A9687B" w:rsidRPr="00D92E20" w:rsidRDefault="00A9687B" w:rsidP="00A9687B">
            <w:pPr>
              <w:spacing w:after="0" w:line="240" w:lineRule="auto"/>
              <w:jc w:val="center"/>
              <w:rPr>
                <w:rFonts w:cs="Arial"/>
                <w:b/>
                <w:bCs/>
                <w:color w:val="000000"/>
                <w:sz w:val="16"/>
                <w:szCs w:val="16"/>
              </w:rPr>
            </w:pPr>
            <w:r>
              <w:rPr>
                <w:rFonts w:cs="Arial"/>
                <w:b/>
                <w:bCs/>
                <w:color w:val="000000"/>
                <w:sz w:val="16"/>
                <w:szCs w:val="16"/>
              </w:rPr>
              <w:t>4,8</w:t>
            </w:r>
          </w:p>
        </w:tc>
        <w:tc>
          <w:tcPr>
            <w:tcW w:w="595" w:type="dxa"/>
            <w:tcBorders>
              <w:top w:val="nil"/>
              <w:left w:val="nil"/>
              <w:bottom w:val="nil"/>
              <w:right w:val="nil"/>
            </w:tcBorders>
            <w:shd w:val="clear" w:color="auto" w:fill="auto"/>
            <w:noWrap/>
            <w:vAlign w:val="center"/>
            <w:hideMark/>
          </w:tcPr>
          <w:p w14:paraId="156379CE" w14:textId="31805FC7" w:rsidR="00A9687B" w:rsidRPr="00D92E20" w:rsidRDefault="00A9687B" w:rsidP="00A9687B">
            <w:pPr>
              <w:spacing w:after="0" w:line="240" w:lineRule="auto"/>
              <w:jc w:val="center"/>
              <w:rPr>
                <w:rFonts w:cs="Arial"/>
                <w:b/>
                <w:bCs/>
                <w:color w:val="000000"/>
                <w:sz w:val="16"/>
                <w:szCs w:val="16"/>
              </w:rPr>
            </w:pPr>
            <w:r>
              <w:rPr>
                <w:rFonts w:cs="Arial"/>
                <w:b/>
                <w:bCs/>
                <w:color w:val="000000"/>
                <w:sz w:val="16"/>
                <w:szCs w:val="16"/>
              </w:rPr>
              <w:t>5,6</w:t>
            </w:r>
          </w:p>
        </w:tc>
        <w:tc>
          <w:tcPr>
            <w:tcW w:w="595" w:type="dxa"/>
            <w:tcBorders>
              <w:top w:val="nil"/>
              <w:left w:val="nil"/>
              <w:bottom w:val="nil"/>
              <w:right w:val="nil"/>
            </w:tcBorders>
            <w:shd w:val="clear" w:color="auto" w:fill="auto"/>
            <w:noWrap/>
            <w:vAlign w:val="center"/>
            <w:hideMark/>
          </w:tcPr>
          <w:p w14:paraId="244481D8" w14:textId="53B1C0E7" w:rsidR="00A9687B" w:rsidRPr="00D92E20" w:rsidRDefault="00A9687B" w:rsidP="00A9687B">
            <w:pPr>
              <w:spacing w:after="0" w:line="240" w:lineRule="auto"/>
              <w:jc w:val="center"/>
              <w:rPr>
                <w:rFonts w:cs="Arial"/>
                <w:b/>
                <w:bCs/>
                <w:color w:val="000000"/>
                <w:sz w:val="16"/>
                <w:szCs w:val="16"/>
              </w:rPr>
            </w:pPr>
            <w:r>
              <w:rPr>
                <w:rFonts w:cs="Arial"/>
                <w:b/>
                <w:bCs/>
                <w:color w:val="000000"/>
                <w:sz w:val="16"/>
                <w:szCs w:val="16"/>
              </w:rPr>
              <w:t>6,0</w:t>
            </w:r>
          </w:p>
        </w:tc>
        <w:tc>
          <w:tcPr>
            <w:tcW w:w="595" w:type="dxa"/>
            <w:tcBorders>
              <w:top w:val="nil"/>
              <w:left w:val="nil"/>
              <w:bottom w:val="nil"/>
              <w:right w:val="nil"/>
            </w:tcBorders>
            <w:shd w:val="clear" w:color="auto" w:fill="auto"/>
            <w:noWrap/>
            <w:vAlign w:val="center"/>
            <w:hideMark/>
          </w:tcPr>
          <w:p w14:paraId="7336032C" w14:textId="3998512F" w:rsidR="00A9687B" w:rsidRPr="00D92E20" w:rsidRDefault="00A9687B" w:rsidP="00A9687B">
            <w:pPr>
              <w:spacing w:after="0" w:line="240" w:lineRule="auto"/>
              <w:jc w:val="center"/>
              <w:rPr>
                <w:rFonts w:cs="Arial"/>
                <w:b/>
                <w:bCs/>
                <w:color w:val="000000"/>
                <w:sz w:val="16"/>
                <w:szCs w:val="16"/>
              </w:rPr>
            </w:pPr>
            <w:r>
              <w:rPr>
                <w:rFonts w:cs="Arial"/>
                <w:b/>
                <w:bCs/>
                <w:color w:val="000000"/>
                <w:sz w:val="16"/>
                <w:szCs w:val="16"/>
              </w:rPr>
              <w:t>5,9</w:t>
            </w:r>
          </w:p>
        </w:tc>
      </w:tr>
      <w:tr w:rsidR="00A9687B" w:rsidRPr="00D92E20" w14:paraId="20663403" w14:textId="77777777" w:rsidTr="006C7D54">
        <w:trPr>
          <w:trHeight w:val="300"/>
        </w:trPr>
        <w:tc>
          <w:tcPr>
            <w:tcW w:w="3118" w:type="dxa"/>
            <w:tcBorders>
              <w:top w:val="nil"/>
              <w:left w:val="nil"/>
              <w:bottom w:val="nil"/>
              <w:right w:val="single" w:sz="4" w:space="0" w:color="auto"/>
            </w:tcBorders>
            <w:shd w:val="clear" w:color="auto" w:fill="auto"/>
            <w:vAlign w:val="center"/>
            <w:hideMark/>
          </w:tcPr>
          <w:p w14:paraId="7CDA8D25" w14:textId="450F19BF" w:rsidR="00A9687B" w:rsidRPr="00D92E20" w:rsidRDefault="00A9687B" w:rsidP="00A9687B">
            <w:pPr>
              <w:spacing w:after="0" w:line="240" w:lineRule="auto"/>
              <w:ind w:firstLineChars="100" w:firstLine="160"/>
              <w:rPr>
                <w:rFonts w:cs="Arial"/>
                <w:color w:val="000000"/>
                <w:sz w:val="16"/>
                <w:szCs w:val="16"/>
              </w:rPr>
            </w:pPr>
            <w:r w:rsidRPr="00D92E20">
              <w:rPr>
                <w:rFonts w:cs="Arial"/>
                <w:color w:val="000000"/>
                <w:sz w:val="16"/>
                <w:szCs w:val="16"/>
              </w:rPr>
              <w:t>A – Zemědělství, lesnictví a rybářství</w:t>
            </w:r>
          </w:p>
        </w:tc>
        <w:tc>
          <w:tcPr>
            <w:tcW w:w="595" w:type="dxa"/>
            <w:tcBorders>
              <w:top w:val="nil"/>
              <w:left w:val="nil"/>
              <w:bottom w:val="nil"/>
              <w:right w:val="nil"/>
            </w:tcBorders>
            <w:shd w:val="clear" w:color="auto" w:fill="auto"/>
            <w:noWrap/>
            <w:vAlign w:val="center"/>
            <w:hideMark/>
          </w:tcPr>
          <w:p w14:paraId="6765C5D7" w14:textId="7D1FB849" w:rsidR="00A9687B" w:rsidRPr="00D92E20" w:rsidRDefault="00A9687B" w:rsidP="00A9687B">
            <w:pPr>
              <w:spacing w:after="0" w:line="240" w:lineRule="auto"/>
              <w:jc w:val="center"/>
              <w:rPr>
                <w:rFonts w:cs="Arial"/>
                <w:color w:val="000000"/>
                <w:sz w:val="16"/>
                <w:szCs w:val="16"/>
              </w:rPr>
            </w:pPr>
            <w:r>
              <w:rPr>
                <w:rFonts w:cs="Arial"/>
                <w:sz w:val="16"/>
                <w:szCs w:val="16"/>
              </w:rPr>
              <w:t>4,5</w:t>
            </w:r>
          </w:p>
        </w:tc>
        <w:tc>
          <w:tcPr>
            <w:tcW w:w="595" w:type="dxa"/>
            <w:tcBorders>
              <w:top w:val="nil"/>
              <w:left w:val="nil"/>
              <w:bottom w:val="nil"/>
              <w:right w:val="nil"/>
            </w:tcBorders>
            <w:shd w:val="clear" w:color="auto" w:fill="auto"/>
            <w:noWrap/>
            <w:vAlign w:val="center"/>
            <w:hideMark/>
          </w:tcPr>
          <w:p w14:paraId="4663BD9E" w14:textId="6F9C4593" w:rsidR="00A9687B" w:rsidRPr="00D92E20" w:rsidRDefault="00A9687B" w:rsidP="00A9687B">
            <w:pPr>
              <w:spacing w:after="0" w:line="240" w:lineRule="auto"/>
              <w:jc w:val="center"/>
              <w:rPr>
                <w:rFonts w:cs="Arial"/>
                <w:color w:val="000000"/>
                <w:sz w:val="16"/>
                <w:szCs w:val="16"/>
              </w:rPr>
            </w:pPr>
            <w:r>
              <w:rPr>
                <w:rFonts w:cs="Arial"/>
                <w:sz w:val="16"/>
                <w:szCs w:val="16"/>
              </w:rPr>
              <w:t>5,0</w:t>
            </w:r>
          </w:p>
        </w:tc>
        <w:tc>
          <w:tcPr>
            <w:tcW w:w="595" w:type="dxa"/>
            <w:tcBorders>
              <w:top w:val="nil"/>
              <w:left w:val="nil"/>
              <w:bottom w:val="nil"/>
              <w:right w:val="nil"/>
            </w:tcBorders>
            <w:shd w:val="clear" w:color="auto" w:fill="auto"/>
            <w:noWrap/>
            <w:vAlign w:val="center"/>
            <w:hideMark/>
          </w:tcPr>
          <w:p w14:paraId="7B6E418B" w14:textId="2376FC0F" w:rsidR="00A9687B" w:rsidRPr="00D92E20" w:rsidRDefault="00A9687B" w:rsidP="00A9687B">
            <w:pPr>
              <w:spacing w:after="0" w:line="240" w:lineRule="auto"/>
              <w:jc w:val="center"/>
              <w:rPr>
                <w:rFonts w:cs="Arial"/>
                <w:color w:val="000000"/>
                <w:sz w:val="16"/>
                <w:szCs w:val="16"/>
              </w:rPr>
            </w:pPr>
            <w:r>
              <w:rPr>
                <w:rFonts w:cs="Arial"/>
                <w:sz w:val="16"/>
                <w:szCs w:val="16"/>
              </w:rPr>
              <w:t>4,8</w:t>
            </w:r>
          </w:p>
        </w:tc>
        <w:tc>
          <w:tcPr>
            <w:tcW w:w="595" w:type="dxa"/>
            <w:tcBorders>
              <w:top w:val="nil"/>
              <w:left w:val="nil"/>
              <w:bottom w:val="nil"/>
              <w:right w:val="nil"/>
            </w:tcBorders>
            <w:shd w:val="clear" w:color="auto" w:fill="auto"/>
            <w:noWrap/>
            <w:vAlign w:val="center"/>
            <w:hideMark/>
          </w:tcPr>
          <w:p w14:paraId="4FD567F5" w14:textId="5D4CACE5" w:rsidR="00A9687B" w:rsidRPr="00D92E20" w:rsidRDefault="00A9687B" w:rsidP="00A9687B">
            <w:pPr>
              <w:spacing w:after="0" w:line="240" w:lineRule="auto"/>
              <w:jc w:val="center"/>
              <w:rPr>
                <w:rFonts w:cs="Arial"/>
                <w:color w:val="000000"/>
                <w:sz w:val="16"/>
                <w:szCs w:val="16"/>
              </w:rPr>
            </w:pPr>
            <w:r>
              <w:rPr>
                <w:rFonts w:cs="Arial"/>
                <w:sz w:val="16"/>
                <w:szCs w:val="16"/>
              </w:rPr>
              <w:t>5,3</w:t>
            </w:r>
          </w:p>
        </w:tc>
        <w:tc>
          <w:tcPr>
            <w:tcW w:w="595" w:type="dxa"/>
            <w:tcBorders>
              <w:top w:val="nil"/>
              <w:left w:val="nil"/>
              <w:bottom w:val="nil"/>
              <w:right w:val="nil"/>
            </w:tcBorders>
            <w:shd w:val="clear" w:color="auto" w:fill="auto"/>
            <w:noWrap/>
            <w:vAlign w:val="center"/>
            <w:hideMark/>
          </w:tcPr>
          <w:p w14:paraId="49020296" w14:textId="2F67E58C" w:rsidR="00A9687B" w:rsidRPr="00D92E20" w:rsidRDefault="00A9687B" w:rsidP="00A9687B">
            <w:pPr>
              <w:spacing w:after="0" w:line="240" w:lineRule="auto"/>
              <w:jc w:val="center"/>
              <w:rPr>
                <w:rFonts w:cs="Arial"/>
                <w:color w:val="000000"/>
                <w:sz w:val="16"/>
                <w:szCs w:val="16"/>
              </w:rPr>
            </w:pPr>
            <w:r>
              <w:rPr>
                <w:rFonts w:cs="Arial"/>
                <w:color w:val="000000"/>
                <w:sz w:val="16"/>
                <w:szCs w:val="16"/>
              </w:rPr>
              <w:t>5,4</w:t>
            </w:r>
          </w:p>
        </w:tc>
        <w:tc>
          <w:tcPr>
            <w:tcW w:w="595" w:type="dxa"/>
            <w:tcBorders>
              <w:top w:val="nil"/>
              <w:left w:val="nil"/>
              <w:bottom w:val="nil"/>
              <w:right w:val="nil"/>
            </w:tcBorders>
            <w:shd w:val="clear" w:color="auto" w:fill="auto"/>
            <w:noWrap/>
            <w:vAlign w:val="center"/>
            <w:hideMark/>
          </w:tcPr>
          <w:p w14:paraId="6D2A1380" w14:textId="43FD90A8" w:rsidR="00A9687B" w:rsidRPr="00D92E20" w:rsidRDefault="00A9687B" w:rsidP="00A9687B">
            <w:pPr>
              <w:spacing w:after="0" w:line="240" w:lineRule="auto"/>
              <w:jc w:val="center"/>
              <w:rPr>
                <w:rFonts w:cs="Arial"/>
                <w:color w:val="000000"/>
                <w:sz w:val="16"/>
                <w:szCs w:val="16"/>
              </w:rPr>
            </w:pPr>
            <w:r>
              <w:rPr>
                <w:rFonts w:cs="Arial"/>
                <w:color w:val="000000"/>
                <w:sz w:val="16"/>
                <w:szCs w:val="16"/>
              </w:rPr>
              <w:t>5,7</w:t>
            </w:r>
          </w:p>
        </w:tc>
        <w:tc>
          <w:tcPr>
            <w:tcW w:w="595" w:type="dxa"/>
            <w:tcBorders>
              <w:top w:val="nil"/>
              <w:left w:val="nil"/>
              <w:bottom w:val="nil"/>
              <w:right w:val="nil"/>
            </w:tcBorders>
            <w:shd w:val="clear" w:color="auto" w:fill="auto"/>
            <w:noWrap/>
            <w:vAlign w:val="center"/>
            <w:hideMark/>
          </w:tcPr>
          <w:p w14:paraId="023AFBA2" w14:textId="21206802" w:rsidR="00A9687B" w:rsidRPr="00D92E20" w:rsidRDefault="00A9687B" w:rsidP="00A9687B">
            <w:pPr>
              <w:spacing w:after="0" w:line="240" w:lineRule="auto"/>
              <w:jc w:val="center"/>
              <w:rPr>
                <w:rFonts w:cs="Arial"/>
                <w:color w:val="000000"/>
                <w:sz w:val="16"/>
                <w:szCs w:val="16"/>
              </w:rPr>
            </w:pPr>
            <w:r>
              <w:rPr>
                <w:rFonts w:cs="Arial"/>
                <w:color w:val="000000"/>
                <w:sz w:val="16"/>
                <w:szCs w:val="16"/>
              </w:rPr>
              <w:t>5,8</w:t>
            </w:r>
          </w:p>
        </w:tc>
        <w:tc>
          <w:tcPr>
            <w:tcW w:w="595" w:type="dxa"/>
            <w:tcBorders>
              <w:top w:val="nil"/>
              <w:left w:val="nil"/>
              <w:bottom w:val="nil"/>
              <w:right w:val="nil"/>
            </w:tcBorders>
            <w:shd w:val="clear" w:color="auto" w:fill="auto"/>
            <w:noWrap/>
            <w:vAlign w:val="center"/>
            <w:hideMark/>
          </w:tcPr>
          <w:p w14:paraId="2BD41925" w14:textId="6457C0F1" w:rsidR="00A9687B" w:rsidRPr="00D92E20" w:rsidRDefault="00A9687B" w:rsidP="00A9687B">
            <w:pPr>
              <w:spacing w:after="0" w:line="240" w:lineRule="auto"/>
              <w:jc w:val="center"/>
              <w:rPr>
                <w:rFonts w:cs="Arial"/>
                <w:color w:val="000000"/>
                <w:sz w:val="16"/>
                <w:szCs w:val="16"/>
              </w:rPr>
            </w:pPr>
            <w:r>
              <w:rPr>
                <w:rFonts w:cs="Arial"/>
                <w:color w:val="000000"/>
                <w:sz w:val="16"/>
                <w:szCs w:val="16"/>
              </w:rPr>
              <w:t>5,8</w:t>
            </w:r>
          </w:p>
        </w:tc>
        <w:tc>
          <w:tcPr>
            <w:tcW w:w="595" w:type="dxa"/>
            <w:tcBorders>
              <w:top w:val="nil"/>
              <w:left w:val="nil"/>
              <w:bottom w:val="nil"/>
              <w:right w:val="nil"/>
            </w:tcBorders>
            <w:shd w:val="clear" w:color="auto" w:fill="auto"/>
            <w:noWrap/>
            <w:vAlign w:val="center"/>
            <w:hideMark/>
          </w:tcPr>
          <w:p w14:paraId="02D56921" w14:textId="121E4A0A" w:rsidR="00A9687B" w:rsidRPr="00D92E20" w:rsidRDefault="00A9687B" w:rsidP="00A9687B">
            <w:pPr>
              <w:spacing w:after="0" w:line="240" w:lineRule="auto"/>
              <w:jc w:val="center"/>
              <w:rPr>
                <w:rFonts w:cs="Arial"/>
                <w:color w:val="000000"/>
                <w:sz w:val="16"/>
                <w:szCs w:val="16"/>
              </w:rPr>
            </w:pPr>
            <w:r>
              <w:rPr>
                <w:rFonts w:cs="Arial"/>
                <w:color w:val="000000"/>
                <w:sz w:val="16"/>
                <w:szCs w:val="16"/>
              </w:rPr>
              <w:t>6,0</w:t>
            </w:r>
          </w:p>
        </w:tc>
        <w:tc>
          <w:tcPr>
            <w:tcW w:w="595" w:type="dxa"/>
            <w:tcBorders>
              <w:top w:val="nil"/>
              <w:left w:val="nil"/>
              <w:bottom w:val="nil"/>
              <w:right w:val="nil"/>
            </w:tcBorders>
            <w:shd w:val="clear" w:color="auto" w:fill="auto"/>
            <w:noWrap/>
            <w:vAlign w:val="center"/>
            <w:hideMark/>
          </w:tcPr>
          <w:p w14:paraId="502EC272" w14:textId="56556EEE" w:rsidR="00A9687B" w:rsidRPr="00D92E20" w:rsidRDefault="00A9687B" w:rsidP="00A9687B">
            <w:pPr>
              <w:spacing w:after="0" w:line="240" w:lineRule="auto"/>
              <w:jc w:val="center"/>
              <w:rPr>
                <w:rFonts w:cs="Arial"/>
                <w:color w:val="000000"/>
                <w:sz w:val="16"/>
                <w:szCs w:val="16"/>
              </w:rPr>
            </w:pPr>
            <w:r>
              <w:rPr>
                <w:rFonts w:cs="Arial"/>
                <w:color w:val="000000"/>
                <w:sz w:val="16"/>
                <w:szCs w:val="16"/>
              </w:rPr>
              <w:t>7,0</w:t>
            </w:r>
          </w:p>
        </w:tc>
        <w:tc>
          <w:tcPr>
            <w:tcW w:w="595" w:type="dxa"/>
            <w:tcBorders>
              <w:top w:val="nil"/>
              <w:left w:val="nil"/>
              <w:bottom w:val="nil"/>
              <w:right w:val="nil"/>
            </w:tcBorders>
            <w:shd w:val="clear" w:color="auto" w:fill="auto"/>
            <w:noWrap/>
            <w:vAlign w:val="center"/>
            <w:hideMark/>
          </w:tcPr>
          <w:p w14:paraId="2CE676BE" w14:textId="1EB61555" w:rsidR="00A9687B" w:rsidRPr="00D92E20" w:rsidRDefault="00A9687B" w:rsidP="00A9687B">
            <w:pPr>
              <w:spacing w:after="0" w:line="240" w:lineRule="auto"/>
              <w:jc w:val="center"/>
              <w:rPr>
                <w:rFonts w:cs="Arial"/>
                <w:color w:val="000000"/>
                <w:sz w:val="16"/>
                <w:szCs w:val="16"/>
              </w:rPr>
            </w:pPr>
            <w:r>
              <w:rPr>
                <w:rFonts w:cs="Arial"/>
                <w:color w:val="000000"/>
                <w:sz w:val="16"/>
                <w:szCs w:val="16"/>
              </w:rPr>
              <w:t>6,7</w:t>
            </w:r>
          </w:p>
        </w:tc>
      </w:tr>
      <w:tr w:rsidR="00A9687B" w:rsidRPr="00D92E20" w14:paraId="1113BCCA" w14:textId="77777777" w:rsidTr="006C7D54">
        <w:trPr>
          <w:trHeight w:val="300"/>
        </w:trPr>
        <w:tc>
          <w:tcPr>
            <w:tcW w:w="3118" w:type="dxa"/>
            <w:tcBorders>
              <w:top w:val="nil"/>
              <w:left w:val="nil"/>
              <w:bottom w:val="nil"/>
              <w:right w:val="single" w:sz="4" w:space="0" w:color="auto"/>
            </w:tcBorders>
            <w:shd w:val="clear" w:color="auto" w:fill="auto"/>
            <w:vAlign w:val="center"/>
            <w:hideMark/>
          </w:tcPr>
          <w:p w14:paraId="0BE61A87" w14:textId="77777777" w:rsidR="00A9687B" w:rsidRPr="00D92E20" w:rsidRDefault="00A9687B" w:rsidP="00A9687B">
            <w:pPr>
              <w:spacing w:after="0" w:line="240" w:lineRule="auto"/>
              <w:ind w:firstLineChars="100" w:firstLine="160"/>
              <w:rPr>
                <w:rFonts w:cs="Arial"/>
                <w:color w:val="000000"/>
                <w:sz w:val="16"/>
                <w:szCs w:val="16"/>
              </w:rPr>
            </w:pPr>
            <w:r w:rsidRPr="00D92E20">
              <w:rPr>
                <w:rFonts w:cs="Arial"/>
                <w:color w:val="000000"/>
                <w:sz w:val="16"/>
                <w:szCs w:val="16"/>
              </w:rPr>
              <w:t>B – Těžba a dobývání</w:t>
            </w:r>
          </w:p>
        </w:tc>
        <w:tc>
          <w:tcPr>
            <w:tcW w:w="595" w:type="dxa"/>
            <w:tcBorders>
              <w:top w:val="nil"/>
              <w:left w:val="nil"/>
              <w:bottom w:val="nil"/>
              <w:right w:val="nil"/>
            </w:tcBorders>
            <w:shd w:val="clear" w:color="auto" w:fill="auto"/>
            <w:noWrap/>
            <w:vAlign w:val="center"/>
            <w:hideMark/>
          </w:tcPr>
          <w:p w14:paraId="159472CE" w14:textId="73FEAD39" w:rsidR="00A9687B" w:rsidRPr="00D92E20" w:rsidRDefault="00A9687B" w:rsidP="00A9687B">
            <w:pPr>
              <w:spacing w:after="0" w:line="240" w:lineRule="auto"/>
              <w:jc w:val="center"/>
              <w:rPr>
                <w:rFonts w:cs="Arial"/>
                <w:color w:val="000000"/>
                <w:sz w:val="16"/>
                <w:szCs w:val="16"/>
              </w:rPr>
            </w:pPr>
            <w:r>
              <w:rPr>
                <w:rFonts w:cs="Arial"/>
                <w:sz w:val="16"/>
                <w:szCs w:val="16"/>
              </w:rPr>
              <w:t>4,3</w:t>
            </w:r>
          </w:p>
        </w:tc>
        <w:tc>
          <w:tcPr>
            <w:tcW w:w="595" w:type="dxa"/>
            <w:tcBorders>
              <w:top w:val="nil"/>
              <w:left w:val="nil"/>
              <w:bottom w:val="nil"/>
              <w:right w:val="nil"/>
            </w:tcBorders>
            <w:shd w:val="clear" w:color="auto" w:fill="auto"/>
            <w:noWrap/>
            <w:vAlign w:val="center"/>
            <w:hideMark/>
          </w:tcPr>
          <w:p w14:paraId="7B05006E" w14:textId="4C95DCC6" w:rsidR="00A9687B" w:rsidRPr="00D92E20" w:rsidRDefault="00A9687B" w:rsidP="00A9687B">
            <w:pPr>
              <w:spacing w:after="0" w:line="240" w:lineRule="auto"/>
              <w:jc w:val="center"/>
              <w:rPr>
                <w:rFonts w:cs="Arial"/>
                <w:color w:val="000000"/>
                <w:sz w:val="16"/>
                <w:szCs w:val="16"/>
              </w:rPr>
            </w:pPr>
            <w:r>
              <w:rPr>
                <w:rFonts w:cs="Arial"/>
                <w:sz w:val="16"/>
                <w:szCs w:val="16"/>
              </w:rPr>
              <w:t>4,9</w:t>
            </w:r>
          </w:p>
        </w:tc>
        <w:tc>
          <w:tcPr>
            <w:tcW w:w="595" w:type="dxa"/>
            <w:tcBorders>
              <w:top w:val="nil"/>
              <w:left w:val="nil"/>
              <w:bottom w:val="nil"/>
              <w:right w:val="nil"/>
            </w:tcBorders>
            <w:shd w:val="clear" w:color="auto" w:fill="auto"/>
            <w:noWrap/>
            <w:vAlign w:val="center"/>
            <w:hideMark/>
          </w:tcPr>
          <w:p w14:paraId="09EE73A0" w14:textId="35926028" w:rsidR="00A9687B" w:rsidRPr="00D92E20" w:rsidRDefault="00A9687B" w:rsidP="00A9687B">
            <w:pPr>
              <w:spacing w:after="0" w:line="240" w:lineRule="auto"/>
              <w:jc w:val="center"/>
              <w:rPr>
                <w:rFonts w:cs="Arial"/>
                <w:color w:val="000000"/>
                <w:sz w:val="16"/>
                <w:szCs w:val="16"/>
              </w:rPr>
            </w:pPr>
            <w:r>
              <w:rPr>
                <w:rFonts w:cs="Arial"/>
                <w:sz w:val="16"/>
                <w:szCs w:val="16"/>
              </w:rPr>
              <w:t>4,8</w:t>
            </w:r>
          </w:p>
        </w:tc>
        <w:tc>
          <w:tcPr>
            <w:tcW w:w="595" w:type="dxa"/>
            <w:tcBorders>
              <w:top w:val="nil"/>
              <w:left w:val="nil"/>
              <w:bottom w:val="nil"/>
              <w:right w:val="nil"/>
            </w:tcBorders>
            <w:shd w:val="clear" w:color="auto" w:fill="auto"/>
            <w:noWrap/>
            <w:vAlign w:val="center"/>
            <w:hideMark/>
          </w:tcPr>
          <w:p w14:paraId="1BD677C0" w14:textId="7DEAC504" w:rsidR="00A9687B" w:rsidRPr="00D92E20" w:rsidRDefault="00A9687B" w:rsidP="00A9687B">
            <w:pPr>
              <w:spacing w:after="0" w:line="240" w:lineRule="auto"/>
              <w:jc w:val="center"/>
              <w:rPr>
                <w:rFonts w:cs="Arial"/>
                <w:color w:val="000000"/>
                <w:sz w:val="16"/>
                <w:szCs w:val="16"/>
              </w:rPr>
            </w:pPr>
            <w:r>
              <w:rPr>
                <w:rFonts w:cs="Arial"/>
                <w:sz w:val="16"/>
                <w:szCs w:val="16"/>
              </w:rPr>
              <w:t>5,0</w:t>
            </w:r>
          </w:p>
        </w:tc>
        <w:tc>
          <w:tcPr>
            <w:tcW w:w="595" w:type="dxa"/>
            <w:tcBorders>
              <w:top w:val="nil"/>
              <w:left w:val="nil"/>
              <w:bottom w:val="nil"/>
              <w:right w:val="nil"/>
            </w:tcBorders>
            <w:shd w:val="clear" w:color="auto" w:fill="auto"/>
            <w:noWrap/>
            <w:vAlign w:val="center"/>
            <w:hideMark/>
          </w:tcPr>
          <w:p w14:paraId="0DBCC430" w14:textId="1FB1DF6F" w:rsidR="00A9687B" w:rsidRPr="00D92E20" w:rsidRDefault="00A9687B" w:rsidP="00A9687B">
            <w:pPr>
              <w:spacing w:after="0" w:line="240" w:lineRule="auto"/>
              <w:jc w:val="center"/>
              <w:rPr>
                <w:rFonts w:cs="Arial"/>
                <w:color w:val="000000"/>
                <w:sz w:val="16"/>
                <w:szCs w:val="16"/>
              </w:rPr>
            </w:pPr>
            <w:r>
              <w:rPr>
                <w:rFonts w:cs="Arial"/>
                <w:color w:val="000000"/>
                <w:sz w:val="16"/>
                <w:szCs w:val="16"/>
              </w:rPr>
              <w:t>5,7</w:t>
            </w:r>
          </w:p>
        </w:tc>
        <w:tc>
          <w:tcPr>
            <w:tcW w:w="595" w:type="dxa"/>
            <w:tcBorders>
              <w:top w:val="nil"/>
              <w:left w:val="nil"/>
              <w:bottom w:val="nil"/>
              <w:right w:val="nil"/>
            </w:tcBorders>
            <w:shd w:val="clear" w:color="auto" w:fill="auto"/>
            <w:noWrap/>
            <w:vAlign w:val="center"/>
            <w:hideMark/>
          </w:tcPr>
          <w:p w14:paraId="1DBF2B33" w14:textId="65B696E4" w:rsidR="00A9687B" w:rsidRPr="00D92E20" w:rsidRDefault="00A9687B" w:rsidP="00A9687B">
            <w:pPr>
              <w:spacing w:after="0" w:line="240" w:lineRule="auto"/>
              <w:jc w:val="center"/>
              <w:rPr>
                <w:rFonts w:cs="Arial"/>
                <w:color w:val="000000"/>
                <w:sz w:val="16"/>
                <w:szCs w:val="16"/>
              </w:rPr>
            </w:pPr>
            <w:r>
              <w:rPr>
                <w:rFonts w:cs="Arial"/>
                <w:color w:val="000000"/>
                <w:sz w:val="16"/>
                <w:szCs w:val="16"/>
              </w:rPr>
              <w:t>6,6</w:t>
            </w:r>
          </w:p>
        </w:tc>
        <w:tc>
          <w:tcPr>
            <w:tcW w:w="595" w:type="dxa"/>
            <w:tcBorders>
              <w:top w:val="nil"/>
              <w:left w:val="nil"/>
              <w:bottom w:val="nil"/>
              <w:right w:val="nil"/>
            </w:tcBorders>
            <w:shd w:val="clear" w:color="auto" w:fill="auto"/>
            <w:noWrap/>
            <w:vAlign w:val="center"/>
            <w:hideMark/>
          </w:tcPr>
          <w:p w14:paraId="49E8FB20" w14:textId="0C9E6140" w:rsidR="00A9687B" w:rsidRPr="00D92E20" w:rsidRDefault="00A9687B" w:rsidP="00A9687B">
            <w:pPr>
              <w:spacing w:after="0" w:line="240" w:lineRule="auto"/>
              <w:jc w:val="center"/>
              <w:rPr>
                <w:rFonts w:cs="Arial"/>
                <w:color w:val="000000"/>
                <w:sz w:val="16"/>
                <w:szCs w:val="16"/>
              </w:rPr>
            </w:pPr>
            <w:r>
              <w:rPr>
                <w:rFonts w:cs="Arial"/>
                <w:color w:val="000000"/>
                <w:sz w:val="16"/>
                <w:szCs w:val="16"/>
              </w:rPr>
              <w:t>5,9</w:t>
            </w:r>
          </w:p>
        </w:tc>
        <w:tc>
          <w:tcPr>
            <w:tcW w:w="595" w:type="dxa"/>
            <w:tcBorders>
              <w:top w:val="nil"/>
              <w:left w:val="nil"/>
              <w:bottom w:val="nil"/>
              <w:right w:val="nil"/>
            </w:tcBorders>
            <w:shd w:val="clear" w:color="auto" w:fill="auto"/>
            <w:noWrap/>
            <w:vAlign w:val="center"/>
            <w:hideMark/>
          </w:tcPr>
          <w:p w14:paraId="09F6CBED" w14:textId="742C73A6" w:rsidR="00A9687B" w:rsidRPr="00D92E20" w:rsidRDefault="00A9687B" w:rsidP="00A9687B">
            <w:pPr>
              <w:spacing w:after="0" w:line="240" w:lineRule="auto"/>
              <w:jc w:val="center"/>
              <w:rPr>
                <w:rFonts w:cs="Arial"/>
                <w:color w:val="000000"/>
                <w:sz w:val="16"/>
                <w:szCs w:val="16"/>
              </w:rPr>
            </w:pPr>
            <w:r>
              <w:rPr>
                <w:rFonts w:cs="Arial"/>
                <w:color w:val="000000"/>
                <w:sz w:val="16"/>
                <w:szCs w:val="16"/>
              </w:rPr>
              <w:t>6,1</w:t>
            </w:r>
          </w:p>
        </w:tc>
        <w:tc>
          <w:tcPr>
            <w:tcW w:w="595" w:type="dxa"/>
            <w:tcBorders>
              <w:top w:val="nil"/>
              <w:left w:val="nil"/>
              <w:bottom w:val="nil"/>
              <w:right w:val="nil"/>
            </w:tcBorders>
            <w:shd w:val="clear" w:color="auto" w:fill="auto"/>
            <w:noWrap/>
            <w:vAlign w:val="center"/>
            <w:hideMark/>
          </w:tcPr>
          <w:p w14:paraId="5BF9F9A5" w14:textId="68AB7D88" w:rsidR="00A9687B" w:rsidRPr="00D92E20" w:rsidRDefault="00A9687B" w:rsidP="00A9687B">
            <w:pPr>
              <w:spacing w:after="0" w:line="240" w:lineRule="auto"/>
              <w:jc w:val="center"/>
              <w:rPr>
                <w:rFonts w:cs="Arial"/>
                <w:color w:val="000000"/>
                <w:sz w:val="16"/>
                <w:szCs w:val="16"/>
              </w:rPr>
            </w:pPr>
            <w:r>
              <w:rPr>
                <w:rFonts w:cs="Arial"/>
                <w:color w:val="000000"/>
                <w:sz w:val="16"/>
                <w:szCs w:val="16"/>
              </w:rPr>
              <w:t>7,6</w:t>
            </w:r>
          </w:p>
        </w:tc>
        <w:tc>
          <w:tcPr>
            <w:tcW w:w="595" w:type="dxa"/>
            <w:tcBorders>
              <w:top w:val="nil"/>
              <w:left w:val="nil"/>
              <w:bottom w:val="nil"/>
              <w:right w:val="nil"/>
            </w:tcBorders>
            <w:shd w:val="clear" w:color="auto" w:fill="auto"/>
            <w:noWrap/>
            <w:vAlign w:val="center"/>
            <w:hideMark/>
          </w:tcPr>
          <w:p w14:paraId="1FEB11C6" w14:textId="7345E622" w:rsidR="00A9687B" w:rsidRPr="00D92E20" w:rsidRDefault="00A9687B" w:rsidP="00A9687B">
            <w:pPr>
              <w:spacing w:after="0" w:line="240" w:lineRule="auto"/>
              <w:jc w:val="center"/>
              <w:rPr>
                <w:rFonts w:cs="Arial"/>
                <w:color w:val="000000"/>
                <w:sz w:val="16"/>
                <w:szCs w:val="16"/>
              </w:rPr>
            </w:pPr>
            <w:r>
              <w:rPr>
                <w:rFonts w:cs="Arial"/>
                <w:color w:val="000000"/>
                <w:sz w:val="16"/>
                <w:szCs w:val="16"/>
              </w:rPr>
              <w:t>8,8</w:t>
            </w:r>
          </w:p>
        </w:tc>
        <w:tc>
          <w:tcPr>
            <w:tcW w:w="595" w:type="dxa"/>
            <w:tcBorders>
              <w:top w:val="nil"/>
              <w:left w:val="nil"/>
              <w:bottom w:val="nil"/>
              <w:right w:val="nil"/>
            </w:tcBorders>
            <w:shd w:val="clear" w:color="auto" w:fill="auto"/>
            <w:noWrap/>
            <w:vAlign w:val="center"/>
            <w:hideMark/>
          </w:tcPr>
          <w:p w14:paraId="1815A2D0" w14:textId="53317295" w:rsidR="00A9687B" w:rsidRPr="00D92E20" w:rsidRDefault="00A9687B" w:rsidP="00A9687B">
            <w:pPr>
              <w:spacing w:after="0" w:line="240" w:lineRule="auto"/>
              <w:jc w:val="center"/>
              <w:rPr>
                <w:rFonts w:cs="Arial"/>
                <w:color w:val="000000"/>
                <w:sz w:val="16"/>
                <w:szCs w:val="16"/>
              </w:rPr>
            </w:pPr>
            <w:r>
              <w:rPr>
                <w:rFonts w:cs="Arial"/>
                <w:color w:val="000000"/>
                <w:sz w:val="16"/>
                <w:szCs w:val="16"/>
              </w:rPr>
              <w:t>7,3</w:t>
            </w:r>
          </w:p>
        </w:tc>
      </w:tr>
      <w:tr w:rsidR="00A9687B" w:rsidRPr="00D92E20" w14:paraId="049C815A" w14:textId="77777777" w:rsidTr="006C7D54">
        <w:trPr>
          <w:trHeight w:val="300"/>
        </w:trPr>
        <w:tc>
          <w:tcPr>
            <w:tcW w:w="3118" w:type="dxa"/>
            <w:tcBorders>
              <w:top w:val="nil"/>
              <w:left w:val="nil"/>
              <w:bottom w:val="nil"/>
              <w:right w:val="single" w:sz="4" w:space="0" w:color="auto"/>
            </w:tcBorders>
            <w:shd w:val="clear" w:color="auto" w:fill="auto"/>
            <w:vAlign w:val="center"/>
            <w:hideMark/>
          </w:tcPr>
          <w:p w14:paraId="3D3E3FD7" w14:textId="77777777" w:rsidR="00A9687B" w:rsidRPr="00D92E20" w:rsidRDefault="00A9687B" w:rsidP="00A9687B">
            <w:pPr>
              <w:spacing w:after="0" w:line="240" w:lineRule="auto"/>
              <w:ind w:firstLineChars="100" w:firstLine="160"/>
              <w:rPr>
                <w:rFonts w:cs="Arial"/>
                <w:color w:val="000000"/>
                <w:sz w:val="16"/>
                <w:szCs w:val="16"/>
              </w:rPr>
            </w:pPr>
            <w:r w:rsidRPr="00D92E20">
              <w:rPr>
                <w:rFonts w:cs="Arial"/>
                <w:color w:val="000000"/>
                <w:sz w:val="16"/>
                <w:szCs w:val="16"/>
              </w:rPr>
              <w:t>C – Zpracovatelský průmysl</w:t>
            </w:r>
          </w:p>
        </w:tc>
        <w:tc>
          <w:tcPr>
            <w:tcW w:w="595" w:type="dxa"/>
            <w:tcBorders>
              <w:top w:val="nil"/>
              <w:left w:val="nil"/>
              <w:bottom w:val="nil"/>
              <w:right w:val="nil"/>
            </w:tcBorders>
            <w:shd w:val="clear" w:color="auto" w:fill="auto"/>
            <w:noWrap/>
            <w:vAlign w:val="center"/>
            <w:hideMark/>
          </w:tcPr>
          <w:p w14:paraId="1823E643" w14:textId="107E7873" w:rsidR="00A9687B" w:rsidRPr="00D92E20" w:rsidRDefault="00A9687B" w:rsidP="00A9687B">
            <w:pPr>
              <w:spacing w:after="0" w:line="240" w:lineRule="auto"/>
              <w:jc w:val="center"/>
              <w:rPr>
                <w:rFonts w:cs="Arial"/>
                <w:color w:val="000000"/>
                <w:sz w:val="16"/>
                <w:szCs w:val="16"/>
              </w:rPr>
            </w:pPr>
            <w:r>
              <w:rPr>
                <w:rFonts w:cs="Arial"/>
                <w:sz w:val="16"/>
                <w:szCs w:val="16"/>
              </w:rPr>
              <w:t>4,4</w:t>
            </w:r>
          </w:p>
        </w:tc>
        <w:tc>
          <w:tcPr>
            <w:tcW w:w="595" w:type="dxa"/>
            <w:tcBorders>
              <w:top w:val="nil"/>
              <w:left w:val="nil"/>
              <w:bottom w:val="nil"/>
              <w:right w:val="nil"/>
            </w:tcBorders>
            <w:shd w:val="clear" w:color="auto" w:fill="auto"/>
            <w:noWrap/>
            <w:vAlign w:val="center"/>
            <w:hideMark/>
          </w:tcPr>
          <w:p w14:paraId="344552EF" w14:textId="428AE0CF" w:rsidR="00A9687B" w:rsidRPr="00D92E20" w:rsidRDefault="00A9687B" w:rsidP="00A9687B">
            <w:pPr>
              <w:spacing w:after="0" w:line="240" w:lineRule="auto"/>
              <w:jc w:val="center"/>
              <w:rPr>
                <w:rFonts w:cs="Arial"/>
                <w:color w:val="000000"/>
                <w:sz w:val="16"/>
                <w:szCs w:val="16"/>
              </w:rPr>
            </w:pPr>
            <w:r>
              <w:rPr>
                <w:rFonts w:cs="Arial"/>
                <w:sz w:val="16"/>
                <w:szCs w:val="16"/>
              </w:rPr>
              <w:t>4,8</w:t>
            </w:r>
          </w:p>
        </w:tc>
        <w:tc>
          <w:tcPr>
            <w:tcW w:w="595" w:type="dxa"/>
            <w:tcBorders>
              <w:top w:val="nil"/>
              <w:left w:val="nil"/>
              <w:bottom w:val="nil"/>
              <w:right w:val="nil"/>
            </w:tcBorders>
            <w:shd w:val="clear" w:color="auto" w:fill="auto"/>
            <w:noWrap/>
            <w:vAlign w:val="center"/>
            <w:hideMark/>
          </w:tcPr>
          <w:p w14:paraId="628B764F" w14:textId="62825FD0" w:rsidR="00A9687B" w:rsidRPr="00D92E20" w:rsidRDefault="00A9687B" w:rsidP="00A9687B">
            <w:pPr>
              <w:spacing w:after="0" w:line="240" w:lineRule="auto"/>
              <w:jc w:val="center"/>
              <w:rPr>
                <w:rFonts w:cs="Arial"/>
                <w:color w:val="000000"/>
                <w:sz w:val="16"/>
                <w:szCs w:val="16"/>
              </w:rPr>
            </w:pPr>
            <w:r>
              <w:rPr>
                <w:rFonts w:cs="Arial"/>
                <w:sz w:val="16"/>
                <w:szCs w:val="16"/>
              </w:rPr>
              <w:t>4,6</w:t>
            </w:r>
          </w:p>
        </w:tc>
        <w:tc>
          <w:tcPr>
            <w:tcW w:w="595" w:type="dxa"/>
            <w:tcBorders>
              <w:top w:val="nil"/>
              <w:left w:val="nil"/>
              <w:bottom w:val="nil"/>
              <w:right w:val="nil"/>
            </w:tcBorders>
            <w:shd w:val="clear" w:color="auto" w:fill="auto"/>
            <w:noWrap/>
            <w:vAlign w:val="center"/>
            <w:hideMark/>
          </w:tcPr>
          <w:p w14:paraId="1B46AC96" w14:textId="7F7F64BF" w:rsidR="00A9687B" w:rsidRPr="00D92E20" w:rsidRDefault="00A9687B" w:rsidP="00A9687B">
            <w:pPr>
              <w:spacing w:after="0" w:line="240" w:lineRule="auto"/>
              <w:jc w:val="center"/>
              <w:rPr>
                <w:rFonts w:cs="Arial"/>
                <w:color w:val="000000"/>
                <w:sz w:val="16"/>
                <w:szCs w:val="16"/>
              </w:rPr>
            </w:pPr>
            <w:r>
              <w:rPr>
                <w:rFonts w:cs="Arial"/>
                <w:sz w:val="16"/>
                <w:szCs w:val="16"/>
              </w:rPr>
              <w:t>5,3</w:t>
            </w:r>
          </w:p>
        </w:tc>
        <w:tc>
          <w:tcPr>
            <w:tcW w:w="595" w:type="dxa"/>
            <w:tcBorders>
              <w:top w:val="nil"/>
              <w:left w:val="nil"/>
              <w:bottom w:val="nil"/>
              <w:right w:val="nil"/>
            </w:tcBorders>
            <w:shd w:val="clear" w:color="auto" w:fill="auto"/>
            <w:noWrap/>
            <w:vAlign w:val="center"/>
            <w:hideMark/>
          </w:tcPr>
          <w:p w14:paraId="0157C1F3" w14:textId="699366BD" w:rsidR="00A9687B" w:rsidRPr="00D92E20" w:rsidRDefault="00A9687B" w:rsidP="00A9687B">
            <w:pPr>
              <w:spacing w:after="0" w:line="240" w:lineRule="auto"/>
              <w:jc w:val="center"/>
              <w:rPr>
                <w:rFonts w:cs="Arial"/>
                <w:color w:val="000000"/>
                <w:sz w:val="16"/>
                <w:szCs w:val="16"/>
              </w:rPr>
            </w:pPr>
            <w:r>
              <w:rPr>
                <w:rFonts w:cs="Arial"/>
                <w:color w:val="000000"/>
                <w:sz w:val="16"/>
                <w:szCs w:val="16"/>
              </w:rPr>
              <w:t>5,7</w:t>
            </w:r>
          </w:p>
        </w:tc>
        <w:tc>
          <w:tcPr>
            <w:tcW w:w="595" w:type="dxa"/>
            <w:tcBorders>
              <w:top w:val="nil"/>
              <w:left w:val="nil"/>
              <w:bottom w:val="nil"/>
              <w:right w:val="nil"/>
            </w:tcBorders>
            <w:shd w:val="clear" w:color="auto" w:fill="auto"/>
            <w:noWrap/>
            <w:vAlign w:val="center"/>
            <w:hideMark/>
          </w:tcPr>
          <w:p w14:paraId="1EB83762" w14:textId="67CE24D9" w:rsidR="00A9687B" w:rsidRPr="00D92E20" w:rsidRDefault="00A9687B" w:rsidP="00A9687B">
            <w:pPr>
              <w:spacing w:after="0" w:line="240" w:lineRule="auto"/>
              <w:jc w:val="center"/>
              <w:rPr>
                <w:rFonts w:cs="Arial"/>
                <w:color w:val="000000"/>
                <w:sz w:val="16"/>
                <w:szCs w:val="16"/>
              </w:rPr>
            </w:pPr>
            <w:r>
              <w:rPr>
                <w:rFonts w:cs="Arial"/>
                <w:color w:val="000000"/>
                <w:sz w:val="16"/>
                <w:szCs w:val="16"/>
              </w:rPr>
              <w:t>5,9</w:t>
            </w:r>
          </w:p>
        </w:tc>
        <w:tc>
          <w:tcPr>
            <w:tcW w:w="595" w:type="dxa"/>
            <w:tcBorders>
              <w:top w:val="nil"/>
              <w:left w:val="nil"/>
              <w:bottom w:val="nil"/>
              <w:right w:val="nil"/>
            </w:tcBorders>
            <w:shd w:val="clear" w:color="auto" w:fill="auto"/>
            <w:noWrap/>
            <w:vAlign w:val="center"/>
            <w:hideMark/>
          </w:tcPr>
          <w:p w14:paraId="1C31759C" w14:textId="4953A4FC" w:rsidR="00A9687B" w:rsidRPr="00D92E20" w:rsidRDefault="00A9687B" w:rsidP="00A9687B">
            <w:pPr>
              <w:spacing w:after="0" w:line="240" w:lineRule="auto"/>
              <w:jc w:val="center"/>
              <w:rPr>
                <w:rFonts w:cs="Arial"/>
                <w:color w:val="000000"/>
                <w:sz w:val="16"/>
                <w:szCs w:val="16"/>
              </w:rPr>
            </w:pPr>
            <w:r>
              <w:rPr>
                <w:rFonts w:cs="Arial"/>
                <w:color w:val="000000"/>
                <w:sz w:val="16"/>
                <w:szCs w:val="16"/>
              </w:rPr>
              <w:t>6,1</w:t>
            </w:r>
          </w:p>
        </w:tc>
        <w:tc>
          <w:tcPr>
            <w:tcW w:w="595" w:type="dxa"/>
            <w:tcBorders>
              <w:top w:val="nil"/>
              <w:left w:val="nil"/>
              <w:bottom w:val="nil"/>
              <w:right w:val="nil"/>
            </w:tcBorders>
            <w:shd w:val="clear" w:color="auto" w:fill="auto"/>
            <w:noWrap/>
            <w:vAlign w:val="center"/>
            <w:hideMark/>
          </w:tcPr>
          <w:p w14:paraId="307999D5" w14:textId="2F9208DF" w:rsidR="00A9687B" w:rsidRPr="00D92E20" w:rsidRDefault="00A9687B" w:rsidP="00A9687B">
            <w:pPr>
              <w:spacing w:after="0" w:line="240" w:lineRule="auto"/>
              <w:jc w:val="center"/>
              <w:rPr>
                <w:rFonts w:cs="Arial"/>
                <w:color w:val="000000"/>
                <w:sz w:val="16"/>
                <w:szCs w:val="16"/>
              </w:rPr>
            </w:pPr>
            <w:r>
              <w:rPr>
                <w:rFonts w:cs="Arial"/>
                <w:color w:val="000000"/>
                <w:sz w:val="16"/>
                <w:szCs w:val="16"/>
              </w:rPr>
              <w:t>6,3</w:t>
            </w:r>
          </w:p>
        </w:tc>
        <w:tc>
          <w:tcPr>
            <w:tcW w:w="595" w:type="dxa"/>
            <w:tcBorders>
              <w:top w:val="nil"/>
              <w:left w:val="nil"/>
              <w:bottom w:val="nil"/>
              <w:right w:val="nil"/>
            </w:tcBorders>
            <w:shd w:val="clear" w:color="auto" w:fill="auto"/>
            <w:noWrap/>
            <w:vAlign w:val="center"/>
            <w:hideMark/>
          </w:tcPr>
          <w:p w14:paraId="440F4C65" w14:textId="761E0CFC" w:rsidR="00A9687B" w:rsidRPr="00D92E20" w:rsidRDefault="00A9687B" w:rsidP="00A9687B">
            <w:pPr>
              <w:spacing w:after="0" w:line="240" w:lineRule="auto"/>
              <w:jc w:val="center"/>
              <w:rPr>
                <w:rFonts w:cs="Arial"/>
                <w:color w:val="000000"/>
                <w:sz w:val="16"/>
                <w:szCs w:val="16"/>
              </w:rPr>
            </w:pPr>
            <w:r>
              <w:rPr>
                <w:rFonts w:cs="Arial"/>
                <w:color w:val="000000"/>
                <w:sz w:val="16"/>
                <w:szCs w:val="16"/>
              </w:rPr>
              <w:t>7,2</w:t>
            </w:r>
          </w:p>
        </w:tc>
        <w:tc>
          <w:tcPr>
            <w:tcW w:w="595" w:type="dxa"/>
            <w:tcBorders>
              <w:top w:val="nil"/>
              <w:left w:val="nil"/>
              <w:bottom w:val="nil"/>
              <w:right w:val="nil"/>
            </w:tcBorders>
            <w:shd w:val="clear" w:color="auto" w:fill="auto"/>
            <w:noWrap/>
            <w:vAlign w:val="center"/>
            <w:hideMark/>
          </w:tcPr>
          <w:p w14:paraId="19F28FE1" w14:textId="61DB2A4B" w:rsidR="00A9687B" w:rsidRPr="00D92E20" w:rsidRDefault="00A9687B" w:rsidP="00A9687B">
            <w:pPr>
              <w:spacing w:after="0" w:line="240" w:lineRule="auto"/>
              <w:jc w:val="center"/>
              <w:rPr>
                <w:rFonts w:cs="Arial"/>
                <w:color w:val="000000"/>
                <w:sz w:val="16"/>
                <w:szCs w:val="16"/>
              </w:rPr>
            </w:pPr>
            <w:r>
              <w:rPr>
                <w:rFonts w:cs="Arial"/>
                <w:color w:val="000000"/>
                <w:sz w:val="16"/>
                <w:szCs w:val="16"/>
              </w:rPr>
              <w:t>7,9</w:t>
            </w:r>
          </w:p>
        </w:tc>
        <w:tc>
          <w:tcPr>
            <w:tcW w:w="595" w:type="dxa"/>
            <w:tcBorders>
              <w:top w:val="nil"/>
              <w:left w:val="nil"/>
              <w:bottom w:val="nil"/>
              <w:right w:val="nil"/>
            </w:tcBorders>
            <w:shd w:val="clear" w:color="auto" w:fill="auto"/>
            <w:noWrap/>
            <w:vAlign w:val="center"/>
            <w:hideMark/>
          </w:tcPr>
          <w:p w14:paraId="098669FB" w14:textId="7F44F32E" w:rsidR="00A9687B" w:rsidRPr="00D92E20" w:rsidRDefault="00A9687B" w:rsidP="00A9687B">
            <w:pPr>
              <w:spacing w:after="0" w:line="240" w:lineRule="auto"/>
              <w:jc w:val="center"/>
              <w:rPr>
                <w:rFonts w:cs="Arial"/>
                <w:color w:val="000000"/>
                <w:sz w:val="16"/>
                <w:szCs w:val="16"/>
              </w:rPr>
            </w:pPr>
            <w:r>
              <w:rPr>
                <w:rFonts w:cs="Arial"/>
                <w:color w:val="000000"/>
                <w:sz w:val="16"/>
                <w:szCs w:val="16"/>
              </w:rPr>
              <w:t>7,6</w:t>
            </w:r>
          </w:p>
        </w:tc>
      </w:tr>
      <w:tr w:rsidR="00A9687B" w:rsidRPr="00D92E20" w14:paraId="4827B5E3" w14:textId="77777777" w:rsidTr="006C7D54">
        <w:trPr>
          <w:trHeight w:val="480"/>
        </w:trPr>
        <w:tc>
          <w:tcPr>
            <w:tcW w:w="3118" w:type="dxa"/>
            <w:tcBorders>
              <w:top w:val="nil"/>
              <w:left w:val="nil"/>
              <w:bottom w:val="nil"/>
              <w:right w:val="single" w:sz="4" w:space="0" w:color="auto"/>
            </w:tcBorders>
            <w:shd w:val="clear" w:color="auto" w:fill="auto"/>
            <w:vAlign w:val="center"/>
            <w:hideMark/>
          </w:tcPr>
          <w:p w14:paraId="7E463907" w14:textId="77777777" w:rsidR="00A9687B" w:rsidRDefault="00A9687B" w:rsidP="00A9687B">
            <w:pPr>
              <w:spacing w:after="0" w:line="240" w:lineRule="auto"/>
              <w:ind w:firstLineChars="100" w:firstLine="160"/>
              <w:rPr>
                <w:rFonts w:cs="Arial"/>
                <w:color w:val="000000"/>
                <w:sz w:val="16"/>
                <w:szCs w:val="16"/>
              </w:rPr>
            </w:pPr>
            <w:r w:rsidRPr="00D92E20">
              <w:rPr>
                <w:rFonts w:cs="Arial"/>
                <w:color w:val="000000"/>
                <w:sz w:val="16"/>
                <w:szCs w:val="16"/>
              </w:rPr>
              <w:t xml:space="preserve">D – Výroba a rozvod elektřiny, </w:t>
            </w:r>
            <w:r>
              <w:rPr>
                <w:rFonts w:cs="Arial"/>
                <w:color w:val="000000"/>
                <w:sz w:val="16"/>
                <w:szCs w:val="16"/>
              </w:rPr>
              <w:t xml:space="preserve">plynu,  </w:t>
            </w:r>
          </w:p>
          <w:p w14:paraId="408A3A82" w14:textId="46351F35" w:rsidR="00A9687B" w:rsidRPr="00D92E20" w:rsidRDefault="00A9687B" w:rsidP="00A9687B">
            <w:pPr>
              <w:spacing w:after="0" w:line="240" w:lineRule="auto"/>
              <w:ind w:firstLineChars="100" w:firstLine="160"/>
              <w:rPr>
                <w:rFonts w:cs="Arial"/>
                <w:color w:val="000000"/>
                <w:sz w:val="16"/>
                <w:szCs w:val="16"/>
              </w:rPr>
            </w:pPr>
            <w:r>
              <w:rPr>
                <w:rFonts w:cs="Arial"/>
                <w:color w:val="000000"/>
                <w:sz w:val="16"/>
                <w:szCs w:val="16"/>
              </w:rPr>
              <w:t xml:space="preserve">       tepla</w:t>
            </w:r>
            <w:r w:rsidRPr="00D92E20">
              <w:rPr>
                <w:rFonts w:cs="Arial"/>
                <w:color w:val="000000"/>
                <w:sz w:val="16"/>
                <w:szCs w:val="16"/>
              </w:rPr>
              <w:t xml:space="preserve"> a klimatizovaného vzduchu</w:t>
            </w:r>
          </w:p>
        </w:tc>
        <w:tc>
          <w:tcPr>
            <w:tcW w:w="595" w:type="dxa"/>
            <w:tcBorders>
              <w:top w:val="nil"/>
              <w:left w:val="nil"/>
              <w:bottom w:val="nil"/>
              <w:right w:val="nil"/>
            </w:tcBorders>
            <w:shd w:val="clear" w:color="auto" w:fill="auto"/>
            <w:noWrap/>
            <w:vAlign w:val="center"/>
            <w:hideMark/>
          </w:tcPr>
          <w:p w14:paraId="11F36F8A" w14:textId="0372E84C" w:rsidR="00A9687B" w:rsidRPr="00D92E20" w:rsidRDefault="00A9687B" w:rsidP="00A9687B">
            <w:pPr>
              <w:spacing w:after="0" w:line="240" w:lineRule="auto"/>
              <w:jc w:val="center"/>
              <w:rPr>
                <w:rFonts w:cs="Arial"/>
                <w:color w:val="000000"/>
                <w:sz w:val="16"/>
                <w:szCs w:val="16"/>
              </w:rPr>
            </w:pPr>
            <w:r>
              <w:rPr>
                <w:rFonts w:cs="Arial"/>
                <w:sz w:val="16"/>
                <w:szCs w:val="16"/>
              </w:rPr>
              <w:t>2,2</w:t>
            </w:r>
          </w:p>
        </w:tc>
        <w:tc>
          <w:tcPr>
            <w:tcW w:w="595" w:type="dxa"/>
            <w:tcBorders>
              <w:top w:val="nil"/>
              <w:left w:val="nil"/>
              <w:bottom w:val="nil"/>
              <w:right w:val="nil"/>
            </w:tcBorders>
            <w:shd w:val="clear" w:color="auto" w:fill="auto"/>
            <w:noWrap/>
            <w:vAlign w:val="center"/>
            <w:hideMark/>
          </w:tcPr>
          <w:p w14:paraId="430AB13D" w14:textId="29C5F4A3" w:rsidR="00A9687B" w:rsidRPr="00D92E20" w:rsidRDefault="00A9687B" w:rsidP="00A9687B">
            <w:pPr>
              <w:spacing w:after="0" w:line="240" w:lineRule="auto"/>
              <w:jc w:val="center"/>
              <w:rPr>
                <w:rFonts w:cs="Arial"/>
                <w:color w:val="000000"/>
                <w:sz w:val="16"/>
                <w:szCs w:val="16"/>
              </w:rPr>
            </w:pPr>
            <w:r>
              <w:rPr>
                <w:rFonts w:cs="Arial"/>
                <w:sz w:val="16"/>
                <w:szCs w:val="16"/>
              </w:rPr>
              <w:t>2,4</w:t>
            </w:r>
          </w:p>
        </w:tc>
        <w:tc>
          <w:tcPr>
            <w:tcW w:w="595" w:type="dxa"/>
            <w:tcBorders>
              <w:top w:val="nil"/>
              <w:left w:val="nil"/>
              <w:bottom w:val="nil"/>
              <w:right w:val="nil"/>
            </w:tcBorders>
            <w:shd w:val="clear" w:color="auto" w:fill="auto"/>
            <w:noWrap/>
            <w:vAlign w:val="center"/>
            <w:hideMark/>
          </w:tcPr>
          <w:p w14:paraId="0C3E3C2B" w14:textId="7DB169E2" w:rsidR="00A9687B" w:rsidRPr="00D92E20" w:rsidRDefault="00A9687B" w:rsidP="00A9687B">
            <w:pPr>
              <w:spacing w:after="0" w:line="240" w:lineRule="auto"/>
              <w:jc w:val="center"/>
              <w:rPr>
                <w:rFonts w:cs="Arial"/>
                <w:color w:val="000000"/>
                <w:sz w:val="16"/>
                <w:szCs w:val="16"/>
              </w:rPr>
            </w:pPr>
            <w:r>
              <w:rPr>
                <w:rFonts w:cs="Arial"/>
                <w:sz w:val="16"/>
                <w:szCs w:val="16"/>
              </w:rPr>
              <w:t>2,2</w:t>
            </w:r>
          </w:p>
        </w:tc>
        <w:tc>
          <w:tcPr>
            <w:tcW w:w="595" w:type="dxa"/>
            <w:tcBorders>
              <w:top w:val="nil"/>
              <w:left w:val="nil"/>
              <w:bottom w:val="nil"/>
              <w:right w:val="nil"/>
            </w:tcBorders>
            <w:shd w:val="clear" w:color="auto" w:fill="auto"/>
            <w:noWrap/>
            <w:vAlign w:val="center"/>
            <w:hideMark/>
          </w:tcPr>
          <w:p w14:paraId="4A96EA47" w14:textId="727072AB" w:rsidR="00A9687B" w:rsidRPr="00D92E20" w:rsidRDefault="00A9687B" w:rsidP="00A9687B">
            <w:pPr>
              <w:spacing w:after="0" w:line="240" w:lineRule="auto"/>
              <w:jc w:val="center"/>
              <w:rPr>
                <w:rFonts w:cs="Arial"/>
                <w:color w:val="000000"/>
                <w:sz w:val="16"/>
                <w:szCs w:val="16"/>
              </w:rPr>
            </w:pPr>
            <w:r>
              <w:rPr>
                <w:rFonts w:cs="Arial"/>
                <w:sz w:val="16"/>
                <w:szCs w:val="16"/>
              </w:rPr>
              <w:t>2,8</w:t>
            </w:r>
          </w:p>
        </w:tc>
        <w:tc>
          <w:tcPr>
            <w:tcW w:w="595" w:type="dxa"/>
            <w:tcBorders>
              <w:top w:val="nil"/>
              <w:left w:val="nil"/>
              <w:bottom w:val="nil"/>
              <w:right w:val="nil"/>
            </w:tcBorders>
            <w:shd w:val="clear" w:color="auto" w:fill="auto"/>
            <w:noWrap/>
            <w:vAlign w:val="center"/>
            <w:hideMark/>
          </w:tcPr>
          <w:p w14:paraId="1AA68986" w14:textId="1EBF9636" w:rsidR="00A9687B" w:rsidRPr="00D92E20" w:rsidRDefault="00A9687B" w:rsidP="00A9687B">
            <w:pPr>
              <w:spacing w:after="0" w:line="240" w:lineRule="auto"/>
              <w:jc w:val="center"/>
              <w:rPr>
                <w:rFonts w:cs="Arial"/>
                <w:color w:val="000000"/>
                <w:sz w:val="16"/>
                <w:szCs w:val="16"/>
              </w:rPr>
            </w:pPr>
            <w:r>
              <w:rPr>
                <w:rFonts w:cs="Arial"/>
                <w:color w:val="000000"/>
                <w:sz w:val="16"/>
                <w:szCs w:val="16"/>
              </w:rPr>
              <w:t>2,8</w:t>
            </w:r>
          </w:p>
        </w:tc>
        <w:tc>
          <w:tcPr>
            <w:tcW w:w="595" w:type="dxa"/>
            <w:tcBorders>
              <w:top w:val="nil"/>
              <w:left w:val="nil"/>
              <w:bottom w:val="nil"/>
              <w:right w:val="nil"/>
            </w:tcBorders>
            <w:shd w:val="clear" w:color="auto" w:fill="auto"/>
            <w:noWrap/>
            <w:vAlign w:val="center"/>
            <w:hideMark/>
          </w:tcPr>
          <w:p w14:paraId="01F6AA75" w14:textId="0AC7EE6B" w:rsidR="00A9687B" w:rsidRPr="00D92E20" w:rsidRDefault="00A9687B" w:rsidP="00A9687B">
            <w:pPr>
              <w:spacing w:after="0" w:line="240" w:lineRule="auto"/>
              <w:jc w:val="center"/>
              <w:rPr>
                <w:rFonts w:cs="Arial"/>
                <w:color w:val="000000"/>
                <w:sz w:val="16"/>
                <w:szCs w:val="16"/>
              </w:rPr>
            </w:pPr>
            <w:r>
              <w:rPr>
                <w:rFonts w:cs="Arial"/>
                <w:color w:val="000000"/>
                <w:sz w:val="16"/>
                <w:szCs w:val="16"/>
              </w:rPr>
              <w:t>3,1</w:t>
            </w:r>
          </w:p>
        </w:tc>
        <w:tc>
          <w:tcPr>
            <w:tcW w:w="595" w:type="dxa"/>
            <w:tcBorders>
              <w:top w:val="nil"/>
              <w:left w:val="nil"/>
              <w:bottom w:val="nil"/>
              <w:right w:val="nil"/>
            </w:tcBorders>
            <w:shd w:val="clear" w:color="auto" w:fill="auto"/>
            <w:noWrap/>
            <w:vAlign w:val="center"/>
            <w:hideMark/>
          </w:tcPr>
          <w:p w14:paraId="6EF5F6A2" w14:textId="59CF4CC6" w:rsidR="00A9687B" w:rsidRPr="00D92E20" w:rsidRDefault="00A9687B" w:rsidP="00A9687B">
            <w:pPr>
              <w:spacing w:after="0" w:line="240" w:lineRule="auto"/>
              <w:jc w:val="center"/>
              <w:rPr>
                <w:rFonts w:cs="Arial"/>
                <w:color w:val="000000"/>
                <w:sz w:val="16"/>
                <w:szCs w:val="16"/>
              </w:rPr>
            </w:pPr>
            <w:r>
              <w:rPr>
                <w:rFonts w:cs="Arial"/>
                <w:color w:val="000000"/>
                <w:sz w:val="16"/>
                <w:szCs w:val="16"/>
              </w:rPr>
              <w:t>3,0</w:t>
            </w:r>
          </w:p>
        </w:tc>
        <w:tc>
          <w:tcPr>
            <w:tcW w:w="595" w:type="dxa"/>
            <w:tcBorders>
              <w:top w:val="nil"/>
              <w:left w:val="nil"/>
              <w:bottom w:val="nil"/>
              <w:right w:val="nil"/>
            </w:tcBorders>
            <w:shd w:val="clear" w:color="auto" w:fill="auto"/>
            <w:noWrap/>
            <w:vAlign w:val="center"/>
            <w:hideMark/>
          </w:tcPr>
          <w:p w14:paraId="6D03A487" w14:textId="0D83E55F" w:rsidR="00A9687B" w:rsidRPr="00D92E20" w:rsidRDefault="00A9687B" w:rsidP="00A9687B">
            <w:pPr>
              <w:spacing w:after="0" w:line="240" w:lineRule="auto"/>
              <w:jc w:val="center"/>
              <w:rPr>
                <w:rFonts w:cs="Arial"/>
                <w:color w:val="000000"/>
                <w:sz w:val="16"/>
                <w:szCs w:val="16"/>
              </w:rPr>
            </w:pPr>
            <w:r>
              <w:rPr>
                <w:rFonts w:cs="Arial"/>
                <w:color w:val="000000"/>
                <w:sz w:val="16"/>
                <w:szCs w:val="16"/>
              </w:rPr>
              <w:t>3,3</w:t>
            </w:r>
          </w:p>
        </w:tc>
        <w:tc>
          <w:tcPr>
            <w:tcW w:w="595" w:type="dxa"/>
            <w:tcBorders>
              <w:top w:val="nil"/>
              <w:left w:val="nil"/>
              <w:bottom w:val="nil"/>
              <w:right w:val="nil"/>
            </w:tcBorders>
            <w:shd w:val="clear" w:color="auto" w:fill="auto"/>
            <w:noWrap/>
            <w:vAlign w:val="center"/>
            <w:hideMark/>
          </w:tcPr>
          <w:p w14:paraId="3FCBD3BE" w14:textId="48FBDF44" w:rsidR="00A9687B" w:rsidRPr="00D92E20" w:rsidRDefault="00A9687B" w:rsidP="00A9687B">
            <w:pPr>
              <w:spacing w:after="0" w:line="240" w:lineRule="auto"/>
              <w:jc w:val="center"/>
              <w:rPr>
                <w:rFonts w:cs="Arial"/>
                <w:color w:val="000000"/>
                <w:sz w:val="16"/>
                <w:szCs w:val="16"/>
              </w:rPr>
            </w:pPr>
            <w:r>
              <w:rPr>
                <w:rFonts w:cs="Arial"/>
                <w:color w:val="000000"/>
                <w:sz w:val="16"/>
                <w:szCs w:val="16"/>
              </w:rPr>
              <w:t>3,2</w:t>
            </w:r>
          </w:p>
        </w:tc>
        <w:tc>
          <w:tcPr>
            <w:tcW w:w="595" w:type="dxa"/>
            <w:tcBorders>
              <w:top w:val="nil"/>
              <w:left w:val="nil"/>
              <w:bottom w:val="nil"/>
              <w:right w:val="nil"/>
            </w:tcBorders>
            <w:shd w:val="clear" w:color="auto" w:fill="auto"/>
            <w:noWrap/>
            <w:vAlign w:val="center"/>
            <w:hideMark/>
          </w:tcPr>
          <w:p w14:paraId="0986EDE1" w14:textId="030370CF" w:rsidR="00A9687B" w:rsidRPr="00D92E20" w:rsidRDefault="00A9687B" w:rsidP="00A9687B">
            <w:pPr>
              <w:spacing w:after="0" w:line="240" w:lineRule="auto"/>
              <w:jc w:val="center"/>
              <w:rPr>
                <w:rFonts w:cs="Arial"/>
                <w:color w:val="000000"/>
                <w:sz w:val="16"/>
                <w:szCs w:val="16"/>
              </w:rPr>
            </w:pPr>
            <w:r>
              <w:rPr>
                <w:rFonts w:cs="Arial"/>
                <w:color w:val="000000"/>
                <w:sz w:val="16"/>
                <w:szCs w:val="16"/>
              </w:rPr>
              <w:t>3,9</w:t>
            </w:r>
          </w:p>
        </w:tc>
        <w:tc>
          <w:tcPr>
            <w:tcW w:w="595" w:type="dxa"/>
            <w:tcBorders>
              <w:top w:val="nil"/>
              <w:left w:val="nil"/>
              <w:bottom w:val="nil"/>
              <w:right w:val="nil"/>
            </w:tcBorders>
            <w:shd w:val="clear" w:color="auto" w:fill="auto"/>
            <w:noWrap/>
            <w:vAlign w:val="center"/>
            <w:hideMark/>
          </w:tcPr>
          <w:p w14:paraId="186079A7" w14:textId="6D0C70EA" w:rsidR="00A9687B" w:rsidRPr="00D92E20" w:rsidRDefault="00A9687B" w:rsidP="00A9687B">
            <w:pPr>
              <w:spacing w:after="0" w:line="240" w:lineRule="auto"/>
              <w:jc w:val="center"/>
              <w:rPr>
                <w:rFonts w:cs="Arial"/>
                <w:color w:val="000000"/>
                <w:sz w:val="16"/>
                <w:szCs w:val="16"/>
              </w:rPr>
            </w:pPr>
            <w:r>
              <w:rPr>
                <w:rFonts w:cs="Arial"/>
                <w:color w:val="000000"/>
                <w:sz w:val="16"/>
                <w:szCs w:val="16"/>
              </w:rPr>
              <w:t>3,8</w:t>
            </w:r>
          </w:p>
        </w:tc>
      </w:tr>
      <w:tr w:rsidR="00A9687B" w:rsidRPr="00D92E20" w14:paraId="0C9189A1" w14:textId="77777777" w:rsidTr="006C7D54">
        <w:trPr>
          <w:trHeight w:val="480"/>
        </w:trPr>
        <w:tc>
          <w:tcPr>
            <w:tcW w:w="3118" w:type="dxa"/>
            <w:tcBorders>
              <w:top w:val="nil"/>
              <w:left w:val="nil"/>
              <w:bottom w:val="nil"/>
              <w:right w:val="single" w:sz="4" w:space="0" w:color="auto"/>
            </w:tcBorders>
            <w:shd w:val="clear" w:color="auto" w:fill="auto"/>
            <w:vAlign w:val="center"/>
            <w:hideMark/>
          </w:tcPr>
          <w:p w14:paraId="3679A47A" w14:textId="77777777" w:rsidR="00A9687B" w:rsidRPr="00D92E20" w:rsidRDefault="00A9687B" w:rsidP="00A9687B">
            <w:pPr>
              <w:spacing w:after="0" w:line="240" w:lineRule="auto"/>
              <w:ind w:firstLineChars="100" w:firstLine="160"/>
              <w:rPr>
                <w:rFonts w:cs="Arial"/>
                <w:color w:val="000000"/>
                <w:sz w:val="16"/>
                <w:szCs w:val="16"/>
              </w:rPr>
            </w:pPr>
            <w:r w:rsidRPr="00D92E20">
              <w:rPr>
                <w:rFonts w:cs="Arial"/>
                <w:color w:val="000000"/>
                <w:sz w:val="16"/>
                <w:szCs w:val="16"/>
              </w:rPr>
              <w:t xml:space="preserve">E – Zásobování vodou; činnosti </w:t>
            </w:r>
            <w:r w:rsidRPr="00D92E20">
              <w:rPr>
                <w:rFonts w:cs="Arial"/>
                <w:color w:val="000000"/>
                <w:sz w:val="16"/>
                <w:szCs w:val="16"/>
              </w:rPr>
              <w:br/>
              <w:t xml:space="preserve">          související s odpady a sanacemi</w:t>
            </w:r>
          </w:p>
        </w:tc>
        <w:tc>
          <w:tcPr>
            <w:tcW w:w="595" w:type="dxa"/>
            <w:tcBorders>
              <w:top w:val="nil"/>
              <w:left w:val="nil"/>
              <w:bottom w:val="nil"/>
              <w:right w:val="nil"/>
            </w:tcBorders>
            <w:shd w:val="clear" w:color="auto" w:fill="auto"/>
            <w:noWrap/>
            <w:vAlign w:val="center"/>
            <w:hideMark/>
          </w:tcPr>
          <w:p w14:paraId="73A79C15" w14:textId="79997C67" w:rsidR="00A9687B" w:rsidRPr="00D92E20" w:rsidRDefault="00A9687B" w:rsidP="00A9687B">
            <w:pPr>
              <w:spacing w:after="0" w:line="240" w:lineRule="auto"/>
              <w:jc w:val="center"/>
              <w:rPr>
                <w:rFonts w:cs="Arial"/>
                <w:color w:val="000000"/>
                <w:sz w:val="16"/>
                <w:szCs w:val="16"/>
              </w:rPr>
            </w:pPr>
            <w:r>
              <w:rPr>
                <w:rFonts w:cs="Arial"/>
                <w:sz w:val="16"/>
                <w:szCs w:val="16"/>
              </w:rPr>
              <w:t>3,6</w:t>
            </w:r>
          </w:p>
        </w:tc>
        <w:tc>
          <w:tcPr>
            <w:tcW w:w="595" w:type="dxa"/>
            <w:tcBorders>
              <w:top w:val="nil"/>
              <w:left w:val="nil"/>
              <w:bottom w:val="nil"/>
              <w:right w:val="nil"/>
            </w:tcBorders>
            <w:shd w:val="clear" w:color="auto" w:fill="auto"/>
            <w:noWrap/>
            <w:vAlign w:val="center"/>
            <w:hideMark/>
          </w:tcPr>
          <w:p w14:paraId="001BC193" w14:textId="774F9F21" w:rsidR="00A9687B" w:rsidRPr="00D92E20" w:rsidRDefault="00A9687B" w:rsidP="00A9687B">
            <w:pPr>
              <w:spacing w:after="0" w:line="240" w:lineRule="auto"/>
              <w:jc w:val="center"/>
              <w:rPr>
                <w:rFonts w:cs="Arial"/>
                <w:color w:val="000000"/>
                <w:sz w:val="16"/>
                <w:szCs w:val="16"/>
              </w:rPr>
            </w:pPr>
            <w:r>
              <w:rPr>
                <w:rFonts w:cs="Arial"/>
                <w:sz w:val="16"/>
                <w:szCs w:val="16"/>
              </w:rPr>
              <w:t>3,9</w:t>
            </w:r>
          </w:p>
        </w:tc>
        <w:tc>
          <w:tcPr>
            <w:tcW w:w="595" w:type="dxa"/>
            <w:tcBorders>
              <w:top w:val="nil"/>
              <w:left w:val="nil"/>
              <w:bottom w:val="nil"/>
              <w:right w:val="nil"/>
            </w:tcBorders>
            <w:shd w:val="clear" w:color="auto" w:fill="auto"/>
            <w:noWrap/>
            <w:vAlign w:val="center"/>
            <w:hideMark/>
          </w:tcPr>
          <w:p w14:paraId="43DDE644" w14:textId="2FA89EEE" w:rsidR="00A9687B" w:rsidRPr="00D92E20" w:rsidRDefault="00A9687B" w:rsidP="00A9687B">
            <w:pPr>
              <w:spacing w:after="0" w:line="240" w:lineRule="auto"/>
              <w:jc w:val="center"/>
              <w:rPr>
                <w:rFonts w:cs="Arial"/>
                <w:color w:val="000000"/>
                <w:sz w:val="16"/>
                <w:szCs w:val="16"/>
              </w:rPr>
            </w:pPr>
            <w:r>
              <w:rPr>
                <w:rFonts w:cs="Arial"/>
                <w:sz w:val="16"/>
                <w:szCs w:val="16"/>
              </w:rPr>
              <w:t>4,0</w:t>
            </w:r>
          </w:p>
        </w:tc>
        <w:tc>
          <w:tcPr>
            <w:tcW w:w="595" w:type="dxa"/>
            <w:tcBorders>
              <w:top w:val="nil"/>
              <w:left w:val="nil"/>
              <w:bottom w:val="nil"/>
              <w:right w:val="nil"/>
            </w:tcBorders>
            <w:shd w:val="clear" w:color="auto" w:fill="auto"/>
            <w:noWrap/>
            <w:vAlign w:val="center"/>
            <w:hideMark/>
          </w:tcPr>
          <w:p w14:paraId="32D78B95" w14:textId="74D9B180" w:rsidR="00A9687B" w:rsidRPr="00D92E20" w:rsidRDefault="00A9687B" w:rsidP="00A9687B">
            <w:pPr>
              <w:spacing w:after="0" w:line="240" w:lineRule="auto"/>
              <w:jc w:val="center"/>
              <w:rPr>
                <w:rFonts w:cs="Arial"/>
                <w:color w:val="000000"/>
                <w:sz w:val="16"/>
                <w:szCs w:val="16"/>
              </w:rPr>
            </w:pPr>
            <w:r>
              <w:rPr>
                <w:rFonts w:cs="Arial"/>
                <w:sz w:val="16"/>
                <w:szCs w:val="16"/>
              </w:rPr>
              <w:t>4,5</w:t>
            </w:r>
          </w:p>
        </w:tc>
        <w:tc>
          <w:tcPr>
            <w:tcW w:w="595" w:type="dxa"/>
            <w:tcBorders>
              <w:top w:val="nil"/>
              <w:left w:val="nil"/>
              <w:bottom w:val="nil"/>
              <w:right w:val="nil"/>
            </w:tcBorders>
            <w:shd w:val="clear" w:color="auto" w:fill="auto"/>
            <w:noWrap/>
            <w:vAlign w:val="center"/>
            <w:hideMark/>
          </w:tcPr>
          <w:p w14:paraId="1212A2EE" w14:textId="42A735BE" w:rsidR="00A9687B" w:rsidRPr="00D92E20" w:rsidRDefault="00A9687B" w:rsidP="00A9687B">
            <w:pPr>
              <w:spacing w:after="0" w:line="240" w:lineRule="auto"/>
              <w:jc w:val="center"/>
              <w:rPr>
                <w:rFonts w:cs="Arial"/>
                <w:color w:val="000000"/>
                <w:sz w:val="16"/>
                <w:szCs w:val="16"/>
              </w:rPr>
            </w:pPr>
            <w:r>
              <w:rPr>
                <w:rFonts w:cs="Arial"/>
                <w:color w:val="000000"/>
                <w:sz w:val="16"/>
                <w:szCs w:val="16"/>
              </w:rPr>
              <w:t>4,6</w:t>
            </w:r>
          </w:p>
        </w:tc>
        <w:tc>
          <w:tcPr>
            <w:tcW w:w="595" w:type="dxa"/>
            <w:tcBorders>
              <w:top w:val="nil"/>
              <w:left w:val="nil"/>
              <w:bottom w:val="nil"/>
              <w:right w:val="nil"/>
            </w:tcBorders>
            <w:shd w:val="clear" w:color="auto" w:fill="auto"/>
            <w:noWrap/>
            <w:vAlign w:val="center"/>
            <w:hideMark/>
          </w:tcPr>
          <w:p w14:paraId="70014918" w14:textId="6B0056E6" w:rsidR="00A9687B" w:rsidRPr="00D92E20" w:rsidRDefault="00A9687B" w:rsidP="00A9687B">
            <w:pPr>
              <w:spacing w:after="0" w:line="240" w:lineRule="auto"/>
              <w:jc w:val="center"/>
              <w:rPr>
                <w:rFonts w:cs="Arial"/>
                <w:color w:val="000000"/>
                <w:sz w:val="16"/>
                <w:szCs w:val="16"/>
              </w:rPr>
            </w:pPr>
            <w:r>
              <w:rPr>
                <w:rFonts w:cs="Arial"/>
                <w:color w:val="000000"/>
                <w:sz w:val="16"/>
                <w:szCs w:val="16"/>
              </w:rPr>
              <w:t>5,0</w:t>
            </w:r>
          </w:p>
        </w:tc>
        <w:tc>
          <w:tcPr>
            <w:tcW w:w="595" w:type="dxa"/>
            <w:tcBorders>
              <w:top w:val="nil"/>
              <w:left w:val="nil"/>
              <w:bottom w:val="nil"/>
              <w:right w:val="nil"/>
            </w:tcBorders>
            <w:shd w:val="clear" w:color="auto" w:fill="auto"/>
            <w:noWrap/>
            <w:vAlign w:val="center"/>
            <w:hideMark/>
          </w:tcPr>
          <w:p w14:paraId="7C5E063E" w14:textId="711364FB" w:rsidR="00A9687B" w:rsidRPr="00D92E20" w:rsidRDefault="00A9687B" w:rsidP="00A9687B">
            <w:pPr>
              <w:spacing w:after="0" w:line="240" w:lineRule="auto"/>
              <w:jc w:val="center"/>
              <w:rPr>
                <w:rFonts w:cs="Arial"/>
                <w:color w:val="000000"/>
                <w:sz w:val="16"/>
                <w:szCs w:val="16"/>
              </w:rPr>
            </w:pPr>
            <w:r>
              <w:rPr>
                <w:rFonts w:cs="Arial"/>
                <w:color w:val="000000"/>
                <w:sz w:val="16"/>
                <w:szCs w:val="16"/>
              </w:rPr>
              <w:t>5,2</w:t>
            </w:r>
          </w:p>
        </w:tc>
        <w:tc>
          <w:tcPr>
            <w:tcW w:w="595" w:type="dxa"/>
            <w:tcBorders>
              <w:top w:val="nil"/>
              <w:left w:val="nil"/>
              <w:bottom w:val="nil"/>
              <w:right w:val="nil"/>
            </w:tcBorders>
            <w:shd w:val="clear" w:color="auto" w:fill="auto"/>
            <w:noWrap/>
            <w:vAlign w:val="center"/>
            <w:hideMark/>
          </w:tcPr>
          <w:p w14:paraId="3E226159" w14:textId="32F46AA5" w:rsidR="00A9687B" w:rsidRPr="00D92E20" w:rsidRDefault="00A9687B" w:rsidP="00A9687B">
            <w:pPr>
              <w:spacing w:after="0" w:line="240" w:lineRule="auto"/>
              <w:jc w:val="center"/>
              <w:rPr>
                <w:rFonts w:cs="Arial"/>
                <w:color w:val="000000"/>
                <w:sz w:val="16"/>
                <w:szCs w:val="16"/>
              </w:rPr>
            </w:pPr>
            <w:r>
              <w:rPr>
                <w:rFonts w:cs="Arial"/>
                <w:color w:val="000000"/>
                <w:sz w:val="16"/>
                <w:szCs w:val="16"/>
              </w:rPr>
              <w:t>5,4</w:t>
            </w:r>
          </w:p>
        </w:tc>
        <w:tc>
          <w:tcPr>
            <w:tcW w:w="595" w:type="dxa"/>
            <w:tcBorders>
              <w:top w:val="nil"/>
              <w:left w:val="nil"/>
              <w:bottom w:val="nil"/>
              <w:right w:val="nil"/>
            </w:tcBorders>
            <w:shd w:val="clear" w:color="auto" w:fill="auto"/>
            <w:noWrap/>
            <w:vAlign w:val="center"/>
            <w:hideMark/>
          </w:tcPr>
          <w:p w14:paraId="47FD71AB" w14:textId="12F52C0D" w:rsidR="00A9687B" w:rsidRPr="00D92E20" w:rsidRDefault="00A9687B" w:rsidP="00A9687B">
            <w:pPr>
              <w:spacing w:after="0" w:line="240" w:lineRule="auto"/>
              <w:jc w:val="center"/>
              <w:rPr>
                <w:rFonts w:cs="Arial"/>
                <w:color w:val="000000"/>
                <w:sz w:val="16"/>
                <w:szCs w:val="16"/>
              </w:rPr>
            </w:pPr>
            <w:r>
              <w:rPr>
                <w:rFonts w:cs="Arial"/>
                <w:color w:val="000000"/>
                <w:sz w:val="16"/>
                <w:szCs w:val="16"/>
              </w:rPr>
              <w:t>5,9</w:t>
            </w:r>
          </w:p>
        </w:tc>
        <w:tc>
          <w:tcPr>
            <w:tcW w:w="595" w:type="dxa"/>
            <w:tcBorders>
              <w:top w:val="nil"/>
              <w:left w:val="nil"/>
              <w:bottom w:val="nil"/>
              <w:right w:val="nil"/>
            </w:tcBorders>
            <w:shd w:val="clear" w:color="auto" w:fill="auto"/>
            <w:noWrap/>
            <w:vAlign w:val="center"/>
            <w:hideMark/>
          </w:tcPr>
          <w:p w14:paraId="60FE7AE5" w14:textId="54FAA535" w:rsidR="00A9687B" w:rsidRPr="00D92E20" w:rsidRDefault="00A9687B" w:rsidP="00A9687B">
            <w:pPr>
              <w:spacing w:after="0" w:line="240" w:lineRule="auto"/>
              <w:jc w:val="center"/>
              <w:rPr>
                <w:rFonts w:cs="Arial"/>
                <w:color w:val="000000"/>
                <w:sz w:val="16"/>
                <w:szCs w:val="16"/>
              </w:rPr>
            </w:pPr>
            <w:r>
              <w:rPr>
                <w:rFonts w:cs="Arial"/>
                <w:color w:val="000000"/>
                <w:sz w:val="16"/>
                <w:szCs w:val="16"/>
              </w:rPr>
              <w:t>7,0</w:t>
            </w:r>
          </w:p>
        </w:tc>
        <w:tc>
          <w:tcPr>
            <w:tcW w:w="595" w:type="dxa"/>
            <w:tcBorders>
              <w:top w:val="nil"/>
              <w:left w:val="nil"/>
              <w:bottom w:val="nil"/>
              <w:right w:val="nil"/>
            </w:tcBorders>
            <w:shd w:val="clear" w:color="auto" w:fill="auto"/>
            <w:noWrap/>
            <w:vAlign w:val="center"/>
            <w:hideMark/>
          </w:tcPr>
          <w:p w14:paraId="1DBD91DD" w14:textId="668ADFD4" w:rsidR="00A9687B" w:rsidRPr="00D92E20" w:rsidRDefault="00A9687B" w:rsidP="00A9687B">
            <w:pPr>
              <w:spacing w:after="0" w:line="240" w:lineRule="auto"/>
              <w:jc w:val="center"/>
              <w:rPr>
                <w:rFonts w:cs="Arial"/>
                <w:color w:val="000000"/>
                <w:sz w:val="16"/>
                <w:szCs w:val="16"/>
              </w:rPr>
            </w:pPr>
            <w:r>
              <w:rPr>
                <w:rFonts w:cs="Arial"/>
                <w:color w:val="000000"/>
                <w:sz w:val="16"/>
                <w:szCs w:val="16"/>
              </w:rPr>
              <w:t>6,7</w:t>
            </w:r>
          </w:p>
        </w:tc>
      </w:tr>
      <w:tr w:rsidR="00A9687B" w:rsidRPr="00D92E20" w14:paraId="4F69138B" w14:textId="77777777" w:rsidTr="006C7D54">
        <w:trPr>
          <w:trHeight w:val="300"/>
        </w:trPr>
        <w:tc>
          <w:tcPr>
            <w:tcW w:w="3118" w:type="dxa"/>
            <w:tcBorders>
              <w:top w:val="nil"/>
              <w:left w:val="nil"/>
              <w:bottom w:val="nil"/>
              <w:right w:val="single" w:sz="4" w:space="0" w:color="auto"/>
            </w:tcBorders>
            <w:shd w:val="clear" w:color="auto" w:fill="auto"/>
            <w:vAlign w:val="center"/>
            <w:hideMark/>
          </w:tcPr>
          <w:p w14:paraId="46599DC2" w14:textId="77777777" w:rsidR="00A9687B" w:rsidRPr="00D92E20" w:rsidRDefault="00A9687B" w:rsidP="00A9687B">
            <w:pPr>
              <w:spacing w:after="0" w:line="240" w:lineRule="auto"/>
              <w:ind w:firstLineChars="100" w:firstLine="160"/>
              <w:rPr>
                <w:rFonts w:cs="Arial"/>
                <w:color w:val="000000"/>
                <w:sz w:val="16"/>
                <w:szCs w:val="16"/>
              </w:rPr>
            </w:pPr>
            <w:r w:rsidRPr="00D92E20">
              <w:rPr>
                <w:rFonts w:cs="Arial"/>
                <w:color w:val="000000"/>
                <w:sz w:val="16"/>
                <w:szCs w:val="16"/>
              </w:rPr>
              <w:t>F – Stavebnictví</w:t>
            </w:r>
          </w:p>
        </w:tc>
        <w:tc>
          <w:tcPr>
            <w:tcW w:w="595" w:type="dxa"/>
            <w:tcBorders>
              <w:top w:val="nil"/>
              <w:left w:val="nil"/>
              <w:bottom w:val="nil"/>
              <w:right w:val="nil"/>
            </w:tcBorders>
            <w:shd w:val="clear" w:color="auto" w:fill="auto"/>
            <w:noWrap/>
            <w:vAlign w:val="center"/>
            <w:hideMark/>
          </w:tcPr>
          <w:p w14:paraId="7706051F" w14:textId="0948C945" w:rsidR="00A9687B" w:rsidRPr="00D92E20" w:rsidRDefault="00A9687B" w:rsidP="00A9687B">
            <w:pPr>
              <w:spacing w:after="0" w:line="240" w:lineRule="auto"/>
              <w:jc w:val="center"/>
              <w:rPr>
                <w:rFonts w:cs="Arial"/>
                <w:color w:val="000000"/>
                <w:sz w:val="16"/>
                <w:szCs w:val="16"/>
              </w:rPr>
            </w:pPr>
            <w:r>
              <w:rPr>
                <w:rFonts w:cs="Arial"/>
                <w:sz w:val="16"/>
                <w:szCs w:val="16"/>
              </w:rPr>
              <w:t>4,8</w:t>
            </w:r>
          </w:p>
        </w:tc>
        <w:tc>
          <w:tcPr>
            <w:tcW w:w="595" w:type="dxa"/>
            <w:tcBorders>
              <w:top w:val="nil"/>
              <w:left w:val="nil"/>
              <w:bottom w:val="nil"/>
              <w:right w:val="nil"/>
            </w:tcBorders>
            <w:shd w:val="clear" w:color="auto" w:fill="auto"/>
            <w:noWrap/>
            <w:vAlign w:val="center"/>
            <w:hideMark/>
          </w:tcPr>
          <w:p w14:paraId="3CFF7ACF" w14:textId="5D7582EC" w:rsidR="00A9687B" w:rsidRPr="00D92E20" w:rsidRDefault="00A9687B" w:rsidP="00A9687B">
            <w:pPr>
              <w:spacing w:after="0" w:line="240" w:lineRule="auto"/>
              <w:jc w:val="center"/>
              <w:rPr>
                <w:rFonts w:cs="Arial"/>
                <w:color w:val="000000"/>
                <w:sz w:val="16"/>
                <w:szCs w:val="16"/>
              </w:rPr>
            </w:pPr>
            <w:r>
              <w:rPr>
                <w:rFonts w:cs="Arial"/>
                <w:sz w:val="16"/>
                <w:szCs w:val="16"/>
              </w:rPr>
              <w:t>5,4</w:t>
            </w:r>
          </w:p>
        </w:tc>
        <w:tc>
          <w:tcPr>
            <w:tcW w:w="595" w:type="dxa"/>
            <w:tcBorders>
              <w:top w:val="nil"/>
              <w:left w:val="nil"/>
              <w:bottom w:val="nil"/>
              <w:right w:val="nil"/>
            </w:tcBorders>
            <w:shd w:val="clear" w:color="auto" w:fill="auto"/>
            <w:noWrap/>
            <w:vAlign w:val="center"/>
            <w:hideMark/>
          </w:tcPr>
          <w:p w14:paraId="30173D7A" w14:textId="46FF0431" w:rsidR="00A9687B" w:rsidRPr="00D92E20" w:rsidRDefault="00A9687B" w:rsidP="00A9687B">
            <w:pPr>
              <w:spacing w:after="0" w:line="240" w:lineRule="auto"/>
              <w:jc w:val="center"/>
              <w:rPr>
                <w:rFonts w:cs="Arial"/>
                <w:color w:val="000000"/>
                <w:sz w:val="16"/>
                <w:szCs w:val="16"/>
              </w:rPr>
            </w:pPr>
            <w:r>
              <w:rPr>
                <w:rFonts w:cs="Arial"/>
                <w:sz w:val="16"/>
                <w:szCs w:val="16"/>
              </w:rPr>
              <w:t>4,9</w:t>
            </w:r>
          </w:p>
        </w:tc>
        <w:tc>
          <w:tcPr>
            <w:tcW w:w="595" w:type="dxa"/>
            <w:tcBorders>
              <w:top w:val="nil"/>
              <w:left w:val="nil"/>
              <w:bottom w:val="nil"/>
              <w:right w:val="nil"/>
            </w:tcBorders>
            <w:shd w:val="clear" w:color="auto" w:fill="auto"/>
            <w:noWrap/>
            <w:vAlign w:val="center"/>
            <w:hideMark/>
          </w:tcPr>
          <w:p w14:paraId="069E48D7" w14:textId="70096EFB" w:rsidR="00A9687B" w:rsidRPr="00D92E20" w:rsidRDefault="00A9687B" w:rsidP="00A9687B">
            <w:pPr>
              <w:spacing w:after="0" w:line="240" w:lineRule="auto"/>
              <w:jc w:val="center"/>
              <w:rPr>
                <w:rFonts w:cs="Arial"/>
                <w:color w:val="000000"/>
                <w:sz w:val="16"/>
                <w:szCs w:val="16"/>
              </w:rPr>
            </w:pPr>
            <w:r>
              <w:rPr>
                <w:rFonts w:cs="Arial"/>
                <w:sz w:val="16"/>
                <w:szCs w:val="16"/>
              </w:rPr>
              <w:t>5,1</w:t>
            </w:r>
          </w:p>
        </w:tc>
        <w:tc>
          <w:tcPr>
            <w:tcW w:w="595" w:type="dxa"/>
            <w:tcBorders>
              <w:top w:val="nil"/>
              <w:left w:val="nil"/>
              <w:bottom w:val="nil"/>
              <w:right w:val="nil"/>
            </w:tcBorders>
            <w:shd w:val="clear" w:color="auto" w:fill="auto"/>
            <w:noWrap/>
            <w:vAlign w:val="center"/>
            <w:hideMark/>
          </w:tcPr>
          <w:p w14:paraId="015D1994" w14:textId="7C4AF2A9" w:rsidR="00A9687B" w:rsidRPr="00D92E20" w:rsidRDefault="00A9687B" w:rsidP="00A9687B">
            <w:pPr>
              <w:spacing w:after="0" w:line="240" w:lineRule="auto"/>
              <w:jc w:val="center"/>
              <w:rPr>
                <w:rFonts w:cs="Arial"/>
                <w:color w:val="000000"/>
                <w:sz w:val="16"/>
                <w:szCs w:val="16"/>
              </w:rPr>
            </w:pPr>
            <w:r>
              <w:rPr>
                <w:rFonts w:cs="Arial"/>
                <w:color w:val="000000"/>
                <w:sz w:val="16"/>
                <w:szCs w:val="16"/>
              </w:rPr>
              <w:t>5,2</w:t>
            </w:r>
          </w:p>
        </w:tc>
        <w:tc>
          <w:tcPr>
            <w:tcW w:w="595" w:type="dxa"/>
            <w:tcBorders>
              <w:top w:val="nil"/>
              <w:left w:val="nil"/>
              <w:bottom w:val="nil"/>
              <w:right w:val="nil"/>
            </w:tcBorders>
            <w:shd w:val="clear" w:color="auto" w:fill="auto"/>
            <w:noWrap/>
            <w:vAlign w:val="center"/>
            <w:hideMark/>
          </w:tcPr>
          <w:p w14:paraId="6BAB0274" w14:textId="2214C60F" w:rsidR="00A9687B" w:rsidRPr="00D92E20" w:rsidRDefault="00A9687B" w:rsidP="00A9687B">
            <w:pPr>
              <w:spacing w:after="0" w:line="240" w:lineRule="auto"/>
              <w:jc w:val="center"/>
              <w:rPr>
                <w:rFonts w:cs="Arial"/>
                <w:color w:val="000000"/>
                <w:sz w:val="16"/>
                <w:szCs w:val="16"/>
              </w:rPr>
            </w:pPr>
            <w:r>
              <w:rPr>
                <w:rFonts w:cs="Arial"/>
                <w:color w:val="000000"/>
                <w:sz w:val="16"/>
                <w:szCs w:val="16"/>
              </w:rPr>
              <w:t>5,3</w:t>
            </w:r>
          </w:p>
        </w:tc>
        <w:tc>
          <w:tcPr>
            <w:tcW w:w="595" w:type="dxa"/>
            <w:tcBorders>
              <w:top w:val="nil"/>
              <w:left w:val="nil"/>
              <w:bottom w:val="nil"/>
              <w:right w:val="nil"/>
            </w:tcBorders>
            <w:shd w:val="clear" w:color="auto" w:fill="auto"/>
            <w:noWrap/>
            <w:vAlign w:val="center"/>
            <w:hideMark/>
          </w:tcPr>
          <w:p w14:paraId="1A8A051E" w14:textId="7AF64B08" w:rsidR="00A9687B" w:rsidRPr="00D92E20" w:rsidRDefault="00A9687B" w:rsidP="00A9687B">
            <w:pPr>
              <w:spacing w:after="0" w:line="240" w:lineRule="auto"/>
              <w:jc w:val="center"/>
              <w:rPr>
                <w:rFonts w:cs="Arial"/>
                <w:color w:val="000000"/>
                <w:sz w:val="16"/>
                <w:szCs w:val="16"/>
              </w:rPr>
            </w:pPr>
            <w:r>
              <w:rPr>
                <w:rFonts w:cs="Arial"/>
                <w:color w:val="000000"/>
                <w:sz w:val="16"/>
                <w:szCs w:val="16"/>
              </w:rPr>
              <w:t>5,2</w:t>
            </w:r>
          </w:p>
        </w:tc>
        <w:tc>
          <w:tcPr>
            <w:tcW w:w="595" w:type="dxa"/>
            <w:tcBorders>
              <w:top w:val="nil"/>
              <w:left w:val="nil"/>
              <w:bottom w:val="nil"/>
              <w:right w:val="nil"/>
            </w:tcBorders>
            <w:shd w:val="clear" w:color="auto" w:fill="auto"/>
            <w:noWrap/>
            <w:vAlign w:val="center"/>
            <w:hideMark/>
          </w:tcPr>
          <w:p w14:paraId="3BF32159" w14:textId="60F5C90F" w:rsidR="00A9687B" w:rsidRPr="00D92E20" w:rsidRDefault="00A9687B" w:rsidP="00A9687B">
            <w:pPr>
              <w:spacing w:after="0" w:line="240" w:lineRule="auto"/>
              <w:jc w:val="center"/>
              <w:rPr>
                <w:rFonts w:cs="Arial"/>
                <w:color w:val="000000"/>
                <w:sz w:val="16"/>
                <w:szCs w:val="16"/>
              </w:rPr>
            </w:pPr>
            <w:r>
              <w:rPr>
                <w:rFonts w:cs="Arial"/>
                <w:color w:val="000000"/>
                <w:sz w:val="16"/>
                <w:szCs w:val="16"/>
              </w:rPr>
              <w:t>5,2</w:t>
            </w:r>
          </w:p>
        </w:tc>
        <w:tc>
          <w:tcPr>
            <w:tcW w:w="595" w:type="dxa"/>
            <w:tcBorders>
              <w:top w:val="nil"/>
              <w:left w:val="nil"/>
              <w:bottom w:val="nil"/>
              <w:right w:val="nil"/>
            </w:tcBorders>
            <w:shd w:val="clear" w:color="auto" w:fill="auto"/>
            <w:noWrap/>
            <w:vAlign w:val="center"/>
            <w:hideMark/>
          </w:tcPr>
          <w:p w14:paraId="795317D0" w14:textId="3ABDEDA6" w:rsidR="00A9687B" w:rsidRPr="00D92E20" w:rsidRDefault="00A9687B" w:rsidP="00A9687B">
            <w:pPr>
              <w:spacing w:after="0" w:line="240" w:lineRule="auto"/>
              <w:jc w:val="center"/>
              <w:rPr>
                <w:rFonts w:cs="Arial"/>
                <w:color w:val="000000"/>
                <w:sz w:val="16"/>
                <w:szCs w:val="16"/>
              </w:rPr>
            </w:pPr>
            <w:r>
              <w:rPr>
                <w:rFonts w:cs="Arial"/>
                <w:color w:val="000000"/>
                <w:sz w:val="16"/>
                <w:szCs w:val="16"/>
              </w:rPr>
              <w:t>5,9</w:t>
            </w:r>
          </w:p>
        </w:tc>
        <w:tc>
          <w:tcPr>
            <w:tcW w:w="595" w:type="dxa"/>
            <w:tcBorders>
              <w:top w:val="nil"/>
              <w:left w:val="nil"/>
              <w:bottom w:val="nil"/>
              <w:right w:val="nil"/>
            </w:tcBorders>
            <w:shd w:val="clear" w:color="auto" w:fill="auto"/>
            <w:noWrap/>
            <w:vAlign w:val="center"/>
            <w:hideMark/>
          </w:tcPr>
          <w:p w14:paraId="03C58785" w14:textId="3CD6D477" w:rsidR="00A9687B" w:rsidRPr="00D92E20" w:rsidRDefault="00A9687B" w:rsidP="00A9687B">
            <w:pPr>
              <w:spacing w:after="0" w:line="240" w:lineRule="auto"/>
              <w:jc w:val="center"/>
              <w:rPr>
                <w:rFonts w:cs="Arial"/>
                <w:color w:val="000000"/>
                <w:sz w:val="16"/>
                <w:szCs w:val="16"/>
              </w:rPr>
            </w:pPr>
            <w:r>
              <w:rPr>
                <w:rFonts w:cs="Arial"/>
                <w:color w:val="000000"/>
                <w:sz w:val="16"/>
                <w:szCs w:val="16"/>
              </w:rPr>
              <w:t>6,4</w:t>
            </w:r>
          </w:p>
        </w:tc>
        <w:tc>
          <w:tcPr>
            <w:tcW w:w="595" w:type="dxa"/>
            <w:tcBorders>
              <w:top w:val="nil"/>
              <w:left w:val="nil"/>
              <w:bottom w:val="nil"/>
              <w:right w:val="nil"/>
            </w:tcBorders>
            <w:shd w:val="clear" w:color="auto" w:fill="auto"/>
            <w:noWrap/>
            <w:vAlign w:val="center"/>
            <w:hideMark/>
          </w:tcPr>
          <w:p w14:paraId="4BEC9DA8" w14:textId="0E512BDC" w:rsidR="00A9687B" w:rsidRPr="00D92E20" w:rsidRDefault="00A9687B" w:rsidP="00A9687B">
            <w:pPr>
              <w:spacing w:after="0" w:line="240" w:lineRule="auto"/>
              <w:jc w:val="center"/>
              <w:rPr>
                <w:rFonts w:cs="Arial"/>
                <w:color w:val="000000"/>
                <w:sz w:val="16"/>
                <w:szCs w:val="16"/>
              </w:rPr>
            </w:pPr>
            <w:r>
              <w:rPr>
                <w:rFonts w:cs="Arial"/>
                <w:color w:val="000000"/>
                <w:sz w:val="16"/>
                <w:szCs w:val="16"/>
              </w:rPr>
              <w:t>5,9</w:t>
            </w:r>
          </w:p>
        </w:tc>
      </w:tr>
      <w:tr w:rsidR="00A9687B" w:rsidRPr="00D92E20" w14:paraId="679070A0" w14:textId="77777777" w:rsidTr="006C7D54">
        <w:trPr>
          <w:trHeight w:val="480"/>
        </w:trPr>
        <w:tc>
          <w:tcPr>
            <w:tcW w:w="3118" w:type="dxa"/>
            <w:tcBorders>
              <w:top w:val="nil"/>
              <w:left w:val="nil"/>
              <w:bottom w:val="nil"/>
              <w:right w:val="single" w:sz="4" w:space="0" w:color="auto"/>
            </w:tcBorders>
            <w:shd w:val="clear" w:color="auto" w:fill="auto"/>
            <w:vAlign w:val="center"/>
            <w:hideMark/>
          </w:tcPr>
          <w:p w14:paraId="0D1F895A" w14:textId="17B31194" w:rsidR="00A9687B" w:rsidRPr="00D92E20" w:rsidRDefault="00A9687B" w:rsidP="00A9687B">
            <w:pPr>
              <w:spacing w:after="0" w:line="240" w:lineRule="auto"/>
              <w:ind w:firstLineChars="100" w:firstLine="160"/>
              <w:rPr>
                <w:rFonts w:cs="Arial"/>
                <w:color w:val="000000"/>
                <w:sz w:val="16"/>
                <w:szCs w:val="16"/>
              </w:rPr>
            </w:pPr>
            <w:r w:rsidRPr="00D92E20">
              <w:rPr>
                <w:rFonts w:cs="Arial"/>
                <w:color w:val="000000"/>
                <w:sz w:val="16"/>
                <w:szCs w:val="16"/>
              </w:rPr>
              <w:t xml:space="preserve">G – Velkoobchod a maloobchod; </w:t>
            </w:r>
            <w:r w:rsidRPr="00D92E20">
              <w:rPr>
                <w:rFonts w:cs="Arial"/>
                <w:color w:val="000000"/>
                <w:sz w:val="16"/>
                <w:szCs w:val="16"/>
              </w:rPr>
              <w:br/>
              <w:t xml:space="preserve">       </w:t>
            </w:r>
            <w:r>
              <w:rPr>
                <w:rFonts w:cs="Arial"/>
                <w:color w:val="000000"/>
                <w:sz w:val="16"/>
                <w:szCs w:val="16"/>
              </w:rPr>
              <w:t xml:space="preserve">  </w:t>
            </w:r>
            <w:r w:rsidRPr="00D92E20">
              <w:rPr>
                <w:rFonts w:cs="Arial"/>
                <w:color w:val="000000"/>
                <w:sz w:val="16"/>
                <w:szCs w:val="16"/>
              </w:rPr>
              <w:t>opravy a údržba motorových</w:t>
            </w:r>
            <w:r>
              <w:rPr>
                <w:rFonts w:cs="Arial"/>
                <w:color w:val="000000"/>
                <w:sz w:val="16"/>
                <w:szCs w:val="16"/>
              </w:rPr>
              <w:t xml:space="preserve"> </w:t>
            </w:r>
            <w:r w:rsidRPr="00D92E20">
              <w:rPr>
                <w:rFonts w:cs="Arial"/>
                <w:color w:val="000000"/>
                <w:sz w:val="16"/>
                <w:szCs w:val="16"/>
              </w:rPr>
              <w:t>vozidel</w:t>
            </w:r>
          </w:p>
        </w:tc>
        <w:tc>
          <w:tcPr>
            <w:tcW w:w="595" w:type="dxa"/>
            <w:tcBorders>
              <w:top w:val="nil"/>
              <w:left w:val="nil"/>
              <w:bottom w:val="nil"/>
              <w:right w:val="nil"/>
            </w:tcBorders>
            <w:shd w:val="clear" w:color="auto" w:fill="auto"/>
            <w:noWrap/>
            <w:vAlign w:val="center"/>
            <w:hideMark/>
          </w:tcPr>
          <w:p w14:paraId="0DE4EA9C" w14:textId="049439F1" w:rsidR="00A9687B" w:rsidRPr="00D92E20" w:rsidRDefault="00A9687B" w:rsidP="00A9687B">
            <w:pPr>
              <w:spacing w:after="0" w:line="240" w:lineRule="auto"/>
              <w:jc w:val="center"/>
              <w:rPr>
                <w:rFonts w:cs="Arial"/>
                <w:color w:val="000000"/>
                <w:sz w:val="16"/>
                <w:szCs w:val="16"/>
              </w:rPr>
            </w:pPr>
            <w:r>
              <w:rPr>
                <w:rFonts w:cs="Arial"/>
                <w:sz w:val="16"/>
                <w:szCs w:val="16"/>
              </w:rPr>
              <w:t>3,5</w:t>
            </w:r>
          </w:p>
        </w:tc>
        <w:tc>
          <w:tcPr>
            <w:tcW w:w="595" w:type="dxa"/>
            <w:tcBorders>
              <w:top w:val="nil"/>
              <w:left w:val="nil"/>
              <w:bottom w:val="nil"/>
              <w:right w:val="nil"/>
            </w:tcBorders>
            <w:shd w:val="clear" w:color="auto" w:fill="auto"/>
            <w:noWrap/>
            <w:vAlign w:val="center"/>
            <w:hideMark/>
          </w:tcPr>
          <w:p w14:paraId="22091CE5" w14:textId="48CCA623" w:rsidR="00A9687B" w:rsidRPr="00D92E20" w:rsidRDefault="00A9687B" w:rsidP="00A9687B">
            <w:pPr>
              <w:spacing w:after="0" w:line="240" w:lineRule="auto"/>
              <w:jc w:val="center"/>
              <w:rPr>
                <w:rFonts w:cs="Arial"/>
                <w:color w:val="000000"/>
                <w:sz w:val="16"/>
                <w:szCs w:val="16"/>
              </w:rPr>
            </w:pPr>
            <w:r>
              <w:rPr>
                <w:rFonts w:cs="Arial"/>
                <w:sz w:val="16"/>
                <w:szCs w:val="16"/>
              </w:rPr>
              <w:t>3,9</w:t>
            </w:r>
          </w:p>
        </w:tc>
        <w:tc>
          <w:tcPr>
            <w:tcW w:w="595" w:type="dxa"/>
            <w:tcBorders>
              <w:top w:val="nil"/>
              <w:left w:val="nil"/>
              <w:bottom w:val="nil"/>
              <w:right w:val="nil"/>
            </w:tcBorders>
            <w:shd w:val="clear" w:color="auto" w:fill="auto"/>
            <w:noWrap/>
            <w:vAlign w:val="center"/>
            <w:hideMark/>
          </w:tcPr>
          <w:p w14:paraId="52A635D6" w14:textId="39280B45" w:rsidR="00A9687B" w:rsidRPr="00D92E20" w:rsidRDefault="00A9687B" w:rsidP="00A9687B">
            <w:pPr>
              <w:spacing w:after="0" w:line="240" w:lineRule="auto"/>
              <w:jc w:val="center"/>
              <w:rPr>
                <w:rFonts w:cs="Arial"/>
                <w:color w:val="000000"/>
                <w:sz w:val="16"/>
                <w:szCs w:val="16"/>
              </w:rPr>
            </w:pPr>
            <w:r>
              <w:rPr>
                <w:rFonts w:cs="Arial"/>
                <w:sz w:val="16"/>
                <w:szCs w:val="16"/>
              </w:rPr>
              <w:t>3,8</w:t>
            </w:r>
          </w:p>
        </w:tc>
        <w:tc>
          <w:tcPr>
            <w:tcW w:w="595" w:type="dxa"/>
            <w:tcBorders>
              <w:top w:val="nil"/>
              <w:left w:val="nil"/>
              <w:bottom w:val="nil"/>
              <w:right w:val="nil"/>
            </w:tcBorders>
            <w:shd w:val="clear" w:color="auto" w:fill="auto"/>
            <w:noWrap/>
            <w:vAlign w:val="center"/>
            <w:hideMark/>
          </w:tcPr>
          <w:p w14:paraId="4D6C38DE" w14:textId="056355F6" w:rsidR="00A9687B" w:rsidRPr="00D92E20" w:rsidRDefault="00A9687B" w:rsidP="00A9687B">
            <w:pPr>
              <w:spacing w:after="0" w:line="240" w:lineRule="auto"/>
              <w:jc w:val="center"/>
              <w:rPr>
                <w:rFonts w:cs="Arial"/>
                <w:color w:val="000000"/>
                <w:sz w:val="16"/>
                <w:szCs w:val="16"/>
              </w:rPr>
            </w:pPr>
            <w:r>
              <w:rPr>
                <w:rFonts w:cs="Arial"/>
                <w:sz w:val="16"/>
                <w:szCs w:val="16"/>
              </w:rPr>
              <w:t>4,2</w:t>
            </w:r>
          </w:p>
        </w:tc>
        <w:tc>
          <w:tcPr>
            <w:tcW w:w="595" w:type="dxa"/>
            <w:tcBorders>
              <w:top w:val="nil"/>
              <w:left w:val="nil"/>
              <w:bottom w:val="nil"/>
              <w:right w:val="nil"/>
            </w:tcBorders>
            <w:shd w:val="clear" w:color="auto" w:fill="auto"/>
            <w:noWrap/>
            <w:vAlign w:val="center"/>
            <w:hideMark/>
          </w:tcPr>
          <w:p w14:paraId="4BCE8C97" w14:textId="556F6491" w:rsidR="00A9687B" w:rsidRPr="00D92E20" w:rsidRDefault="00A9687B" w:rsidP="00A9687B">
            <w:pPr>
              <w:spacing w:after="0" w:line="240" w:lineRule="auto"/>
              <w:jc w:val="center"/>
              <w:rPr>
                <w:rFonts w:cs="Arial"/>
                <w:color w:val="000000"/>
                <w:sz w:val="16"/>
                <w:szCs w:val="16"/>
              </w:rPr>
            </w:pPr>
            <w:r>
              <w:rPr>
                <w:rFonts w:cs="Arial"/>
                <w:color w:val="000000"/>
                <w:sz w:val="16"/>
                <w:szCs w:val="16"/>
              </w:rPr>
              <w:t>4,4</w:t>
            </w:r>
          </w:p>
        </w:tc>
        <w:tc>
          <w:tcPr>
            <w:tcW w:w="595" w:type="dxa"/>
            <w:tcBorders>
              <w:top w:val="nil"/>
              <w:left w:val="nil"/>
              <w:bottom w:val="nil"/>
              <w:right w:val="nil"/>
            </w:tcBorders>
            <w:shd w:val="clear" w:color="auto" w:fill="auto"/>
            <w:noWrap/>
            <w:vAlign w:val="center"/>
            <w:hideMark/>
          </w:tcPr>
          <w:p w14:paraId="4DF464EE" w14:textId="0944BB59" w:rsidR="00A9687B" w:rsidRPr="00D92E20" w:rsidRDefault="00A9687B" w:rsidP="00A9687B">
            <w:pPr>
              <w:spacing w:after="0" w:line="240" w:lineRule="auto"/>
              <w:jc w:val="center"/>
              <w:rPr>
                <w:rFonts w:cs="Arial"/>
                <w:color w:val="000000"/>
                <w:sz w:val="16"/>
                <w:szCs w:val="16"/>
              </w:rPr>
            </w:pPr>
            <w:r>
              <w:rPr>
                <w:rFonts w:cs="Arial"/>
                <w:color w:val="000000"/>
                <w:sz w:val="16"/>
                <w:szCs w:val="16"/>
              </w:rPr>
              <w:t>4,6</w:t>
            </w:r>
          </w:p>
        </w:tc>
        <w:tc>
          <w:tcPr>
            <w:tcW w:w="595" w:type="dxa"/>
            <w:tcBorders>
              <w:top w:val="nil"/>
              <w:left w:val="nil"/>
              <w:bottom w:val="nil"/>
              <w:right w:val="nil"/>
            </w:tcBorders>
            <w:shd w:val="clear" w:color="auto" w:fill="auto"/>
            <w:noWrap/>
            <w:vAlign w:val="center"/>
            <w:hideMark/>
          </w:tcPr>
          <w:p w14:paraId="33D0E3C4" w14:textId="5C16A232" w:rsidR="00A9687B" w:rsidRPr="00D92E20" w:rsidRDefault="00A9687B" w:rsidP="00A9687B">
            <w:pPr>
              <w:spacing w:after="0" w:line="240" w:lineRule="auto"/>
              <w:jc w:val="center"/>
              <w:rPr>
                <w:rFonts w:cs="Arial"/>
                <w:color w:val="000000"/>
                <w:sz w:val="16"/>
                <w:szCs w:val="16"/>
              </w:rPr>
            </w:pPr>
            <w:r>
              <w:rPr>
                <w:rFonts w:cs="Arial"/>
                <w:color w:val="000000"/>
                <w:sz w:val="16"/>
                <w:szCs w:val="16"/>
              </w:rPr>
              <w:t>4,9</w:t>
            </w:r>
          </w:p>
        </w:tc>
        <w:tc>
          <w:tcPr>
            <w:tcW w:w="595" w:type="dxa"/>
            <w:tcBorders>
              <w:top w:val="nil"/>
              <w:left w:val="nil"/>
              <w:bottom w:val="nil"/>
              <w:right w:val="nil"/>
            </w:tcBorders>
            <w:shd w:val="clear" w:color="auto" w:fill="auto"/>
            <w:noWrap/>
            <w:vAlign w:val="center"/>
            <w:hideMark/>
          </w:tcPr>
          <w:p w14:paraId="6FBE9FDB" w14:textId="5A868383" w:rsidR="00A9687B" w:rsidRPr="00D92E20" w:rsidRDefault="00A9687B" w:rsidP="00A9687B">
            <w:pPr>
              <w:spacing w:after="0" w:line="240" w:lineRule="auto"/>
              <w:jc w:val="center"/>
              <w:rPr>
                <w:rFonts w:cs="Arial"/>
                <w:color w:val="000000"/>
                <w:sz w:val="16"/>
                <w:szCs w:val="16"/>
              </w:rPr>
            </w:pPr>
            <w:r>
              <w:rPr>
                <w:rFonts w:cs="Arial"/>
                <w:color w:val="000000"/>
                <w:sz w:val="16"/>
                <w:szCs w:val="16"/>
              </w:rPr>
              <w:t>5,1</w:t>
            </w:r>
          </w:p>
        </w:tc>
        <w:tc>
          <w:tcPr>
            <w:tcW w:w="595" w:type="dxa"/>
            <w:tcBorders>
              <w:top w:val="nil"/>
              <w:left w:val="nil"/>
              <w:bottom w:val="nil"/>
              <w:right w:val="nil"/>
            </w:tcBorders>
            <w:shd w:val="clear" w:color="auto" w:fill="auto"/>
            <w:noWrap/>
            <w:vAlign w:val="center"/>
            <w:hideMark/>
          </w:tcPr>
          <w:p w14:paraId="7F078399" w14:textId="6B2EAD36" w:rsidR="00A9687B" w:rsidRPr="00D92E20" w:rsidRDefault="00A9687B" w:rsidP="00A9687B">
            <w:pPr>
              <w:spacing w:after="0" w:line="240" w:lineRule="auto"/>
              <w:jc w:val="center"/>
              <w:rPr>
                <w:rFonts w:cs="Arial"/>
                <w:color w:val="000000"/>
                <w:sz w:val="16"/>
                <w:szCs w:val="16"/>
              </w:rPr>
            </w:pPr>
            <w:r>
              <w:rPr>
                <w:rFonts w:cs="Arial"/>
                <w:color w:val="000000"/>
                <w:sz w:val="16"/>
                <w:szCs w:val="16"/>
              </w:rPr>
              <w:t>5,9</w:t>
            </w:r>
          </w:p>
        </w:tc>
        <w:tc>
          <w:tcPr>
            <w:tcW w:w="595" w:type="dxa"/>
            <w:tcBorders>
              <w:top w:val="nil"/>
              <w:left w:val="nil"/>
              <w:bottom w:val="nil"/>
              <w:right w:val="nil"/>
            </w:tcBorders>
            <w:shd w:val="clear" w:color="auto" w:fill="auto"/>
            <w:noWrap/>
            <w:vAlign w:val="center"/>
            <w:hideMark/>
          </w:tcPr>
          <w:p w14:paraId="5E508C47" w14:textId="423A0A13" w:rsidR="00A9687B" w:rsidRPr="00D92E20" w:rsidRDefault="00A9687B" w:rsidP="00A9687B">
            <w:pPr>
              <w:spacing w:after="0" w:line="240" w:lineRule="auto"/>
              <w:jc w:val="center"/>
              <w:rPr>
                <w:rFonts w:cs="Arial"/>
                <w:color w:val="000000"/>
                <w:sz w:val="16"/>
                <w:szCs w:val="16"/>
              </w:rPr>
            </w:pPr>
            <w:r>
              <w:rPr>
                <w:rFonts w:cs="Arial"/>
                <w:color w:val="000000"/>
                <w:sz w:val="16"/>
                <w:szCs w:val="16"/>
              </w:rPr>
              <w:t>6,3</w:t>
            </w:r>
          </w:p>
        </w:tc>
        <w:tc>
          <w:tcPr>
            <w:tcW w:w="595" w:type="dxa"/>
            <w:tcBorders>
              <w:top w:val="nil"/>
              <w:left w:val="nil"/>
              <w:bottom w:val="nil"/>
              <w:right w:val="nil"/>
            </w:tcBorders>
            <w:shd w:val="clear" w:color="auto" w:fill="auto"/>
            <w:noWrap/>
            <w:vAlign w:val="center"/>
            <w:hideMark/>
          </w:tcPr>
          <w:p w14:paraId="532257D5" w14:textId="10517053" w:rsidR="00A9687B" w:rsidRPr="00D92E20" w:rsidRDefault="00A9687B" w:rsidP="00A9687B">
            <w:pPr>
              <w:spacing w:after="0" w:line="240" w:lineRule="auto"/>
              <w:jc w:val="center"/>
              <w:rPr>
                <w:rFonts w:cs="Arial"/>
                <w:color w:val="000000"/>
                <w:sz w:val="16"/>
                <w:szCs w:val="16"/>
              </w:rPr>
            </w:pPr>
            <w:r>
              <w:rPr>
                <w:rFonts w:cs="Arial"/>
                <w:color w:val="000000"/>
                <w:sz w:val="16"/>
                <w:szCs w:val="16"/>
              </w:rPr>
              <w:t>6,1</w:t>
            </w:r>
          </w:p>
        </w:tc>
      </w:tr>
      <w:tr w:rsidR="00A9687B" w:rsidRPr="00D92E20" w14:paraId="19EAA2A1" w14:textId="77777777" w:rsidTr="006C7D54">
        <w:trPr>
          <w:trHeight w:val="300"/>
        </w:trPr>
        <w:tc>
          <w:tcPr>
            <w:tcW w:w="3118" w:type="dxa"/>
            <w:tcBorders>
              <w:top w:val="nil"/>
              <w:left w:val="nil"/>
              <w:bottom w:val="nil"/>
              <w:right w:val="single" w:sz="4" w:space="0" w:color="auto"/>
            </w:tcBorders>
            <w:shd w:val="clear" w:color="auto" w:fill="auto"/>
            <w:vAlign w:val="center"/>
            <w:hideMark/>
          </w:tcPr>
          <w:p w14:paraId="2B3D99B2" w14:textId="77777777" w:rsidR="00A9687B" w:rsidRPr="00D92E20" w:rsidRDefault="00A9687B" w:rsidP="00A9687B">
            <w:pPr>
              <w:spacing w:after="0" w:line="240" w:lineRule="auto"/>
              <w:ind w:firstLineChars="100" w:firstLine="160"/>
              <w:rPr>
                <w:rFonts w:cs="Arial"/>
                <w:color w:val="000000"/>
                <w:sz w:val="16"/>
                <w:szCs w:val="16"/>
              </w:rPr>
            </w:pPr>
            <w:r w:rsidRPr="00D92E20">
              <w:rPr>
                <w:rFonts w:cs="Arial"/>
                <w:color w:val="000000"/>
                <w:sz w:val="16"/>
                <w:szCs w:val="16"/>
              </w:rPr>
              <w:t>H – Doprava a skladování</w:t>
            </w:r>
          </w:p>
        </w:tc>
        <w:tc>
          <w:tcPr>
            <w:tcW w:w="595" w:type="dxa"/>
            <w:tcBorders>
              <w:top w:val="nil"/>
              <w:left w:val="nil"/>
              <w:bottom w:val="nil"/>
              <w:right w:val="nil"/>
            </w:tcBorders>
            <w:shd w:val="clear" w:color="auto" w:fill="auto"/>
            <w:noWrap/>
            <w:vAlign w:val="center"/>
            <w:hideMark/>
          </w:tcPr>
          <w:p w14:paraId="753E06E5" w14:textId="2DA0DE98" w:rsidR="00A9687B" w:rsidRPr="00D92E20" w:rsidRDefault="00A9687B" w:rsidP="00A9687B">
            <w:pPr>
              <w:spacing w:after="0" w:line="240" w:lineRule="auto"/>
              <w:jc w:val="center"/>
              <w:rPr>
                <w:rFonts w:cs="Arial"/>
                <w:color w:val="000000"/>
                <w:sz w:val="16"/>
                <w:szCs w:val="16"/>
              </w:rPr>
            </w:pPr>
            <w:r>
              <w:rPr>
                <w:rFonts w:cs="Arial"/>
                <w:sz w:val="16"/>
                <w:szCs w:val="16"/>
              </w:rPr>
              <w:t>3,6</w:t>
            </w:r>
          </w:p>
        </w:tc>
        <w:tc>
          <w:tcPr>
            <w:tcW w:w="595" w:type="dxa"/>
            <w:tcBorders>
              <w:top w:val="nil"/>
              <w:left w:val="nil"/>
              <w:bottom w:val="nil"/>
              <w:right w:val="nil"/>
            </w:tcBorders>
            <w:shd w:val="clear" w:color="auto" w:fill="auto"/>
            <w:noWrap/>
            <w:vAlign w:val="center"/>
            <w:hideMark/>
          </w:tcPr>
          <w:p w14:paraId="679B7919" w14:textId="773AFD3A" w:rsidR="00A9687B" w:rsidRPr="00D92E20" w:rsidRDefault="00A9687B" w:rsidP="00A9687B">
            <w:pPr>
              <w:spacing w:after="0" w:line="240" w:lineRule="auto"/>
              <w:jc w:val="center"/>
              <w:rPr>
                <w:rFonts w:cs="Arial"/>
                <w:color w:val="000000"/>
                <w:sz w:val="16"/>
                <w:szCs w:val="16"/>
              </w:rPr>
            </w:pPr>
            <w:r>
              <w:rPr>
                <w:rFonts w:cs="Arial"/>
                <w:sz w:val="16"/>
                <w:szCs w:val="16"/>
              </w:rPr>
              <w:t>4,1</w:t>
            </w:r>
          </w:p>
        </w:tc>
        <w:tc>
          <w:tcPr>
            <w:tcW w:w="595" w:type="dxa"/>
            <w:tcBorders>
              <w:top w:val="nil"/>
              <w:left w:val="nil"/>
              <w:bottom w:val="nil"/>
              <w:right w:val="nil"/>
            </w:tcBorders>
            <w:shd w:val="clear" w:color="auto" w:fill="auto"/>
            <w:noWrap/>
            <w:vAlign w:val="center"/>
            <w:hideMark/>
          </w:tcPr>
          <w:p w14:paraId="5281A24D" w14:textId="14672310" w:rsidR="00A9687B" w:rsidRPr="00D92E20" w:rsidRDefault="00A9687B" w:rsidP="00A9687B">
            <w:pPr>
              <w:spacing w:after="0" w:line="240" w:lineRule="auto"/>
              <w:jc w:val="center"/>
              <w:rPr>
                <w:rFonts w:cs="Arial"/>
                <w:color w:val="000000"/>
                <w:sz w:val="16"/>
                <w:szCs w:val="16"/>
              </w:rPr>
            </w:pPr>
            <w:r>
              <w:rPr>
                <w:rFonts w:cs="Arial"/>
                <w:sz w:val="16"/>
                <w:szCs w:val="16"/>
              </w:rPr>
              <w:t>4,0</w:t>
            </w:r>
          </w:p>
        </w:tc>
        <w:tc>
          <w:tcPr>
            <w:tcW w:w="595" w:type="dxa"/>
            <w:tcBorders>
              <w:top w:val="nil"/>
              <w:left w:val="nil"/>
              <w:bottom w:val="nil"/>
              <w:right w:val="nil"/>
            </w:tcBorders>
            <w:shd w:val="clear" w:color="auto" w:fill="auto"/>
            <w:noWrap/>
            <w:vAlign w:val="center"/>
            <w:hideMark/>
          </w:tcPr>
          <w:p w14:paraId="523C453B" w14:textId="75EA43BB" w:rsidR="00A9687B" w:rsidRPr="00D92E20" w:rsidRDefault="00A9687B" w:rsidP="00A9687B">
            <w:pPr>
              <w:spacing w:after="0" w:line="240" w:lineRule="auto"/>
              <w:jc w:val="center"/>
              <w:rPr>
                <w:rFonts w:cs="Arial"/>
                <w:color w:val="000000"/>
                <w:sz w:val="16"/>
                <w:szCs w:val="16"/>
              </w:rPr>
            </w:pPr>
            <w:r>
              <w:rPr>
                <w:rFonts w:cs="Arial"/>
                <w:sz w:val="16"/>
                <w:szCs w:val="16"/>
              </w:rPr>
              <w:t>4,3</w:t>
            </w:r>
          </w:p>
        </w:tc>
        <w:tc>
          <w:tcPr>
            <w:tcW w:w="595" w:type="dxa"/>
            <w:tcBorders>
              <w:top w:val="nil"/>
              <w:left w:val="nil"/>
              <w:bottom w:val="nil"/>
              <w:right w:val="nil"/>
            </w:tcBorders>
            <w:shd w:val="clear" w:color="auto" w:fill="auto"/>
            <w:noWrap/>
            <w:vAlign w:val="center"/>
            <w:hideMark/>
          </w:tcPr>
          <w:p w14:paraId="6D38B96E" w14:textId="137F8DD8" w:rsidR="00A9687B" w:rsidRPr="00D92E20" w:rsidRDefault="00A9687B" w:rsidP="00A9687B">
            <w:pPr>
              <w:spacing w:after="0" w:line="240" w:lineRule="auto"/>
              <w:jc w:val="center"/>
              <w:rPr>
                <w:rFonts w:cs="Arial"/>
                <w:color w:val="000000"/>
                <w:sz w:val="16"/>
                <w:szCs w:val="16"/>
              </w:rPr>
            </w:pPr>
            <w:r>
              <w:rPr>
                <w:rFonts w:cs="Arial"/>
                <w:color w:val="000000"/>
                <w:sz w:val="16"/>
                <w:szCs w:val="16"/>
              </w:rPr>
              <w:t>4,5</w:t>
            </w:r>
          </w:p>
        </w:tc>
        <w:tc>
          <w:tcPr>
            <w:tcW w:w="595" w:type="dxa"/>
            <w:tcBorders>
              <w:top w:val="nil"/>
              <w:left w:val="nil"/>
              <w:bottom w:val="nil"/>
              <w:right w:val="nil"/>
            </w:tcBorders>
            <w:shd w:val="clear" w:color="auto" w:fill="auto"/>
            <w:noWrap/>
            <w:vAlign w:val="center"/>
            <w:hideMark/>
          </w:tcPr>
          <w:p w14:paraId="342E985D" w14:textId="5994093B" w:rsidR="00A9687B" w:rsidRPr="00D92E20" w:rsidRDefault="00A9687B" w:rsidP="00A9687B">
            <w:pPr>
              <w:spacing w:after="0" w:line="240" w:lineRule="auto"/>
              <w:jc w:val="center"/>
              <w:rPr>
                <w:rFonts w:cs="Arial"/>
                <w:color w:val="000000"/>
                <w:sz w:val="16"/>
                <w:szCs w:val="16"/>
              </w:rPr>
            </w:pPr>
            <w:r>
              <w:rPr>
                <w:rFonts w:cs="Arial"/>
                <w:color w:val="000000"/>
                <w:sz w:val="16"/>
                <w:szCs w:val="16"/>
              </w:rPr>
              <w:t>4,7</w:t>
            </w:r>
          </w:p>
        </w:tc>
        <w:tc>
          <w:tcPr>
            <w:tcW w:w="595" w:type="dxa"/>
            <w:tcBorders>
              <w:top w:val="nil"/>
              <w:left w:val="nil"/>
              <w:bottom w:val="nil"/>
              <w:right w:val="nil"/>
            </w:tcBorders>
            <w:shd w:val="clear" w:color="auto" w:fill="auto"/>
            <w:noWrap/>
            <w:vAlign w:val="center"/>
            <w:hideMark/>
          </w:tcPr>
          <w:p w14:paraId="7A97F4BC" w14:textId="017D88D7" w:rsidR="00A9687B" w:rsidRPr="00D92E20" w:rsidRDefault="00A9687B" w:rsidP="00A9687B">
            <w:pPr>
              <w:spacing w:after="0" w:line="240" w:lineRule="auto"/>
              <w:jc w:val="center"/>
              <w:rPr>
                <w:rFonts w:cs="Arial"/>
                <w:color w:val="000000"/>
                <w:sz w:val="16"/>
                <w:szCs w:val="16"/>
              </w:rPr>
            </w:pPr>
            <w:r>
              <w:rPr>
                <w:rFonts w:cs="Arial"/>
                <w:color w:val="000000"/>
                <w:sz w:val="16"/>
                <w:szCs w:val="16"/>
              </w:rPr>
              <w:t>5,1</w:t>
            </w:r>
          </w:p>
        </w:tc>
        <w:tc>
          <w:tcPr>
            <w:tcW w:w="595" w:type="dxa"/>
            <w:tcBorders>
              <w:top w:val="nil"/>
              <w:left w:val="nil"/>
              <w:bottom w:val="nil"/>
              <w:right w:val="nil"/>
            </w:tcBorders>
            <w:shd w:val="clear" w:color="auto" w:fill="auto"/>
            <w:noWrap/>
            <w:vAlign w:val="center"/>
            <w:hideMark/>
          </w:tcPr>
          <w:p w14:paraId="3294BF0B" w14:textId="731B11A8" w:rsidR="00A9687B" w:rsidRPr="00D92E20" w:rsidRDefault="00A9687B" w:rsidP="00A9687B">
            <w:pPr>
              <w:spacing w:after="0" w:line="240" w:lineRule="auto"/>
              <w:jc w:val="center"/>
              <w:rPr>
                <w:rFonts w:cs="Arial"/>
                <w:color w:val="000000"/>
                <w:sz w:val="16"/>
                <w:szCs w:val="16"/>
              </w:rPr>
            </w:pPr>
            <w:r>
              <w:rPr>
                <w:rFonts w:cs="Arial"/>
                <w:color w:val="000000"/>
                <w:sz w:val="16"/>
                <w:szCs w:val="16"/>
              </w:rPr>
              <w:t>5,1</w:t>
            </w:r>
          </w:p>
        </w:tc>
        <w:tc>
          <w:tcPr>
            <w:tcW w:w="595" w:type="dxa"/>
            <w:tcBorders>
              <w:top w:val="nil"/>
              <w:left w:val="nil"/>
              <w:bottom w:val="nil"/>
              <w:right w:val="nil"/>
            </w:tcBorders>
            <w:shd w:val="clear" w:color="auto" w:fill="auto"/>
            <w:noWrap/>
            <w:vAlign w:val="center"/>
            <w:hideMark/>
          </w:tcPr>
          <w:p w14:paraId="0F71CE75" w14:textId="2CDFC803" w:rsidR="00A9687B" w:rsidRPr="00D92E20" w:rsidRDefault="00A9687B" w:rsidP="00A9687B">
            <w:pPr>
              <w:spacing w:after="0" w:line="240" w:lineRule="auto"/>
              <w:jc w:val="center"/>
              <w:rPr>
                <w:rFonts w:cs="Arial"/>
                <w:color w:val="000000"/>
                <w:sz w:val="16"/>
                <w:szCs w:val="16"/>
              </w:rPr>
            </w:pPr>
            <w:r>
              <w:rPr>
                <w:rFonts w:cs="Arial"/>
                <w:color w:val="000000"/>
                <w:sz w:val="16"/>
                <w:szCs w:val="16"/>
              </w:rPr>
              <w:t>6,0</w:t>
            </w:r>
          </w:p>
        </w:tc>
        <w:tc>
          <w:tcPr>
            <w:tcW w:w="595" w:type="dxa"/>
            <w:tcBorders>
              <w:top w:val="nil"/>
              <w:left w:val="nil"/>
              <w:bottom w:val="nil"/>
              <w:right w:val="nil"/>
            </w:tcBorders>
            <w:shd w:val="clear" w:color="auto" w:fill="auto"/>
            <w:noWrap/>
            <w:vAlign w:val="center"/>
            <w:hideMark/>
          </w:tcPr>
          <w:p w14:paraId="1C0A2098" w14:textId="10087E66" w:rsidR="00A9687B" w:rsidRPr="00D92E20" w:rsidRDefault="00A9687B" w:rsidP="00A9687B">
            <w:pPr>
              <w:spacing w:after="0" w:line="240" w:lineRule="auto"/>
              <w:jc w:val="center"/>
              <w:rPr>
                <w:rFonts w:cs="Arial"/>
                <w:color w:val="000000"/>
                <w:sz w:val="16"/>
                <w:szCs w:val="16"/>
              </w:rPr>
            </w:pPr>
            <w:r>
              <w:rPr>
                <w:rFonts w:cs="Arial"/>
                <w:color w:val="000000"/>
                <w:sz w:val="16"/>
                <w:szCs w:val="16"/>
              </w:rPr>
              <w:t>6,7</w:t>
            </w:r>
          </w:p>
        </w:tc>
        <w:tc>
          <w:tcPr>
            <w:tcW w:w="595" w:type="dxa"/>
            <w:tcBorders>
              <w:top w:val="nil"/>
              <w:left w:val="nil"/>
              <w:bottom w:val="nil"/>
              <w:right w:val="nil"/>
            </w:tcBorders>
            <w:shd w:val="clear" w:color="auto" w:fill="auto"/>
            <w:noWrap/>
            <w:vAlign w:val="center"/>
            <w:hideMark/>
          </w:tcPr>
          <w:p w14:paraId="4B9122A3" w14:textId="7A1CA4CC" w:rsidR="00A9687B" w:rsidRPr="00D92E20" w:rsidRDefault="00A9687B" w:rsidP="00A9687B">
            <w:pPr>
              <w:spacing w:after="0" w:line="240" w:lineRule="auto"/>
              <w:jc w:val="center"/>
              <w:rPr>
                <w:rFonts w:cs="Arial"/>
                <w:color w:val="000000"/>
                <w:sz w:val="16"/>
                <w:szCs w:val="16"/>
              </w:rPr>
            </w:pPr>
            <w:r>
              <w:rPr>
                <w:rFonts w:cs="Arial"/>
                <w:color w:val="000000"/>
                <w:sz w:val="16"/>
                <w:szCs w:val="16"/>
              </w:rPr>
              <w:t>6,3</w:t>
            </w:r>
          </w:p>
        </w:tc>
      </w:tr>
      <w:tr w:rsidR="00A9687B" w:rsidRPr="00D92E20" w14:paraId="2269FFD1" w14:textId="77777777" w:rsidTr="006C7D54">
        <w:trPr>
          <w:trHeight w:val="300"/>
        </w:trPr>
        <w:tc>
          <w:tcPr>
            <w:tcW w:w="3118" w:type="dxa"/>
            <w:tcBorders>
              <w:top w:val="nil"/>
              <w:left w:val="nil"/>
              <w:bottom w:val="nil"/>
              <w:right w:val="single" w:sz="4" w:space="0" w:color="auto"/>
            </w:tcBorders>
            <w:shd w:val="clear" w:color="auto" w:fill="auto"/>
            <w:vAlign w:val="center"/>
            <w:hideMark/>
          </w:tcPr>
          <w:p w14:paraId="596DC50A" w14:textId="4E52F9BC" w:rsidR="00A9687B" w:rsidRPr="00D92E20" w:rsidRDefault="00A9687B" w:rsidP="00A9687B">
            <w:pPr>
              <w:spacing w:after="0" w:line="240" w:lineRule="auto"/>
              <w:ind w:firstLineChars="100" w:firstLine="160"/>
              <w:rPr>
                <w:rFonts w:cs="Arial"/>
                <w:color w:val="000000"/>
                <w:sz w:val="16"/>
                <w:szCs w:val="16"/>
              </w:rPr>
            </w:pPr>
            <w:r w:rsidRPr="00D92E20">
              <w:rPr>
                <w:rFonts w:cs="Arial"/>
                <w:color w:val="000000"/>
                <w:sz w:val="16"/>
                <w:szCs w:val="16"/>
              </w:rPr>
              <w:t>I – Ubytování, stravování a pohostinství</w:t>
            </w:r>
          </w:p>
        </w:tc>
        <w:tc>
          <w:tcPr>
            <w:tcW w:w="595" w:type="dxa"/>
            <w:tcBorders>
              <w:top w:val="nil"/>
              <w:left w:val="nil"/>
              <w:bottom w:val="nil"/>
              <w:right w:val="nil"/>
            </w:tcBorders>
            <w:shd w:val="clear" w:color="auto" w:fill="auto"/>
            <w:noWrap/>
            <w:vAlign w:val="center"/>
            <w:hideMark/>
          </w:tcPr>
          <w:p w14:paraId="632D0691" w14:textId="53D0554F" w:rsidR="00A9687B" w:rsidRPr="00D92E20" w:rsidRDefault="00A9687B" w:rsidP="00A9687B">
            <w:pPr>
              <w:spacing w:after="0" w:line="240" w:lineRule="auto"/>
              <w:jc w:val="center"/>
              <w:rPr>
                <w:rFonts w:cs="Arial"/>
                <w:color w:val="000000"/>
                <w:sz w:val="16"/>
                <w:szCs w:val="16"/>
              </w:rPr>
            </w:pPr>
            <w:r>
              <w:rPr>
                <w:rFonts w:cs="Arial"/>
                <w:sz w:val="16"/>
                <w:szCs w:val="16"/>
              </w:rPr>
              <w:t>3,7</w:t>
            </w:r>
          </w:p>
        </w:tc>
        <w:tc>
          <w:tcPr>
            <w:tcW w:w="595" w:type="dxa"/>
            <w:tcBorders>
              <w:top w:val="nil"/>
              <w:left w:val="nil"/>
              <w:bottom w:val="nil"/>
              <w:right w:val="nil"/>
            </w:tcBorders>
            <w:shd w:val="clear" w:color="auto" w:fill="auto"/>
            <w:noWrap/>
            <w:vAlign w:val="center"/>
            <w:hideMark/>
          </w:tcPr>
          <w:p w14:paraId="5161E522" w14:textId="253410D1" w:rsidR="00A9687B" w:rsidRPr="00D92E20" w:rsidRDefault="00A9687B" w:rsidP="00A9687B">
            <w:pPr>
              <w:spacing w:after="0" w:line="240" w:lineRule="auto"/>
              <w:jc w:val="center"/>
              <w:rPr>
                <w:rFonts w:cs="Arial"/>
                <w:color w:val="000000"/>
                <w:sz w:val="16"/>
                <w:szCs w:val="16"/>
              </w:rPr>
            </w:pPr>
            <w:r>
              <w:rPr>
                <w:rFonts w:cs="Arial"/>
                <w:sz w:val="16"/>
                <w:szCs w:val="16"/>
              </w:rPr>
              <w:t>4,1</w:t>
            </w:r>
          </w:p>
        </w:tc>
        <w:tc>
          <w:tcPr>
            <w:tcW w:w="595" w:type="dxa"/>
            <w:tcBorders>
              <w:top w:val="nil"/>
              <w:left w:val="nil"/>
              <w:bottom w:val="nil"/>
              <w:right w:val="nil"/>
            </w:tcBorders>
            <w:shd w:val="clear" w:color="auto" w:fill="auto"/>
            <w:noWrap/>
            <w:vAlign w:val="center"/>
            <w:hideMark/>
          </w:tcPr>
          <w:p w14:paraId="33A017E1" w14:textId="1A600CE2" w:rsidR="00A9687B" w:rsidRPr="00D92E20" w:rsidRDefault="00A9687B" w:rsidP="00A9687B">
            <w:pPr>
              <w:spacing w:after="0" w:line="240" w:lineRule="auto"/>
              <w:jc w:val="center"/>
              <w:rPr>
                <w:rFonts w:cs="Arial"/>
                <w:color w:val="000000"/>
                <w:sz w:val="16"/>
                <w:szCs w:val="16"/>
              </w:rPr>
            </w:pPr>
            <w:r>
              <w:rPr>
                <w:rFonts w:cs="Arial"/>
                <w:sz w:val="16"/>
                <w:szCs w:val="16"/>
              </w:rPr>
              <w:t>4,0</w:t>
            </w:r>
          </w:p>
        </w:tc>
        <w:tc>
          <w:tcPr>
            <w:tcW w:w="595" w:type="dxa"/>
            <w:tcBorders>
              <w:top w:val="nil"/>
              <w:left w:val="nil"/>
              <w:bottom w:val="nil"/>
              <w:right w:val="nil"/>
            </w:tcBorders>
            <w:shd w:val="clear" w:color="auto" w:fill="auto"/>
            <w:noWrap/>
            <w:vAlign w:val="center"/>
            <w:hideMark/>
          </w:tcPr>
          <w:p w14:paraId="1FC0D401" w14:textId="78FB3FDD" w:rsidR="00A9687B" w:rsidRPr="00D92E20" w:rsidRDefault="00A9687B" w:rsidP="00A9687B">
            <w:pPr>
              <w:spacing w:after="0" w:line="240" w:lineRule="auto"/>
              <w:jc w:val="center"/>
              <w:rPr>
                <w:rFonts w:cs="Arial"/>
                <w:color w:val="000000"/>
                <w:sz w:val="16"/>
                <w:szCs w:val="16"/>
              </w:rPr>
            </w:pPr>
            <w:r>
              <w:rPr>
                <w:rFonts w:cs="Arial"/>
                <w:sz w:val="16"/>
                <w:szCs w:val="16"/>
              </w:rPr>
              <w:t>4,3</w:t>
            </w:r>
          </w:p>
        </w:tc>
        <w:tc>
          <w:tcPr>
            <w:tcW w:w="595" w:type="dxa"/>
            <w:tcBorders>
              <w:top w:val="nil"/>
              <w:left w:val="nil"/>
              <w:bottom w:val="nil"/>
              <w:right w:val="nil"/>
            </w:tcBorders>
            <w:shd w:val="clear" w:color="auto" w:fill="auto"/>
            <w:noWrap/>
            <w:vAlign w:val="center"/>
            <w:hideMark/>
          </w:tcPr>
          <w:p w14:paraId="4391E5DB" w14:textId="4CAF0617" w:rsidR="00A9687B" w:rsidRPr="00D92E20" w:rsidRDefault="00A9687B" w:rsidP="00A9687B">
            <w:pPr>
              <w:spacing w:after="0" w:line="240" w:lineRule="auto"/>
              <w:jc w:val="center"/>
              <w:rPr>
                <w:rFonts w:cs="Arial"/>
                <w:color w:val="000000"/>
                <w:sz w:val="16"/>
                <w:szCs w:val="16"/>
              </w:rPr>
            </w:pPr>
            <w:r>
              <w:rPr>
                <w:rFonts w:cs="Arial"/>
                <w:color w:val="000000"/>
                <w:sz w:val="16"/>
                <w:szCs w:val="16"/>
              </w:rPr>
              <w:t>4,3</w:t>
            </w:r>
          </w:p>
        </w:tc>
        <w:tc>
          <w:tcPr>
            <w:tcW w:w="595" w:type="dxa"/>
            <w:tcBorders>
              <w:top w:val="nil"/>
              <w:left w:val="nil"/>
              <w:bottom w:val="nil"/>
              <w:right w:val="nil"/>
            </w:tcBorders>
            <w:shd w:val="clear" w:color="auto" w:fill="auto"/>
            <w:noWrap/>
            <w:vAlign w:val="center"/>
            <w:hideMark/>
          </w:tcPr>
          <w:p w14:paraId="4F2BE4F0" w14:textId="4446A922" w:rsidR="00A9687B" w:rsidRPr="00D92E20" w:rsidRDefault="00A9687B" w:rsidP="00A9687B">
            <w:pPr>
              <w:spacing w:after="0" w:line="240" w:lineRule="auto"/>
              <w:jc w:val="center"/>
              <w:rPr>
                <w:rFonts w:cs="Arial"/>
                <w:color w:val="000000"/>
                <w:sz w:val="16"/>
                <w:szCs w:val="16"/>
              </w:rPr>
            </w:pPr>
            <w:r>
              <w:rPr>
                <w:rFonts w:cs="Arial"/>
                <w:color w:val="000000"/>
                <w:sz w:val="16"/>
                <w:szCs w:val="16"/>
              </w:rPr>
              <w:t>4,4</w:t>
            </w:r>
          </w:p>
        </w:tc>
        <w:tc>
          <w:tcPr>
            <w:tcW w:w="595" w:type="dxa"/>
            <w:tcBorders>
              <w:top w:val="nil"/>
              <w:left w:val="nil"/>
              <w:bottom w:val="nil"/>
              <w:right w:val="nil"/>
            </w:tcBorders>
            <w:shd w:val="clear" w:color="auto" w:fill="auto"/>
            <w:noWrap/>
            <w:vAlign w:val="center"/>
            <w:hideMark/>
          </w:tcPr>
          <w:p w14:paraId="61FAB7FB" w14:textId="7A7C652C" w:rsidR="00A9687B" w:rsidRPr="00D92E20" w:rsidRDefault="00A9687B" w:rsidP="00A9687B">
            <w:pPr>
              <w:spacing w:after="0" w:line="240" w:lineRule="auto"/>
              <w:jc w:val="center"/>
              <w:rPr>
                <w:rFonts w:cs="Arial"/>
                <w:color w:val="000000"/>
                <w:sz w:val="16"/>
                <w:szCs w:val="16"/>
              </w:rPr>
            </w:pPr>
            <w:r>
              <w:rPr>
                <w:rFonts w:cs="Arial"/>
                <w:color w:val="000000"/>
                <w:sz w:val="16"/>
                <w:szCs w:val="16"/>
              </w:rPr>
              <w:t>4,6</w:t>
            </w:r>
          </w:p>
        </w:tc>
        <w:tc>
          <w:tcPr>
            <w:tcW w:w="595" w:type="dxa"/>
            <w:tcBorders>
              <w:top w:val="nil"/>
              <w:left w:val="nil"/>
              <w:bottom w:val="nil"/>
              <w:right w:val="nil"/>
            </w:tcBorders>
            <w:shd w:val="clear" w:color="auto" w:fill="auto"/>
            <w:noWrap/>
            <w:vAlign w:val="center"/>
            <w:hideMark/>
          </w:tcPr>
          <w:p w14:paraId="6A710E7E" w14:textId="36F308B4" w:rsidR="00A9687B" w:rsidRPr="00D92E20" w:rsidRDefault="00A9687B" w:rsidP="00A9687B">
            <w:pPr>
              <w:spacing w:after="0" w:line="240" w:lineRule="auto"/>
              <w:jc w:val="center"/>
              <w:rPr>
                <w:rFonts w:cs="Arial"/>
                <w:color w:val="000000"/>
                <w:sz w:val="16"/>
                <w:szCs w:val="16"/>
              </w:rPr>
            </w:pPr>
            <w:r>
              <w:rPr>
                <w:rFonts w:cs="Arial"/>
                <w:color w:val="000000"/>
                <w:sz w:val="16"/>
                <w:szCs w:val="16"/>
              </w:rPr>
              <w:t>4,8</w:t>
            </w:r>
          </w:p>
        </w:tc>
        <w:tc>
          <w:tcPr>
            <w:tcW w:w="595" w:type="dxa"/>
            <w:tcBorders>
              <w:top w:val="nil"/>
              <w:left w:val="nil"/>
              <w:bottom w:val="nil"/>
              <w:right w:val="nil"/>
            </w:tcBorders>
            <w:shd w:val="clear" w:color="auto" w:fill="auto"/>
            <w:noWrap/>
            <w:vAlign w:val="center"/>
            <w:hideMark/>
          </w:tcPr>
          <w:p w14:paraId="0E45F0B6" w14:textId="694B529D" w:rsidR="00A9687B" w:rsidRPr="00D92E20" w:rsidRDefault="00A9687B" w:rsidP="00A9687B">
            <w:pPr>
              <w:spacing w:after="0" w:line="240" w:lineRule="auto"/>
              <w:jc w:val="center"/>
              <w:rPr>
                <w:rFonts w:cs="Arial"/>
                <w:color w:val="000000"/>
                <w:sz w:val="16"/>
                <w:szCs w:val="16"/>
              </w:rPr>
            </w:pPr>
            <w:r>
              <w:rPr>
                <w:rFonts w:cs="Arial"/>
                <w:color w:val="000000"/>
                <w:sz w:val="16"/>
                <w:szCs w:val="16"/>
              </w:rPr>
              <w:t>7,0</w:t>
            </w:r>
          </w:p>
        </w:tc>
        <w:tc>
          <w:tcPr>
            <w:tcW w:w="595" w:type="dxa"/>
            <w:tcBorders>
              <w:top w:val="nil"/>
              <w:left w:val="nil"/>
              <w:bottom w:val="nil"/>
              <w:right w:val="nil"/>
            </w:tcBorders>
            <w:shd w:val="clear" w:color="auto" w:fill="auto"/>
            <w:noWrap/>
            <w:vAlign w:val="center"/>
            <w:hideMark/>
          </w:tcPr>
          <w:p w14:paraId="2C30300A" w14:textId="5920C22F" w:rsidR="00A9687B" w:rsidRPr="00D92E20" w:rsidRDefault="00A9687B" w:rsidP="00A9687B">
            <w:pPr>
              <w:spacing w:after="0" w:line="240" w:lineRule="auto"/>
              <w:jc w:val="center"/>
              <w:rPr>
                <w:rFonts w:cs="Arial"/>
                <w:color w:val="000000"/>
                <w:sz w:val="16"/>
                <w:szCs w:val="16"/>
              </w:rPr>
            </w:pPr>
            <w:r>
              <w:rPr>
                <w:rFonts w:cs="Arial"/>
                <w:color w:val="000000"/>
                <w:sz w:val="16"/>
                <w:szCs w:val="16"/>
              </w:rPr>
              <w:t>5,5</w:t>
            </w:r>
          </w:p>
        </w:tc>
        <w:tc>
          <w:tcPr>
            <w:tcW w:w="595" w:type="dxa"/>
            <w:tcBorders>
              <w:top w:val="nil"/>
              <w:left w:val="nil"/>
              <w:bottom w:val="nil"/>
              <w:right w:val="nil"/>
            </w:tcBorders>
            <w:shd w:val="clear" w:color="auto" w:fill="auto"/>
            <w:noWrap/>
            <w:vAlign w:val="center"/>
            <w:hideMark/>
          </w:tcPr>
          <w:p w14:paraId="4FAFB2C5" w14:textId="4FCC0ACE" w:rsidR="00A9687B" w:rsidRPr="00D92E20" w:rsidRDefault="00A9687B" w:rsidP="00A9687B">
            <w:pPr>
              <w:spacing w:after="0" w:line="240" w:lineRule="auto"/>
              <w:jc w:val="center"/>
              <w:rPr>
                <w:rFonts w:cs="Arial"/>
                <w:color w:val="000000"/>
                <w:sz w:val="16"/>
                <w:szCs w:val="16"/>
              </w:rPr>
            </w:pPr>
            <w:r>
              <w:rPr>
                <w:rFonts w:cs="Arial"/>
                <w:color w:val="000000"/>
                <w:sz w:val="16"/>
                <w:szCs w:val="16"/>
              </w:rPr>
              <w:t>5,7</w:t>
            </w:r>
          </w:p>
        </w:tc>
      </w:tr>
      <w:tr w:rsidR="00A9687B" w:rsidRPr="00D92E20" w14:paraId="2D3175CC" w14:textId="77777777" w:rsidTr="006C7D54">
        <w:trPr>
          <w:trHeight w:val="300"/>
        </w:trPr>
        <w:tc>
          <w:tcPr>
            <w:tcW w:w="3118" w:type="dxa"/>
            <w:tcBorders>
              <w:top w:val="nil"/>
              <w:left w:val="nil"/>
              <w:bottom w:val="nil"/>
              <w:right w:val="single" w:sz="4" w:space="0" w:color="auto"/>
            </w:tcBorders>
            <w:shd w:val="clear" w:color="auto" w:fill="auto"/>
            <w:vAlign w:val="center"/>
            <w:hideMark/>
          </w:tcPr>
          <w:p w14:paraId="5787BD01" w14:textId="77777777" w:rsidR="00A9687B" w:rsidRPr="00D92E20" w:rsidRDefault="00A9687B" w:rsidP="00A9687B">
            <w:pPr>
              <w:spacing w:after="0" w:line="240" w:lineRule="auto"/>
              <w:ind w:firstLineChars="100" w:firstLine="160"/>
              <w:rPr>
                <w:rFonts w:cs="Arial"/>
                <w:color w:val="000000"/>
                <w:sz w:val="16"/>
                <w:szCs w:val="16"/>
              </w:rPr>
            </w:pPr>
            <w:r w:rsidRPr="00D92E20">
              <w:rPr>
                <w:rFonts w:cs="Arial"/>
                <w:color w:val="000000"/>
                <w:sz w:val="16"/>
                <w:szCs w:val="16"/>
              </w:rPr>
              <w:t>J – Informační a komunikační činnosti</w:t>
            </w:r>
          </w:p>
        </w:tc>
        <w:tc>
          <w:tcPr>
            <w:tcW w:w="595" w:type="dxa"/>
            <w:tcBorders>
              <w:top w:val="nil"/>
              <w:left w:val="nil"/>
              <w:bottom w:val="nil"/>
              <w:right w:val="nil"/>
            </w:tcBorders>
            <w:shd w:val="clear" w:color="auto" w:fill="auto"/>
            <w:noWrap/>
            <w:vAlign w:val="center"/>
            <w:hideMark/>
          </w:tcPr>
          <w:p w14:paraId="0D6AC587" w14:textId="38EE4503" w:rsidR="00A9687B" w:rsidRPr="00D92E20" w:rsidRDefault="00A9687B" w:rsidP="00A9687B">
            <w:pPr>
              <w:spacing w:after="0" w:line="240" w:lineRule="auto"/>
              <w:jc w:val="center"/>
              <w:rPr>
                <w:rFonts w:cs="Arial"/>
                <w:color w:val="000000"/>
                <w:sz w:val="16"/>
                <w:szCs w:val="16"/>
              </w:rPr>
            </w:pPr>
            <w:r>
              <w:rPr>
                <w:rFonts w:cs="Arial"/>
                <w:sz w:val="16"/>
                <w:szCs w:val="16"/>
              </w:rPr>
              <w:t>1,7</w:t>
            </w:r>
          </w:p>
        </w:tc>
        <w:tc>
          <w:tcPr>
            <w:tcW w:w="595" w:type="dxa"/>
            <w:tcBorders>
              <w:top w:val="nil"/>
              <w:left w:val="nil"/>
              <w:bottom w:val="nil"/>
              <w:right w:val="nil"/>
            </w:tcBorders>
            <w:shd w:val="clear" w:color="auto" w:fill="auto"/>
            <w:noWrap/>
            <w:vAlign w:val="center"/>
            <w:hideMark/>
          </w:tcPr>
          <w:p w14:paraId="542890AD" w14:textId="7C080B06" w:rsidR="00A9687B" w:rsidRPr="00D92E20" w:rsidRDefault="00A9687B" w:rsidP="00A9687B">
            <w:pPr>
              <w:spacing w:after="0" w:line="240" w:lineRule="auto"/>
              <w:jc w:val="center"/>
              <w:rPr>
                <w:rFonts w:cs="Arial"/>
                <w:color w:val="000000"/>
                <w:sz w:val="16"/>
                <w:szCs w:val="16"/>
              </w:rPr>
            </w:pPr>
            <w:r>
              <w:rPr>
                <w:rFonts w:cs="Arial"/>
                <w:sz w:val="16"/>
                <w:szCs w:val="16"/>
              </w:rPr>
              <w:t>1,9</w:t>
            </w:r>
          </w:p>
        </w:tc>
        <w:tc>
          <w:tcPr>
            <w:tcW w:w="595" w:type="dxa"/>
            <w:tcBorders>
              <w:top w:val="nil"/>
              <w:left w:val="nil"/>
              <w:bottom w:val="nil"/>
              <w:right w:val="nil"/>
            </w:tcBorders>
            <w:shd w:val="clear" w:color="auto" w:fill="auto"/>
            <w:noWrap/>
            <w:vAlign w:val="center"/>
            <w:hideMark/>
          </w:tcPr>
          <w:p w14:paraId="33432560" w14:textId="03A535D8" w:rsidR="00A9687B" w:rsidRPr="00D92E20" w:rsidRDefault="00A9687B" w:rsidP="00A9687B">
            <w:pPr>
              <w:spacing w:after="0" w:line="240" w:lineRule="auto"/>
              <w:jc w:val="center"/>
              <w:rPr>
                <w:rFonts w:cs="Arial"/>
                <w:color w:val="000000"/>
                <w:sz w:val="16"/>
                <w:szCs w:val="16"/>
              </w:rPr>
            </w:pPr>
            <w:r>
              <w:rPr>
                <w:rFonts w:cs="Arial"/>
                <w:sz w:val="16"/>
                <w:szCs w:val="16"/>
              </w:rPr>
              <w:t>1,7</w:t>
            </w:r>
          </w:p>
        </w:tc>
        <w:tc>
          <w:tcPr>
            <w:tcW w:w="595" w:type="dxa"/>
            <w:tcBorders>
              <w:top w:val="nil"/>
              <w:left w:val="nil"/>
              <w:bottom w:val="nil"/>
              <w:right w:val="nil"/>
            </w:tcBorders>
            <w:shd w:val="clear" w:color="auto" w:fill="auto"/>
            <w:noWrap/>
            <w:vAlign w:val="center"/>
            <w:hideMark/>
          </w:tcPr>
          <w:p w14:paraId="31FD9643" w14:textId="08391EC2" w:rsidR="00A9687B" w:rsidRPr="00D92E20" w:rsidRDefault="00A9687B" w:rsidP="00A9687B">
            <w:pPr>
              <w:spacing w:after="0" w:line="240" w:lineRule="auto"/>
              <w:jc w:val="center"/>
              <w:rPr>
                <w:rFonts w:cs="Arial"/>
                <w:color w:val="000000"/>
                <w:sz w:val="16"/>
                <w:szCs w:val="16"/>
              </w:rPr>
            </w:pPr>
            <w:r>
              <w:rPr>
                <w:rFonts w:cs="Arial"/>
                <w:sz w:val="16"/>
                <w:szCs w:val="16"/>
              </w:rPr>
              <w:t>1,9</w:t>
            </w:r>
          </w:p>
        </w:tc>
        <w:tc>
          <w:tcPr>
            <w:tcW w:w="595" w:type="dxa"/>
            <w:tcBorders>
              <w:top w:val="nil"/>
              <w:left w:val="nil"/>
              <w:bottom w:val="nil"/>
              <w:right w:val="nil"/>
            </w:tcBorders>
            <w:shd w:val="clear" w:color="auto" w:fill="auto"/>
            <w:noWrap/>
            <w:vAlign w:val="center"/>
            <w:hideMark/>
          </w:tcPr>
          <w:p w14:paraId="687A5FA1" w14:textId="2DE84955" w:rsidR="00A9687B" w:rsidRPr="00D92E20" w:rsidRDefault="00A9687B" w:rsidP="00A9687B">
            <w:pPr>
              <w:spacing w:after="0" w:line="240" w:lineRule="auto"/>
              <w:jc w:val="center"/>
              <w:rPr>
                <w:rFonts w:cs="Arial"/>
                <w:color w:val="000000"/>
                <w:sz w:val="16"/>
                <w:szCs w:val="16"/>
              </w:rPr>
            </w:pPr>
            <w:r>
              <w:rPr>
                <w:rFonts w:cs="Arial"/>
                <w:color w:val="000000"/>
                <w:sz w:val="16"/>
                <w:szCs w:val="16"/>
              </w:rPr>
              <w:t>1,8</w:t>
            </w:r>
          </w:p>
        </w:tc>
        <w:tc>
          <w:tcPr>
            <w:tcW w:w="595" w:type="dxa"/>
            <w:tcBorders>
              <w:top w:val="nil"/>
              <w:left w:val="nil"/>
              <w:bottom w:val="nil"/>
              <w:right w:val="nil"/>
            </w:tcBorders>
            <w:shd w:val="clear" w:color="auto" w:fill="auto"/>
            <w:noWrap/>
            <w:vAlign w:val="center"/>
            <w:hideMark/>
          </w:tcPr>
          <w:p w14:paraId="39B394C8" w14:textId="3DF8CACB" w:rsidR="00A9687B" w:rsidRPr="00D92E20" w:rsidRDefault="00A9687B" w:rsidP="00A9687B">
            <w:pPr>
              <w:spacing w:after="0" w:line="240" w:lineRule="auto"/>
              <w:jc w:val="center"/>
              <w:rPr>
                <w:rFonts w:cs="Arial"/>
                <w:color w:val="000000"/>
                <w:sz w:val="16"/>
                <w:szCs w:val="16"/>
              </w:rPr>
            </w:pPr>
            <w:r>
              <w:rPr>
                <w:rFonts w:cs="Arial"/>
                <w:color w:val="000000"/>
                <w:sz w:val="16"/>
                <w:szCs w:val="16"/>
              </w:rPr>
              <w:t>1,9</w:t>
            </w:r>
          </w:p>
        </w:tc>
        <w:tc>
          <w:tcPr>
            <w:tcW w:w="595" w:type="dxa"/>
            <w:tcBorders>
              <w:top w:val="nil"/>
              <w:left w:val="nil"/>
              <w:bottom w:val="nil"/>
              <w:right w:val="nil"/>
            </w:tcBorders>
            <w:shd w:val="clear" w:color="auto" w:fill="auto"/>
            <w:noWrap/>
            <w:vAlign w:val="center"/>
            <w:hideMark/>
          </w:tcPr>
          <w:p w14:paraId="395F88B6" w14:textId="736F21B1" w:rsidR="00A9687B" w:rsidRPr="00D92E20" w:rsidRDefault="00A9687B" w:rsidP="00A9687B">
            <w:pPr>
              <w:spacing w:after="0" w:line="240" w:lineRule="auto"/>
              <w:jc w:val="center"/>
              <w:rPr>
                <w:rFonts w:cs="Arial"/>
                <w:color w:val="000000"/>
                <w:sz w:val="16"/>
                <w:szCs w:val="16"/>
              </w:rPr>
            </w:pPr>
            <w:r>
              <w:rPr>
                <w:rFonts w:cs="Arial"/>
                <w:color w:val="000000"/>
                <w:sz w:val="16"/>
                <w:szCs w:val="16"/>
              </w:rPr>
              <w:t>2,0</w:t>
            </w:r>
          </w:p>
        </w:tc>
        <w:tc>
          <w:tcPr>
            <w:tcW w:w="595" w:type="dxa"/>
            <w:tcBorders>
              <w:top w:val="nil"/>
              <w:left w:val="nil"/>
              <w:bottom w:val="nil"/>
              <w:right w:val="nil"/>
            </w:tcBorders>
            <w:shd w:val="clear" w:color="auto" w:fill="auto"/>
            <w:noWrap/>
            <w:vAlign w:val="center"/>
            <w:hideMark/>
          </w:tcPr>
          <w:p w14:paraId="210C6F9B" w14:textId="23E3B344" w:rsidR="00A9687B" w:rsidRPr="00D92E20" w:rsidRDefault="00A9687B" w:rsidP="00A9687B">
            <w:pPr>
              <w:spacing w:after="0" w:line="240" w:lineRule="auto"/>
              <w:jc w:val="center"/>
              <w:rPr>
                <w:rFonts w:cs="Arial"/>
                <w:color w:val="000000"/>
                <w:sz w:val="16"/>
                <w:szCs w:val="16"/>
              </w:rPr>
            </w:pPr>
            <w:r>
              <w:rPr>
                <w:rFonts w:cs="Arial"/>
                <w:color w:val="000000"/>
                <w:sz w:val="16"/>
                <w:szCs w:val="16"/>
              </w:rPr>
              <w:t>2,0</w:t>
            </w:r>
          </w:p>
        </w:tc>
        <w:tc>
          <w:tcPr>
            <w:tcW w:w="595" w:type="dxa"/>
            <w:tcBorders>
              <w:top w:val="nil"/>
              <w:left w:val="nil"/>
              <w:bottom w:val="nil"/>
              <w:right w:val="nil"/>
            </w:tcBorders>
            <w:shd w:val="clear" w:color="auto" w:fill="auto"/>
            <w:noWrap/>
            <w:vAlign w:val="center"/>
            <w:hideMark/>
          </w:tcPr>
          <w:p w14:paraId="75225DB4" w14:textId="317B0F3C" w:rsidR="00A9687B" w:rsidRPr="00D92E20" w:rsidRDefault="00A9687B" w:rsidP="00A9687B">
            <w:pPr>
              <w:spacing w:after="0" w:line="240" w:lineRule="auto"/>
              <w:jc w:val="center"/>
              <w:rPr>
                <w:rFonts w:cs="Arial"/>
                <w:color w:val="000000"/>
                <w:sz w:val="16"/>
                <w:szCs w:val="16"/>
              </w:rPr>
            </w:pPr>
            <w:r>
              <w:rPr>
                <w:rFonts w:cs="Arial"/>
                <w:color w:val="000000"/>
                <w:sz w:val="16"/>
                <w:szCs w:val="16"/>
              </w:rPr>
              <w:t>1,9</w:t>
            </w:r>
          </w:p>
        </w:tc>
        <w:tc>
          <w:tcPr>
            <w:tcW w:w="595" w:type="dxa"/>
            <w:tcBorders>
              <w:top w:val="nil"/>
              <w:left w:val="nil"/>
              <w:bottom w:val="nil"/>
              <w:right w:val="nil"/>
            </w:tcBorders>
            <w:shd w:val="clear" w:color="auto" w:fill="auto"/>
            <w:noWrap/>
            <w:vAlign w:val="center"/>
            <w:hideMark/>
          </w:tcPr>
          <w:p w14:paraId="4271BEC6" w14:textId="10AB0F30" w:rsidR="00A9687B" w:rsidRPr="00D92E20" w:rsidRDefault="00A9687B" w:rsidP="00A9687B">
            <w:pPr>
              <w:spacing w:after="0" w:line="240" w:lineRule="auto"/>
              <w:jc w:val="center"/>
              <w:rPr>
                <w:rFonts w:cs="Arial"/>
                <w:color w:val="000000"/>
                <w:sz w:val="16"/>
                <w:szCs w:val="16"/>
              </w:rPr>
            </w:pPr>
            <w:r>
              <w:rPr>
                <w:rFonts w:cs="Arial"/>
                <w:color w:val="000000"/>
                <w:sz w:val="16"/>
                <w:szCs w:val="16"/>
              </w:rPr>
              <w:t>2,0</w:t>
            </w:r>
          </w:p>
        </w:tc>
        <w:tc>
          <w:tcPr>
            <w:tcW w:w="595" w:type="dxa"/>
            <w:tcBorders>
              <w:top w:val="nil"/>
              <w:left w:val="nil"/>
              <w:bottom w:val="nil"/>
              <w:right w:val="nil"/>
            </w:tcBorders>
            <w:shd w:val="clear" w:color="auto" w:fill="auto"/>
            <w:noWrap/>
            <w:vAlign w:val="center"/>
            <w:hideMark/>
          </w:tcPr>
          <w:p w14:paraId="20B0797D" w14:textId="7932E031" w:rsidR="00A9687B" w:rsidRPr="00D92E20" w:rsidRDefault="00A9687B" w:rsidP="00A9687B">
            <w:pPr>
              <w:spacing w:after="0" w:line="240" w:lineRule="auto"/>
              <w:jc w:val="center"/>
              <w:rPr>
                <w:rFonts w:cs="Arial"/>
                <w:color w:val="000000"/>
                <w:sz w:val="16"/>
                <w:szCs w:val="16"/>
              </w:rPr>
            </w:pPr>
            <w:r>
              <w:rPr>
                <w:rFonts w:cs="Arial"/>
                <w:color w:val="000000"/>
                <w:sz w:val="16"/>
                <w:szCs w:val="16"/>
              </w:rPr>
              <w:t>2,0</w:t>
            </w:r>
          </w:p>
        </w:tc>
      </w:tr>
      <w:tr w:rsidR="00A9687B" w:rsidRPr="00D92E20" w14:paraId="25164450" w14:textId="77777777" w:rsidTr="006C7D54">
        <w:trPr>
          <w:trHeight w:val="300"/>
        </w:trPr>
        <w:tc>
          <w:tcPr>
            <w:tcW w:w="3118" w:type="dxa"/>
            <w:tcBorders>
              <w:top w:val="nil"/>
              <w:left w:val="nil"/>
              <w:bottom w:val="nil"/>
              <w:right w:val="single" w:sz="4" w:space="0" w:color="auto"/>
            </w:tcBorders>
            <w:shd w:val="clear" w:color="auto" w:fill="auto"/>
            <w:vAlign w:val="center"/>
            <w:hideMark/>
          </w:tcPr>
          <w:p w14:paraId="5D80CE3A" w14:textId="77777777" w:rsidR="00A9687B" w:rsidRPr="00D92E20" w:rsidRDefault="00A9687B" w:rsidP="00A9687B">
            <w:pPr>
              <w:spacing w:after="0" w:line="240" w:lineRule="auto"/>
              <w:ind w:firstLineChars="100" w:firstLine="160"/>
              <w:rPr>
                <w:rFonts w:cs="Arial"/>
                <w:color w:val="000000"/>
                <w:sz w:val="16"/>
                <w:szCs w:val="16"/>
              </w:rPr>
            </w:pPr>
            <w:r w:rsidRPr="00D92E20">
              <w:rPr>
                <w:rFonts w:cs="Arial"/>
                <w:color w:val="000000"/>
                <w:sz w:val="16"/>
                <w:szCs w:val="16"/>
              </w:rPr>
              <w:t>K – Peněžnictví a pojišťovnictví</w:t>
            </w:r>
          </w:p>
        </w:tc>
        <w:tc>
          <w:tcPr>
            <w:tcW w:w="595" w:type="dxa"/>
            <w:tcBorders>
              <w:top w:val="nil"/>
              <w:left w:val="nil"/>
              <w:bottom w:val="nil"/>
              <w:right w:val="nil"/>
            </w:tcBorders>
            <w:shd w:val="clear" w:color="auto" w:fill="auto"/>
            <w:noWrap/>
            <w:vAlign w:val="center"/>
            <w:hideMark/>
          </w:tcPr>
          <w:p w14:paraId="31746CF9" w14:textId="4BED317A" w:rsidR="00A9687B" w:rsidRPr="00D92E20" w:rsidRDefault="00A9687B" w:rsidP="00A9687B">
            <w:pPr>
              <w:spacing w:after="0" w:line="240" w:lineRule="auto"/>
              <w:jc w:val="center"/>
              <w:rPr>
                <w:rFonts w:cs="Arial"/>
                <w:color w:val="000000"/>
                <w:sz w:val="16"/>
                <w:szCs w:val="16"/>
              </w:rPr>
            </w:pPr>
            <w:r>
              <w:rPr>
                <w:rFonts w:cs="Arial"/>
                <w:sz w:val="16"/>
                <w:szCs w:val="16"/>
              </w:rPr>
              <w:t>2,4</w:t>
            </w:r>
          </w:p>
        </w:tc>
        <w:tc>
          <w:tcPr>
            <w:tcW w:w="595" w:type="dxa"/>
            <w:tcBorders>
              <w:top w:val="nil"/>
              <w:left w:val="nil"/>
              <w:bottom w:val="nil"/>
              <w:right w:val="nil"/>
            </w:tcBorders>
            <w:shd w:val="clear" w:color="auto" w:fill="auto"/>
            <w:noWrap/>
            <w:vAlign w:val="center"/>
            <w:hideMark/>
          </w:tcPr>
          <w:p w14:paraId="5A85677E" w14:textId="5D2D3132" w:rsidR="00A9687B" w:rsidRPr="00D92E20" w:rsidRDefault="00A9687B" w:rsidP="00A9687B">
            <w:pPr>
              <w:spacing w:after="0" w:line="240" w:lineRule="auto"/>
              <w:jc w:val="center"/>
              <w:rPr>
                <w:rFonts w:cs="Arial"/>
                <w:color w:val="000000"/>
                <w:sz w:val="16"/>
                <w:szCs w:val="16"/>
              </w:rPr>
            </w:pPr>
            <w:r>
              <w:rPr>
                <w:rFonts w:cs="Arial"/>
                <w:sz w:val="16"/>
                <w:szCs w:val="16"/>
              </w:rPr>
              <w:t>2,5</w:t>
            </w:r>
          </w:p>
        </w:tc>
        <w:tc>
          <w:tcPr>
            <w:tcW w:w="595" w:type="dxa"/>
            <w:tcBorders>
              <w:top w:val="nil"/>
              <w:left w:val="nil"/>
              <w:bottom w:val="nil"/>
              <w:right w:val="nil"/>
            </w:tcBorders>
            <w:shd w:val="clear" w:color="auto" w:fill="auto"/>
            <w:noWrap/>
            <w:vAlign w:val="center"/>
            <w:hideMark/>
          </w:tcPr>
          <w:p w14:paraId="4AE04136" w14:textId="0D097371" w:rsidR="00A9687B" w:rsidRPr="00D92E20" w:rsidRDefault="00A9687B" w:rsidP="00A9687B">
            <w:pPr>
              <w:spacing w:after="0" w:line="240" w:lineRule="auto"/>
              <w:jc w:val="center"/>
              <w:rPr>
                <w:rFonts w:cs="Arial"/>
                <w:color w:val="000000"/>
                <w:sz w:val="16"/>
                <w:szCs w:val="16"/>
              </w:rPr>
            </w:pPr>
            <w:r>
              <w:rPr>
                <w:rFonts w:cs="Arial"/>
                <w:sz w:val="16"/>
                <w:szCs w:val="16"/>
              </w:rPr>
              <w:t>2,4</w:t>
            </w:r>
          </w:p>
        </w:tc>
        <w:tc>
          <w:tcPr>
            <w:tcW w:w="595" w:type="dxa"/>
            <w:tcBorders>
              <w:top w:val="nil"/>
              <w:left w:val="nil"/>
              <w:bottom w:val="nil"/>
              <w:right w:val="nil"/>
            </w:tcBorders>
            <w:shd w:val="clear" w:color="auto" w:fill="auto"/>
            <w:noWrap/>
            <w:vAlign w:val="center"/>
            <w:hideMark/>
          </w:tcPr>
          <w:p w14:paraId="183298CD" w14:textId="5E8B0E7B" w:rsidR="00A9687B" w:rsidRPr="00D92E20" w:rsidRDefault="00A9687B" w:rsidP="00A9687B">
            <w:pPr>
              <w:spacing w:after="0" w:line="240" w:lineRule="auto"/>
              <w:jc w:val="center"/>
              <w:rPr>
                <w:rFonts w:cs="Arial"/>
                <w:color w:val="000000"/>
                <w:sz w:val="16"/>
                <w:szCs w:val="16"/>
              </w:rPr>
            </w:pPr>
            <w:r>
              <w:rPr>
                <w:rFonts w:cs="Arial"/>
                <w:sz w:val="16"/>
                <w:szCs w:val="16"/>
              </w:rPr>
              <w:t>2,8</w:t>
            </w:r>
          </w:p>
        </w:tc>
        <w:tc>
          <w:tcPr>
            <w:tcW w:w="595" w:type="dxa"/>
            <w:tcBorders>
              <w:top w:val="nil"/>
              <w:left w:val="nil"/>
              <w:bottom w:val="nil"/>
              <w:right w:val="nil"/>
            </w:tcBorders>
            <w:shd w:val="clear" w:color="auto" w:fill="auto"/>
            <w:noWrap/>
            <w:vAlign w:val="center"/>
            <w:hideMark/>
          </w:tcPr>
          <w:p w14:paraId="681C9E54" w14:textId="726F984E" w:rsidR="00A9687B" w:rsidRPr="00D92E20" w:rsidRDefault="00A9687B" w:rsidP="00A9687B">
            <w:pPr>
              <w:spacing w:after="0" w:line="240" w:lineRule="auto"/>
              <w:jc w:val="center"/>
              <w:rPr>
                <w:rFonts w:cs="Arial"/>
                <w:color w:val="000000"/>
                <w:sz w:val="16"/>
                <w:szCs w:val="16"/>
              </w:rPr>
            </w:pPr>
            <w:r>
              <w:rPr>
                <w:rFonts w:cs="Arial"/>
                <w:color w:val="000000"/>
                <w:sz w:val="16"/>
                <w:szCs w:val="16"/>
              </w:rPr>
              <w:t>2,7</w:t>
            </w:r>
          </w:p>
        </w:tc>
        <w:tc>
          <w:tcPr>
            <w:tcW w:w="595" w:type="dxa"/>
            <w:tcBorders>
              <w:top w:val="nil"/>
              <w:left w:val="nil"/>
              <w:bottom w:val="nil"/>
              <w:right w:val="nil"/>
            </w:tcBorders>
            <w:shd w:val="clear" w:color="auto" w:fill="auto"/>
            <w:noWrap/>
            <w:vAlign w:val="center"/>
            <w:hideMark/>
          </w:tcPr>
          <w:p w14:paraId="2CF2DCA6" w14:textId="3E4153A6" w:rsidR="00A9687B" w:rsidRPr="00D92E20" w:rsidRDefault="00A9687B" w:rsidP="00A9687B">
            <w:pPr>
              <w:spacing w:after="0" w:line="240" w:lineRule="auto"/>
              <w:jc w:val="center"/>
              <w:rPr>
                <w:rFonts w:cs="Arial"/>
                <w:color w:val="000000"/>
                <w:sz w:val="16"/>
                <w:szCs w:val="16"/>
              </w:rPr>
            </w:pPr>
            <w:r>
              <w:rPr>
                <w:rFonts w:cs="Arial"/>
                <w:color w:val="000000"/>
                <w:sz w:val="16"/>
                <w:szCs w:val="16"/>
              </w:rPr>
              <w:t>2,7</w:t>
            </w:r>
          </w:p>
        </w:tc>
        <w:tc>
          <w:tcPr>
            <w:tcW w:w="595" w:type="dxa"/>
            <w:tcBorders>
              <w:top w:val="nil"/>
              <w:left w:val="nil"/>
              <w:bottom w:val="nil"/>
              <w:right w:val="nil"/>
            </w:tcBorders>
            <w:shd w:val="clear" w:color="auto" w:fill="auto"/>
            <w:noWrap/>
            <w:vAlign w:val="center"/>
            <w:hideMark/>
          </w:tcPr>
          <w:p w14:paraId="7C07A7DD" w14:textId="1687618F" w:rsidR="00A9687B" w:rsidRPr="00D92E20" w:rsidRDefault="00A9687B" w:rsidP="00A9687B">
            <w:pPr>
              <w:spacing w:after="0" w:line="240" w:lineRule="auto"/>
              <w:jc w:val="center"/>
              <w:rPr>
                <w:rFonts w:cs="Arial"/>
                <w:color w:val="000000"/>
                <w:sz w:val="16"/>
                <w:szCs w:val="16"/>
              </w:rPr>
            </w:pPr>
            <w:r>
              <w:rPr>
                <w:rFonts w:cs="Arial"/>
                <w:color w:val="000000"/>
                <w:sz w:val="16"/>
                <w:szCs w:val="16"/>
              </w:rPr>
              <w:t>2,8</w:t>
            </w:r>
          </w:p>
        </w:tc>
        <w:tc>
          <w:tcPr>
            <w:tcW w:w="595" w:type="dxa"/>
            <w:tcBorders>
              <w:top w:val="nil"/>
              <w:left w:val="nil"/>
              <w:bottom w:val="nil"/>
              <w:right w:val="nil"/>
            </w:tcBorders>
            <w:shd w:val="clear" w:color="auto" w:fill="auto"/>
            <w:noWrap/>
            <w:vAlign w:val="center"/>
            <w:hideMark/>
          </w:tcPr>
          <w:p w14:paraId="4CBFC823" w14:textId="0DA6DB5A" w:rsidR="00A9687B" w:rsidRPr="00D92E20" w:rsidRDefault="00A9687B" w:rsidP="00A9687B">
            <w:pPr>
              <w:spacing w:after="0" w:line="240" w:lineRule="auto"/>
              <w:jc w:val="center"/>
              <w:rPr>
                <w:rFonts w:cs="Arial"/>
                <w:color w:val="000000"/>
                <w:sz w:val="16"/>
                <w:szCs w:val="16"/>
              </w:rPr>
            </w:pPr>
            <w:r>
              <w:rPr>
                <w:rFonts w:cs="Arial"/>
                <w:color w:val="000000"/>
                <w:sz w:val="16"/>
                <w:szCs w:val="16"/>
              </w:rPr>
              <w:t>2,7</w:t>
            </w:r>
          </w:p>
        </w:tc>
        <w:tc>
          <w:tcPr>
            <w:tcW w:w="595" w:type="dxa"/>
            <w:tcBorders>
              <w:top w:val="nil"/>
              <w:left w:val="nil"/>
              <w:bottom w:val="nil"/>
              <w:right w:val="nil"/>
            </w:tcBorders>
            <w:shd w:val="clear" w:color="auto" w:fill="auto"/>
            <w:noWrap/>
            <w:vAlign w:val="center"/>
            <w:hideMark/>
          </w:tcPr>
          <w:p w14:paraId="746DD47B" w14:textId="266A2A00" w:rsidR="00A9687B" w:rsidRPr="00D92E20" w:rsidRDefault="00A9687B" w:rsidP="00A9687B">
            <w:pPr>
              <w:spacing w:after="0" w:line="240" w:lineRule="auto"/>
              <w:jc w:val="center"/>
              <w:rPr>
                <w:rFonts w:cs="Arial"/>
                <w:color w:val="000000"/>
                <w:sz w:val="16"/>
                <w:szCs w:val="16"/>
              </w:rPr>
            </w:pPr>
            <w:r>
              <w:rPr>
                <w:rFonts w:cs="Arial"/>
                <w:color w:val="000000"/>
                <w:sz w:val="16"/>
                <w:szCs w:val="16"/>
              </w:rPr>
              <w:t>2,8</w:t>
            </w:r>
          </w:p>
        </w:tc>
        <w:tc>
          <w:tcPr>
            <w:tcW w:w="595" w:type="dxa"/>
            <w:tcBorders>
              <w:top w:val="nil"/>
              <w:left w:val="nil"/>
              <w:bottom w:val="nil"/>
              <w:right w:val="nil"/>
            </w:tcBorders>
            <w:shd w:val="clear" w:color="auto" w:fill="auto"/>
            <w:noWrap/>
            <w:vAlign w:val="center"/>
            <w:hideMark/>
          </w:tcPr>
          <w:p w14:paraId="347D76DC" w14:textId="32D04DCD" w:rsidR="00A9687B" w:rsidRPr="00D92E20" w:rsidRDefault="00A9687B" w:rsidP="00A9687B">
            <w:pPr>
              <w:spacing w:after="0" w:line="240" w:lineRule="auto"/>
              <w:jc w:val="center"/>
              <w:rPr>
                <w:rFonts w:cs="Arial"/>
                <w:color w:val="000000"/>
                <w:sz w:val="16"/>
                <w:szCs w:val="16"/>
              </w:rPr>
            </w:pPr>
            <w:r>
              <w:rPr>
                <w:rFonts w:cs="Arial"/>
                <w:color w:val="000000"/>
                <w:sz w:val="16"/>
                <w:szCs w:val="16"/>
              </w:rPr>
              <w:t>2,9</w:t>
            </w:r>
          </w:p>
        </w:tc>
        <w:tc>
          <w:tcPr>
            <w:tcW w:w="595" w:type="dxa"/>
            <w:tcBorders>
              <w:top w:val="nil"/>
              <w:left w:val="nil"/>
              <w:bottom w:val="nil"/>
              <w:right w:val="nil"/>
            </w:tcBorders>
            <w:shd w:val="clear" w:color="auto" w:fill="auto"/>
            <w:noWrap/>
            <w:vAlign w:val="center"/>
            <w:hideMark/>
          </w:tcPr>
          <w:p w14:paraId="4C459948" w14:textId="132C4BAB" w:rsidR="00A9687B" w:rsidRPr="00D92E20" w:rsidRDefault="00A9687B" w:rsidP="00A9687B">
            <w:pPr>
              <w:spacing w:after="0" w:line="240" w:lineRule="auto"/>
              <w:jc w:val="center"/>
              <w:rPr>
                <w:rFonts w:cs="Arial"/>
                <w:color w:val="000000"/>
                <w:sz w:val="16"/>
                <w:szCs w:val="16"/>
              </w:rPr>
            </w:pPr>
            <w:r>
              <w:rPr>
                <w:rFonts w:cs="Arial"/>
                <w:color w:val="000000"/>
                <w:sz w:val="16"/>
                <w:szCs w:val="16"/>
              </w:rPr>
              <w:t>2,7</w:t>
            </w:r>
          </w:p>
        </w:tc>
      </w:tr>
      <w:tr w:rsidR="00A9687B" w:rsidRPr="00D92E20" w14:paraId="2450DBF4" w14:textId="77777777" w:rsidTr="006C7D54">
        <w:trPr>
          <w:trHeight w:val="300"/>
        </w:trPr>
        <w:tc>
          <w:tcPr>
            <w:tcW w:w="3118" w:type="dxa"/>
            <w:tcBorders>
              <w:top w:val="nil"/>
              <w:left w:val="nil"/>
              <w:bottom w:val="nil"/>
              <w:right w:val="single" w:sz="4" w:space="0" w:color="auto"/>
            </w:tcBorders>
            <w:shd w:val="clear" w:color="auto" w:fill="auto"/>
            <w:vAlign w:val="center"/>
            <w:hideMark/>
          </w:tcPr>
          <w:p w14:paraId="62476CC7" w14:textId="77777777" w:rsidR="00A9687B" w:rsidRPr="00D92E20" w:rsidRDefault="00A9687B" w:rsidP="00A9687B">
            <w:pPr>
              <w:spacing w:after="0" w:line="240" w:lineRule="auto"/>
              <w:ind w:firstLineChars="100" w:firstLine="160"/>
              <w:rPr>
                <w:rFonts w:cs="Arial"/>
                <w:color w:val="000000"/>
                <w:sz w:val="16"/>
                <w:szCs w:val="16"/>
              </w:rPr>
            </w:pPr>
            <w:r w:rsidRPr="00D92E20">
              <w:rPr>
                <w:rFonts w:cs="Arial"/>
                <w:color w:val="000000"/>
                <w:sz w:val="16"/>
                <w:szCs w:val="16"/>
              </w:rPr>
              <w:t>L – Činnosti v oblasti nemovitostí</w:t>
            </w:r>
          </w:p>
        </w:tc>
        <w:tc>
          <w:tcPr>
            <w:tcW w:w="595" w:type="dxa"/>
            <w:tcBorders>
              <w:top w:val="nil"/>
              <w:left w:val="nil"/>
              <w:bottom w:val="nil"/>
              <w:right w:val="nil"/>
            </w:tcBorders>
            <w:shd w:val="clear" w:color="auto" w:fill="auto"/>
            <w:noWrap/>
            <w:vAlign w:val="center"/>
            <w:hideMark/>
          </w:tcPr>
          <w:p w14:paraId="69250594" w14:textId="601A3726" w:rsidR="00A9687B" w:rsidRPr="00D92E20" w:rsidRDefault="00A9687B" w:rsidP="00A9687B">
            <w:pPr>
              <w:spacing w:after="0" w:line="240" w:lineRule="auto"/>
              <w:jc w:val="center"/>
              <w:rPr>
                <w:rFonts w:cs="Arial"/>
                <w:color w:val="000000"/>
                <w:sz w:val="16"/>
                <w:szCs w:val="16"/>
              </w:rPr>
            </w:pPr>
            <w:r>
              <w:rPr>
                <w:rFonts w:cs="Arial"/>
                <w:sz w:val="16"/>
                <w:szCs w:val="16"/>
              </w:rPr>
              <w:t>2,3</w:t>
            </w:r>
          </w:p>
        </w:tc>
        <w:tc>
          <w:tcPr>
            <w:tcW w:w="595" w:type="dxa"/>
            <w:tcBorders>
              <w:top w:val="nil"/>
              <w:left w:val="nil"/>
              <w:bottom w:val="nil"/>
              <w:right w:val="nil"/>
            </w:tcBorders>
            <w:shd w:val="clear" w:color="auto" w:fill="auto"/>
            <w:noWrap/>
            <w:vAlign w:val="center"/>
            <w:hideMark/>
          </w:tcPr>
          <w:p w14:paraId="4C53DF33" w14:textId="09697CFB" w:rsidR="00A9687B" w:rsidRPr="00D92E20" w:rsidRDefault="00A9687B" w:rsidP="00A9687B">
            <w:pPr>
              <w:spacing w:after="0" w:line="240" w:lineRule="auto"/>
              <w:jc w:val="center"/>
              <w:rPr>
                <w:rFonts w:cs="Arial"/>
                <w:color w:val="000000"/>
                <w:sz w:val="16"/>
                <w:szCs w:val="16"/>
              </w:rPr>
            </w:pPr>
            <w:r>
              <w:rPr>
                <w:rFonts w:cs="Arial"/>
                <w:sz w:val="16"/>
                <w:szCs w:val="16"/>
              </w:rPr>
              <w:t>2,4</w:t>
            </w:r>
          </w:p>
        </w:tc>
        <w:tc>
          <w:tcPr>
            <w:tcW w:w="595" w:type="dxa"/>
            <w:tcBorders>
              <w:top w:val="nil"/>
              <w:left w:val="nil"/>
              <w:bottom w:val="nil"/>
              <w:right w:val="nil"/>
            </w:tcBorders>
            <w:shd w:val="clear" w:color="auto" w:fill="auto"/>
            <w:noWrap/>
            <w:vAlign w:val="center"/>
            <w:hideMark/>
          </w:tcPr>
          <w:p w14:paraId="48A67899" w14:textId="3B699F8D" w:rsidR="00A9687B" w:rsidRPr="00D92E20" w:rsidRDefault="00A9687B" w:rsidP="00A9687B">
            <w:pPr>
              <w:spacing w:after="0" w:line="240" w:lineRule="auto"/>
              <w:jc w:val="center"/>
              <w:rPr>
                <w:rFonts w:cs="Arial"/>
                <w:color w:val="000000"/>
                <w:sz w:val="16"/>
                <w:szCs w:val="16"/>
              </w:rPr>
            </w:pPr>
            <w:r>
              <w:rPr>
                <w:rFonts w:cs="Arial"/>
                <w:sz w:val="16"/>
                <w:szCs w:val="16"/>
              </w:rPr>
              <w:t>2,2</w:t>
            </w:r>
          </w:p>
        </w:tc>
        <w:tc>
          <w:tcPr>
            <w:tcW w:w="595" w:type="dxa"/>
            <w:tcBorders>
              <w:top w:val="nil"/>
              <w:left w:val="nil"/>
              <w:bottom w:val="nil"/>
              <w:right w:val="nil"/>
            </w:tcBorders>
            <w:shd w:val="clear" w:color="auto" w:fill="auto"/>
            <w:noWrap/>
            <w:vAlign w:val="center"/>
            <w:hideMark/>
          </w:tcPr>
          <w:p w14:paraId="356D73F4" w14:textId="4316FC31" w:rsidR="00A9687B" w:rsidRPr="00D92E20" w:rsidRDefault="00A9687B" w:rsidP="00A9687B">
            <w:pPr>
              <w:spacing w:after="0" w:line="240" w:lineRule="auto"/>
              <w:jc w:val="center"/>
              <w:rPr>
                <w:rFonts w:cs="Arial"/>
                <w:color w:val="000000"/>
                <w:sz w:val="16"/>
                <w:szCs w:val="16"/>
              </w:rPr>
            </w:pPr>
            <w:r>
              <w:rPr>
                <w:rFonts w:cs="Arial"/>
                <w:sz w:val="16"/>
                <w:szCs w:val="16"/>
              </w:rPr>
              <w:t>2,4</w:t>
            </w:r>
          </w:p>
        </w:tc>
        <w:tc>
          <w:tcPr>
            <w:tcW w:w="595" w:type="dxa"/>
            <w:tcBorders>
              <w:top w:val="nil"/>
              <w:left w:val="nil"/>
              <w:bottom w:val="nil"/>
              <w:right w:val="nil"/>
            </w:tcBorders>
            <w:shd w:val="clear" w:color="auto" w:fill="auto"/>
            <w:noWrap/>
            <w:vAlign w:val="center"/>
            <w:hideMark/>
          </w:tcPr>
          <w:p w14:paraId="43062079" w14:textId="195A93F1" w:rsidR="00A9687B" w:rsidRPr="00D92E20" w:rsidRDefault="00A9687B" w:rsidP="00A9687B">
            <w:pPr>
              <w:spacing w:after="0" w:line="240" w:lineRule="auto"/>
              <w:jc w:val="center"/>
              <w:rPr>
                <w:rFonts w:cs="Arial"/>
                <w:color w:val="000000"/>
                <w:sz w:val="16"/>
                <w:szCs w:val="16"/>
              </w:rPr>
            </w:pPr>
            <w:r>
              <w:rPr>
                <w:rFonts w:cs="Arial"/>
                <w:color w:val="000000"/>
                <w:sz w:val="16"/>
                <w:szCs w:val="16"/>
              </w:rPr>
              <w:t>2,4</w:t>
            </w:r>
          </w:p>
        </w:tc>
        <w:tc>
          <w:tcPr>
            <w:tcW w:w="595" w:type="dxa"/>
            <w:tcBorders>
              <w:top w:val="nil"/>
              <w:left w:val="nil"/>
              <w:bottom w:val="nil"/>
              <w:right w:val="nil"/>
            </w:tcBorders>
            <w:shd w:val="clear" w:color="auto" w:fill="auto"/>
            <w:noWrap/>
            <w:vAlign w:val="center"/>
            <w:hideMark/>
          </w:tcPr>
          <w:p w14:paraId="5D188AB6" w14:textId="329046E2" w:rsidR="00A9687B" w:rsidRPr="00D92E20" w:rsidRDefault="00A9687B" w:rsidP="00A9687B">
            <w:pPr>
              <w:spacing w:after="0" w:line="240" w:lineRule="auto"/>
              <w:jc w:val="center"/>
              <w:rPr>
                <w:rFonts w:cs="Arial"/>
                <w:color w:val="000000"/>
                <w:sz w:val="16"/>
                <w:szCs w:val="16"/>
              </w:rPr>
            </w:pPr>
            <w:r>
              <w:rPr>
                <w:rFonts w:cs="Arial"/>
                <w:color w:val="000000"/>
                <w:sz w:val="16"/>
                <w:szCs w:val="16"/>
              </w:rPr>
              <w:t>2,4</w:t>
            </w:r>
          </w:p>
        </w:tc>
        <w:tc>
          <w:tcPr>
            <w:tcW w:w="595" w:type="dxa"/>
            <w:tcBorders>
              <w:top w:val="nil"/>
              <w:left w:val="nil"/>
              <w:bottom w:val="nil"/>
              <w:right w:val="nil"/>
            </w:tcBorders>
            <w:shd w:val="clear" w:color="auto" w:fill="auto"/>
            <w:noWrap/>
            <w:vAlign w:val="center"/>
            <w:hideMark/>
          </w:tcPr>
          <w:p w14:paraId="118E5045" w14:textId="596575F3" w:rsidR="00A9687B" w:rsidRPr="00D92E20" w:rsidRDefault="00A9687B" w:rsidP="00A9687B">
            <w:pPr>
              <w:spacing w:after="0" w:line="240" w:lineRule="auto"/>
              <w:jc w:val="center"/>
              <w:rPr>
                <w:rFonts w:cs="Arial"/>
                <w:color w:val="000000"/>
                <w:sz w:val="16"/>
                <w:szCs w:val="16"/>
              </w:rPr>
            </w:pPr>
            <w:r>
              <w:rPr>
                <w:rFonts w:cs="Arial"/>
                <w:color w:val="000000"/>
                <w:sz w:val="16"/>
                <w:szCs w:val="16"/>
              </w:rPr>
              <w:t>2,5</w:t>
            </w:r>
          </w:p>
        </w:tc>
        <w:tc>
          <w:tcPr>
            <w:tcW w:w="595" w:type="dxa"/>
            <w:tcBorders>
              <w:top w:val="nil"/>
              <w:left w:val="nil"/>
              <w:bottom w:val="nil"/>
              <w:right w:val="nil"/>
            </w:tcBorders>
            <w:shd w:val="clear" w:color="auto" w:fill="auto"/>
            <w:noWrap/>
            <w:vAlign w:val="center"/>
            <w:hideMark/>
          </w:tcPr>
          <w:p w14:paraId="1BAA2CFA" w14:textId="2F4C9F3E" w:rsidR="00A9687B" w:rsidRPr="00D92E20" w:rsidRDefault="00A9687B" w:rsidP="00A9687B">
            <w:pPr>
              <w:spacing w:after="0" w:line="240" w:lineRule="auto"/>
              <w:jc w:val="center"/>
              <w:rPr>
                <w:rFonts w:cs="Arial"/>
                <w:color w:val="000000"/>
                <w:sz w:val="16"/>
                <w:szCs w:val="16"/>
              </w:rPr>
            </w:pPr>
            <w:r>
              <w:rPr>
                <w:rFonts w:cs="Arial"/>
                <w:color w:val="000000"/>
                <w:sz w:val="16"/>
                <w:szCs w:val="16"/>
              </w:rPr>
              <w:t>2,7</w:t>
            </w:r>
          </w:p>
        </w:tc>
        <w:tc>
          <w:tcPr>
            <w:tcW w:w="595" w:type="dxa"/>
            <w:tcBorders>
              <w:top w:val="nil"/>
              <w:left w:val="nil"/>
              <w:bottom w:val="nil"/>
              <w:right w:val="nil"/>
            </w:tcBorders>
            <w:shd w:val="clear" w:color="auto" w:fill="auto"/>
            <w:noWrap/>
            <w:vAlign w:val="center"/>
            <w:hideMark/>
          </w:tcPr>
          <w:p w14:paraId="6A8C385A" w14:textId="115A28D7" w:rsidR="00A9687B" w:rsidRPr="00D92E20" w:rsidRDefault="00A9687B" w:rsidP="00A9687B">
            <w:pPr>
              <w:spacing w:after="0" w:line="240" w:lineRule="auto"/>
              <w:jc w:val="center"/>
              <w:rPr>
                <w:rFonts w:cs="Arial"/>
                <w:color w:val="000000"/>
                <w:sz w:val="16"/>
                <w:szCs w:val="16"/>
              </w:rPr>
            </w:pPr>
            <w:r>
              <w:rPr>
                <w:rFonts w:cs="Arial"/>
                <w:color w:val="000000"/>
                <w:sz w:val="16"/>
                <w:szCs w:val="16"/>
              </w:rPr>
              <w:t>3,1</w:t>
            </w:r>
          </w:p>
        </w:tc>
        <w:tc>
          <w:tcPr>
            <w:tcW w:w="595" w:type="dxa"/>
            <w:tcBorders>
              <w:top w:val="nil"/>
              <w:left w:val="nil"/>
              <w:bottom w:val="nil"/>
              <w:right w:val="nil"/>
            </w:tcBorders>
            <w:shd w:val="clear" w:color="auto" w:fill="auto"/>
            <w:noWrap/>
            <w:vAlign w:val="center"/>
            <w:hideMark/>
          </w:tcPr>
          <w:p w14:paraId="205AC41E" w14:textId="2C8B2E18" w:rsidR="00A9687B" w:rsidRPr="00D92E20" w:rsidRDefault="00A9687B" w:rsidP="00A9687B">
            <w:pPr>
              <w:spacing w:after="0" w:line="240" w:lineRule="auto"/>
              <w:jc w:val="center"/>
              <w:rPr>
                <w:rFonts w:cs="Arial"/>
                <w:color w:val="000000"/>
                <w:sz w:val="16"/>
                <w:szCs w:val="16"/>
              </w:rPr>
            </w:pPr>
            <w:r>
              <w:rPr>
                <w:rFonts w:cs="Arial"/>
                <w:color w:val="000000"/>
                <w:sz w:val="16"/>
                <w:szCs w:val="16"/>
              </w:rPr>
              <w:t>3,3</w:t>
            </w:r>
          </w:p>
        </w:tc>
        <w:tc>
          <w:tcPr>
            <w:tcW w:w="595" w:type="dxa"/>
            <w:tcBorders>
              <w:top w:val="nil"/>
              <w:left w:val="nil"/>
              <w:bottom w:val="nil"/>
              <w:right w:val="nil"/>
            </w:tcBorders>
            <w:shd w:val="clear" w:color="auto" w:fill="auto"/>
            <w:noWrap/>
            <w:vAlign w:val="center"/>
            <w:hideMark/>
          </w:tcPr>
          <w:p w14:paraId="55226A32" w14:textId="6DA0C37B" w:rsidR="00A9687B" w:rsidRPr="00D92E20" w:rsidRDefault="00A9687B" w:rsidP="00A9687B">
            <w:pPr>
              <w:spacing w:after="0" w:line="240" w:lineRule="auto"/>
              <w:jc w:val="center"/>
              <w:rPr>
                <w:rFonts w:cs="Arial"/>
                <w:color w:val="000000"/>
                <w:sz w:val="16"/>
                <w:szCs w:val="16"/>
              </w:rPr>
            </w:pPr>
            <w:r>
              <w:rPr>
                <w:rFonts w:cs="Arial"/>
                <w:color w:val="000000"/>
                <w:sz w:val="16"/>
                <w:szCs w:val="16"/>
              </w:rPr>
              <w:t>3,2</w:t>
            </w:r>
          </w:p>
        </w:tc>
      </w:tr>
      <w:tr w:rsidR="00A9687B" w:rsidRPr="00D92E20" w14:paraId="49E3D586" w14:textId="77777777" w:rsidTr="006C7D54">
        <w:trPr>
          <w:trHeight w:val="300"/>
        </w:trPr>
        <w:tc>
          <w:tcPr>
            <w:tcW w:w="3118" w:type="dxa"/>
            <w:tcBorders>
              <w:top w:val="nil"/>
              <w:left w:val="nil"/>
              <w:bottom w:val="nil"/>
              <w:right w:val="single" w:sz="4" w:space="0" w:color="auto"/>
            </w:tcBorders>
            <w:shd w:val="clear" w:color="auto" w:fill="auto"/>
            <w:vAlign w:val="center"/>
            <w:hideMark/>
          </w:tcPr>
          <w:p w14:paraId="2AE19BF1" w14:textId="77777777" w:rsidR="00A9687B" w:rsidRDefault="00A9687B" w:rsidP="00A9687B">
            <w:pPr>
              <w:spacing w:after="0" w:line="240" w:lineRule="auto"/>
              <w:ind w:firstLineChars="100" w:firstLine="160"/>
              <w:rPr>
                <w:rFonts w:cs="Arial"/>
                <w:color w:val="000000"/>
                <w:sz w:val="16"/>
                <w:szCs w:val="16"/>
              </w:rPr>
            </w:pPr>
            <w:r w:rsidRPr="00D92E20">
              <w:rPr>
                <w:rFonts w:cs="Arial"/>
                <w:color w:val="000000"/>
                <w:sz w:val="16"/>
                <w:szCs w:val="16"/>
              </w:rPr>
              <w:t xml:space="preserve">M – Profesní, vědecké a technické </w:t>
            </w:r>
          </w:p>
          <w:p w14:paraId="4D12E6AC" w14:textId="7420E743" w:rsidR="00A9687B" w:rsidRPr="00D92E20" w:rsidRDefault="00A9687B" w:rsidP="00A9687B">
            <w:pPr>
              <w:spacing w:after="0" w:line="240" w:lineRule="auto"/>
              <w:ind w:firstLineChars="100" w:firstLine="160"/>
              <w:rPr>
                <w:rFonts w:cs="Arial"/>
                <w:color w:val="000000"/>
                <w:sz w:val="16"/>
                <w:szCs w:val="16"/>
              </w:rPr>
            </w:pPr>
            <w:r>
              <w:rPr>
                <w:rFonts w:cs="Arial"/>
                <w:color w:val="000000"/>
                <w:sz w:val="16"/>
                <w:szCs w:val="16"/>
              </w:rPr>
              <w:t xml:space="preserve">       </w:t>
            </w:r>
            <w:r w:rsidRPr="00D92E20">
              <w:rPr>
                <w:rFonts w:cs="Arial"/>
                <w:color w:val="000000"/>
                <w:sz w:val="16"/>
                <w:szCs w:val="16"/>
              </w:rPr>
              <w:t>činnosti</w:t>
            </w:r>
          </w:p>
        </w:tc>
        <w:tc>
          <w:tcPr>
            <w:tcW w:w="595" w:type="dxa"/>
            <w:tcBorders>
              <w:top w:val="nil"/>
              <w:left w:val="nil"/>
              <w:bottom w:val="nil"/>
              <w:right w:val="nil"/>
            </w:tcBorders>
            <w:shd w:val="clear" w:color="auto" w:fill="auto"/>
            <w:noWrap/>
            <w:vAlign w:val="center"/>
            <w:hideMark/>
          </w:tcPr>
          <w:p w14:paraId="692835D0" w14:textId="5D8E84B2" w:rsidR="00A9687B" w:rsidRPr="00D92E20" w:rsidRDefault="00A9687B" w:rsidP="00A9687B">
            <w:pPr>
              <w:spacing w:after="0" w:line="240" w:lineRule="auto"/>
              <w:jc w:val="center"/>
              <w:rPr>
                <w:rFonts w:cs="Arial"/>
                <w:color w:val="000000"/>
                <w:sz w:val="16"/>
                <w:szCs w:val="16"/>
              </w:rPr>
            </w:pPr>
            <w:r>
              <w:rPr>
                <w:rFonts w:cs="Arial"/>
                <w:sz w:val="16"/>
                <w:szCs w:val="16"/>
              </w:rPr>
              <w:t>2,2</w:t>
            </w:r>
          </w:p>
        </w:tc>
        <w:tc>
          <w:tcPr>
            <w:tcW w:w="595" w:type="dxa"/>
            <w:tcBorders>
              <w:top w:val="nil"/>
              <w:left w:val="nil"/>
              <w:bottom w:val="nil"/>
              <w:right w:val="nil"/>
            </w:tcBorders>
            <w:shd w:val="clear" w:color="auto" w:fill="auto"/>
            <w:noWrap/>
            <w:vAlign w:val="center"/>
            <w:hideMark/>
          </w:tcPr>
          <w:p w14:paraId="46A56AE4" w14:textId="0287ECB3" w:rsidR="00A9687B" w:rsidRPr="00D92E20" w:rsidRDefault="00A9687B" w:rsidP="00A9687B">
            <w:pPr>
              <w:spacing w:after="0" w:line="240" w:lineRule="auto"/>
              <w:jc w:val="center"/>
              <w:rPr>
                <w:rFonts w:cs="Arial"/>
                <w:color w:val="000000"/>
                <w:sz w:val="16"/>
                <w:szCs w:val="16"/>
              </w:rPr>
            </w:pPr>
            <w:r>
              <w:rPr>
                <w:rFonts w:cs="Arial"/>
                <w:sz w:val="16"/>
                <w:szCs w:val="16"/>
              </w:rPr>
              <w:t>2,4</w:t>
            </w:r>
          </w:p>
        </w:tc>
        <w:tc>
          <w:tcPr>
            <w:tcW w:w="595" w:type="dxa"/>
            <w:tcBorders>
              <w:top w:val="nil"/>
              <w:left w:val="nil"/>
              <w:bottom w:val="nil"/>
              <w:right w:val="nil"/>
            </w:tcBorders>
            <w:shd w:val="clear" w:color="auto" w:fill="auto"/>
            <w:noWrap/>
            <w:vAlign w:val="center"/>
            <w:hideMark/>
          </w:tcPr>
          <w:p w14:paraId="5302901B" w14:textId="3DDE9CDC" w:rsidR="00A9687B" w:rsidRPr="00D92E20" w:rsidRDefault="00A9687B" w:rsidP="00A9687B">
            <w:pPr>
              <w:spacing w:after="0" w:line="240" w:lineRule="auto"/>
              <w:jc w:val="center"/>
              <w:rPr>
                <w:rFonts w:cs="Arial"/>
                <w:color w:val="000000"/>
                <w:sz w:val="16"/>
                <w:szCs w:val="16"/>
              </w:rPr>
            </w:pPr>
            <w:r>
              <w:rPr>
                <w:rFonts w:cs="Arial"/>
                <w:sz w:val="16"/>
                <w:szCs w:val="16"/>
              </w:rPr>
              <w:t>2,2</w:t>
            </w:r>
          </w:p>
        </w:tc>
        <w:tc>
          <w:tcPr>
            <w:tcW w:w="595" w:type="dxa"/>
            <w:tcBorders>
              <w:top w:val="nil"/>
              <w:left w:val="nil"/>
              <w:bottom w:val="nil"/>
              <w:right w:val="nil"/>
            </w:tcBorders>
            <w:shd w:val="clear" w:color="auto" w:fill="auto"/>
            <w:noWrap/>
            <w:vAlign w:val="center"/>
            <w:hideMark/>
          </w:tcPr>
          <w:p w14:paraId="245F4F80" w14:textId="19702C03" w:rsidR="00A9687B" w:rsidRPr="00D92E20" w:rsidRDefault="00A9687B" w:rsidP="00A9687B">
            <w:pPr>
              <w:spacing w:after="0" w:line="240" w:lineRule="auto"/>
              <w:jc w:val="center"/>
              <w:rPr>
                <w:rFonts w:cs="Arial"/>
                <w:color w:val="000000"/>
                <w:sz w:val="16"/>
                <w:szCs w:val="16"/>
              </w:rPr>
            </w:pPr>
            <w:r>
              <w:rPr>
                <w:rFonts w:cs="Arial"/>
                <w:sz w:val="16"/>
                <w:szCs w:val="16"/>
              </w:rPr>
              <w:t>2,4</w:t>
            </w:r>
          </w:p>
        </w:tc>
        <w:tc>
          <w:tcPr>
            <w:tcW w:w="595" w:type="dxa"/>
            <w:tcBorders>
              <w:top w:val="nil"/>
              <w:left w:val="nil"/>
              <w:bottom w:val="nil"/>
              <w:right w:val="nil"/>
            </w:tcBorders>
            <w:shd w:val="clear" w:color="auto" w:fill="auto"/>
            <w:noWrap/>
            <w:vAlign w:val="center"/>
            <w:hideMark/>
          </w:tcPr>
          <w:p w14:paraId="7779A65B" w14:textId="0477342C" w:rsidR="00A9687B" w:rsidRPr="00D92E20" w:rsidRDefault="00A9687B" w:rsidP="00A9687B">
            <w:pPr>
              <w:spacing w:after="0" w:line="240" w:lineRule="auto"/>
              <w:jc w:val="center"/>
              <w:rPr>
                <w:rFonts w:cs="Arial"/>
                <w:color w:val="000000"/>
                <w:sz w:val="16"/>
                <w:szCs w:val="16"/>
              </w:rPr>
            </w:pPr>
            <w:r>
              <w:rPr>
                <w:rFonts w:cs="Arial"/>
                <w:color w:val="000000"/>
                <w:sz w:val="16"/>
                <w:szCs w:val="16"/>
              </w:rPr>
              <w:t>2,4</w:t>
            </w:r>
          </w:p>
        </w:tc>
        <w:tc>
          <w:tcPr>
            <w:tcW w:w="595" w:type="dxa"/>
            <w:tcBorders>
              <w:top w:val="nil"/>
              <w:left w:val="nil"/>
              <w:bottom w:val="nil"/>
              <w:right w:val="nil"/>
            </w:tcBorders>
            <w:shd w:val="clear" w:color="auto" w:fill="auto"/>
            <w:noWrap/>
            <w:vAlign w:val="center"/>
            <w:hideMark/>
          </w:tcPr>
          <w:p w14:paraId="10EFEE7E" w14:textId="1F0A7ED9" w:rsidR="00A9687B" w:rsidRPr="00D92E20" w:rsidRDefault="00A9687B" w:rsidP="00A9687B">
            <w:pPr>
              <w:spacing w:after="0" w:line="240" w:lineRule="auto"/>
              <w:jc w:val="center"/>
              <w:rPr>
                <w:rFonts w:cs="Arial"/>
                <w:color w:val="000000"/>
                <w:sz w:val="16"/>
                <w:szCs w:val="16"/>
              </w:rPr>
            </w:pPr>
            <w:r>
              <w:rPr>
                <w:rFonts w:cs="Arial"/>
                <w:color w:val="000000"/>
                <w:sz w:val="16"/>
                <w:szCs w:val="16"/>
              </w:rPr>
              <w:t>2,5</w:t>
            </w:r>
          </w:p>
        </w:tc>
        <w:tc>
          <w:tcPr>
            <w:tcW w:w="595" w:type="dxa"/>
            <w:tcBorders>
              <w:top w:val="nil"/>
              <w:left w:val="nil"/>
              <w:bottom w:val="nil"/>
              <w:right w:val="nil"/>
            </w:tcBorders>
            <w:shd w:val="clear" w:color="auto" w:fill="auto"/>
            <w:noWrap/>
            <w:vAlign w:val="center"/>
            <w:hideMark/>
          </w:tcPr>
          <w:p w14:paraId="5F9D0DF2" w14:textId="55B93916" w:rsidR="00A9687B" w:rsidRPr="00D92E20" w:rsidRDefault="00A9687B" w:rsidP="00A9687B">
            <w:pPr>
              <w:spacing w:after="0" w:line="240" w:lineRule="auto"/>
              <w:jc w:val="center"/>
              <w:rPr>
                <w:rFonts w:cs="Arial"/>
                <w:color w:val="000000"/>
                <w:sz w:val="16"/>
                <w:szCs w:val="16"/>
              </w:rPr>
            </w:pPr>
            <w:r>
              <w:rPr>
                <w:rFonts w:cs="Arial"/>
                <w:color w:val="000000"/>
                <w:sz w:val="16"/>
                <w:szCs w:val="16"/>
              </w:rPr>
              <w:t>2,6</w:t>
            </w:r>
          </w:p>
        </w:tc>
        <w:tc>
          <w:tcPr>
            <w:tcW w:w="595" w:type="dxa"/>
            <w:tcBorders>
              <w:top w:val="nil"/>
              <w:left w:val="nil"/>
              <w:bottom w:val="nil"/>
              <w:right w:val="nil"/>
            </w:tcBorders>
            <w:shd w:val="clear" w:color="auto" w:fill="auto"/>
            <w:noWrap/>
            <w:vAlign w:val="center"/>
            <w:hideMark/>
          </w:tcPr>
          <w:p w14:paraId="272CE345" w14:textId="6E43BE6C" w:rsidR="00A9687B" w:rsidRPr="00D92E20" w:rsidRDefault="00A9687B" w:rsidP="00A9687B">
            <w:pPr>
              <w:spacing w:after="0" w:line="240" w:lineRule="auto"/>
              <w:jc w:val="center"/>
              <w:rPr>
                <w:rFonts w:cs="Arial"/>
                <w:color w:val="000000"/>
                <w:sz w:val="16"/>
                <w:szCs w:val="16"/>
              </w:rPr>
            </w:pPr>
            <w:r>
              <w:rPr>
                <w:rFonts w:cs="Arial"/>
                <w:color w:val="000000"/>
                <w:sz w:val="16"/>
                <w:szCs w:val="16"/>
              </w:rPr>
              <w:t>2,6</w:t>
            </w:r>
          </w:p>
        </w:tc>
        <w:tc>
          <w:tcPr>
            <w:tcW w:w="595" w:type="dxa"/>
            <w:tcBorders>
              <w:top w:val="nil"/>
              <w:left w:val="nil"/>
              <w:bottom w:val="nil"/>
              <w:right w:val="nil"/>
            </w:tcBorders>
            <w:shd w:val="clear" w:color="auto" w:fill="auto"/>
            <w:noWrap/>
            <w:vAlign w:val="center"/>
            <w:hideMark/>
          </w:tcPr>
          <w:p w14:paraId="00178631" w14:textId="1FD7B614" w:rsidR="00A9687B" w:rsidRPr="00D92E20" w:rsidRDefault="00A9687B" w:rsidP="00A9687B">
            <w:pPr>
              <w:spacing w:after="0" w:line="240" w:lineRule="auto"/>
              <w:jc w:val="center"/>
              <w:rPr>
                <w:rFonts w:cs="Arial"/>
                <w:color w:val="000000"/>
                <w:sz w:val="16"/>
                <w:szCs w:val="16"/>
              </w:rPr>
            </w:pPr>
            <w:r>
              <w:rPr>
                <w:rFonts w:cs="Arial"/>
                <w:color w:val="000000"/>
                <w:sz w:val="16"/>
                <w:szCs w:val="16"/>
              </w:rPr>
              <w:t>2,9</w:t>
            </w:r>
          </w:p>
        </w:tc>
        <w:tc>
          <w:tcPr>
            <w:tcW w:w="595" w:type="dxa"/>
            <w:tcBorders>
              <w:top w:val="nil"/>
              <w:left w:val="nil"/>
              <w:bottom w:val="nil"/>
              <w:right w:val="nil"/>
            </w:tcBorders>
            <w:shd w:val="clear" w:color="auto" w:fill="auto"/>
            <w:noWrap/>
            <w:vAlign w:val="center"/>
            <w:hideMark/>
          </w:tcPr>
          <w:p w14:paraId="2183BB27" w14:textId="51BCA6E8" w:rsidR="00A9687B" w:rsidRPr="00D92E20" w:rsidRDefault="00A9687B" w:rsidP="00A9687B">
            <w:pPr>
              <w:spacing w:after="0" w:line="240" w:lineRule="auto"/>
              <w:jc w:val="center"/>
              <w:rPr>
                <w:rFonts w:cs="Arial"/>
                <w:color w:val="000000"/>
                <w:sz w:val="16"/>
                <w:szCs w:val="16"/>
              </w:rPr>
            </w:pPr>
            <w:r>
              <w:rPr>
                <w:rFonts w:cs="Arial"/>
                <w:color w:val="000000"/>
                <w:sz w:val="16"/>
                <w:szCs w:val="16"/>
              </w:rPr>
              <w:t>2,9</w:t>
            </w:r>
          </w:p>
        </w:tc>
        <w:tc>
          <w:tcPr>
            <w:tcW w:w="595" w:type="dxa"/>
            <w:tcBorders>
              <w:top w:val="nil"/>
              <w:left w:val="nil"/>
              <w:bottom w:val="nil"/>
              <w:right w:val="nil"/>
            </w:tcBorders>
            <w:shd w:val="clear" w:color="auto" w:fill="auto"/>
            <w:noWrap/>
            <w:vAlign w:val="center"/>
            <w:hideMark/>
          </w:tcPr>
          <w:p w14:paraId="55AF873B" w14:textId="5DABAE55" w:rsidR="00A9687B" w:rsidRPr="00D92E20" w:rsidRDefault="00A9687B" w:rsidP="00A9687B">
            <w:pPr>
              <w:spacing w:after="0" w:line="240" w:lineRule="auto"/>
              <w:jc w:val="center"/>
              <w:rPr>
                <w:rFonts w:cs="Arial"/>
                <w:color w:val="000000"/>
                <w:sz w:val="16"/>
                <w:szCs w:val="16"/>
              </w:rPr>
            </w:pPr>
            <w:r>
              <w:rPr>
                <w:rFonts w:cs="Arial"/>
                <w:color w:val="000000"/>
                <w:sz w:val="16"/>
                <w:szCs w:val="16"/>
              </w:rPr>
              <w:t>2,8</w:t>
            </w:r>
          </w:p>
        </w:tc>
      </w:tr>
      <w:tr w:rsidR="00A9687B" w:rsidRPr="00D92E20" w14:paraId="379C2DBB" w14:textId="77777777" w:rsidTr="006C7D54">
        <w:trPr>
          <w:trHeight w:val="300"/>
        </w:trPr>
        <w:tc>
          <w:tcPr>
            <w:tcW w:w="3118" w:type="dxa"/>
            <w:tcBorders>
              <w:top w:val="nil"/>
              <w:left w:val="nil"/>
              <w:bottom w:val="nil"/>
              <w:right w:val="single" w:sz="4" w:space="0" w:color="auto"/>
            </w:tcBorders>
            <w:shd w:val="clear" w:color="auto" w:fill="auto"/>
            <w:vAlign w:val="center"/>
            <w:hideMark/>
          </w:tcPr>
          <w:p w14:paraId="44834F85" w14:textId="25DA5940" w:rsidR="00A9687B" w:rsidRPr="00D92E20" w:rsidRDefault="00A9687B" w:rsidP="00A9687B">
            <w:pPr>
              <w:spacing w:after="0" w:line="240" w:lineRule="auto"/>
              <w:ind w:firstLineChars="100" w:firstLine="160"/>
              <w:rPr>
                <w:rFonts w:cs="Arial"/>
                <w:color w:val="000000"/>
                <w:sz w:val="16"/>
                <w:szCs w:val="16"/>
              </w:rPr>
            </w:pPr>
            <w:r w:rsidRPr="00D92E20">
              <w:rPr>
                <w:rFonts w:cs="Arial"/>
                <w:color w:val="000000"/>
                <w:sz w:val="16"/>
                <w:szCs w:val="16"/>
              </w:rPr>
              <w:t>N – Administrativní a podpůrné činnosti</w:t>
            </w:r>
          </w:p>
        </w:tc>
        <w:tc>
          <w:tcPr>
            <w:tcW w:w="595" w:type="dxa"/>
            <w:tcBorders>
              <w:top w:val="nil"/>
              <w:left w:val="nil"/>
              <w:bottom w:val="nil"/>
              <w:right w:val="nil"/>
            </w:tcBorders>
            <w:shd w:val="clear" w:color="auto" w:fill="auto"/>
            <w:noWrap/>
            <w:vAlign w:val="center"/>
            <w:hideMark/>
          </w:tcPr>
          <w:p w14:paraId="7C8E72FC" w14:textId="605AB996" w:rsidR="00A9687B" w:rsidRPr="00D92E20" w:rsidRDefault="00A9687B" w:rsidP="00A9687B">
            <w:pPr>
              <w:spacing w:after="0" w:line="240" w:lineRule="auto"/>
              <w:jc w:val="center"/>
              <w:rPr>
                <w:rFonts w:cs="Arial"/>
                <w:color w:val="000000"/>
                <w:sz w:val="16"/>
                <w:szCs w:val="16"/>
              </w:rPr>
            </w:pPr>
            <w:r>
              <w:rPr>
                <w:rFonts w:cs="Arial"/>
                <w:sz w:val="16"/>
                <w:szCs w:val="16"/>
              </w:rPr>
              <w:t>3,9</w:t>
            </w:r>
          </w:p>
        </w:tc>
        <w:tc>
          <w:tcPr>
            <w:tcW w:w="595" w:type="dxa"/>
            <w:tcBorders>
              <w:top w:val="nil"/>
              <w:left w:val="nil"/>
              <w:bottom w:val="nil"/>
              <w:right w:val="nil"/>
            </w:tcBorders>
            <w:shd w:val="clear" w:color="auto" w:fill="auto"/>
            <w:noWrap/>
            <w:vAlign w:val="center"/>
            <w:hideMark/>
          </w:tcPr>
          <w:p w14:paraId="7FDE2D4C" w14:textId="61FA483A" w:rsidR="00A9687B" w:rsidRPr="00D92E20" w:rsidRDefault="00A9687B" w:rsidP="00A9687B">
            <w:pPr>
              <w:spacing w:after="0" w:line="240" w:lineRule="auto"/>
              <w:jc w:val="center"/>
              <w:rPr>
                <w:rFonts w:cs="Arial"/>
                <w:color w:val="000000"/>
                <w:sz w:val="16"/>
                <w:szCs w:val="16"/>
              </w:rPr>
            </w:pPr>
            <w:r>
              <w:rPr>
                <w:rFonts w:cs="Arial"/>
                <w:sz w:val="16"/>
                <w:szCs w:val="16"/>
              </w:rPr>
              <w:t>4,5</w:t>
            </w:r>
          </w:p>
        </w:tc>
        <w:tc>
          <w:tcPr>
            <w:tcW w:w="595" w:type="dxa"/>
            <w:tcBorders>
              <w:top w:val="nil"/>
              <w:left w:val="nil"/>
              <w:bottom w:val="nil"/>
              <w:right w:val="nil"/>
            </w:tcBorders>
            <w:shd w:val="clear" w:color="auto" w:fill="auto"/>
            <w:noWrap/>
            <w:vAlign w:val="center"/>
            <w:hideMark/>
          </w:tcPr>
          <w:p w14:paraId="097CB147" w14:textId="112C4631" w:rsidR="00A9687B" w:rsidRPr="00D92E20" w:rsidRDefault="00A9687B" w:rsidP="00A9687B">
            <w:pPr>
              <w:spacing w:after="0" w:line="240" w:lineRule="auto"/>
              <w:jc w:val="center"/>
              <w:rPr>
                <w:rFonts w:cs="Arial"/>
                <w:color w:val="000000"/>
                <w:sz w:val="16"/>
                <w:szCs w:val="16"/>
              </w:rPr>
            </w:pPr>
            <w:r>
              <w:rPr>
                <w:rFonts w:cs="Arial"/>
                <w:sz w:val="16"/>
                <w:szCs w:val="16"/>
              </w:rPr>
              <w:t>4,5</w:t>
            </w:r>
          </w:p>
        </w:tc>
        <w:tc>
          <w:tcPr>
            <w:tcW w:w="595" w:type="dxa"/>
            <w:tcBorders>
              <w:top w:val="nil"/>
              <w:left w:val="nil"/>
              <w:bottom w:val="nil"/>
              <w:right w:val="nil"/>
            </w:tcBorders>
            <w:shd w:val="clear" w:color="auto" w:fill="auto"/>
            <w:noWrap/>
            <w:vAlign w:val="center"/>
            <w:hideMark/>
          </w:tcPr>
          <w:p w14:paraId="0FA99D3B" w14:textId="4FC3125A" w:rsidR="00A9687B" w:rsidRPr="00D92E20" w:rsidRDefault="00A9687B" w:rsidP="00A9687B">
            <w:pPr>
              <w:spacing w:after="0" w:line="240" w:lineRule="auto"/>
              <w:jc w:val="center"/>
              <w:rPr>
                <w:rFonts w:cs="Arial"/>
                <w:color w:val="000000"/>
                <w:sz w:val="16"/>
                <w:szCs w:val="16"/>
              </w:rPr>
            </w:pPr>
            <w:r>
              <w:rPr>
                <w:rFonts w:cs="Arial"/>
                <w:sz w:val="16"/>
                <w:szCs w:val="16"/>
              </w:rPr>
              <w:t>5,3</w:t>
            </w:r>
          </w:p>
        </w:tc>
        <w:tc>
          <w:tcPr>
            <w:tcW w:w="595" w:type="dxa"/>
            <w:tcBorders>
              <w:top w:val="nil"/>
              <w:left w:val="nil"/>
              <w:bottom w:val="nil"/>
              <w:right w:val="nil"/>
            </w:tcBorders>
            <w:shd w:val="clear" w:color="auto" w:fill="auto"/>
            <w:noWrap/>
            <w:vAlign w:val="center"/>
            <w:hideMark/>
          </w:tcPr>
          <w:p w14:paraId="790188E4" w14:textId="7205F59E" w:rsidR="00A9687B" w:rsidRPr="00D92E20" w:rsidRDefault="00A9687B" w:rsidP="00A9687B">
            <w:pPr>
              <w:spacing w:after="0" w:line="240" w:lineRule="auto"/>
              <w:jc w:val="center"/>
              <w:rPr>
                <w:rFonts w:cs="Arial"/>
                <w:color w:val="000000"/>
                <w:sz w:val="16"/>
                <w:szCs w:val="16"/>
              </w:rPr>
            </w:pPr>
            <w:r>
              <w:rPr>
                <w:rFonts w:cs="Arial"/>
                <w:color w:val="000000"/>
                <w:sz w:val="16"/>
                <w:szCs w:val="16"/>
              </w:rPr>
              <w:t>5,5</w:t>
            </w:r>
          </w:p>
        </w:tc>
        <w:tc>
          <w:tcPr>
            <w:tcW w:w="595" w:type="dxa"/>
            <w:tcBorders>
              <w:top w:val="nil"/>
              <w:left w:val="nil"/>
              <w:bottom w:val="nil"/>
              <w:right w:val="nil"/>
            </w:tcBorders>
            <w:shd w:val="clear" w:color="auto" w:fill="auto"/>
            <w:noWrap/>
            <w:vAlign w:val="center"/>
            <w:hideMark/>
          </w:tcPr>
          <w:p w14:paraId="4AED9654" w14:textId="1C496E98" w:rsidR="00A9687B" w:rsidRPr="00D92E20" w:rsidRDefault="00A9687B" w:rsidP="00A9687B">
            <w:pPr>
              <w:spacing w:after="0" w:line="240" w:lineRule="auto"/>
              <w:jc w:val="center"/>
              <w:rPr>
                <w:rFonts w:cs="Arial"/>
                <w:color w:val="000000"/>
                <w:sz w:val="16"/>
                <w:szCs w:val="16"/>
              </w:rPr>
            </w:pPr>
            <w:r>
              <w:rPr>
                <w:rFonts w:cs="Arial"/>
                <w:color w:val="000000"/>
                <w:sz w:val="16"/>
                <w:szCs w:val="16"/>
              </w:rPr>
              <w:t>5,5</w:t>
            </w:r>
          </w:p>
        </w:tc>
        <w:tc>
          <w:tcPr>
            <w:tcW w:w="595" w:type="dxa"/>
            <w:tcBorders>
              <w:top w:val="nil"/>
              <w:left w:val="nil"/>
              <w:bottom w:val="nil"/>
              <w:right w:val="nil"/>
            </w:tcBorders>
            <w:shd w:val="clear" w:color="auto" w:fill="auto"/>
            <w:noWrap/>
            <w:vAlign w:val="center"/>
            <w:hideMark/>
          </w:tcPr>
          <w:p w14:paraId="17ACE5F7" w14:textId="3C48A8B4" w:rsidR="00A9687B" w:rsidRPr="00D92E20" w:rsidRDefault="00A9687B" w:rsidP="00A9687B">
            <w:pPr>
              <w:spacing w:after="0" w:line="240" w:lineRule="auto"/>
              <w:jc w:val="center"/>
              <w:rPr>
                <w:rFonts w:cs="Arial"/>
                <w:color w:val="000000"/>
                <w:sz w:val="16"/>
                <w:szCs w:val="16"/>
              </w:rPr>
            </w:pPr>
            <w:r>
              <w:rPr>
                <w:rFonts w:cs="Arial"/>
                <w:color w:val="000000"/>
                <w:sz w:val="16"/>
                <w:szCs w:val="16"/>
              </w:rPr>
              <w:t>5,6</w:t>
            </w:r>
          </w:p>
        </w:tc>
        <w:tc>
          <w:tcPr>
            <w:tcW w:w="595" w:type="dxa"/>
            <w:tcBorders>
              <w:top w:val="nil"/>
              <w:left w:val="nil"/>
              <w:bottom w:val="nil"/>
              <w:right w:val="nil"/>
            </w:tcBorders>
            <w:shd w:val="clear" w:color="auto" w:fill="auto"/>
            <w:noWrap/>
            <w:vAlign w:val="center"/>
            <w:hideMark/>
          </w:tcPr>
          <w:p w14:paraId="5EFEF937" w14:textId="3163AA15" w:rsidR="00A9687B" w:rsidRPr="00D92E20" w:rsidRDefault="00A9687B" w:rsidP="00A9687B">
            <w:pPr>
              <w:spacing w:after="0" w:line="240" w:lineRule="auto"/>
              <w:jc w:val="center"/>
              <w:rPr>
                <w:rFonts w:cs="Arial"/>
                <w:color w:val="000000"/>
                <w:sz w:val="16"/>
                <w:szCs w:val="16"/>
              </w:rPr>
            </w:pPr>
            <w:r>
              <w:rPr>
                <w:rFonts w:cs="Arial"/>
                <w:color w:val="000000"/>
                <w:sz w:val="16"/>
                <w:szCs w:val="16"/>
              </w:rPr>
              <w:t>5,7</w:t>
            </w:r>
          </w:p>
        </w:tc>
        <w:tc>
          <w:tcPr>
            <w:tcW w:w="595" w:type="dxa"/>
            <w:tcBorders>
              <w:top w:val="nil"/>
              <w:left w:val="nil"/>
              <w:bottom w:val="nil"/>
              <w:right w:val="nil"/>
            </w:tcBorders>
            <w:shd w:val="clear" w:color="auto" w:fill="auto"/>
            <w:noWrap/>
            <w:vAlign w:val="center"/>
            <w:hideMark/>
          </w:tcPr>
          <w:p w14:paraId="76AB8D91" w14:textId="01150F92" w:rsidR="00A9687B" w:rsidRPr="00D92E20" w:rsidRDefault="00A9687B" w:rsidP="00A9687B">
            <w:pPr>
              <w:spacing w:after="0" w:line="240" w:lineRule="auto"/>
              <w:jc w:val="center"/>
              <w:rPr>
                <w:rFonts w:cs="Arial"/>
                <w:color w:val="000000"/>
                <w:sz w:val="16"/>
                <w:szCs w:val="16"/>
              </w:rPr>
            </w:pPr>
            <w:r>
              <w:rPr>
                <w:rFonts w:cs="Arial"/>
                <w:color w:val="000000"/>
                <w:sz w:val="16"/>
                <w:szCs w:val="16"/>
              </w:rPr>
              <w:t>6,9</w:t>
            </w:r>
          </w:p>
        </w:tc>
        <w:tc>
          <w:tcPr>
            <w:tcW w:w="595" w:type="dxa"/>
            <w:tcBorders>
              <w:top w:val="nil"/>
              <w:left w:val="nil"/>
              <w:bottom w:val="nil"/>
              <w:right w:val="nil"/>
            </w:tcBorders>
            <w:shd w:val="clear" w:color="auto" w:fill="auto"/>
            <w:noWrap/>
            <w:vAlign w:val="center"/>
            <w:hideMark/>
          </w:tcPr>
          <w:p w14:paraId="2E62E4AB" w14:textId="3185EAA2" w:rsidR="00A9687B" w:rsidRPr="00D92E20" w:rsidRDefault="00A9687B" w:rsidP="00A9687B">
            <w:pPr>
              <w:spacing w:after="0" w:line="240" w:lineRule="auto"/>
              <w:jc w:val="center"/>
              <w:rPr>
                <w:rFonts w:cs="Arial"/>
                <w:color w:val="000000"/>
                <w:sz w:val="16"/>
                <w:szCs w:val="16"/>
              </w:rPr>
            </w:pPr>
            <w:r>
              <w:rPr>
                <w:rFonts w:cs="Arial"/>
                <w:color w:val="000000"/>
                <w:sz w:val="16"/>
                <w:szCs w:val="16"/>
              </w:rPr>
              <w:t>7,5</w:t>
            </w:r>
          </w:p>
        </w:tc>
        <w:tc>
          <w:tcPr>
            <w:tcW w:w="595" w:type="dxa"/>
            <w:tcBorders>
              <w:top w:val="nil"/>
              <w:left w:val="nil"/>
              <w:bottom w:val="nil"/>
              <w:right w:val="nil"/>
            </w:tcBorders>
            <w:shd w:val="clear" w:color="auto" w:fill="auto"/>
            <w:noWrap/>
            <w:vAlign w:val="center"/>
            <w:hideMark/>
          </w:tcPr>
          <w:p w14:paraId="22EB4AAA" w14:textId="4E8BB615" w:rsidR="00A9687B" w:rsidRPr="00D92E20" w:rsidRDefault="00A9687B" w:rsidP="00A9687B">
            <w:pPr>
              <w:spacing w:after="0" w:line="240" w:lineRule="auto"/>
              <w:jc w:val="center"/>
              <w:rPr>
                <w:rFonts w:cs="Arial"/>
                <w:color w:val="000000"/>
                <w:sz w:val="16"/>
                <w:szCs w:val="16"/>
              </w:rPr>
            </w:pPr>
            <w:r>
              <w:rPr>
                <w:rFonts w:cs="Arial"/>
                <w:color w:val="000000"/>
                <w:sz w:val="16"/>
                <w:szCs w:val="16"/>
              </w:rPr>
              <w:t>6,8</w:t>
            </w:r>
          </w:p>
        </w:tc>
      </w:tr>
      <w:tr w:rsidR="00A9687B" w:rsidRPr="00D92E20" w14:paraId="5FF59439" w14:textId="77777777" w:rsidTr="006C7D54">
        <w:trPr>
          <w:trHeight w:val="480"/>
        </w:trPr>
        <w:tc>
          <w:tcPr>
            <w:tcW w:w="3118" w:type="dxa"/>
            <w:tcBorders>
              <w:top w:val="nil"/>
              <w:left w:val="nil"/>
              <w:bottom w:val="nil"/>
              <w:right w:val="single" w:sz="4" w:space="0" w:color="auto"/>
            </w:tcBorders>
            <w:shd w:val="clear" w:color="auto" w:fill="auto"/>
            <w:vAlign w:val="center"/>
            <w:hideMark/>
          </w:tcPr>
          <w:p w14:paraId="7D932DD4" w14:textId="77777777" w:rsidR="00A9687B" w:rsidRPr="00D92E20" w:rsidRDefault="00A9687B" w:rsidP="00A9687B">
            <w:pPr>
              <w:spacing w:after="0" w:line="240" w:lineRule="auto"/>
              <w:ind w:firstLineChars="100" w:firstLine="160"/>
              <w:rPr>
                <w:rFonts w:cs="Arial"/>
                <w:color w:val="000000"/>
                <w:sz w:val="16"/>
                <w:szCs w:val="16"/>
              </w:rPr>
            </w:pPr>
            <w:r w:rsidRPr="00D92E20">
              <w:rPr>
                <w:rFonts w:cs="Arial"/>
                <w:color w:val="000000"/>
                <w:sz w:val="16"/>
                <w:szCs w:val="16"/>
              </w:rPr>
              <w:t xml:space="preserve">O – Veřejná správa a obrana; </w:t>
            </w:r>
            <w:r w:rsidRPr="00D92E20">
              <w:rPr>
                <w:rFonts w:cs="Arial"/>
                <w:color w:val="000000"/>
                <w:sz w:val="16"/>
                <w:szCs w:val="16"/>
              </w:rPr>
              <w:br/>
              <w:t xml:space="preserve">          povinné sociální zabezpečení</w:t>
            </w:r>
          </w:p>
        </w:tc>
        <w:tc>
          <w:tcPr>
            <w:tcW w:w="595" w:type="dxa"/>
            <w:tcBorders>
              <w:top w:val="nil"/>
              <w:left w:val="nil"/>
              <w:bottom w:val="nil"/>
              <w:right w:val="nil"/>
            </w:tcBorders>
            <w:shd w:val="clear" w:color="auto" w:fill="auto"/>
            <w:noWrap/>
            <w:vAlign w:val="center"/>
            <w:hideMark/>
          </w:tcPr>
          <w:p w14:paraId="1252287C" w14:textId="6BF7C955" w:rsidR="00A9687B" w:rsidRPr="00D92E20" w:rsidRDefault="00A9687B" w:rsidP="00A9687B">
            <w:pPr>
              <w:spacing w:after="0" w:line="240" w:lineRule="auto"/>
              <w:jc w:val="center"/>
              <w:rPr>
                <w:rFonts w:cs="Arial"/>
                <w:color w:val="000000"/>
                <w:sz w:val="16"/>
                <w:szCs w:val="16"/>
              </w:rPr>
            </w:pPr>
            <w:r>
              <w:rPr>
                <w:rFonts w:cs="Arial"/>
                <w:sz w:val="16"/>
                <w:szCs w:val="16"/>
              </w:rPr>
              <w:t>2,9</w:t>
            </w:r>
          </w:p>
        </w:tc>
        <w:tc>
          <w:tcPr>
            <w:tcW w:w="595" w:type="dxa"/>
            <w:tcBorders>
              <w:top w:val="nil"/>
              <w:left w:val="nil"/>
              <w:bottom w:val="nil"/>
              <w:right w:val="nil"/>
            </w:tcBorders>
            <w:shd w:val="clear" w:color="auto" w:fill="auto"/>
            <w:noWrap/>
            <w:vAlign w:val="center"/>
            <w:hideMark/>
          </w:tcPr>
          <w:p w14:paraId="74E7EA4C" w14:textId="6D13E34B" w:rsidR="00A9687B" w:rsidRPr="00D92E20" w:rsidRDefault="00A9687B" w:rsidP="00A9687B">
            <w:pPr>
              <w:spacing w:after="0" w:line="240" w:lineRule="auto"/>
              <w:jc w:val="center"/>
              <w:rPr>
                <w:rFonts w:cs="Arial"/>
                <w:color w:val="000000"/>
                <w:sz w:val="16"/>
                <w:szCs w:val="16"/>
              </w:rPr>
            </w:pPr>
            <w:r>
              <w:rPr>
                <w:rFonts w:cs="Arial"/>
                <w:sz w:val="16"/>
                <w:szCs w:val="16"/>
              </w:rPr>
              <w:t>2,9</w:t>
            </w:r>
          </w:p>
        </w:tc>
        <w:tc>
          <w:tcPr>
            <w:tcW w:w="595" w:type="dxa"/>
            <w:tcBorders>
              <w:top w:val="nil"/>
              <w:left w:val="nil"/>
              <w:bottom w:val="nil"/>
              <w:right w:val="nil"/>
            </w:tcBorders>
            <w:shd w:val="clear" w:color="auto" w:fill="auto"/>
            <w:noWrap/>
            <w:vAlign w:val="center"/>
            <w:hideMark/>
          </w:tcPr>
          <w:p w14:paraId="001449DE" w14:textId="3A14E9A2" w:rsidR="00A9687B" w:rsidRPr="00D92E20" w:rsidRDefault="00A9687B" w:rsidP="00A9687B">
            <w:pPr>
              <w:spacing w:after="0" w:line="240" w:lineRule="auto"/>
              <w:jc w:val="center"/>
              <w:rPr>
                <w:rFonts w:cs="Arial"/>
                <w:color w:val="000000"/>
                <w:sz w:val="16"/>
                <w:szCs w:val="16"/>
              </w:rPr>
            </w:pPr>
            <w:r>
              <w:rPr>
                <w:rFonts w:cs="Arial"/>
                <w:sz w:val="16"/>
                <w:szCs w:val="16"/>
              </w:rPr>
              <w:t>2,8</w:t>
            </w:r>
          </w:p>
        </w:tc>
        <w:tc>
          <w:tcPr>
            <w:tcW w:w="595" w:type="dxa"/>
            <w:tcBorders>
              <w:top w:val="nil"/>
              <w:left w:val="nil"/>
              <w:bottom w:val="nil"/>
              <w:right w:val="nil"/>
            </w:tcBorders>
            <w:shd w:val="clear" w:color="auto" w:fill="auto"/>
            <w:noWrap/>
            <w:vAlign w:val="center"/>
            <w:hideMark/>
          </w:tcPr>
          <w:p w14:paraId="25627EA0" w14:textId="5C4403ED" w:rsidR="00A9687B" w:rsidRPr="00D92E20" w:rsidRDefault="00A9687B" w:rsidP="00A9687B">
            <w:pPr>
              <w:spacing w:after="0" w:line="240" w:lineRule="auto"/>
              <w:jc w:val="center"/>
              <w:rPr>
                <w:rFonts w:cs="Arial"/>
                <w:color w:val="000000"/>
                <w:sz w:val="16"/>
                <w:szCs w:val="16"/>
              </w:rPr>
            </w:pPr>
            <w:r>
              <w:rPr>
                <w:rFonts w:cs="Arial"/>
                <w:sz w:val="16"/>
                <w:szCs w:val="16"/>
              </w:rPr>
              <w:t>3,3</w:t>
            </w:r>
          </w:p>
        </w:tc>
        <w:tc>
          <w:tcPr>
            <w:tcW w:w="595" w:type="dxa"/>
            <w:tcBorders>
              <w:top w:val="nil"/>
              <w:left w:val="nil"/>
              <w:bottom w:val="nil"/>
              <w:right w:val="nil"/>
            </w:tcBorders>
            <w:shd w:val="clear" w:color="auto" w:fill="auto"/>
            <w:noWrap/>
            <w:vAlign w:val="center"/>
            <w:hideMark/>
          </w:tcPr>
          <w:p w14:paraId="4EA083B6" w14:textId="12C597F8" w:rsidR="00A9687B" w:rsidRPr="00D92E20" w:rsidRDefault="00A9687B" w:rsidP="00A9687B">
            <w:pPr>
              <w:spacing w:after="0" w:line="240" w:lineRule="auto"/>
              <w:jc w:val="center"/>
              <w:rPr>
                <w:rFonts w:cs="Arial"/>
                <w:color w:val="000000"/>
                <w:sz w:val="16"/>
                <w:szCs w:val="16"/>
              </w:rPr>
            </w:pPr>
            <w:r>
              <w:rPr>
                <w:rFonts w:cs="Arial"/>
                <w:color w:val="000000"/>
                <w:sz w:val="16"/>
                <w:szCs w:val="16"/>
              </w:rPr>
              <w:t>3,4</w:t>
            </w:r>
          </w:p>
        </w:tc>
        <w:tc>
          <w:tcPr>
            <w:tcW w:w="595" w:type="dxa"/>
            <w:tcBorders>
              <w:top w:val="nil"/>
              <w:left w:val="nil"/>
              <w:bottom w:val="nil"/>
              <w:right w:val="nil"/>
            </w:tcBorders>
            <w:shd w:val="clear" w:color="auto" w:fill="auto"/>
            <w:noWrap/>
            <w:vAlign w:val="center"/>
            <w:hideMark/>
          </w:tcPr>
          <w:p w14:paraId="7EE9BE72" w14:textId="29FA2739" w:rsidR="00A9687B" w:rsidRPr="00D92E20" w:rsidRDefault="00A9687B" w:rsidP="00A9687B">
            <w:pPr>
              <w:spacing w:after="0" w:line="240" w:lineRule="auto"/>
              <w:jc w:val="center"/>
              <w:rPr>
                <w:rFonts w:cs="Arial"/>
                <w:color w:val="000000"/>
                <w:sz w:val="16"/>
                <w:szCs w:val="16"/>
              </w:rPr>
            </w:pPr>
            <w:r>
              <w:rPr>
                <w:rFonts w:cs="Arial"/>
                <w:color w:val="000000"/>
                <w:sz w:val="16"/>
                <w:szCs w:val="16"/>
              </w:rPr>
              <w:t>3,4</w:t>
            </w:r>
          </w:p>
        </w:tc>
        <w:tc>
          <w:tcPr>
            <w:tcW w:w="595" w:type="dxa"/>
            <w:tcBorders>
              <w:top w:val="nil"/>
              <w:left w:val="nil"/>
              <w:bottom w:val="nil"/>
              <w:right w:val="nil"/>
            </w:tcBorders>
            <w:shd w:val="clear" w:color="auto" w:fill="auto"/>
            <w:noWrap/>
            <w:vAlign w:val="center"/>
            <w:hideMark/>
          </w:tcPr>
          <w:p w14:paraId="683C19BE" w14:textId="56B45BED" w:rsidR="00A9687B" w:rsidRPr="00D92E20" w:rsidRDefault="00A9687B" w:rsidP="00A9687B">
            <w:pPr>
              <w:spacing w:after="0" w:line="240" w:lineRule="auto"/>
              <w:jc w:val="center"/>
              <w:rPr>
                <w:rFonts w:cs="Arial"/>
                <w:color w:val="000000"/>
                <w:sz w:val="16"/>
                <w:szCs w:val="16"/>
              </w:rPr>
            </w:pPr>
            <w:r>
              <w:rPr>
                <w:rFonts w:cs="Arial"/>
                <w:color w:val="000000"/>
                <w:sz w:val="16"/>
                <w:szCs w:val="16"/>
              </w:rPr>
              <w:t>3,6</w:t>
            </w:r>
          </w:p>
        </w:tc>
        <w:tc>
          <w:tcPr>
            <w:tcW w:w="595" w:type="dxa"/>
            <w:tcBorders>
              <w:top w:val="nil"/>
              <w:left w:val="nil"/>
              <w:bottom w:val="nil"/>
              <w:right w:val="nil"/>
            </w:tcBorders>
            <w:shd w:val="clear" w:color="auto" w:fill="auto"/>
            <w:noWrap/>
            <w:vAlign w:val="center"/>
            <w:hideMark/>
          </w:tcPr>
          <w:p w14:paraId="64B47174" w14:textId="4A40FA83" w:rsidR="00A9687B" w:rsidRPr="00D92E20" w:rsidRDefault="00A9687B" w:rsidP="00A9687B">
            <w:pPr>
              <w:spacing w:after="0" w:line="240" w:lineRule="auto"/>
              <w:jc w:val="center"/>
              <w:rPr>
                <w:rFonts w:cs="Arial"/>
                <w:color w:val="000000"/>
                <w:sz w:val="16"/>
                <w:szCs w:val="16"/>
              </w:rPr>
            </w:pPr>
            <w:r>
              <w:rPr>
                <w:rFonts w:cs="Arial"/>
                <w:color w:val="000000"/>
                <w:sz w:val="16"/>
                <w:szCs w:val="16"/>
              </w:rPr>
              <w:t>3,5</w:t>
            </w:r>
          </w:p>
        </w:tc>
        <w:tc>
          <w:tcPr>
            <w:tcW w:w="595" w:type="dxa"/>
            <w:tcBorders>
              <w:top w:val="nil"/>
              <w:left w:val="nil"/>
              <w:bottom w:val="nil"/>
              <w:right w:val="nil"/>
            </w:tcBorders>
            <w:shd w:val="clear" w:color="auto" w:fill="auto"/>
            <w:noWrap/>
            <w:vAlign w:val="center"/>
            <w:hideMark/>
          </w:tcPr>
          <w:p w14:paraId="79714A66" w14:textId="1606EC83" w:rsidR="00A9687B" w:rsidRPr="00D92E20" w:rsidRDefault="00A9687B" w:rsidP="00A9687B">
            <w:pPr>
              <w:spacing w:after="0" w:line="240" w:lineRule="auto"/>
              <w:jc w:val="center"/>
              <w:rPr>
                <w:rFonts w:cs="Arial"/>
                <w:color w:val="000000"/>
                <w:sz w:val="16"/>
                <w:szCs w:val="16"/>
              </w:rPr>
            </w:pPr>
            <w:r>
              <w:rPr>
                <w:rFonts w:cs="Arial"/>
                <w:color w:val="000000"/>
                <w:sz w:val="16"/>
                <w:szCs w:val="16"/>
              </w:rPr>
              <w:t>3,8</w:t>
            </w:r>
          </w:p>
        </w:tc>
        <w:tc>
          <w:tcPr>
            <w:tcW w:w="595" w:type="dxa"/>
            <w:tcBorders>
              <w:top w:val="nil"/>
              <w:left w:val="nil"/>
              <w:bottom w:val="nil"/>
              <w:right w:val="nil"/>
            </w:tcBorders>
            <w:shd w:val="clear" w:color="auto" w:fill="auto"/>
            <w:noWrap/>
            <w:vAlign w:val="center"/>
            <w:hideMark/>
          </w:tcPr>
          <w:p w14:paraId="0A403467" w14:textId="3FC0F7B5" w:rsidR="00A9687B" w:rsidRPr="00D92E20" w:rsidRDefault="00A9687B" w:rsidP="00A9687B">
            <w:pPr>
              <w:spacing w:after="0" w:line="240" w:lineRule="auto"/>
              <w:jc w:val="center"/>
              <w:rPr>
                <w:rFonts w:cs="Arial"/>
                <w:color w:val="000000"/>
                <w:sz w:val="16"/>
                <w:szCs w:val="16"/>
              </w:rPr>
            </w:pPr>
            <w:r>
              <w:rPr>
                <w:rFonts w:cs="Arial"/>
                <w:color w:val="000000"/>
                <w:sz w:val="16"/>
                <w:szCs w:val="16"/>
              </w:rPr>
              <w:t>4,6</w:t>
            </w:r>
          </w:p>
        </w:tc>
        <w:tc>
          <w:tcPr>
            <w:tcW w:w="595" w:type="dxa"/>
            <w:tcBorders>
              <w:top w:val="nil"/>
              <w:left w:val="nil"/>
              <w:bottom w:val="nil"/>
              <w:right w:val="nil"/>
            </w:tcBorders>
            <w:shd w:val="clear" w:color="auto" w:fill="auto"/>
            <w:noWrap/>
            <w:vAlign w:val="center"/>
            <w:hideMark/>
          </w:tcPr>
          <w:p w14:paraId="5C2704F2" w14:textId="360036F1" w:rsidR="00A9687B" w:rsidRPr="00D92E20" w:rsidRDefault="00A9687B" w:rsidP="00A9687B">
            <w:pPr>
              <w:spacing w:after="0" w:line="240" w:lineRule="auto"/>
              <w:jc w:val="center"/>
              <w:rPr>
                <w:rFonts w:cs="Arial"/>
                <w:color w:val="000000"/>
                <w:sz w:val="16"/>
                <w:szCs w:val="16"/>
              </w:rPr>
            </w:pPr>
            <w:r>
              <w:rPr>
                <w:rFonts w:cs="Arial"/>
                <w:color w:val="000000"/>
                <w:sz w:val="16"/>
                <w:szCs w:val="16"/>
              </w:rPr>
              <w:t>5,0</w:t>
            </w:r>
          </w:p>
        </w:tc>
      </w:tr>
      <w:tr w:rsidR="00A9687B" w:rsidRPr="00D92E20" w14:paraId="6537B685" w14:textId="77777777" w:rsidTr="006C7D54">
        <w:trPr>
          <w:trHeight w:val="300"/>
        </w:trPr>
        <w:tc>
          <w:tcPr>
            <w:tcW w:w="3118" w:type="dxa"/>
            <w:tcBorders>
              <w:top w:val="nil"/>
              <w:left w:val="nil"/>
              <w:bottom w:val="nil"/>
              <w:right w:val="single" w:sz="4" w:space="0" w:color="auto"/>
            </w:tcBorders>
            <w:shd w:val="clear" w:color="auto" w:fill="auto"/>
            <w:vAlign w:val="center"/>
            <w:hideMark/>
          </w:tcPr>
          <w:p w14:paraId="6B444684" w14:textId="77777777" w:rsidR="00A9687B" w:rsidRPr="00D92E20" w:rsidRDefault="00A9687B" w:rsidP="00A9687B">
            <w:pPr>
              <w:spacing w:after="0" w:line="240" w:lineRule="auto"/>
              <w:ind w:firstLineChars="100" w:firstLine="160"/>
              <w:rPr>
                <w:rFonts w:cs="Arial"/>
                <w:color w:val="000000"/>
                <w:sz w:val="16"/>
                <w:szCs w:val="16"/>
              </w:rPr>
            </w:pPr>
            <w:r w:rsidRPr="00D92E20">
              <w:rPr>
                <w:rFonts w:cs="Arial"/>
                <w:color w:val="000000"/>
                <w:sz w:val="16"/>
                <w:szCs w:val="16"/>
              </w:rPr>
              <w:t>P – Vzdělávání</w:t>
            </w:r>
          </w:p>
        </w:tc>
        <w:tc>
          <w:tcPr>
            <w:tcW w:w="595" w:type="dxa"/>
            <w:tcBorders>
              <w:top w:val="nil"/>
              <w:left w:val="nil"/>
              <w:bottom w:val="nil"/>
              <w:right w:val="nil"/>
            </w:tcBorders>
            <w:shd w:val="clear" w:color="auto" w:fill="auto"/>
            <w:noWrap/>
            <w:vAlign w:val="center"/>
            <w:hideMark/>
          </w:tcPr>
          <w:p w14:paraId="355220CD" w14:textId="18DCEBE6" w:rsidR="00A9687B" w:rsidRPr="00D92E20" w:rsidRDefault="00A9687B" w:rsidP="00A9687B">
            <w:pPr>
              <w:spacing w:after="0" w:line="240" w:lineRule="auto"/>
              <w:jc w:val="center"/>
              <w:rPr>
                <w:rFonts w:cs="Arial"/>
                <w:color w:val="000000"/>
                <w:sz w:val="16"/>
                <w:szCs w:val="16"/>
              </w:rPr>
            </w:pPr>
            <w:r>
              <w:rPr>
                <w:rFonts w:cs="Arial"/>
                <w:sz w:val="16"/>
                <w:szCs w:val="16"/>
              </w:rPr>
              <w:t>2,4</w:t>
            </w:r>
          </w:p>
        </w:tc>
        <w:tc>
          <w:tcPr>
            <w:tcW w:w="595" w:type="dxa"/>
            <w:tcBorders>
              <w:top w:val="nil"/>
              <w:left w:val="nil"/>
              <w:bottom w:val="nil"/>
              <w:right w:val="nil"/>
            </w:tcBorders>
            <w:shd w:val="clear" w:color="auto" w:fill="auto"/>
            <w:noWrap/>
            <w:vAlign w:val="center"/>
            <w:hideMark/>
          </w:tcPr>
          <w:p w14:paraId="2AC13336" w14:textId="71E1CB6B" w:rsidR="00A9687B" w:rsidRPr="00D92E20" w:rsidRDefault="00A9687B" w:rsidP="00A9687B">
            <w:pPr>
              <w:spacing w:after="0" w:line="240" w:lineRule="auto"/>
              <w:jc w:val="center"/>
              <w:rPr>
                <w:rFonts w:cs="Arial"/>
                <w:color w:val="000000"/>
                <w:sz w:val="16"/>
                <w:szCs w:val="16"/>
              </w:rPr>
            </w:pPr>
            <w:r>
              <w:rPr>
                <w:rFonts w:cs="Arial"/>
                <w:sz w:val="16"/>
                <w:szCs w:val="16"/>
              </w:rPr>
              <w:t>2,7</w:t>
            </w:r>
          </w:p>
        </w:tc>
        <w:tc>
          <w:tcPr>
            <w:tcW w:w="595" w:type="dxa"/>
            <w:tcBorders>
              <w:top w:val="nil"/>
              <w:left w:val="nil"/>
              <w:bottom w:val="nil"/>
              <w:right w:val="nil"/>
            </w:tcBorders>
            <w:shd w:val="clear" w:color="auto" w:fill="auto"/>
            <w:noWrap/>
            <w:vAlign w:val="center"/>
            <w:hideMark/>
          </w:tcPr>
          <w:p w14:paraId="50D6772F" w14:textId="52D1F869" w:rsidR="00A9687B" w:rsidRPr="00D92E20" w:rsidRDefault="00A9687B" w:rsidP="00A9687B">
            <w:pPr>
              <w:spacing w:after="0" w:line="240" w:lineRule="auto"/>
              <w:jc w:val="center"/>
              <w:rPr>
                <w:rFonts w:cs="Arial"/>
                <w:color w:val="000000"/>
                <w:sz w:val="16"/>
                <w:szCs w:val="16"/>
              </w:rPr>
            </w:pPr>
            <w:r>
              <w:rPr>
                <w:rFonts w:cs="Arial"/>
                <w:sz w:val="16"/>
                <w:szCs w:val="16"/>
              </w:rPr>
              <w:t>2,6</w:t>
            </w:r>
          </w:p>
        </w:tc>
        <w:tc>
          <w:tcPr>
            <w:tcW w:w="595" w:type="dxa"/>
            <w:tcBorders>
              <w:top w:val="nil"/>
              <w:left w:val="nil"/>
              <w:bottom w:val="nil"/>
              <w:right w:val="nil"/>
            </w:tcBorders>
            <w:shd w:val="clear" w:color="auto" w:fill="auto"/>
            <w:noWrap/>
            <w:vAlign w:val="center"/>
            <w:hideMark/>
          </w:tcPr>
          <w:p w14:paraId="4EA71460" w14:textId="48BFCA86" w:rsidR="00A9687B" w:rsidRPr="00D92E20" w:rsidRDefault="00A9687B" w:rsidP="00A9687B">
            <w:pPr>
              <w:spacing w:after="0" w:line="240" w:lineRule="auto"/>
              <w:jc w:val="center"/>
              <w:rPr>
                <w:rFonts w:cs="Arial"/>
                <w:color w:val="000000"/>
                <w:sz w:val="16"/>
                <w:szCs w:val="16"/>
              </w:rPr>
            </w:pPr>
            <w:r>
              <w:rPr>
                <w:rFonts w:cs="Arial"/>
                <w:sz w:val="16"/>
                <w:szCs w:val="16"/>
              </w:rPr>
              <w:t>3,1</w:t>
            </w:r>
          </w:p>
        </w:tc>
        <w:tc>
          <w:tcPr>
            <w:tcW w:w="595" w:type="dxa"/>
            <w:tcBorders>
              <w:top w:val="nil"/>
              <w:left w:val="nil"/>
              <w:bottom w:val="nil"/>
              <w:right w:val="nil"/>
            </w:tcBorders>
            <w:shd w:val="clear" w:color="auto" w:fill="auto"/>
            <w:noWrap/>
            <w:vAlign w:val="center"/>
            <w:hideMark/>
          </w:tcPr>
          <w:p w14:paraId="7AC57998" w14:textId="4816F97C" w:rsidR="00A9687B" w:rsidRPr="00D92E20" w:rsidRDefault="00A9687B" w:rsidP="00A9687B">
            <w:pPr>
              <w:spacing w:after="0" w:line="240" w:lineRule="auto"/>
              <w:jc w:val="center"/>
              <w:rPr>
                <w:rFonts w:cs="Arial"/>
                <w:color w:val="000000"/>
                <w:sz w:val="16"/>
                <w:szCs w:val="16"/>
              </w:rPr>
            </w:pPr>
            <w:r>
              <w:rPr>
                <w:rFonts w:cs="Arial"/>
                <w:color w:val="000000"/>
                <w:sz w:val="16"/>
                <w:szCs w:val="16"/>
              </w:rPr>
              <w:t>3,1</w:t>
            </w:r>
          </w:p>
        </w:tc>
        <w:tc>
          <w:tcPr>
            <w:tcW w:w="595" w:type="dxa"/>
            <w:tcBorders>
              <w:top w:val="nil"/>
              <w:left w:val="nil"/>
              <w:bottom w:val="nil"/>
              <w:right w:val="nil"/>
            </w:tcBorders>
            <w:shd w:val="clear" w:color="auto" w:fill="auto"/>
            <w:noWrap/>
            <w:vAlign w:val="center"/>
            <w:hideMark/>
          </w:tcPr>
          <w:p w14:paraId="04D6AA71" w14:textId="788144F1" w:rsidR="00A9687B" w:rsidRPr="00D92E20" w:rsidRDefault="00A9687B" w:rsidP="00A9687B">
            <w:pPr>
              <w:spacing w:after="0" w:line="240" w:lineRule="auto"/>
              <w:jc w:val="center"/>
              <w:rPr>
                <w:rFonts w:cs="Arial"/>
                <w:color w:val="000000"/>
                <w:sz w:val="16"/>
                <w:szCs w:val="16"/>
              </w:rPr>
            </w:pPr>
            <w:r>
              <w:rPr>
                <w:rFonts w:cs="Arial"/>
                <w:color w:val="000000"/>
                <w:sz w:val="16"/>
                <w:szCs w:val="16"/>
              </w:rPr>
              <w:t>3,3</w:t>
            </w:r>
          </w:p>
        </w:tc>
        <w:tc>
          <w:tcPr>
            <w:tcW w:w="595" w:type="dxa"/>
            <w:tcBorders>
              <w:top w:val="nil"/>
              <w:left w:val="nil"/>
              <w:bottom w:val="nil"/>
              <w:right w:val="nil"/>
            </w:tcBorders>
            <w:shd w:val="clear" w:color="auto" w:fill="auto"/>
            <w:noWrap/>
            <w:vAlign w:val="center"/>
            <w:hideMark/>
          </w:tcPr>
          <w:p w14:paraId="3A556C05" w14:textId="0BD9EF47" w:rsidR="00A9687B" w:rsidRPr="00D92E20" w:rsidRDefault="00A9687B" w:rsidP="00A9687B">
            <w:pPr>
              <w:spacing w:after="0" w:line="240" w:lineRule="auto"/>
              <w:jc w:val="center"/>
              <w:rPr>
                <w:rFonts w:cs="Arial"/>
                <w:color w:val="000000"/>
                <w:sz w:val="16"/>
                <w:szCs w:val="16"/>
              </w:rPr>
            </w:pPr>
            <w:r>
              <w:rPr>
                <w:rFonts w:cs="Arial"/>
                <w:color w:val="000000"/>
                <w:sz w:val="16"/>
                <w:szCs w:val="16"/>
              </w:rPr>
              <w:t>3,5</w:t>
            </w:r>
          </w:p>
        </w:tc>
        <w:tc>
          <w:tcPr>
            <w:tcW w:w="595" w:type="dxa"/>
            <w:tcBorders>
              <w:top w:val="nil"/>
              <w:left w:val="nil"/>
              <w:bottom w:val="nil"/>
              <w:right w:val="nil"/>
            </w:tcBorders>
            <w:shd w:val="clear" w:color="auto" w:fill="auto"/>
            <w:noWrap/>
            <w:vAlign w:val="center"/>
            <w:hideMark/>
          </w:tcPr>
          <w:p w14:paraId="7A1DD3C7" w14:textId="7121E72C" w:rsidR="00A9687B" w:rsidRPr="00D92E20" w:rsidRDefault="00A9687B" w:rsidP="00A9687B">
            <w:pPr>
              <w:spacing w:after="0" w:line="240" w:lineRule="auto"/>
              <w:jc w:val="center"/>
              <w:rPr>
                <w:rFonts w:cs="Arial"/>
                <w:color w:val="000000"/>
                <w:sz w:val="16"/>
                <w:szCs w:val="16"/>
              </w:rPr>
            </w:pPr>
            <w:r>
              <w:rPr>
                <w:rFonts w:cs="Arial"/>
                <w:color w:val="000000"/>
                <w:sz w:val="16"/>
                <w:szCs w:val="16"/>
              </w:rPr>
              <w:t>3,4</w:t>
            </w:r>
          </w:p>
        </w:tc>
        <w:tc>
          <w:tcPr>
            <w:tcW w:w="595" w:type="dxa"/>
            <w:tcBorders>
              <w:top w:val="nil"/>
              <w:left w:val="nil"/>
              <w:bottom w:val="nil"/>
              <w:right w:val="nil"/>
            </w:tcBorders>
            <w:shd w:val="clear" w:color="auto" w:fill="auto"/>
            <w:noWrap/>
            <w:vAlign w:val="center"/>
            <w:hideMark/>
          </w:tcPr>
          <w:p w14:paraId="655282EF" w14:textId="0ABE1EB6" w:rsidR="00A9687B" w:rsidRPr="00D92E20" w:rsidRDefault="00A9687B" w:rsidP="00A9687B">
            <w:pPr>
              <w:spacing w:after="0" w:line="240" w:lineRule="auto"/>
              <w:jc w:val="center"/>
              <w:rPr>
                <w:rFonts w:cs="Arial"/>
                <w:color w:val="000000"/>
                <w:sz w:val="16"/>
                <w:szCs w:val="16"/>
              </w:rPr>
            </w:pPr>
            <w:r>
              <w:rPr>
                <w:rFonts w:cs="Arial"/>
                <w:color w:val="000000"/>
                <w:sz w:val="16"/>
                <w:szCs w:val="16"/>
              </w:rPr>
              <w:t>3,2</w:t>
            </w:r>
          </w:p>
        </w:tc>
        <w:tc>
          <w:tcPr>
            <w:tcW w:w="595" w:type="dxa"/>
            <w:tcBorders>
              <w:top w:val="nil"/>
              <w:left w:val="nil"/>
              <w:bottom w:val="nil"/>
              <w:right w:val="nil"/>
            </w:tcBorders>
            <w:shd w:val="clear" w:color="auto" w:fill="auto"/>
            <w:noWrap/>
            <w:vAlign w:val="center"/>
            <w:hideMark/>
          </w:tcPr>
          <w:p w14:paraId="2975FE97" w14:textId="1746A228" w:rsidR="00A9687B" w:rsidRPr="00D92E20" w:rsidRDefault="00A9687B" w:rsidP="00A9687B">
            <w:pPr>
              <w:spacing w:after="0" w:line="240" w:lineRule="auto"/>
              <w:jc w:val="center"/>
              <w:rPr>
                <w:rFonts w:cs="Arial"/>
                <w:color w:val="000000"/>
                <w:sz w:val="16"/>
                <w:szCs w:val="16"/>
              </w:rPr>
            </w:pPr>
            <w:r>
              <w:rPr>
                <w:rFonts w:cs="Arial"/>
                <w:color w:val="000000"/>
                <w:sz w:val="16"/>
                <w:szCs w:val="16"/>
              </w:rPr>
              <w:t>3,7</w:t>
            </w:r>
          </w:p>
        </w:tc>
        <w:tc>
          <w:tcPr>
            <w:tcW w:w="595" w:type="dxa"/>
            <w:tcBorders>
              <w:top w:val="nil"/>
              <w:left w:val="nil"/>
              <w:bottom w:val="nil"/>
              <w:right w:val="nil"/>
            </w:tcBorders>
            <w:shd w:val="clear" w:color="auto" w:fill="auto"/>
            <w:noWrap/>
            <w:vAlign w:val="center"/>
            <w:hideMark/>
          </w:tcPr>
          <w:p w14:paraId="2EB4B2AF" w14:textId="04D6B1EC" w:rsidR="00A9687B" w:rsidRPr="00D92E20" w:rsidRDefault="00A9687B" w:rsidP="00A9687B">
            <w:pPr>
              <w:spacing w:after="0" w:line="240" w:lineRule="auto"/>
              <w:jc w:val="center"/>
              <w:rPr>
                <w:rFonts w:cs="Arial"/>
                <w:color w:val="000000"/>
                <w:sz w:val="16"/>
                <w:szCs w:val="16"/>
              </w:rPr>
            </w:pPr>
            <w:r>
              <w:rPr>
                <w:rFonts w:cs="Arial"/>
                <w:color w:val="000000"/>
                <w:sz w:val="16"/>
                <w:szCs w:val="16"/>
              </w:rPr>
              <w:t>4,9</w:t>
            </w:r>
          </w:p>
        </w:tc>
      </w:tr>
      <w:tr w:rsidR="00A9687B" w:rsidRPr="00D92E20" w14:paraId="45A0E750" w14:textId="77777777" w:rsidTr="006C7D54">
        <w:trPr>
          <w:trHeight w:val="300"/>
        </w:trPr>
        <w:tc>
          <w:tcPr>
            <w:tcW w:w="3118" w:type="dxa"/>
            <w:tcBorders>
              <w:top w:val="nil"/>
              <w:left w:val="nil"/>
              <w:bottom w:val="nil"/>
              <w:right w:val="single" w:sz="4" w:space="0" w:color="auto"/>
            </w:tcBorders>
            <w:shd w:val="clear" w:color="auto" w:fill="auto"/>
            <w:vAlign w:val="center"/>
            <w:hideMark/>
          </w:tcPr>
          <w:p w14:paraId="2561E914" w14:textId="77777777" w:rsidR="00A9687B" w:rsidRPr="00D92E20" w:rsidRDefault="00A9687B" w:rsidP="00A9687B">
            <w:pPr>
              <w:spacing w:after="0" w:line="240" w:lineRule="auto"/>
              <w:ind w:firstLineChars="100" w:firstLine="160"/>
              <w:rPr>
                <w:rFonts w:cs="Arial"/>
                <w:color w:val="000000"/>
                <w:sz w:val="16"/>
                <w:szCs w:val="16"/>
              </w:rPr>
            </w:pPr>
            <w:r w:rsidRPr="00D92E20">
              <w:rPr>
                <w:rFonts w:cs="Arial"/>
                <w:color w:val="000000"/>
                <w:sz w:val="16"/>
                <w:szCs w:val="16"/>
              </w:rPr>
              <w:t>Q – Zdravotní a sociální péče</w:t>
            </w:r>
          </w:p>
        </w:tc>
        <w:tc>
          <w:tcPr>
            <w:tcW w:w="595" w:type="dxa"/>
            <w:tcBorders>
              <w:top w:val="nil"/>
              <w:left w:val="nil"/>
              <w:bottom w:val="nil"/>
              <w:right w:val="nil"/>
            </w:tcBorders>
            <w:shd w:val="clear" w:color="auto" w:fill="auto"/>
            <w:noWrap/>
            <w:vAlign w:val="center"/>
            <w:hideMark/>
          </w:tcPr>
          <w:p w14:paraId="38377929" w14:textId="7C68971A" w:rsidR="00A9687B" w:rsidRPr="00D92E20" w:rsidRDefault="00A9687B" w:rsidP="00A9687B">
            <w:pPr>
              <w:spacing w:after="0" w:line="240" w:lineRule="auto"/>
              <w:jc w:val="center"/>
              <w:rPr>
                <w:rFonts w:cs="Arial"/>
                <w:color w:val="000000"/>
                <w:sz w:val="16"/>
                <w:szCs w:val="16"/>
              </w:rPr>
            </w:pPr>
            <w:r>
              <w:rPr>
                <w:rFonts w:cs="Arial"/>
                <w:sz w:val="16"/>
                <w:szCs w:val="16"/>
              </w:rPr>
              <w:t>3,4</w:t>
            </w:r>
          </w:p>
        </w:tc>
        <w:tc>
          <w:tcPr>
            <w:tcW w:w="595" w:type="dxa"/>
            <w:tcBorders>
              <w:top w:val="nil"/>
              <w:left w:val="nil"/>
              <w:bottom w:val="nil"/>
              <w:right w:val="nil"/>
            </w:tcBorders>
            <w:shd w:val="clear" w:color="auto" w:fill="auto"/>
            <w:noWrap/>
            <w:vAlign w:val="center"/>
            <w:hideMark/>
          </w:tcPr>
          <w:p w14:paraId="432FEC04" w14:textId="004DD894" w:rsidR="00A9687B" w:rsidRPr="00D92E20" w:rsidRDefault="00A9687B" w:rsidP="00A9687B">
            <w:pPr>
              <w:spacing w:after="0" w:line="240" w:lineRule="auto"/>
              <w:jc w:val="center"/>
              <w:rPr>
                <w:rFonts w:cs="Arial"/>
                <w:color w:val="000000"/>
                <w:sz w:val="16"/>
                <w:szCs w:val="16"/>
              </w:rPr>
            </w:pPr>
            <w:r>
              <w:rPr>
                <w:rFonts w:cs="Arial"/>
                <w:sz w:val="16"/>
                <w:szCs w:val="16"/>
              </w:rPr>
              <w:t>3,7</w:t>
            </w:r>
          </w:p>
        </w:tc>
        <w:tc>
          <w:tcPr>
            <w:tcW w:w="595" w:type="dxa"/>
            <w:tcBorders>
              <w:top w:val="nil"/>
              <w:left w:val="nil"/>
              <w:bottom w:val="nil"/>
              <w:right w:val="nil"/>
            </w:tcBorders>
            <w:shd w:val="clear" w:color="auto" w:fill="auto"/>
            <w:noWrap/>
            <w:vAlign w:val="center"/>
            <w:hideMark/>
          </w:tcPr>
          <w:p w14:paraId="207E324B" w14:textId="7EADB480" w:rsidR="00A9687B" w:rsidRPr="00D92E20" w:rsidRDefault="00A9687B" w:rsidP="00A9687B">
            <w:pPr>
              <w:spacing w:after="0" w:line="240" w:lineRule="auto"/>
              <w:jc w:val="center"/>
              <w:rPr>
                <w:rFonts w:cs="Arial"/>
                <w:color w:val="000000"/>
                <w:sz w:val="16"/>
                <w:szCs w:val="16"/>
              </w:rPr>
            </w:pPr>
            <w:r>
              <w:rPr>
                <w:rFonts w:cs="Arial"/>
                <w:sz w:val="16"/>
                <w:szCs w:val="16"/>
              </w:rPr>
              <w:t>3,7</w:t>
            </w:r>
          </w:p>
        </w:tc>
        <w:tc>
          <w:tcPr>
            <w:tcW w:w="595" w:type="dxa"/>
            <w:tcBorders>
              <w:top w:val="nil"/>
              <w:left w:val="nil"/>
              <w:bottom w:val="nil"/>
              <w:right w:val="nil"/>
            </w:tcBorders>
            <w:shd w:val="clear" w:color="auto" w:fill="auto"/>
            <w:noWrap/>
            <w:vAlign w:val="center"/>
            <w:hideMark/>
          </w:tcPr>
          <w:p w14:paraId="245C1CBF" w14:textId="3B29C9A0" w:rsidR="00A9687B" w:rsidRPr="00D92E20" w:rsidRDefault="00A9687B" w:rsidP="00A9687B">
            <w:pPr>
              <w:spacing w:after="0" w:line="240" w:lineRule="auto"/>
              <w:jc w:val="center"/>
              <w:rPr>
                <w:rFonts w:cs="Arial"/>
                <w:color w:val="000000"/>
                <w:sz w:val="16"/>
                <w:szCs w:val="16"/>
              </w:rPr>
            </w:pPr>
            <w:r>
              <w:rPr>
                <w:rFonts w:cs="Arial"/>
                <w:sz w:val="16"/>
                <w:szCs w:val="16"/>
              </w:rPr>
              <w:t>4,3</w:t>
            </w:r>
          </w:p>
        </w:tc>
        <w:tc>
          <w:tcPr>
            <w:tcW w:w="595" w:type="dxa"/>
            <w:tcBorders>
              <w:top w:val="nil"/>
              <w:left w:val="nil"/>
              <w:bottom w:val="nil"/>
              <w:right w:val="nil"/>
            </w:tcBorders>
            <w:shd w:val="clear" w:color="auto" w:fill="auto"/>
            <w:noWrap/>
            <w:vAlign w:val="center"/>
            <w:hideMark/>
          </w:tcPr>
          <w:p w14:paraId="7CC79962" w14:textId="337CE8E1" w:rsidR="00A9687B" w:rsidRPr="00D92E20" w:rsidRDefault="00A9687B" w:rsidP="00A9687B">
            <w:pPr>
              <w:spacing w:after="0" w:line="240" w:lineRule="auto"/>
              <w:jc w:val="center"/>
              <w:rPr>
                <w:rFonts w:cs="Arial"/>
                <w:color w:val="000000"/>
                <w:sz w:val="16"/>
                <w:szCs w:val="16"/>
              </w:rPr>
            </w:pPr>
            <w:r>
              <w:rPr>
                <w:rFonts w:cs="Arial"/>
                <w:color w:val="000000"/>
                <w:sz w:val="16"/>
                <w:szCs w:val="16"/>
              </w:rPr>
              <w:t>4,3</w:t>
            </w:r>
          </w:p>
        </w:tc>
        <w:tc>
          <w:tcPr>
            <w:tcW w:w="595" w:type="dxa"/>
            <w:tcBorders>
              <w:top w:val="nil"/>
              <w:left w:val="nil"/>
              <w:bottom w:val="nil"/>
              <w:right w:val="nil"/>
            </w:tcBorders>
            <w:shd w:val="clear" w:color="auto" w:fill="auto"/>
            <w:noWrap/>
            <w:vAlign w:val="center"/>
            <w:hideMark/>
          </w:tcPr>
          <w:p w14:paraId="1054482E" w14:textId="1C7E6786" w:rsidR="00A9687B" w:rsidRPr="00D92E20" w:rsidRDefault="00A9687B" w:rsidP="00A9687B">
            <w:pPr>
              <w:spacing w:after="0" w:line="240" w:lineRule="auto"/>
              <w:jc w:val="center"/>
              <w:rPr>
                <w:rFonts w:cs="Arial"/>
                <w:color w:val="000000"/>
                <w:sz w:val="16"/>
                <w:szCs w:val="16"/>
              </w:rPr>
            </w:pPr>
            <w:r>
              <w:rPr>
                <w:rFonts w:cs="Arial"/>
                <w:color w:val="000000"/>
                <w:sz w:val="16"/>
                <w:szCs w:val="16"/>
              </w:rPr>
              <w:t>4,5</w:t>
            </w:r>
          </w:p>
        </w:tc>
        <w:tc>
          <w:tcPr>
            <w:tcW w:w="595" w:type="dxa"/>
            <w:tcBorders>
              <w:top w:val="nil"/>
              <w:left w:val="nil"/>
              <w:bottom w:val="nil"/>
              <w:right w:val="nil"/>
            </w:tcBorders>
            <w:shd w:val="clear" w:color="auto" w:fill="auto"/>
            <w:noWrap/>
            <w:vAlign w:val="center"/>
            <w:hideMark/>
          </w:tcPr>
          <w:p w14:paraId="0C61BEB1" w14:textId="605F5B65" w:rsidR="00A9687B" w:rsidRPr="00D92E20" w:rsidRDefault="00A9687B" w:rsidP="00A9687B">
            <w:pPr>
              <w:spacing w:after="0" w:line="240" w:lineRule="auto"/>
              <w:jc w:val="center"/>
              <w:rPr>
                <w:rFonts w:cs="Arial"/>
                <w:color w:val="000000"/>
                <w:sz w:val="16"/>
                <w:szCs w:val="16"/>
              </w:rPr>
            </w:pPr>
            <w:r>
              <w:rPr>
                <w:rFonts w:cs="Arial"/>
                <w:color w:val="000000"/>
                <w:sz w:val="16"/>
                <w:szCs w:val="16"/>
              </w:rPr>
              <w:t>4,6</w:t>
            </w:r>
          </w:p>
        </w:tc>
        <w:tc>
          <w:tcPr>
            <w:tcW w:w="595" w:type="dxa"/>
            <w:tcBorders>
              <w:top w:val="nil"/>
              <w:left w:val="nil"/>
              <w:bottom w:val="nil"/>
              <w:right w:val="nil"/>
            </w:tcBorders>
            <w:shd w:val="clear" w:color="auto" w:fill="auto"/>
            <w:noWrap/>
            <w:vAlign w:val="center"/>
            <w:hideMark/>
          </w:tcPr>
          <w:p w14:paraId="1CDD45B3" w14:textId="16E2D6FB" w:rsidR="00A9687B" w:rsidRPr="00D92E20" w:rsidRDefault="00A9687B" w:rsidP="00A9687B">
            <w:pPr>
              <w:spacing w:after="0" w:line="240" w:lineRule="auto"/>
              <w:jc w:val="center"/>
              <w:rPr>
                <w:rFonts w:cs="Arial"/>
                <w:color w:val="000000"/>
                <w:sz w:val="16"/>
                <w:szCs w:val="16"/>
              </w:rPr>
            </w:pPr>
            <w:r>
              <w:rPr>
                <w:rFonts w:cs="Arial"/>
                <w:color w:val="000000"/>
                <w:sz w:val="16"/>
                <w:szCs w:val="16"/>
              </w:rPr>
              <w:t>4,7</w:t>
            </w:r>
          </w:p>
        </w:tc>
        <w:tc>
          <w:tcPr>
            <w:tcW w:w="595" w:type="dxa"/>
            <w:tcBorders>
              <w:top w:val="nil"/>
              <w:left w:val="nil"/>
              <w:bottom w:val="nil"/>
              <w:right w:val="nil"/>
            </w:tcBorders>
            <w:shd w:val="clear" w:color="auto" w:fill="auto"/>
            <w:noWrap/>
            <w:vAlign w:val="center"/>
            <w:hideMark/>
          </w:tcPr>
          <w:p w14:paraId="6FC79CBF" w14:textId="0DCCE1ED" w:rsidR="00A9687B" w:rsidRPr="00D92E20" w:rsidRDefault="00A9687B" w:rsidP="00A9687B">
            <w:pPr>
              <w:spacing w:after="0" w:line="240" w:lineRule="auto"/>
              <w:jc w:val="center"/>
              <w:rPr>
                <w:rFonts w:cs="Arial"/>
                <w:color w:val="000000"/>
                <w:sz w:val="16"/>
                <w:szCs w:val="16"/>
              </w:rPr>
            </w:pPr>
            <w:r>
              <w:rPr>
                <w:rFonts w:cs="Arial"/>
                <w:color w:val="000000"/>
                <w:sz w:val="16"/>
                <w:szCs w:val="16"/>
              </w:rPr>
              <w:t>5,7</w:t>
            </w:r>
          </w:p>
        </w:tc>
        <w:tc>
          <w:tcPr>
            <w:tcW w:w="595" w:type="dxa"/>
            <w:tcBorders>
              <w:top w:val="nil"/>
              <w:left w:val="nil"/>
              <w:bottom w:val="nil"/>
              <w:right w:val="nil"/>
            </w:tcBorders>
            <w:shd w:val="clear" w:color="auto" w:fill="auto"/>
            <w:noWrap/>
            <w:vAlign w:val="center"/>
            <w:hideMark/>
          </w:tcPr>
          <w:p w14:paraId="57D5387B" w14:textId="18F5F228" w:rsidR="00A9687B" w:rsidRPr="00D92E20" w:rsidRDefault="00A9687B" w:rsidP="00A9687B">
            <w:pPr>
              <w:spacing w:after="0" w:line="240" w:lineRule="auto"/>
              <w:jc w:val="center"/>
              <w:rPr>
                <w:rFonts w:cs="Arial"/>
                <w:color w:val="000000"/>
                <w:sz w:val="16"/>
                <w:szCs w:val="16"/>
              </w:rPr>
            </w:pPr>
            <w:r>
              <w:rPr>
                <w:rFonts w:cs="Arial"/>
                <w:color w:val="000000"/>
                <w:sz w:val="16"/>
                <w:szCs w:val="16"/>
              </w:rPr>
              <w:t>5,9</w:t>
            </w:r>
          </w:p>
        </w:tc>
        <w:tc>
          <w:tcPr>
            <w:tcW w:w="595" w:type="dxa"/>
            <w:tcBorders>
              <w:top w:val="nil"/>
              <w:left w:val="nil"/>
              <w:bottom w:val="nil"/>
              <w:right w:val="nil"/>
            </w:tcBorders>
            <w:shd w:val="clear" w:color="auto" w:fill="auto"/>
            <w:noWrap/>
            <w:vAlign w:val="center"/>
            <w:hideMark/>
          </w:tcPr>
          <w:p w14:paraId="29E4B282" w14:textId="74E5C96B" w:rsidR="00A9687B" w:rsidRPr="00D92E20" w:rsidRDefault="00A9687B" w:rsidP="00A9687B">
            <w:pPr>
              <w:spacing w:after="0" w:line="240" w:lineRule="auto"/>
              <w:jc w:val="center"/>
              <w:rPr>
                <w:rFonts w:cs="Arial"/>
                <w:color w:val="000000"/>
                <w:sz w:val="16"/>
                <w:szCs w:val="16"/>
              </w:rPr>
            </w:pPr>
            <w:r>
              <w:rPr>
                <w:rFonts w:cs="Arial"/>
                <w:color w:val="000000"/>
                <w:sz w:val="16"/>
                <w:szCs w:val="16"/>
              </w:rPr>
              <w:t>6,0</w:t>
            </w:r>
          </w:p>
        </w:tc>
      </w:tr>
      <w:tr w:rsidR="00A9687B" w:rsidRPr="00D92E20" w14:paraId="34013AB5" w14:textId="77777777" w:rsidTr="006C7D54">
        <w:trPr>
          <w:trHeight w:val="300"/>
        </w:trPr>
        <w:tc>
          <w:tcPr>
            <w:tcW w:w="3118" w:type="dxa"/>
            <w:tcBorders>
              <w:top w:val="nil"/>
              <w:left w:val="nil"/>
              <w:bottom w:val="nil"/>
              <w:right w:val="single" w:sz="4" w:space="0" w:color="auto"/>
            </w:tcBorders>
            <w:shd w:val="clear" w:color="auto" w:fill="auto"/>
            <w:vAlign w:val="center"/>
            <w:hideMark/>
          </w:tcPr>
          <w:p w14:paraId="14AB5824" w14:textId="77777777" w:rsidR="00A9687B" w:rsidRDefault="00A9687B" w:rsidP="00A9687B">
            <w:pPr>
              <w:spacing w:after="0" w:line="240" w:lineRule="auto"/>
              <w:ind w:firstLineChars="100" w:firstLine="160"/>
              <w:rPr>
                <w:rFonts w:cs="Arial"/>
                <w:color w:val="000000"/>
                <w:sz w:val="16"/>
                <w:szCs w:val="16"/>
              </w:rPr>
            </w:pPr>
            <w:r w:rsidRPr="00D92E20">
              <w:rPr>
                <w:rFonts w:cs="Arial"/>
                <w:color w:val="000000"/>
                <w:sz w:val="16"/>
                <w:szCs w:val="16"/>
              </w:rPr>
              <w:t xml:space="preserve">R – Kulturní, zábavní a rekreační </w:t>
            </w:r>
          </w:p>
          <w:p w14:paraId="48D6C9D8" w14:textId="387B937F" w:rsidR="00A9687B" w:rsidRPr="00D92E20" w:rsidRDefault="00A9687B" w:rsidP="00A9687B">
            <w:pPr>
              <w:spacing w:after="0" w:line="240" w:lineRule="auto"/>
              <w:ind w:firstLineChars="100" w:firstLine="160"/>
              <w:rPr>
                <w:rFonts w:cs="Arial"/>
                <w:color w:val="000000"/>
                <w:sz w:val="16"/>
                <w:szCs w:val="16"/>
              </w:rPr>
            </w:pPr>
            <w:r>
              <w:rPr>
                <w:rFonts w:cs="Arial"/>
                <w:color w:val="000000"/>
                <w:sz w:val="16"/>
                <w:szCs w:val="16"/>
              </w:rPr>
              <w:t xml:space="preserve">       </w:t>
            </w:r>
            <w:r w:rsidRPr="00D92E20">
              <w:rPr>
                <w:rFonts w:cs="Arial"/>
                <w:color w:val="000000"/>
                <w:sz w:val="16"/>
                <w:szCs w:val="16"/>
              </w:rPr>
              <w:t>činnosti</w:t>
            </w:r>
          </w:p>
        </w:tc>
        <w:tc>
          <w:tcPr>
            <w:tcW w:w="595" w:type="dxa"/>
            <w:tcBorders>
              <w:top w:val="nil"/>
              <w:left w:val="nil"/>
              <w:bottom w:val="nil"/>
              <w:right w:val="nil"/>
            </w:tcBorders>
            <w:shd w:val="clear" w:color="auto" w:fill="auto"/>
            <w:noWrap/>
            <w:vAlign w:val="center"/>
            <w:hideMark/>
          </w:tcPr>
          <w:p w14:paraId="730A3EE1" w14:textId="266EBB59" w:rsidR="00A9687B" w:rsidRPr="00D92E20" w:rsidRDefault="00A9687B" w:rsidP="00A9687B">
            <w:pPr>
              <w:spacing w:after="0" w:line="240" w:lineRule="auto"/>
              <w:jc w:val="center"/>
              <w:rPr>
                <w:rFonts w:cs="Arial"/>
                <w:color w:val="000000"/>
                <w:sz w:val="16"/>
                <w:szCs w:val="16"/>
              </w:rPr>
            </w:pPr>
            <w:r>
              <w:rPr>
                <w:rFonts w:cs="Arial"/>
                <w:sz w:val="16"/>
                <w:szCs w:val="16"/>
              </w:rPr>
              <w:t>2,4</w:t>
            </w:r>
          </w:p>
        </w:tc>
        <w:tc>
          <w:tcPr>
            <w:tcW w:w="595" w:type="dxa"/>
            <w:tcBorders>
              <w:top w:val="nil"/>
              <w:left w:val="nil"/>
              <w:bottom w:val="nil"/>
              <w:right w:val="nil"/>
            </w:tcBorders>
            <w:shd w:val="clear" w:color="auto" w:fill="auto"/>
            <w:noWrap/>
            <w:vAlign w:val="center"/>
            <w:hideMark/>
          </w:tcPr>
          <w:p w14:paraId="6B1B2EA7" w14:textId="44418000" w:rsidR="00A9687B" w:rsidRPr="00D92E20" w:rsidRDefault="00A9687B" w:rsidP="00A9687B">
            <w:pPr>
              <w:spacing w:after="0" w:line="240" w:lineRule="auto"/>
              <w:jc w:val="center"/>
              <w:rPr>
                <w:rFonts w:cs="Arial"/>
                <w:color w:val="000000"/>
                <w:sz w:val="16"/>
                <w:szCs w:val="16"/>
              </w:rPr>
            </w:pPr>
            <w:r>
              <w:rPr>
                <w:rFonts w:cs="Arial"/>
                <w:sz w:val="16"/>
                <w:szCs w:val="16"/>
              </w:rPr>
              <w:t>2,7</w:t>
            </w:r>
          </w:p>
        </w:tc>
        <w:tc>
          <w:tcPr>
            <w:tcW w:w="595" w:type="dxa"/>
            <w:tcBorders>
              <w:top w:val="nil"/>
              <w:left w:val="nil"/>
              <w:bottom w:val="nil"/>
              <w:right w:val="nil"/>
            </w:tcBorders>
            <w:shd w:val="clear" w:color="auto" w:fill="auto"/>
            <w:noWrap/>
            <w:vAlign w:val="center"/>
            <w:hideMark/>
          </w:tcPr>
          <w:p w14:paraId="0CD9B2AF" w14:textId="47E1E26D" w:rsidR="00A9687B" w:rsidRPr="00D92E20" w:rsidRDefault="00A9687B" w:rsidP="00A9687B">
            <w:pPr>
              <w:spacing w:after="0" w:line="240" w:lineRule="auto"/>
              <w:jc w:val="center"/>
              <w:rPr>
                <w:rFonts w:cs="Arial"/>
                <w:color w:val="000000"/>
                <w:sz w:val="16"/>
                <w:szCs w:val="16"/>
              </w:rPr>
            </w:pPr>
            <w:r>
              <w:rPr>
                <w:rFonts w:cs="Arial"/>
                <w:sz w:val="16"/>
                <w:szCs w:val="16"/>
              </w:rPr>
              <w:t>2,6</w:t>
            </w:r>
          </w:p>
        </w:tc>
        <w:tc>
          <w:tcPr>
            <w:tcW w:w="595" w:type="dxa"/>
            <w:tcBorders>
              <w:top w:val="nil"/>
              <w:left w:val="nil"/>
              <w:bottom w:val="nil"/>
              <w:right w:val="nil"/>
            </w:tcBorders>
            <w:shd w:val="clear" w:color="auto" w:fill="auto"/>
            <w:noWrap/>
            <w:vAlign w:val="center"/>
            <w:hideMark/>
          </w:tcPr>
          <w:p w14:paraId="16A89A5A" w14:textId="1B22A828" w:rsidR="00A9687B" w:rsidRPr="00D92E20" w:rsidRDefault="00A9687B" w:rsidP="00A9687B">
            <w:pPr>
              <w:spacing w:after="0" w:line="240" w:lineRule="auto"/>
              <w:jc w:val="center"/>
              <w:rPr>
                <w:rFonts w:cs="Arial"/>
                <w:color w:val="000000"/>
                <w:sz w:val="16"/>
                <w:szCs w:val="16"/>
              </w:rPr>
            </w:pPr>
            <w:r>
              <w:rPr>
                <w:rFonts w:cs="Arial"/>
                <w:sz w:val="16"/>
                <w:szCs w:val="16"/>
              </w:rPr>
              <w:t>3,0</w:t>
            </w:r>
          </w:p>
        </w:tc>
        <w:tc>
          <w:tcPr>
            <w:tcW w:w="595" w:type="dxa"/>
            <w:tcBorders>
              <w:top w:val="nil"/>
              <w:left w:val="nil"/>
              <w:bottom w:val="nil"/>
              <w:right w:val="nil"/>
            </w:tcBorders>
            <w:shd w:val="clear" w:color="auto" w:fill="auto"/>
            <w:noWrap/>
            <w:vAlign w:val="center"/>
            <w:hideMark/>
          </w:tcPr>
          <w:p w14:paraId="5D3619B4" w14:textId="7530DCFF" w:rsidR="00A9687B" w:rsidRPr="00D92E20" w:rsidRDefault="00A9687B" w:rsidP="00A9687B">
            <w:pPr>
              <w:spacing w:after="0" w:line="240" w:lineRule="auto"/>
              <w:jc w:val="center"/>
              <w:rPr>
                <w:rFonts w:cs="Arial"/>
                <w:color w:val="000000"/>
                <w:sz w:val="16"/>
                <w:szCs w:val="16"/>
              </w:rPr>
            </w:pPr>
            <w:r>
              <w:rPr>
                <w:rFonts w:cs="Arial"/>
                <w:color w:val="000000"/>
                <w:sz w:val="16"/>
                <w:szCs w:val="16"/>
              </w:rPr>
              <w:t>3,1</w:t>
            </w:r>
          </w:p>
        </w:tc>
        <w:tc>
          <w:tcPr>
            <w:tcW w:w="595" w:type="dxa"/>
            <w:tcBorders>
              <w:top w:val="nil"/>
              <w:left w:val="nil"/>
              <w:bottom w:val="nil"/>
              <w:right w:val="nil"/>
            </w:tcBorders>
            <w:shd w:val="clear" w:color="auto" w:fill="auto"/>
            <w:noWrap/>
            <w:vAlign w:val="center"/>
            <w:hideMark/>
          </w:tcPr>
          <w:p w14:paraId="7F84F244" w14:textId="4FDC6C21" w:rsidR="00A9687B" w:rsidRPr="00D92E20" w:rsidRDefault="00A9687B" w:rsidP="00A9687B">
            <w:pPr>
              <w:spacing w:after="0" w:line="240" w:lineRule="auto"/>
              <w:jc w:val="center"/>
              <w:rPr>
                <w:rFonts w:cs="Arial"/>
                <w:color w:val="000000"/>
                <w:sz w:val="16"/>
                <w:szCs w:val="16"/>
              </w:rPr>
            </w:pPr>
            <w:r>
              <w:rPr>
                <w:rFonts w:cs="Arial"/>
                <w:color w:val="000000"/>
                <w:sz w:val="16"/>
                <w:szCs w:val="16"/>
              </w:rPr>
              <w:t>3,2</w:t>
            </w:r>
          </w:p>
        </w:tc>
        <w:tc>
          <w:tcPr>
            <w:tcW w:w="595" w:type="dxa"/>
            <w:tcBorders>
              <w:top w:val="nil"/>
              <w:left w:val="nil"/>
              <w:bottom w:val="nil"/>
              <w:right w:val="nil"/>
            </w:tcBorders>
            <w:shd w:val="clear" w:color="auto" w:fill="auto"/>
            <w:noWrap/>
            <w:vAlign w:val="center"/>
            <w:hideMark/>
          </w:tcPr>
          <w:p w14:paraId="2A4F1FC7" w14:textId="18D71E96" w:rsidR="00A9687B" w:rsidRPr="00D92E20" w:rsidRDefault="00A9687B" w:rsidP="00A9687B">
            <w:pPr>
              <w:spacing w:after="0" w:line="240" w:lineRule="auto"/>
              <w:jc w:val="center"/>
              <w:rPr>
                <w:rFonts w:cs="Arial"/>
                <w:color w:val="000000"/>
                <w:sz w:val="16"/>
                <w:szCs w:val="16"/>
              </w:rPr>
            </w:pPr>
            <w:r>
              <w:rPr>
                <w:rFonts w:cs="Arial"/>
                <w:color w:val="000000"/>
                <w:sz w:val="16"/>
                <w:szCs w:val="16"/>
              </w:rPr>
              <w:t>3,3</w:t>
            </w:r>
          </w:p>
        </w:tc>
        <w:tc>
          <w:tcPr>
            <w:tcW w:w="595" w:type="dxa"/>
            <w:tcBorders>
              <w:top w:val="nil"/>
              <w:left w:val="nil"/>
              <w:bottom w:val="nil"/>
              <w:right w:val="nil"/>
            </w:tcBorders>
            <w:shd w:val="clear" w:color="auto" w:fill="auto"/>
            <w:noWrap/>
            <w:vAlign w:val="center"/>
            <w:hideMark/>
          </w:tcPr>
          <w:p w14:paraId="3882DF8C" w14:textId="660F879B" w:rsidR="00A9687B" w:rsidRPr="00D92E20" w:rsidRDefault="00A9687B" w:rsidP="00A9687B">
            <w:pPr>
              <w:spacing w:after="0" w:line="240" w:lineRule="auto"/>
              <w:jc w:val="center"/>
              <w:rPr>
                <w:rFonts w:cs="Arial"/>
                <w:color w:val="000000"/>
                <w:sz w:val="16"/>
                <w:szCs w:val="16"/>
              </w:rPr>
            </w:pPr>
            <w:r>
              <w:rPr>
                <w:rFonts w:cs="Arial"/>
                <w:color w:val="000000"/>
                <w:sz w:val="16"/>
                <w:szCs w:val="16"/>
              </w:rPr>
              <w:t>3,3</w:t>
            </w:r>
          </w:p>
        </w:tc>
        <w:tc>
          <w:tcPr>
            <w:tcW w:w="595" w:type="dxa"/>
            <w:tcBorders>
              <w:top w:val="nil"/>
              <w:left w:val="nil"/>
              <w:bottom w:val="nil"/>
              <w:right w:val="nil"/>
            </w:tcBorders>
            <w:shd w:val="clear" w:color="auto" w:fill="auto"/>
            <w:noWrap/>
            <w:vAlign w:val="center"/>
            <w:hideMark/>
          </w:tcPr>
          <w:p w14:paraId="0FC6D7ED" w14:textId="267A2A07" w:rsidR="00A9687B" w:rsidRPr="00D92E20" w:rsidRDefault="00A9687B" w:rsidP="00A9687B">
            <w:pPr>
              <w:spacing w:after="0" w:line="240" w:lineRule="auto"/>
              <w:jc w:val="center"/>
              <w:rPr>
                <w:rFonts w:cs="Arial"/>
                <w:color w:val="000000"/>
                <w:sz w:val="16"/>
                <w:szCs w:val="16"/>
              </w:rPr>
            </w:pPr>
            <w:r>
              <w:rPr>
                <w:rFonts w:cs="Arial"/>
                <w:color w:val="000000"/>
                <w:sz w:val="16"/>
                <w:szCs w:val="16"/>
              </w:rPr>
              <w:t>3,9</w:t>
            </w:r>
          </w:p>
        </w:tc>
        <w:tc>
          <w:tcPr>
            <w:tcW w:w="595" w:type="dxa"/>
            <w:tcBorders>
              <w:top w:val="nil"/>
              <w:left w:val="nil"/>
              <w:bottom w:val="nil"/>
              <w:right w:val="nil"/>
            </w:tcBorders>
            <w:shd w:val="clear" w:color="auto" w:fill="auto"/>
            <w:noWrap/>
            <w:vAlign w:val="center"/>
            <w:hideMark/>
          </w:tcPr>
          <w:p w14:paraId="5A565F4F" w14:textId="388A33B1" w:rsidR="00A9687B" w:rsidRPr="00D92E20" w:rsidRDefault="00A9687B" w:rsidP="00A9687B">
            <w:pPr>
              <w:spacing w:after="0" w:line="240" w:lineRule="auto"/>
              <w:jc w:val="center"/>
              <w:rPr>
                <w:rFonts w:cs="Arial"/>
                <w:color w:val="000000"/>
                <w:sz w:val="16"/>
                <w:szCs w:val="16"/>
              </w:rPr>
            </w:pPr>
            <w:r>
              <w:rPr>
                <w:rFonts w:cs="Arial"/>
                <w:color w:val="000000"/>
                <w:sz w:val="16"/>
                <w:szCs w:val="16"/>
              </w:rPr>
              <w:t>3,5</w:t>
            </w:r>
          </w:p>
        </w:tc>
        <w:tc>
          <w:tcPr>
            <w:tcW w:w="595" w:type="dxa"/>
            <w:tcBorders>
              <w:top w:val="nil"/>
              <w:left w:val="nil"/>
              <w:bottom w:val="nil"/>
              <w:right w:val="nil"/>
            </w:tcBorders>
            <w:shd w:val="clear" w:color="auto" w:fill="auto"/>
            <w:noWrap/>
            <w:vAlign w:val="center"/>
            <w:hideMark/>
          </w:tcPr>
          <w:p w14:paraId="3E934D17" w14:textId="4B10D302" w:rsidR="00A9687B" w:rsidRPr="00D92E20" w:rsidRDefault="00A9687B" w:rsidP="00A9687B">
            <w:pPr>
              <w:spacing w:after="0" w:line="240" w:lineRule="auto"/>
              <w:jc w:val="center"/>
              <w:rPr>
                <w:rFonts w:cs="Arial"/>
                <w:color w:val="000000"/>
                <w:sz w:val="16"/>
                <w:szCs w:val="16"/>
              </w:rPr>
            </w:pPr>
            <w:r>
              <w:rPr>
                <w:rFonts w:cs="Arial"/>
                <w:color w:val="000000"/>
                <w:sz w:val="16"/>
                <w:szCs w:val="16"/>
              </w:rPr>
              <w:t>4,2</w:t>
            </w:r>
          </w:p>
        </w:tc>
      </w:tr>
      <w:tr w:rsidR="00A9687B" w:rsidRPr="00D92E20" w14:paraId="23A725A7" w14:textId="77777777" w:rsidTr="006C7D54">
        <w:trPr>
          <w:trHeight w:val="300"/>
        </w:trPr>
        <w:tc>
          <w:tcPr>
            <w:tcW w:w="3118" w:type="dxa"/>
            <w:tcBorders>
              <w:top w:val="nil"/>
              <w:left w:val="nil"/>
              <w:bottom w:val="nil"/>
              <w:right w:val="single" w:sz="4" w:space="0" w:color="auto"/>
            </w:tcBorders>
            <w:shd w:val="clear" w:color="auto" w:fill="auto"/>
            <w:vAlign w:val="center"/>
            <w:hideMark/>
          </w:tcPr>
          <w:p w14:paraId="2E35F2F1" w14:textId="77777777" w:rsidR="00A9687B" w:rsidRPr="00D92E20" w:rsidRDefault="00A9687B" w:rsidP="00A9687B">
            <w:pPr>
              <w:spacing w:after="0" w:line="240" w:lineRule="auto"/>
              <w:ind w:firstLineChars="100" w:firstLine="160"/>
              <w:rPr>
                <w:rFonts w:cs="Arial"/>
                <w:color w:val="000000"/>
                <w:sz w:val="16"/>
                <w:szCs w:val="16"/>
              </w:rPr>
            </w:pPr>
            <w:r w:rsidRPr="00D92E20">
              <w:rPr>
                <w:rFonts w:cs="Arial"/>
                <w:color w:val="000000"/>
                <w:sz w:val="16"/>
                <w:szCs w:val="16"/>
              </w:rPr>
              <w:t>S – Ostatní činnosti</w:t>
            </w:r>
          </w:p>
        </w:tc>
        <w:tc>
          <w:tcPr>
            <w:tcW w:w="595" w:type="dxa"/>
            <w:tcBorders>
              <w:top w:val="nil"/>
              <w:left w:val="nil"/>
              <w:bottom w:val="nil"/>
              <w:right w:val="nil"/>
            </w:tcBorders>
            <w:shd w:val="clear" w:color="auto" w:fill="auto"/>
            <w:noWrap/>
            <w:vAlign w:val="center"/>
            <w:hideMark/>
          </w:tcPr>
          <w:p w14:paraId="66B5E270" w14:textId="2A0E966C" w:rsidR="00A9687B" w:rsidRPr="00D92E20" w:rsidRDefault="00A9687B" w:rsidP="00A9687B">
            <w:pPr>
              <w:spacing w:after="0" w:line="240" w:lineRule="auto"/>
              <w:jc w:val="center"/>
              <w:rPr>
                <w:rFonts w:cs="Arial"/>
                <w:color w:val="000000"/>
                <w:sz w:val="16"/>
                <w:szCs w:val="16"/>
              </w:rPr>
            </w:pPr>
            <w:r>
              <w:rPr>
                <w:rFonts w:cs="Arial"/>
                <w:sz w:val="16"/>
                <w:szCs w:val="16"/>
              </w:rPr>
              <w:t>3,1</w:t>
            </w:r>
          </w:p>
        </w:tc>
        <w:tc>
          <w:tcPr>
            <w:tcW w:w="595" w:type="dxa"/>
            <w:tcBorders>
              <w:top w:val="nil"/>
              <w:left w:val="nil"/>
              <w:bottom w:val="nil"/>
              <w:right w:val="nil"/>
            </w:tcBorders>
            <w:shd w:val="clear" w:color="auto" w:fill="auto"/>
            <w:noWrap/>
            <w:vAlign w:val="center"/>
            <w:hideMark/>
          </w:tcPr>
          <w:p w14:paraId="6ABCC930" w14:textId="735B2CAA" w:rsidR="00A9687B" w:rsidRPr="00D92E20" w:rsidRDefault="00A9687B" w:rsidP="00A9687B">
            <w:pPr>
              <w:spacing w:after="0" w:line="240" w:lineRule="auto"/>
              <w:jc w:val="center"/>
              <w:rPr>
                <w:rFonts w:cs="Arial"/>
                <w:color w:val="000000"/>
                <w:sz w:val="16"/>
                <w:szCs w:val="16"/>
              </w:rPr>
            </w:pPr>
            <w:r>
              <w:rPr>
                <w:rFonts w:cs="Arial"/>
                <w:sz w:val="16"/>
                <w:szCs w:val="16"/>
              </w:rPr>
              <w:t>3,4</w:t>
            </w:r>
          </w:p>
        </w:tc>
        <w:tc>
          <w:tcPr>
            <w:tcW w:w="595" w:type="dxa"/>
            <w:tcBorders>
              <w:top w:val="nil"/>
              <w:left w:val="nil"/>
              <w:bottom w:val="nil"/>
              <w:right w:val="nil"/>
            </w:tcBorders>
            <w:shd w:val="clear" w:color="auto" w:fill="auto"/>
            <w:noWrap/>
            <w:vAlign w:val="center"/>
            <w:hideMark/>
          </w:tcPr>
          <w:p w14:paraId="677F22DB" w14:textId="62C340AA" w:rsidR="00A9687B" w:rsidRPr="00D92E20" w:rsidRDefault="00A9687B" w:rsidP="00A9687B">
            <w:pPr>
              <w:spacing w:after="0" w:line="240" w:lineRule="auto"/>
              <w:jc w:val="center"/>
              <w:rPr>
                <w:rFonts w:cs="Arial"/>
                <w:color w:val="000000"/>
                <w:sz w:val="16"/>
                <w:szCs w:val="16"/>
              </w:rPr>
            </w:pPr>
            <w:r>
              <w:rPr>
                <w:rFonts w:cs="Arial"/>
                <w:sz w:val="16"/>
                <w:szCs w:val="16"/>
              </w:rPr>
              <w:t>3,3</w:t>
            </w:r>
          </w:p>
        </w:tc>
        <w:tc>
          <w:tcPr>
            <w:tcW w:w="595" w:type="dxa"/>
            <w:tcBorders>
              <w:top w:val="nil"/>
              <w:left w:val="nil"/>
              <w:bottom w:val="nil"/>
              <w:right w:val="nil"/>
            </w:tcBorders>
            <w:shd w:val="clear" w:color="auto" w:fill="auto"/>
            <w:noWrap/>
            <w:vAlign w:val="center"/>
            <w:hideMark/>
          </w:tcPr>
          <w:p w14:paraId="13692565" w14:textId="1F390958" w:rsidR="00A9687B" w:rsidRPr="00D92E20" w:rsidRDefault="00A9687B" w:rsidP="00A9687B">
            <w:pPr>
              <w:spacing w:after="0" w:line="240" w:lineRule="auto"/>
              <w:jc w:val="center"/>
              <w:rPr>
                <w:rFonts w:cs="Arial"/>
                <w:color w:val="000000"/>
                <w:sz w:val="16"/>
                <w:szCs w:val="16"/>
              </w:rPr>
            </w:pPr>
            <w:r>
              <w:rPr>
                <w:rFonts w:cs="Arial"/>
                <w:sz w:val="16"/>
                <w:szCs w:val="16"/>
              </w:rPr>
              <w:t>3,7</w:t>
            </w:r>
          </w:p>
        </w:tc>
        <w:tc>
          <w:tcPr>
            <w:tcW w:w="595" w:type="dxa"/>
            <w:tcBorders>
              <w:top w:val="nil"/>
              <w:left w:val="nil"/>
              <w:bottom w:val="nil"/>
              <w:right w:val="nil"/>
            </w:tcBorders>
            <w:shd w:val="clear" w:color="auto" w:fill="auto"/>
            <w:noWrap/>
            <w:vAlign w:val="center"/>
            <w:hideMark/>
          </w:tcPr>
          <w:p w14:paraId="43CC5481" w14:textId="23E914F7" w:rsidR="00A9687B" w:rsidRPr="00D92E20" w:rsidRDefault="00A9687B" w:rsidP="00A9687B">
            <w:pPr>
              <w:spacing w:after="0" w:line="240" w:lineRule="auto"/>
              <w:jc w:val="center"/>
              <w:rPr>
                <w:rFonts w:cs="Arial"/>
                <w:color w:val="000000"/>
                <w:sz w:val="16"/>
                <w:szCs w:val="16"/>
              </w:rPr>
            </w:pPr>
            <w:r>
              <w:rPr>
                <w:rFonts w:cs="Arial"/>
                <w:color w:val="000000"/>
                <w:sz w:val="16"/>
                <w:szCs w:val="16"/>
              </w:rPr>
              <w:t>4,0</w:t>
            </w:r>
          </w:p>
        </w:tc>
        <w:tc>
          <w:tcPr>
            <w:tcW w:w="595" w:type="dxa"/>
            <w:tcBorders>
              <w:top w:val="nil"/>
              <w:left w:val="nil"/>
              <w:bottom w:val="nil"/>
              <w:right w:val="nil"/>
            </w:tcBorders>
            <w:shd w:val="clear" w:color="auto" w:fill="auto"/>
            <w:noWrap/>
            <w:vAlign w:val="center"/>
            <w:hideMark/>
          </w:tcPr>
          <w:p w14:paraId="10D2B747" w14:textId="10BC5ECA" w:rsidR="00A9687B" w:rsidRPr="00D92E20" w:rsidRDefault="00A9687B" w:rsidP="00A9687B">
            <w:pPr>
              <w:spacing w:after="0" w:line="240" w:lineRule="auto"/>
              <w:jc w:val="center"/>
              <w:rPr>
                <w:rFonts w:cs="Arial"/>
                <w:color w:val="000000"/>
                <w:sz w:val="16"/>
                <w:szCs w:val="16"/>
              </w:rPr>
            </w:pPr>
            <w:r>
              <w:rPr>
                <w:rFonts w:cs="Arial"/>
                <w:color w:val="000000"/>
                <w:sz w:val="16"/>
                <w:szCs w:val="16"/>
              </w:rPr>
              <w:t>3,9</w:t>
            </w:r>
          </w:p>
        </w:tc>
        <w:tc>
          <w:tcPr>
            <w:tcW w:w="595" w:type="dxa"/>
            <w:tcBorders>
              <w:top w:val="nil"/>
              <w:left w:val="nil"/>
              <w:bottom w:val="nil"/>
              <w:right w:val="nil"/>
            </w:tcBorders>
            <w:shd w:val="clear" w:color="auto" w:fill="auto"/>
            <w:noWrap/>
            <w:vAlign w:val="center"/>
            <w:hideMark/>
          </w:tcPr>
          <w:p w14:paraId="7ECDCD2C" w14:textId="3269E9A5" w:rsidR="00A9687B" w:rsidRPr="00D92E20" w:rsidRDefault="00A9687B" w:rsidP="00A9687B">
            <w:pPr>
              <w:spacing w:after="0" w:line="240" w:lineRule="auto"/>
              <w:jc w:val="center"/>
              <w:rPr>
                <w:rFonts w:cs="Arial"/>
                <w:color w:val="000000"/>
                <w:sz w:val="16"/>
                <w:szCs w:val="16"/>
              </w:rPr>
            </w:pPr>
            <w:r>
              <w:rPr>
                <w:rFonts w:cs="Arial"/>
                <w:color w:val="000000"/>
                <w:sz w:val="16"/>
                <w:szCs w:val="16"/>
              </w:rPr>
              <w:t>4,0</w:t>
            </w:r>
          </w:p>
        </w:tc>
        <w:tc>
          <w:tcPr>
            <w:tcW w:w="595" w:type="dxa"/>
            <w:tcBorders>
              <w:top w:val="nil"/>
              <w:left w:val="nil"/>
              <w:bottom w:val="nil"/>
              <w:right w:val="nil"/>
            </w:tcBorders>
            <w:shd w:val="clear" w:color="auto" w:fill="auto"/>
            <w:noWrap/>
            <w:vAlign w:val="center"/>
            <w:hideMark/>
          </w:tcPr>
          <w:p w14:paraId="3844FB89" w14:textId="29151F3A" w:rsidR="00A9687B" w:rsidRPr="00D92E20" w:rsidRDefault="00A9687B" w:rsidP="00A9687B">
            <w:pPr>
              <w:spacing w:after="0" w:line="240" w:lineRule="auto"/>
              <w:jc w:val="center"/>
              <w:rPr>
                <w:rFonts w:cs="Arial"/>
                <w:color w:val="000000"/>
                <w:sz w:val="16"/>
                <w:szCs w:val="16"/>
              </w:rPr>
            </w:pPr>
            <w:r>
              <w:rPr>
                <w:rFonts w:cs="Arial"/>
                <w:color w:val="000000"/>
                <w:sz w:val="16"/>
                <w:szCs w:val="16"/>
              </w:rPr>
              <w:t>4,1</w:t>
            </w:r>
          </w:p>
        </w:tc>
        <w:tc>
          <w:tcPr>
            <w:tcW w:w="595" w:type="dxa"/>
            <w:tcBorders>
              <w:top w:val="nil"/>
              <w:left w:val="nil"/>
              <w:bottom w:val="nil"/>
              <w:right w:val="nil"/>
            </w:tcBorders>
            <w:shd w:val="clear" w:color="auto" w:fill="auto"/>
            <w:noWrap/>
            <w:vAlign w:val="center"/>
            <w:hideMark/>
          </w:tcPr>
          <w:p w14:paraId="497275A2" w14:textId="1B931C60" w:rsidR="00A9687B" w:rsidRPr="00D92E20" w:rsidRDefault="00A9687B" w:rsidP="00A9687B">
            <w:pPr>
              <w:spacing w:after="0" w:line="240" w:lineRule="auto"/>
              <w:jc w:val="center"/>
              <w:rPr>
                <w:rFonts w:cs="Arial"/>
                <w:color w:val="000000"/>
                <w:sz w:val="16"/>
                <w:szCs w:val="16"/>
              </w:rPr>
            </w:pPr>
            <w:r>
              <w:rPr>
                <w:rFonts w:cs="Arial"/>
                <w:color w:val="000000"/>
                <w:sz w:val="16"/>
                <w:szCs w:val="16"/>
              </w:rPr>
              <w:t>4,9</w:t>
            </w:r>
          </w:p>
        </w:tc>
        <w:tc>
          <w:tcPr>
            <w:tcW w:w="595" w:type="dxa"/>
            <w:tcBorders>
              <w:top w:val="nil"/>
              <w:left w:val="nil"/>
              <w:bottom w:val="nil"/>
              <w:right w:val="nil"/>
            </w:tcBorders>
            <w:shd w:val="clear" w:color="auto" w:fill="auto"/>
            <w:noWrap/>
            <w:vAlign w:val="center"/>
            <w:hideMark/>
          </w:tcPr>
          <w:p w14:paraId="4717B0E7" w14:textId="21DAABEB" w:rsidR="00A9687B" w:rsidRPr="00D92E20" w:rsidRDefault="00A9687B" w:rsidP="00A9687B">
            <w:pPr>
              <w:spacing w:after="0" w:line="240" w:lineRule="auto"/>
              <w:jc w:val="center"/>
              <w:rPr>
                <w:rFonts w:cs="Arial"/>
                <w:color w:val="000000"/>
                <w:sz w:val="16"/>
                <w:szCs w:val="16"/>
              </w:rPr>
            </w:pPr>
            <w:r>
              <w:rPr>
                <w:rFonts w:cs="Arial"/>
                <w:color w:val="000000"/>
                <w:sz w:val="16"/>
                <w:szCs w:val="16"/>
              </w:rPr>
              <w:t>4,9</w:t>
            </w:r>
          </w:p>
        </w:tc>
        <w:tc>
          <w:tcPr>
            <w:tcW w:w="595" w:type="dxa"/>
            <w:tcBorders>
              <w:top w:val="nil"/>
              <w:left w:val="nil"/>
              <w:bottom w:val="nil"/>
              <w:right w:val="nil"/>
            </w:tcBorders>
            <w:shd w:val="clear" w:color="auto" w:fill="auto"/>
            <w:noWrap/>
            <w:vAlign w:val="center"/>
            <w:hideMark/>
          </w:tcPr>
          <w:p w14:paraId="72EA5AB7" w14:textId="345183B5" w:rsidR="00A9687B" w:rsidRPr="00D92E20" w:rsidRDefault="00A9687B" w:rsidP="00A9687B">
            <w:pPr>
              <w:spacing w:after="0" w:line="240" w:lineRule="auto"/>
              <w:jc w:val="center"/>
              <w:rPr>
                <w:rFonts w:cs="Arial"/>
                <w:color w:val="000000"/>
                <w:sz w:val="16"/>
                <w:szCs w:val="16"/>
              </w:rPr>
            </w:pPr>
            <w:r>
              <w:rPr>
                <w:rFonts w:cs="Arial"/>
                <w:color w:val="000000"/>
                <w:sz w:val="16"/>
                <w:szCs w:val="16"/>
              </w:rPr>
              <w:t>5,0</w:t>
            </w:r>
          </w:p>
        </w:tc>
      </w:tr>
    </w:tbl>
    <w:p w14:paraId="5E5C4538" w14:textId="77777777" w:rsidR="00FF5F37" w:rsidRPr="00D92E20" w:rsidRDefault="00FF5F37" w:rsidP="00000A90">
      <w:pPr>
        <w:spacing w:before="120" w:after="120"/>
        <w:rPr>
          <w:sz w:val="16"/>
        </w:rPr>
      </w:pPr>
      <w:r w:rsidRPr="00D92E20">
        <w:rPr>
          <w:sz w:val="16"/>
        </w:rPr>
        <w:t>Zdroj: ČSÚ</w:t>
      </w:r>
    </w:p>
    <w:p w14:paraId="5B29016B" w14:textId="7119C4F0" w:rsidR="000A3F99" w:rsidRDefault="000A3F99" w:rsidP="000A3F99">
      <w:pPr>
        <w:autoSpaceDE w:val="0"/>
        <w:autoSpaceDN w:val="0"/>
        <w:adjustRightInd w:val="0"/>
        <w:spacing w:after="0"/>
        <w:jc w:val="both"/>
        <w:rPr>
          <w:rFonts w:cs="Arial"/>
          <w:b/>
        </w:rPr>
      </w:pPr>
      <w:r w:rsidRPr="00626EB8">
        <w:rPr>
          <w:rFonts w:cs="Arial"/>
          <w:b/>
        </w:rPr>
        <w:t>Graf 2.14: Průměrné procento dočasné pracovní neschopnosti podle krajů ČR, 1. pol. 2019, 2022</w:t>
      </w:r>
    </w:p>
    <w:p w14:paraId="384ECDCB" w14:textId="2F500FB3" w:rsidR="000A3F99" w:rsidRDefault="004524C4" w:rsidP="000A3F99">
      <w:pPr>
        <w:autoSpaceDE w:val="0"/>
        <w:autoSpaceDN w:val="0"/>
        <w:adjustRightInd w:val="0"/>
        <w:spacing w:after="0"/>
        <w:jc w:val="both"/>
        <w:rPr>
          <w:rFonts w:cs="Arial"/>
          <w:b/>
        </w:rPr>
      </w:pPr>
      <w:r>
        <w:rPr>
          <w:noProof/>
        </w:rPr>
        <w:drawing>
          <wp:inline distT="0" distB="0" distL="0" distR="0" wp14:anchorId="2D7712FB" wp14:editId="3953E2A4">
            <wp:extent cx="6115050" cy="2781300"/>
            <wp:effectExtent l="0" t="0" r="0" b="0"/>
            <wp:docPr id="58" name="Graf 58"/>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00CFA7B6" w14:textId="77777777" w:rsidR="000A3F99" w:rsidRDefault="000A3F99" w:rsidP="000A3F99">
      <w:pPr>
        <w:spacing w:before="120" w:after="120"/>
        <w:rPr>
          <w:sz w:val="16"/>
        </w:rPr>
      </w:pPr>
      <w:r w:rsidRPr="00D92E20">
        <w:rPr>
          <w:sz w:val="16"/>
        </w:rPr>
        <w:t>Zdroj: ČSÚ</w:t>
      </w:r>
    </w:p>
    <w:p w14:paraId="6B167860" w14:textId="5DF93A59" w:rsidR="00473D4E" w:rsidRDefault="00473D4E" w:rsidP="00473D4E">
      <w:pPr>
        <w:spacing w:before="120" w:after="120"/>
        <w:jc w:val="both"/>
      </w:pPr>
      <w:r w:rsidRPr="00422B21">
        <w:t>Z </w:t>
      </w:r>
      <w:r w:rsidRPr="00422B21">
        <w:rPr>
          <w:b/>
        </w:rPr>
        <w:t>regionálního pohledu</w:t>
      </w:r>
      <w:r w:rsidRPr="00422B21">
        <w:t xml:space="preserve"> zaznamenal nejvyšší hodnotu průměrného procenta pracovní neschopnosti Moravskoslezský (7,</w:t>
      </w:r>
      <w:r>
        <w:t>3</w:t>
      </w:r>
      <w:r w:rsidRPr="00422B21">
        <w:t xml:space="preserve"> %), </w:t>
      </w:r>
      <w:r>
        <w:t xml:space="preserve">Zlínský (7,2) </w:t>
      </w:r>
      <w:r w:rsidRPr="00422B21">
        <w:t>a Liberecký kraj (</w:t>
      </w:r>
      <w:r>
        <w:t>6,8</w:t>
      </w:r>
      <w:r w:rsidRPr="00422B21">
        <w:t xml:space="preserve"> %). Praha</w:t>
      </w:r>
      <w:r>
        <w:t>,</w:t>
      </w:r>
      <w:r w:rsidRPr="00422B21">
        <w:t xml:space="preserve"> díky nejnižšímu počtu případů na 100</w:t>
      </w:r>
      <w:r w:rsidR="003E64F4">
        <w:t> </w:t>
      </w:r>
      <w:r w:rsidRPr="00422B21">
        <w:t xml:space="preserve">pojištěnců a díky </w:t>
      </w:r>
      <w:r>
        <w:t xml:space="preserve">relativně krátké </w:t>
      </w:r>
      <w:r w:rsidRPr="00422B21">
        <w:t>průměrné době trvání pracovních neschopností</w:t>
      </w:r>
      <w:r>
        <w:t>,</w:t>
      </w:r>
      <w:r w:rsidRPr="00422B21">
        <w:t xml:space="preserve"> vykazuje nejnižší </w:t>
      </w:r>
      <w:r w:rsidRPr="00422B21">
        <w:lastRenderedPageBreak/>
        <w:t>procento dočasně práce neschopných denně. Zatímco hodnoty všech ostatních 13 krajů se nachází v rozmezí 5,</w:t>
      </w:r>
      <w:r>
        <w:t>9</w:t>
      </w:r>
      <w:r w:rsidRPr="00422B21">
        <w:t xml:space="preserve"> až 7,</w:t>
      </w:r>
      <w:r>
        <w:t>3</w:t>
      </w:r>
      <w:r w:rsidRPr="00422B21">
        <w:t xml:space="preserve"> %, ukazatel v Praze v</w:t>
      </w:r>
      <w:r>
        <w:t> 1. pol. 2022</w:t>
      </w:r>
      <w:r w:rsidRPr="00422B21">
        <w:t xml:space="preserve"> dosáhl hodnoty pouze 4,3 %. Toto výsadní postavení si kraj hl.</w:t>
      </w:r>
      <w:r w:rsidR="003E64F4">
        <w:t> </w:t>
      </w:r>
      <w:r w:rsidRPr="00422B21">
        <w:t>m. Praha drží už řadu let, jak je zřejmé z tabulky 2.9.</w:t>
      </w:r>
      <w:r>
        <w:t xml:space="preserve"> </w:t>
      </w:r>
      <w:r w:rsidRPr="00626EB8">
        <w:t>V Praze došlo k nejnižšímu nárůstu průměrného procenta pracovní neschopnosti za poslední 3 roky, a sice o 0,6 p. b. To nejvyšší nárůst (v hodnotě 1,5 p. b.) zazname</w:t>
      </w:r>
      <w:r>
        <w:softHyphen/>
      </w:r>
      <w:r w:rsidRPr="00626EB8">
        <w:t>nal Olomoucký kraj.</w:t>
      </w:r>
      <w:r>
        <w:t xml:space="preserve"> </w:t>
      </w:r>
    </w:p>
    <w:p w14:paraId="339E51E1" w14:textId="1A76C1CE" w:rsidR="00473D4E" w:rsidRDefault="00473D4E" w:rsidP="00473D4E">
      <w:pPr>
        <w:spacing w:before="120" w:after="120"/>
        <w:jc w:val="both"/>
      </w:pPr>
      <w:r w:rsidRPr="00422B21">
        <w:t xml:space="preserve">Podle </w:t>
      </w:r>
      <w:r w:rsidRPr="00422B21">
        <w:rPr>
          <w:b/>
        </w:rPr>
        <w:t>detailnějšího územního členění</w:t>
      </w:r>
      <w:r w:rsidRPr="00422B21">
        <w:t xml:space="preserve"> se okresem s nejvyšším průměrným procentem dočasné pracovní neschopnosti v 1. pol. 202</w:t>
      </w:r>
      <w:r>
        <w:t>2</w:t>
      </w:r>
      <w:r w:rsidRPr="00422B21">
        <w:t xml:space="preserve"> stal </w:t>
      </w:r>
      <w:r>
        <w:t>Hodonín</w:t>
      </w:r>
      <w:r w:rsidRPr="00422B21">
        <w:t xml:space="preserve"> </w:t>
      </w:r>
      <w:r>
        <w:t>v Jihomoravském kraji, Uherské Hradiště ve Zlínském kraji a Karviná v Moravskoslezském kraji (všechny 8,2 </w:t>
      </w:r>
      <w:r w:rsidRPr="00422B21">
        <w:t>%). Následovaly okresy Česká Lípa</w:t>
      </w:r>
      <w:r>
        <w:t xml:space="preserve"> (Liberecký kraj)</w:t>
      </w:r>
      <w:r w:rsidRPr="00422B21">
        <w:t xml:space="preserve">, Rokycany </w:t>
      </w:r>
      <w:r>
        <w:t xml:space="preserve">(Plzeňský kraj) </w:t>
      </w:r>
      <w:r w:rsidRPr="00422B21">
        <w:t>a</w:t>
      </w:r>
      <w:r>
        <w:t> Břeclav (Jihomoravský kraj)</w:t>
      </w:r>
      <w:r w:rsidRPr="00422B21">
        <w:t xml:space="preserve"> s hodnotou vyšší než 8 %. Nejnižší průměrné procent</w:t>
      </w:r>
      <w:r>
        <w:t>o</w:t>
      </w:r>
      <w:r w:rsidRPr="00422B21">
        <w:t xml:space="preserve"> pracovní neschopnosti vykazovaly již zmíněn</w:t>
      </w:r>
      <w:r>
        <w:t>á</w:t>
      </w:r>
      <w:r w:rsidRPr="00422B21">
        <w:t xml:space="preserve"> Praha (4,3 %</w:t>
      </w:r>
      <w:r>
        <w:t xml:space="preserve">), okres Brno-město (4,7 %) a </w:t>
      </w:r>
      <w:r w:rsidRPr="00422B21">
        <w:t xml:space="preserve">Jeseník </w:t>
      </w:r>
      <w:r>
        <w:t>v Olomouckém kraji (s hodnotou 5,2</w:t>
      </w:r>
      <w:r w:rsidRPr="00422B21">
        <w:t xml:space="preserve"> %</w:t>
      </w:r>
      <w:r>
        <w:t>)</w:t>
      </w:r>
      <w:r w:rsidRPr="00422B21">
        <w:t xml:space="preserve">. </w:t>
      </w:r>
    </w:p>
    <w:p w14:paraId="5BB7F369" w14:textId="766F17AE" w:rsidR="00473D4E" w:rsidRPr="00D92E20" w:rsidRDefault="00473D4E" w:rsidP="00473D4E">
      <w:pPr>
        <w:spacing w:before="120" w:after="120"/>
        <w:jc w:val="both"/>
      </w:pPr>
      <w:r>
        <w:t>V posledně jmenovaném okrese se hodnota zvýšila oproti 1. pol. 2021 z 2,9 %</w:t>
      </w:r>
      <w:r w:rsidRPr="00473D4E">
        <w:rPr>
          <w:rStyle w:val="Znakapoznpodarou"/>
        </w:rPr>
        <w:footnoteReference w:id="3"/>
      </w:r>
      <w:r w:rsidRPr="00473D4E">
        <w:t>.</w:t>
      </w:r>
      <w:r>
        <w:t xml:space="preserve"> </w:t>
      </w:r>
      <w:r w:rsidRPr="00422B21">
        <w:t xml:space="preserve">Hodnotu ukazatele pod hranicí 5,5 % zaznamenal ještě okres </w:t>
      </w:r>
      <w:r>
        <w:t>Hradec Králové (</w:t>
      </w:r>
      <w:r w:rsidRPr="00422B21">
        <w:t>5</w:t>
      </w:r>
      <w:r>
        <w:t>,3</w:t>
      </w:r>
      <w:r w:rsidRPr="00422B21">
        <w:t xml:space="preserve"> %). </w:t>
      </w:r>
      <w:r>
        <w:t>Hned 8 ze 12 středočeských okresů se s průměrným procentem dočasné pracovní nes</w:t>
      </w:r>
      <w:r w:rsidR="00101676">
        <w:t xml:space="preserve">chopnosti vešly pod hodnotu 6. </w:t>
      </w:r>
      <w:r w:rsidRPr="00422B21">
        <w:t>Podrobné informace za celou Českou republiku nabízí kartogram 2.2</w:t>
      </w:r>
      <w:r>
        <w:t>, resp. tabulka 3.5 v tabulkové části publikace.</w:t>
      </w:r>
    </w:p>
    <w:p w14:paraId="26DAD09E" w14:textId="6FE039C9" w:rsidR="000E0772" w:rsidRPr="00D92E20" w:rsidRDefault="00626EB8" w:rsidP="00626EB8">
      <w:r w:rsidRPr="006D1946">
        <w:rPr>
          <w:b/>
          <w:spacing w:val="-3"/>
        </w:rPr>
        <w:t>Kartogram 2.2: Průměrné procento dočasné pracovní neschopnosti v okresech a krajích ČR, 1. pol. 2022</w:t>
      </w:r>
      <w:r w:rsidR="00517A58" w:rsidRPr="00D92E20">
        <w:t xml:space="preserve"> </w:t>
      </w:r>
      <w:r w:rsidRPr="006D1946">
        <w:rPr>
          <w:noProof/>
        </w:rPr>
        <w:drawing>
          <wp:inline distT="0" distB="0" distL="0" distR="0" wp14:anchorId="77FE3763" wp14:editId="108A1056">
            <wp:extent cx="6120130" cy="4162425"/>
            <wp:effectExtent l="0" t="0" r="0" b="9525"/>
            <wp:docPr id="50" name="Obrázek 50" descr="D:\hykysova23070\Documents\PN\2022\1. pol\publ\KTG\02\PN_2022_%_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hykysova23070\Documents\PN\2022\1. pol\publ\KTG\02\PN_2022_%_02.png"/>
                    <pic:cNvPicPr>
                      <a:picLocks noChangeAspect="1" noChangeArrowheads="1"/>
                    </pic:cNvPicPr>
                  </pic:nvPicPr>
                  <pic:blipFill rotWithShape="1">
                    <a:blip r:embed="rId27">
                      <a:extLst>
                        <a:ext uri="{28A0092B-C50C-407E-A947-70E740481C1C}">
                          <a14:useLocalDpi xmlns:a14="http://schemas.microsoft.com/office/drawing/2010/main" val="0"/>
                        </a:ext>
                      </a:extLst>
                    </a:blip>
                    <a:srcRect t="1760" b="2055"/>
                    <a:stretch/>
                  </pic:blipFill>
                  <pic:spPr bwMode="auto">
                    <a:xfrm>
                      <a:off x="0" y="0"/>
                      <a:ext cx="6120130" cy="4162425"/>
                    </a:xfrm>
                    <a:prstGeom prst="rect">
                      <a:avLst/>
                    </a:prstGeom>
                    <a:noFill/>
                    <a:ln>
                      <a:noFill/>
                    </a:ln>
                    <a:extLst>
                      <a:ext uri="{53640926-AAD7-44D8-BBD7-CCE9431645EC}">
                        <a14:shadowObscured xmlns:a14="http://schemas.microsoft.com/office/drawing/2010/main"/>
                      </a:ext>
                    </a:extLst>
                  </pic:spPr>
                </pic:pic>
              </a:graphicData>
            </a:graphic>
          </wp:inline>
        </w:drawing>
      </w:r>
    </w:p>
    <w:p w14:paraId="33820A80" w14:textId="77777777" w:rsidR="002F0504" w:rsidRPr="00D92E20" w:rsidRDefault="002F0504" w:rsidP="002F0504">
      <w:pPr>
        <w:spacing w:before="120"/>
        <w:rPr>
          <w:sz w:val="16"/>
        </w:rPr>
      </w:pPr>
      <w:r w:rsidRPr="00D92E20">
        <w:rPr>
          <w:sz w:val="16"/>
        </w:rPr>
        <w:t>Zdroj: ČSÚ</w:t>
      </w:r>
    </w:p>
    <w:p w14:paraId="1ED9A6D2" w14:textId="482FE444" w:rsidR="000E0772" w:rsidRPr="004C0781" w:rsidRDefault="004D1BAD" w:rsidP="00000A90">
      <w:pPr>
        <w:spacing w:after="0"/>
        <w:rPr>
          <w:b/>
          <w:spacing w:val="-4"/>
        </w:rPr>
      </w:pPr>
      <w:r w:rsidRPr="004C0781">
        <w:rPr>
          <w:b/>
          <w:spacing w:val="-4"/>
        </w:rPr>
        <w:lastRenderedPageBreak/>
        <w:t>Tab. 2.9: Průměrné procento dočasné pracovní neschopnosti podle krajů ČR</w:t>
      </w:r>
      <w:r w:rsidR="00422B21" w:rsidRPr="004C0781">
        <w:rPr>
          <w:b/>
          <w:spacing w:val="-4"/>
        </w:rPr>
        <w:t xml:space="preserve">, </w:t>
      </w:r>
      <w:r w:rsidR="009F34CD" w:rsidRPr="004C0781">
        <w:rPr>
          <w:b/>
          <w:spacing w:val="-4"/>
        </w:rPr>
        <w:t>1. pol. 2012 až 1. pol. 2022</w:t>
      </w:r>
    </w:p>
    <w:tbl>
      <w:tblPr>
        <w:tblW w:w="9521" w:type="dxa"/>
        <w:tblCellMar>
          <w:left w:w="70" w:type="dxa"/>
          <w:right w:w="70" w:type="dxa"/>
        </w:tblCellMar>
        <w:tblLook w:val="04A0" w:firstRow="1" w:lastRow="0" w:firstColumn="1" w:lastColumn="0" w:noHBand="0" w:noVBand="1"/>
      </w:tblPr>
      <w:tblGrid>
        <w:gridCol w:w="2041"/>
        <w:gridCol w:w="680"/>
        <w:gridCol w:w="680"/>
        <w:gridCol w:w="680"/>
        <w:gridCol w:w="680"/>
        <w:gridCol w:w="680"/>
        <w:gridCol w:w="680"/>
        <w:gridCol w:w="680"/>
        <w:gridCol w:w="680"/>
        <w:gridCol w:w="680"/>
        <w:gridCol w:w="680"/>
        <w:gridCol w:w="680"/>
      </w:tblGrid>
      <w:tr w:rsidR="00987E13" w:rsidRPr="00D92E20" w14:paraId="56942E9F" w14:textId="77777777" w:rsidTr="00422B21">
        <w:trPr>
          <w:trHeight w:val="300"/>
        </w:trPr>
        <w:tc>
          <w:tcPr>
            <w:tcW w:w="2041" w:type="dxa"/>
            <w:tcBorders>
              <w:top w:val="single" w:sz="4" w:space="0" w:color="auto"/>
              <w:left w:val="nil"/>
              <w:bottom w:val="single" w:sz="4" w:space="0" w:color="auto"/>
              <w:right w:val="single" w:sz="4" w:space="0" w:color="auto"/>
            </w:tcBorders>
            <w:shd w:val="clear" w:color="000000" w:fill="F5DADD"/>
            <w:vAlign w:val="center"/>
            <w:hideMark/>
          </w:tcPr>
          <w:p w14:paraId="1EE1835C" w14:textId="77777777" w:rsidR="00987E13" w:rsidRPr="00D92E20" w:rsidRDefault="00987E13" w:rsidP="00987E13">
            <w:pPr>
              <w:spacing w:after="0" w:line="240" w:lineRule="auto"/>
              <w:jc w:val="center"/>
              <w:rPr>
                <w:rFonts w:cs="Arial"/>
                <w:color w:val="000000"/>
                <w:sz w:val="16"/>
                <w:szCs w:val="16"/>
              </w:rPr>
            </w:pPr>
            <w:r w:rsidRPr="00D92E20">
              <w:rPr>
                <w:rFonts w:cs="Arial"/>
                <w:color w:val="000000"/>
                <w:sz w:val="16"/>
                <w:szCs w:val="16"/>
              </w:rPr>
              <w:t>Kraj ČR</w:t>
            </w:r>
          </w:p>
        </w:tc>
        <w:tc>
          <w:tcPr>
            <w:tcW w:w="680" w:type="dxa"/>
            <w:tcBorders>
              <w:top w:val="single" w:sz="4" w:space="0" w:color="auto"/>
              <w:left w:val="nil"/>
              <w:bottom w:val="single" w:sz="4" w:space="0" w:color="auto"/>
              <w:right w:val="nil"/>
            </w:tcBorders>
            <w:shd w:val="clear" w:color="000000" w:fill="F5DADD"/>
            <w:noWrap/>
            <w:vAlign w:val="bottom"/>
            <w:hideMark/>
          </w:tcPr>
          <w:p w14:paraId="4C791552" w14:textId="7A333FBE" w:rsidR="00987E13" w:rsidRPr="00D92E20" w:rsidRDefault="00987E13" w:rsidP="00987E13">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2012</w:t>
            </w:r>
          </w:p>
        </w:tc>
        <w:tc>
          <w:tcPr>
            <w:tcW w:w="680" w:type="dxa"/>
            <w:tcBorders>
              <w:top w:val="single" w:sz="4" w:space="0" w:color="auto"/>
              <w:left w:val="nil"/>
              <w:bottom w:val="single" w:sz="4" w:space="0" w:color="auto"/>
              <w:right w:val="nil"/>
            </w:tcBorders>
            <w:shd w:val="clear" w:color="000000" w:fill="F5DADD"/>
            <w:noWrap/>
            <w:vAlign w:val="bottom"/>
            <w:hideMark/>
          </w:tcPr>
          <w:p w14:paraId="5C33CDC5" w14:textId="6B575DBE" w:rsidR="00987E13" w:rsidRPr="00D92E20" w:rsidRDefault="00987E13" w:rsidP="00987E13">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2013</w:t>
            </w:r>
          </w:p>
        </w:tc>
        <w:tc>
          <w:tcPr>
            <w:tcW w:w="680" w:type="dxa"/>
            <w:tcBorders>
              <w:top w:val="single" w:sz="4" w:space="0" w:color="auto"/>
              <w:left w:val="nil"/>
              <w:bottom w:val="single" w:sz="4" w:space="0" w:color="auto"/>
              <w:right w:val="nil"/>
            </w:tcBorders>
            <w:shd w:val="clear" w:color="000000" w:fill="F5DADD"/>
            <w:noWrap/>
            <w:vAlign w:val="bottom"/>
            <w:hideMark/>
          </w:tcPr>
          <w:p w14:paraId="4A69D662" w14:textId="4B4F1D8A" w:rsidR="00987E13" w:rsidRPr="00D92E20" w:rsidRDefault="00987E13" w:rsidP="00987E13">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2014</w:t>
            </w:r>
          </w:p>
        </w:tc>
        <w:tc>
          <w:tcPr>
            <w:tcW w:w="680" w:type="dxa"/>
            <w:tcBorders>
              <w:top w:val="single" w:sz="4" w:space="0" w:color="auto"/>
              <w:left w:val="nil"/>
              <w:bottom w:val="single" w:sz="4" w:space="0" w:color="auto"/>
              <w:right w:val="nil"/>
            </w:tcBorders>
            <w:shd w:val="clear" w:color="000000" w:fill="F5DADD"/>
            <w:noWrap/>
            <w:vAlign w:val="bottom"/>
            <w:hideMark/>
          </w:tcPr>
          <w:p w14:paraId="595242F2" w14:textId="1C4D1981" w:rsidR="00987E13" w:rsidRPr="00D92E20" w:rsidRDefault="00987E13" w:rsidP="00987E13">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2015</w:t>
            </w:r>
          </w:p>
        </w:tc>
        <w:tc>
          <w:tcPr>
            <w:tcW w:w="680" w:type="dxa"/>
            <w:tcBorders>
              <w:top w:val="single" w:sz="4" w:space="0" w:color="auto"/>
              <w:left w:val="nil"/>
              <w:bottom w:val="single" w:sz="4" w:space="0" w:color="auto"/>
              <w:right w:val="nil"/>
            </w:tcBorders>
            <w:shd w:val="clear" w:color="000000" w:fill="F5DADD"/>
            <w:noWrap/>
            <w:vAlign w:val="bottom"/>
            <w:hideMark/>
          </w:tcPr>
          <w:p w14:paraId="43DF137B" w14:textId="028E3CE9" w:rsidR="00987E13" w:rsidRPr="00D92E20" w:rsidRDefault="00987E13" w:rsidP="00987E13">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2016</w:t>
            </w:r>
          </w:p>
        </w:tc>
        <w:tc>
          <w:tcPr>
            <w:tcW w:w="680" w:type="dxa"/>
            <w:tcBorders>
              <w:top w:val="single" w:sz="4" w:space="0" w:color="auto"/>
              <w:left w:val="nil"/>
              <w:bottom w:val="single" w:sz="4" w:space="0" w:color="auto"/>
              <w:right w:val="nil"/>
            </w:tcBorders>
            <w:shd w:val="clear" w:color="000000" w:fill="F5DADD"/>
            <w:noWrap/>
            <w:vAlign w:val="bottom"/>
            <w:hideMark/>
          </w:tcPr>
          <w:p w14:paraId="5FFB4028" w14:textId="5404A1DC" w:rsidR="00987E13" w:rsidRPr="00D92E20" w:rsidRDefault="00987E13" w:rsidP="00987E13">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2017</w:t>
            </w:r>
          </w:p>
        </w:tc>
        <w:tc>
          <w:tcPr>
            <w:tcW w:w="680" w:type="dxa"/>
            <w:tcBorders>
              <w:top w:val="single" w:sz="4" w:space="0" w:color="auto"/>
              <w:left w:val="nil"/>
              <w:bottom w:val="single" w:sz="4" w:space="0" w:color="auto"/>
              <w:right w:val="nil"/>
            </w:tcBorders>
            <w:shd w:val="clear" w:color="000000" w:fill="F5DADD"/>
            <w:noWrap/>
            <w:vAlign w:val="bottom"/>
            <w:hideMark/>
          </w:tcPr>
          <w:p w14:paraId="44D91CA4" w14:textId="49546083" w:rsidR="00987E13" w:rsidRPr="00D92E20" w:rsidRDefault="00987E13" w:rsidP="00987E13">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2018</w:t>
            </w:r>
          </w:p>
        </w:tc>
        <w:tc>
          <w:tcPr>
            <w:tcW w:w="680" w:type="dxa"/>
            <w:tcBorders>
              <w:top w:val="single" w:sz="4" w:space="0" w:color="auto"/>
              <w:left w:val="nil"/>
              <w:bottom w:val="single" w:sz="4" w:space="0" w:color="auto"/>
              <w:right w:val="nil"/>
            </w:tcBorders>
            <w:shd w:val="clear" w:color="000000" w:fill="F5DADD"/>
            <w:noWrap/>
            <w:vAlign w:val="bottom"/>
            <w:hideMark/>
          </w:tcPr>
          <w:p w14:paraId="582C9ED0" w14:textId="463A1D69" w:rsidR="00987E13" w:rsidRPr="00D92E20" w:rsidRDefault="00987E13" w:rsidP="00987E13">
            <w:pPr>
              <w:spacing w:after="0" w:line="240" w:lineRule="auto"/>
              <w:jc w:val="center"/>
              <w:rPr>
                <w:rFonts w:cs="Arial"/>
                <w:color w:val="000000"/>
                <w:sz w:val="16"/>
                <w:szCs w:val="16"/>
              </w:rPr>
            </w:pPr>
            <w:r>
              <w:rPr>
                <w:rFonts w:cs="Arial"/>
                <w:sz w:val="16"/>
                <w:szCs w:val="16"/>
              </w:rPr>
              <w:t>1. pol. 2019</w:t>
            </w:r>
          </w:p>
        </w:tc>
        <w:tc>
          <w:tcPr>
            <w:tcW w:w="680" w:type="dxa"/>
            <w:tcBorders>
              <w:top w:val="single" w:sz="4" w:space="0" w:color="auto"/>
              <w:left w:val="nil"/>
              <w:bottom w:val="single" w:sz="4" w:space="0" w:color="auto"/>
              <w:right w:val="nil"/>
            </w:tcBorders>
            <w:shd w:val="clear" w:color="000000" w:fill="F5DADD"/>
            <w:noWrap/>
            <w:vAlign w:val="bottom"/>
            <w:hideMark/>
          </w:tcPr>
          <w:p w14:paraId="42D5663B" w14:textId="5EA01388" w:rsidR="00987E13" w:rsidRPr="00D92E20" w:rsidRDefault="00987E13" w:rsidP="00987E13">
            <w:pPr>
              <w:spacing w:after="0" w:line="240" w:lineRule="auto"/>
              <w:jc w:val="center"/>
              <w:rPr>
                <w:rFonts w:cs="Arial"/>
                <w:color w:val="000000"/>
                <w:sz w:val="16"/>
                <w:szCs w:val="16"/>
              </w:rPr>
            </w:pPr>
            <w:r>
              <w:rPr>
                <w:rFonts w:cs="Arial"/>
                <w:sz w:val="16"/>
                <w:szCs w:val="16"/>
              </w:rPr>
              <w:t>1. pol. 2020</w:t>
            </w:r>
          </w:p>
        </w:tc>
        <w:tc>
          <w:tcPr>
            <w:tcW w:w="680" w:type="dxa"/>
            <w:tcBorders>
              <w:top w:val="single" w:sz="4" w:space="0" w:color="auto"/>
              <w:left w:val="nil"/>
              <w:bottom w:val="single" w:sz="4" w:space="0" w:color="auto"/>
              <w:right w:val="nil"/>
            </w:tcBorders>
            <w:shd w:val="clear" w:color="000000" w:fill="F5DADD"/>
            <w:noWrap/>
            <w:vAlign w:val="bottom"/>
            <w:hideMark/>
          </w:tcPr>
          <w:p w14:paraId="0FBFC904" w14:textId="0CAED068" w:rsidR="00987E13" w:rsidRPr="00D92E20" w:rsidRDefault="00987E13" w:rsidP="00987E13">
            <w:pPr>
              <w:spacing w:after="0" w:line="240" w:lineRule="auto"/>
              <w:jc w:val="center"/>
              <w:rPr>
                <w:rFonts w:cs="Arial"/>
                <w:color w:val="000000"/>
                <w:sz w:val="16"/>
                <w:szCs w:val="16"/>
              </w:rPr>
            </w:pPr>
            <w:r>
              <w:rPr>
                <w:rFonts w:cs="Arial"/>
                <w:sz w:val="16"/>
                <w:szCs w:val="16"/>
              </w:rPr>
              <w:t>1. pol. 2021</w:t>
            </w:r>
          </w:p>
        </w:tc>
        <w:tc>
          <w:tcPr>
            <w:tcW w:w="680" w:type="dxa"/>
            <w:tcBorders>
              <w:top w:val="single" w:sz="4" w:space="0" w:color="auto"/>
              <w:left w:val="nil"/>
              <w:bottom w:val="single" w:sz="4" w:space="0" w:color="auto"/>
              <w:right w:val="nil"/>
            </w:tcBorders>
            <w:shd w:val="clear" w:color="000000" w:fill="F5DADD"/>
            <w:noWrap/>
            <w:vAlign w:val="bottom"/>
            <w:hideMark/>
          </w:tcPr>
          <w:p w14:paraId="4B8F614A" w14:textId="5B6391E4" w:rsidR="00987E13" w:rsidRPr="00D92E20" w:rsidRDefault="00987E13" w:rsidP="00987E13">
            <w:pPr>
              <w:spacing w:after="0" w:line="240" w:lineRule="auto"/>
              <w:jc w:val="center"/>
              <w:rPr>
                <w:rFonts w:cs="Arial"/>
                <w:color w:val="000000"/>
                <w:sz w:val="16"/>
                <w:szCs w:val="16"/>
              </w:rPr>
            </w:pPr>
            <w:r>
              <w:rPr>
                <w:rFonts w:cs="Arial"/>
                <w:sz w:val="16"/>
                <w:szCs w:val="16"/>
              </w:rPr>
              <w:t>1. pol. 2022</w:t>
            </w:r>
          </w:p>
        </w:tc>
      </w:tr>
      <w:tr w:rsidR="00987E13" w:rsidRPr="00D92E20" w14:paraId="4E21F8A5" w14:textId="77777777" w:rsidTr="004D1BAD">
        <w:trPr>
          <w:trHeight w:val="300"/>
        </w:trPr>
        <w:tc>
          <w:tcPr>
            <w:tcW w:w="2041" w:type="dxa"/>
            <w:tcBorders>
              <w:top w:val="nil"/>
              <w:left w:val="nil"/>
              <w:bottom w:val="nil"/>
              <w:right w:val="single" w:sz="4" w:space="0" w:color="auto"/>
            </w:tcBorders>
            <w:shd w:val="clear" w:color="auto" w:fill="auto"/>
            <w:noWrap/>
            <w:vAlign w:val="center"/>
            <w:hideMark/>
          </w:tcPr>
          <w:p w14:paraId="0DCD6255" w14:textId="77777777" w:rsidR="00987E13" w:rsidRPr="00D92E20" w:rsidRDefault="00987E13" w:rsidP="00987E13">
            <w:pPr>
              <w:spacing w:after="0" w:line="240" w:lineRule="auto"/>
              <w:rPr>
                <w:rFonts w:cs="Arial"/>
                <w:b/>
                <w:bCs/>
                <w:color w:val="000000"/>
                <w:sz w:val="16"/>
                <w:szCs w:val="16"/>
              </w:rPr>
            </w:pPr>
            <w:r w:rsidRPr="00D92E20">
              <w:rPr>
                <w:rFonts w:cs="Arial"/>
                <w:b/>
                <w:bCs/>
                <w:color w:val="000000"/>
                <w:sz w:val="16"/>
                <w:szCs w:val="16"/>
              </w:rPr>
              <w:t>ČR celkem</w:t>
            </w:r>
          </w:p>
        </w:tc>
        <w:tc>
          <w:tcPr>
            <w:tcW w:w="680" w:type="dxa"/>
            <w:tcBorders>
              <w:top w:val="nil"/>
              <w:left w:val="nil"/>
              <w:bottom w:val="nil"/>
              <w:right w:val="nil"/>
            </w:tcBorders>
            <w:shd w:val="clear" w:color="auto" w:fill="auto"/>
            <w:noWrap/>
            <w:vAlign w:val="center"/>
            <w:hideMark/>
          </w:tcPr>
          <w:p w14:paraId="1B41FED1" w14:textId="68127E88" w:rsidR="00987E13" w:rsidRPr="00D92E20" w:rsidRDefault="00987E13" w:rsidP="00987E13">
            <w:pPr>
              <w:spacing w:after="0" w:line="240" w:lineRule="auto"/>
              <w:jc w:val="center"/>
              <w:rPr>
                <w:rFonts w:cs="Arial"/>
                <w:b/>
                <w:bCs/>
                <w:color w:val="000000"/>
                <w:sz w:val="16"/>
                <w:szCs w:val="16"/>
              </w:rPr>
            </w:pPr>
            <w:r>
              <w:rPr>
                <w:rFonts w:cs="Arial"/>
                <w:b/>
                <w:bCs/>
                <w:sz w:val="16"/>
                <w:szCs w:val="16"/>
              </w:rPr>
              <w:t>3,6</w:t>
            </w:r>
          </w:p>
        </w:tc>
        <w:tc>
          <w:tcPr>
            <w:tcW w:w="680" w:type="dxa"/>
            <w:tcBorders>
              <w:top w:val="nil"/>
              <w:left w:val="nil"/>
              <w:bottom w:val="nil"/>
              <w:right w:val="nil"/>
            </w:tcBorders>
            <w:shd w:val="clear" w:color="auto" w:fill="auto"/>
            <w:noWrap/>
            <w:vAlign w:val="center"/>
            <w:hideMark/>
          </w:tcPr>
          <w:p w14:paraId="4DD96AA5" w14:textId="48E7EC58" w:rsidR="00987E13" w:rsidRPr="00D92E20" w:rsidRDefault="00987E13" w:rsidP="00987E13">
            <w:pPr>
              <w:spacing w:after="0" w:line="240" w:lineRule="auto"/>
              <w:jc w:val="center"/>
              <w:rPr>
                <w:rFonts w:cs="Arial"/>
                <w:b/>
                <w:bCs/>
                <w:color w:val="000000"/>
                <w:sz w:val="16"/>
                <w:szCs w:val="16"/>
              </w:rPr>
            </w:pPr>
            <w:r>
              <w:rPr>
                <w:rFonts w:cs="Arial"/>
                <w:b/>
                <w:bCs/>
                <w:sz w:val="16"/>
                <w:szCs w:val="16"/>
              </w:rPr>
              <w:t>4,0</w:t>
            </w:r>
          </w:p>
        </w:tc>
        <w:tc>
          <w:tcPr>
            <w:tcW w:w="680" w:type="dxa"/>
            <w:tcBorders>
              <w:top w:val="nil"/>
              <w:left w:val="nil"/>
              <w:bottom w:val="nil"/>
              <w:right w:val="nil"/>
            </w:tcBorders>
            <w:shd w:val="clear" w:color="auto" w:fill="auto"/>
            <w:noWrap/>
            <w:vAlign w:val="center"/>
            <w:hideMark/>
          </w:tcPr>
          <w:p w14:paraId="28DD2A2A" w14:textId="5EE08A20" w:rsidR="00987E13" w:rsidRPr="00D92E20" w:rsidRDefault="00987E13" w:rsidP="00987E13">
            <w:pPr>
              <w:spacing w:after="0" w:line="240" w:lineRule="auto"/>
              <w:jc w:val="center"/>
              <w:rPr>
                <w:rFonts w:cs="Arial"/>
                <w:b/>
                <w:bCs/>
                <w:color w:val="000000"/>
                <w:sz w:val="16"/>
                <w:szCs w:val="16"/>
              </w:rPr>
            </w:pPr>
            <w:r>
              <w:rPr>
                <w:rFonts w:cs="Arial"/>
                <w:b/>
                <w:bCs/>
                <w:sz w:val="16"/>
                <w:szCs w:val="16"/>
              </w:rPr>
              <w:t>3,8</w:t>
            </w:r>
          </w:p>
        </w:tc>
        <w:tc>
          <w:tcPr>
            <w:tcW w:w="680" w:type="dxa"/>
            <w:tcBorders>
              <w:top w:val="nil"/>
              <w:left w:val="nil"/>
              <w:bottom w:val="nil"/>
              <w:right w:val="nil"/>
            </w:tcBorders>
            <w:shd w:val="clear" w:color="auto" w:fill="auto"/>
            <w:noWrap/>
            <w:vAlign w:val="center"/>
            <w:hideMark/>
          </w:tcPr>
          <w:p w14:paraId="47A74827" w14:textId="4AD1DF47" w:rsidR="00987E13" w:rsidRPr="00D92E20" w:rsidRDefault="00987E13" w:rsidP="00987E13">
            <w:pPr>
              <w:spacing w:after="0" w:line="240" w:lineRule="auto"/>
              <w:jc w:val="center"/>
              <w:rPr>
                <w:rFonts w:cs="Arial"/>
                <w:b/>
                <w:bCs/>
                <w:color w:val="000000"/>
                <w:sz w:val="16"/>
                <w:szCs w:val="16"/>
              </w:rPr>
            </w:pPr>
            <w:r>
              <w:rPr>
                <w:rFonts w:cs="Arial"/>
                <w:b/>
                <w:bCs/>
                <w:sz w:val="16"/>
                <w:szCs w:val="16"/>
              </w:rPr>
              <w:t>4,3</w:t>
            </w:r>
          </w:p>
        </w:tc>
        <w:tc>
          <w:tcPr>
            <w:tcW w:w="680" w:type="dxa"/>
            <w:tcBorders>
              <w:top w:val="nil"/>
              <w:left w:val="nil"/>
              <w:bottom w:val="nil"/>
              <w:right w:val="nil"/>
            </w:tcBorders>
            <w:shd w:val="clear" w:color="auto" w:fill="auto"/>
            <w:noWrap/>
            <w:vAlign w:val="center"/>
            <w:hideMark/>
          </w:tcPr>
          <w:p w14:paraId="7787D12A" w14:textId="03A33620" w:rsidR="00987E13" w:rsidRPr="00D92E20" w:rsidRDefault="00987E13" w:rsidP="00987E13">
            <w:pPr>
              <w:spacing w:after="0" w:line="240" w:lineRule="auto"/>
              <w:jc w:val="center"/>
              <w:rPr>
                <w:rFonts w:cs="Arial"/>
                <w:b/>
                <w:bCs/>
                <w:color w:val="000000"/>
                <w:sz w:val="16"/>
                <w:szCs w:val="16"/>
              </w:rPr>
            </w:pPr>
            <w:r>
              <w:rPr>
                <w:rFonts w:cs="Arial"/>
                <w:b/>
                <w:bCs/>
                <w:sz w:val="16"/>
                <w:szCs w:val="16"/>
              </w:rPr>
              <w:t>4,5</w:t>
            </w:r>
          </w:p>
        </w:tc>
        <w:tc>
          <w:tcPr>
            <w:tcW w:w="680" w:type="dxa"/>
            <w:tcBorders>
              <w:top w:val="nil"/>
              <w:left w:val="nil"/>
              <w:bottom w:val="nil"/>
              <w:right w:val="nil"/>
            </w:tcBorders>
            <w:shd w:val="clear" w:color="auto" w:fill="auto"/>
            <w:noWrap/>
            <w:vAlign w:val="center"/>
            <w:hideMark/>
          </w:tcPr>
          <w:p w14:paraId="30701FA9" w14:textId="2FAAA4B4" w:rsidR="00987E13" w:rsidRPr="00D92E20" w:rsidRDefault="00987E13" w:rsidP="00987E13">
            <w:pPr>
              <w:spacing w:after="0" w:line="240" w:lineRule="auto"/>
              <w:jc w:val="center"/>
              <w:rPr>
                <w:rFonts w:cs="Arial"/>
                <w:b/>
                <w:bCs/>
                <w:color w:val="000000"/>
                <w:sz w:val="16"/>
                <w:szCs w:val="16"/>
              </w:rPr>
            </w:pPr>
            <w:r>
              <w:rPr>
                <w:rFonts w:cs="Arial"/>
                <w:b/>
                <w:bCs/>
                <w:sz w:val="16"/>
                <w:szCs w:val="16"/>
              </w:rPr>
              <w:t>4,6</w:t>
            </w:r>
          </w:p>
        </w:tc>
        <w:tc>
          <w:tcPr>
            <w:tcW w:w="680" w:type="dxa"/>
            <w:tcBorders>
              <w:top w:val="nil"/>
              <w:left w:val="nil"/>
              <w:bottom w:val="nil"/>
              <w:right w:val="nil"/>
            </w:tcBorders>
            <w:shd w:val="clear" w:color="auto" w:fill="auto"/>
            <w:noWrap/>
            <w:vAlign w:val="center"/>
            <w:hideMark/>
          </w:tcPr>
          <w:p w14:paraId="587B6358" w14:textId="216A8819" w:rsidR="00987E13" w:rsidRPr="00D92E20" w:rsidRDefault="00987E13" w:rsidP="00987E13">
            <w:pPr>
              <w:spacing w:after="0" w:line="240" w:lineRule="auto"/>
              <w:jc w:val="center"/>
              <w:rPr>
                <w:rFonts w:cs="Arial"/>
                <w:b/>
                <w:bCs/>
                <w:color w:val="000000"/>
                <w:sz w:val="16"/>
                <w:szCs w:val="16"/>
              </w:rPr>
            </w:pPr>
            <w:r>
              <w:rPr>
                <w:rFonts w:cs="Arial"/>
                <w:b/>
                <w:bCs/>
                <w:color w:val="000000"/>
                <w:sz w:val="16"/>
                <w:szCs w:val="16"/>
              </w:rPr>
              <w:t>4,8</w:t>
            </w:r>
          </w:p>
        </w:tc>
        <w:tc>
          <w:tcPr>
            <w:tcW w:w="680" w:type="dxa"/>
            <w:tcBorders>
              <w:top w:val="nil"/>
              <w:left w:val="nil"/>
              <w:bottom w:val="nil"/>
              <w:right w:val="nil"/>
            </w:tcBorders>
            <w:shd w:val="clear" w:color="auto" w:fill="auto"/>
            <w:noWrap/>
            <w:vAlign w:val="center"/>
            <w:hideMark/>
          </w:tcPr>
          <w:p w14:paraId="109F15B7" w14:textId="3D11663E" w:rsidR="00987E13" w:rsidRPr="00D92E20" w:rsidRDefault="00987E13" w:rsidP="00987E13">
            <w:pPr>
              <w:spacing w:after="0" w:line="240" w:lineRule="auto"/>
              <w:jc w:val="center"/>
              <w:rPr>
                <w:rFonts w:cs="Arial"/>
                <w:b/>
                <w:bCs/>
                <w:color w:val="000000"/>
                <w:sz w:val="16"/>
                <w:szCs w:val="16"/>
              </w:rPr>
            </w:pPr>
            <w:r>
              <w:rPr>
                <w:rFonts w:cs="Arial"/>
                <w:b/>
                <w:bCs/>
                <w:color w:val="000000"/>
                <w:sz w:val="16"/>
                <w:szCs w:val="16"/>
              </w:rPr>
              <w:t>4,8</w:t>
            </w:r>
          </w:p>
        </w:tc>
        <w:tc>
          <w:tcPr>
            <w:tcW w:w="680" w:type="dxa"/>
            <w:tcBorders>
              <w:top w:val="nil"/>
              <w:left w:val="nil"/>
              <w:bottom w:val="nil"/>
              <w:right w:val="nil"/>
            </w:tcBorders>
            <w:shd w:val="clear" w:color="auto" w:fill="auto"/>
            <w:noWrap/>
            <w:vAlign w:val="center"/>
            <w:hideMark/>
          </w:tcPr>
          <w:p w14:paraId="4210D2CA" w14:textId="1DC8CA3D" w:rsidR="00987E13" w:rsidRPr="00D92E20" w:rsidRDefault="00987E13" w:rsidP="00987E13">
            <w:pPr>
              <w:spacing w:after="0" w:line="240" w:lineRule="auto"/>
              <w:jc w:val="center"/>
              <w:rPr>
                <w:rFonts w:cs="Arial"/>
                <w:b/>
                <w:bCs/>
                <w:color w:val="000000"/>
                <w:sz w:val="16"/>
                <w:szCs w:val="16"/>
              </w:rPr>
            </w:pPr>
            <w:r>
              <w:rPr>
                <w:rFonts w:cs="Arial"/>
                <w:b/>
                <w:bCs/>
                <w:color w:val="000000"/>
                <w:sz w:val="16"/>
                <w:szCs w:val="16"/>
              </w:rPr>
              <w:t>5,6</w:t>
            </w:r>
          </w:p>
        </w:tc>
        <w:tc>
          <w:tcPr>
            <w:tcW w:w="680" w:type="dxa"/>
            <w:tcBorders>
              <w:top w:val="nil"/>
              <w:left w:val="nil"/>
              <w:bottom w:val="nil"/>
              <w:right w:val="nil"/>
            </w:tcBorders>
            <w:shd w:val="clear" w:color="auto" w:fill="auto"/>
            <w:noWrap/>
            <w:vAlign w:val="center"/>
            <w:hideMark/>
          </w:tcPr>
          <w:p w14:paraId="1A7369E6" w14:textId="08F74F29" w:rsidR="00987E13" w:rsidRPr="00D92E20" w:rsidRDefault="00987E13" w:rsidP="00987E13">
            <w:pPr>
              <w:spacing w:after="0" w:line="240" w:lineRule="auto"/>
              <w:jc w:val="center"/>
              <w:rPr>
                <w:rFonts w:cs="Arial"/>
                <w:b/>
                <w:bCs/>
                <w:color w:val="000000"/>
                <w:sz w:val="16"/>
                <w:szCs w:val="16"/>
              </w:rPr>
            </w:pPr>
            <w:r>
              <w:rPr>
                <w:rFonts w:cs="Arial"/>
                <w:b/>
                <w:bCs/>
                <w:color w:val="000000"/>
                <w:sz w:val="16"/>
                <w:szCs w:val="16"/>
              </w:rPr>
              <w:t>6,0</w:t>
            </w:r>
          </w:p>
        </w:tc>
        <w:tc>
          <w:tcPr>
            <w:tcW w:w="680" w:type="dxa"/>
            <w:tcBorders>
              <w:top w:val="nil"/>
              <w:left w:val="nil"/>
              <w:bottom w:val="nil"/>
              <w:right w:val="nil"/>
            </w:tcBorders>
            <w:shd w:val="clear" w:color="auto" w:fill="auto"/>
            <w:noWrap/>
            <w:vAlign w:val="center"/>
            <w:hideMark/>
          </w:tcPr>
          <w:p w14:paraId="58B26037" w14:textId="5046AD5E" w:rsidR="00987E13" w:rsidRPr="00D92E20" w:rsidRDefault="00987E13" w:rsidP="00987E13">
            <w:pPr>
              <w:spacing w:after="0" w:line="240" w:lineRule="auto"/>
              <w:jc w:val="center"/>
              <w:rPr>
                <w:rFonts w:cs="Arial"/>
                <w:b/>
                <w:bCs/>
                <w:color w:val="000000"/>
                <w:sz w:val="16"/>
                <w:szCs w:val="16"/>
              </w:rPr>
            </w:pPr>
            <w:r>
              <w:rPr>
                <w:rFonts w:cs="Arial"/>
                <w:b/>
                <w:bCs/>
                <w:color w:val="000000"/>
                <w:sz w:val="16"/>
                <w:szCs w:val="16"/>
              </w:rPr>
              <w:t>5,9</w:t>
            </w:r>
          </w:p>
        </w:tc>
      </w:tr>
      <w:tr w:rsidR="00987E13" w:rsidRPr="00D92E20" w14:paraId="30534C41" w14:textId="77777777" w:rsidTr="004D1BAD">
        <w:trPr>
          <w:trHeight w:val="300"/>
        </w:trPr>
        <w:tc>
          <w:tcPr>
            <w:tcW w:w="2041" w:type="dxa"/>
            <w:tcBorders>
              <w:top w:val="nil"/>
              <w:left w:val="nil"/>
              <w:bottom w:val="nil"/>
              <w:right w:val="single" w:sz="4" w:space="0" w:color="auto"/>
            </w:tcBorders>
            <w:shd w:val="clear" w:color="auto" w:fill="auto"/>
            <w:noWrap/>
            <w:vAlign w:val="center"/>
            <w:hideMark/>
          </w:tcPr>
          <w:p w14:paraId="084CA38B" w14:textId="77777777" w:rsidR="00987E13" w:rsidRPr="00D92E20" w:rsidRDefault="00987E13" w:rsidP="00987E13">
            <w:pPr>
              <w:spacing w:after="0" w:line="240" w:lineRule="auto"/>
              <w:ind w:firstLineChars="100" w:firstLine="160"/>
              <w:rPr>
                <w:rFonts w:cs="Arial"/>
                <w:color w:val="000000"/>
                <w:sz w:val="16"/>
                <w:szCs w:val="16"/>
              </w:rPr>
            </w:pPr>
            <w:r w:rsidRPr="00D92E20">
              <w:rPr>
                <w:rFonts w:cs="Arial"/>
                <w:color w:val="000000"/>
                <w:sz w:val="16"/>
                <w:szCs w:val="16"/>
              </w:rPr>
              <w:t>Hl. m. Praha</w:t>
            </w:r>
          </w:p>
        </w:tc>
        <w:tc>
          <w:tcPr>
            <w:tcW w:w="680" w:type="dxa"/>
            <w:tcBorders>
              <w:top w:val="nil"/>
              <w:left w:val="nil"/>
              <w:bottom w:val="nil"/>
              <w:right w:val="nil"/>
            </w:tcBorders>
            <w:shd w:val="clear" w:color="auto" w:fill="auto"/>
            <w:noWrap/>
            <w:vAlign w:val="center"/>
            <w:hideMark/>
          </w:tcPr>
          <w:p w14:paraId="7F2AB78D" w14:textId="3EE83E56" w:rsidR="00987E13" w:rsidRPr="00D92E20" w:rsidRDefault="00987E13" w:rsidP="00987E13">
            <w:pPr>
              <w:spacing w:after="0" w:line="240" w:lineRule="auto"/>
              <w:jc w:val="center"/>
              <w:rPr>
                <w:rFonts w:cs="Arial"/>
                <w:color w:val="000000"/>
                <w:sz w:val="16"/>
                <w:szCs w:val="16"/>
              </w:rPr>
            </w:pPr>
            <w:r>
              <w:rPr>
                <w:rFonts w:cs="Arial"/>
                <w:sz w:val="16"/>
                <w:szCs w:val="16"/>
              </w:rPr>
              <w:t>2,6</w:t>
            </w:r>
          </w:p>
        </w:tc>
        <w:tc>
          <w:tcPr>
            <w:tcW w:w="680" w:type="dxa"/>
            <w:tcBorders>
              <w:top w:val="nil"/>
              <w:left w:val="nil"/>
              <w:bottom w:val="nil"/>
              <w:right w:val="nil"/>
            </w:tcBorders>
            <w:shd w:val="clear" w:color="auto" w:fill="auto"/>
            <w:noWrap/>
            <w:vAlign w:val="center"/>
            <w:hideMark/>
          </w:tcPr>
          <w:p w14:paraId="24D094EF" w14:textId="61E10AF0" w:rsidR="00987E13" w:rsidRPr="00D92E20" w:rsidRDefault="00987E13" w:rsidP="00987E13">
            <w:pPr>
              <w:spacing w:after="0" w:line="240" w:lineRule="auto"/>
              <w:jc w:val="center"/>
              <w:rPr>
                <w:rFonts w:cs="Arial"/>
                <w:color w:val="000000"/>
                <w:sz w:val="16"/>
                <w:szCs w:val="16"/>
              </w:rPr>
            </w:pPr>
            <w:r>
              <w:rPr>
                <w:rFonts w:cs="Arial"/>
                <w:sz w:val="16"/>
                <w:szCs w:val="16"/>
              </w:rPr>
              <w:t>3,0</w:t>
            </w:r>
          </w:p>
        </w:tc>
        <w:tc>
          <w:tcPr>
            <w:tcW w:w="680" w:type="dxa"/>
            <w:tcBorders>
              <w:top w:val="nil"/>
              <w:left w:val="nil"/>
              <w:bottom w:val="nil"/>
              <w:right w:val="nil"/>
            </w:tcBorders>
            <w:shd w:val="clear" w:color="auto" w:fill="auto"/>
            <w:noWrap/>
            <w:vAlign w:val="center"/>
            <w:hideMark/>
          </w:tcPr>
          <w:p w14:paraId="70EE6046" w14:textId="30021849" w:rsidR="00987E13" w:rsidRPr="00D92E20" w:rsidRDefault="00987E13" w:rsidP="00987E13">
            <w:pPr>
              <w:spacing w:after="0" w:line="240" w:lineRule="auto"/>
              <w:jc w:val="center"/>
              <w:rPr>
                <w:rFonts w:cs="Arial"/>
                <w:color w:val="000000"/>
                <w:sz w:val="16"/>
                <w:szCs w:val="16"/>
              </w:rPr>
            </w:pPr>
            <w:r>
              <w:rPr>
                <w:rFonts w:cs="Arial"/>
                <w:sz w:val="16"/>
                <w:szCs w:val="16"/>
              </w:rPr>
              <w:t>2,9</w:t>
            </w:r>
          </w:p>
        </w:tc>
        <w:tc>
          <w:tcPr>
            <w:tcW w:w="680" w:type="dxa"/>
            <w:tcBorders>
              <w:top w:val="nil"/>
              <w:left w:val="nil"/>
              <w:bottom w:val="nil"/>
              <w:right w:val="nil"/>
            </w:tcBorders>
            <w:shd w:val="clear" w:color="auto" w:fill="auto"/>
            <w:noWrap/>
            <w:vAlign w:val="center"/>
            <w:hideMark/>
          </w:tcPr>
          <w:p w14:paraId="03F05A44" w14:textId="1BC24704" w:rsidR="00987E13" w:rsidRPr="00D92E20" w:rsidRDefault="00987E13" w:rsidP="00987E13">
            <w:pPr>
              <w:spacing w:after="0" w:line="240" w:lineRule="auto"/>
              <w:jc w:val="center"/>
              <w:rPr>
                <w:rFonts w:cs="Arial"/>
                <w:color w:val="000000"/>
                <w:sz w:val="16"/>
                <w:szCs w:val="16"/>
              </w:rPr>
            </w:pPr>
            <w:r>
              <w:rPr>
                <w:rFonts w:cs="Arial"/>
                <w:sz w:val="16"/>
                <w:szCs w:val="16"/>
              </w:rPr>
              <w:t>3,3</w:t>
            </w:r>
          </w:p>
        </w:tc>
        <w:tc>
          <w:tcPr>
            <w:tcW w:w="680" w:type="dxa"/>
            <w:tcBorders>
              <w:top w:val="nil"/>
              <w:left w:val="nil"/>
              <w:bottom w:val="nil"/>
              <w:right w:val="nil"/>
            </w:tcBorders>
            <w:shd w:val="clear" w:color="auto" w:fill="auto"/>
            <w:noWrap/>
            <w:vAlign w:val="center"/>
            <w:hideMark/>
          </w:tcPr>
          <w:p w14:paraId="36C3877E" w14:textId="1DDCB922" w:rsidR="00987E13" w:rsidRPr="00D92E20" w:rsidRDefault="00987E13" w:rsidP="00987E13">
            <w:pPr>
              <w:spacing w:after="0" w:line="240" w:lineRule="auto"/>
              <w:jc w:val="center"/>
              <w:rPr>
                <w:rFonts w:cs="Arial"/>
                <w:color w:val="000000"/>
                <w:sz w:val="16"/>
                <w:szCs w:val="16"/>
              </w:rPr>
            </w:pPr>
            <w:r>
              <w:rPr>
                <w:rFonts w:cs="Arial"/>
                <w:sz w:val="16"/>
                <w:szCs w:val="16"/>
              </w:rPr>
              <w:t>3,3</w:t>
            </w:r>
          </w:p>
        </w:tc>
        <w:tc>
          <w:tcPr>
            <w:tcW w:w="680" w:type="dxa"/>
            <w:tcBorders>
              <w:top w:val="nil"/>
              <w:left w:val="nil"/>
              <w:bottom w:val="nil"/>
              <w:right w:val="nil"/>
            </w:tcBorders>
            <w:shd w:val="clear" w:color="auto" w:fill="auto"/>
            <w:noWrap/>
            <w:vAlign w:val="center"/>
            <w:hideMark/>
          </w:tcPr>
          <w:p w14:paraId="0631CDBC" w14:textId="0309524B" w:rsidR="00987E13" w:rsidRPr="00D92E20" w:rsidRDefault="00987E13" w:rsidP="00987E13">
            <w:pPr>
              <w:spacing w:after="0" w:line="240" w:lineRule="auto"/>
              <w:jc w:val="center"/>
              <w:rPr>
                <w:rFonts w:cs="Arial"/>
                <w:color w:val="000000"/>
                <w:sz w:val="16"/>
                <w:szCs w:val="16"/>
              </w:rPr>
            </w:pPr>
            <w:r>
              <w:rPr>
                <w:rFonts w:cs="Arial"/>
                <w:sz w:val="16"/>
                <w:szCs w:val="16"/>
              </w:rPr>
              <w:t>3,4</w:t>
            </w:r>
          </w:p>
        </w:tc>
        <w:tc>
          <w:tcPr>
            <w:tcW w:w="680" w:type="dxa"/>
            <w:tcBorders>
              <w:top w:val="nil"/>
              <w:left w:val="nil"/>
              <w:bottom w:val="nil"/>
              <w:right w:val="nil"/>
            </w:tcBorders>
            <w:shd w:val="clear" w:color="auto" w:fill="auto"/>
            <w:noWrap/>
            <w:vAlign w:val="center"/>
            <w:hideMark/>
          </w:tcPr>
          <w:p w14:paraId="3FAE5A6C" w14:textId="744486A2" w:rsidR="00987E13" w:rsidRPr="00D92E20" w:rsidRDefault="00987E13" w:rsidP="00987E13">
            <w:pPr>
              <w:spacing w:after="0" w:line="240" w:lineRule="auto"/>
              <w:jc w:val="center"/>
              <w:rPr>
                <w:rFonts w:cs="Arial"/>
                <w:color w:val="000000"/>
                <w:sz w:val="16"/>
                <w:szCs w:val="16"/>
              </w:rPr>
            </w:pPr>
            <w:r>
              <w:rPr>
                <w:rFonts w:cs="Arial"/>
                <w:color w:val="000000"/>
                <w:sz w:val="16"/>
                <w:szCs w:val="16"/>
              </w:rPr>
              <w:t>3,6</w:t>
            </w:r>
          </w:p>
        </w:tc>
        <w:tc>
          <w:tcPr>
            <w:tcW w:w="680" w:type="dxa"/>
            <w:tcBorders>
              <w:top w:val="nil"/>
              <w:left w:val="nil"/>
              <w:bottom w:val="nil"/>
              <w:right w:val="nil"/>
            </w:tcBorders>
            <w:shd w:val="clear" w:color="auto" w:fill="auto"/>
            <w:noWrap/>
            <w:vAlign w:val="center"/>
            <w:hideMark/>
          </w:tcPr>
          <w:p w14:paraId="1ECFB2C2" w14:textId="5B82C463" w:rsidR="00987E13" w:rsidRPr="00D92E20" w:rsidRDefault="00987E13" w:rsidP="00987E13">
            <w:pPr>
              <w:spacing w:after="0" w:line="240" w:lineRule="auto"/>
              <w:jc w:val="center"/>
              <w:rPr>
                <w:rFonts w:cs="Arial"/>
                <w:color w:val="000000"/>
                <w:sz w:val="16"/>
                <w:szCs w:val="16"/>
              </w:rPr>
            </w:pPr>
            <w:r>
              <w:rPr>
                <w:rFonts w:cs="Arial"/>
                <w:color w:val="000000"/>
                <w:sz w:val="16"/>
                <w:szCs w:val="16"/>
              </w:rPr>
              <w:t>3,6</w:t>
            </w:r>
          </w:p>
        </w:tc>
        <w:tc>
          <w:tcPr>
            <w:tcW w:w="680" w:type="dxa"/>
            <w:tcBorders>
              <w:top w:val="nil"/>
              <w:left w:val="nil"/>
              <w:bottom w:val="nil"/>
              <w:right w:val="nil"/>
            </w:tcBorders>
            <w:shd w:val="clear" w:color="auto" w:fill="auto"/>
            <w:noWrap/>
            <w:vAlign w:val="center"/>
            <w:hideMark/>
          </w:tcPr>
          <w:p w14:paraId="210987EE" w14:textId="2FCDD06F" w:rsidR="00987E13" w:rsidRPr="00D92E20" w:rsidRDefault="00987E13" w:rsidP="00987E13">
            <w:pPr>
              <w:spacing w:after="0" w:line="240" w:lineRule="auto"/>
              <w:jc w:val="center"/>
              <w:rPr>
                <w:rFonts w:cs="Arial"/>
                <w:color w:val="000000"/>
                <w:sz w:val="16"/>
                <w:szCs w:val="16"/>
              </w:rPr>
            </w:pPr>
            <w:r>
              <w:rPr>
                <w:rFonts w:cs="Arial"/>
                <w:color w:val="000000"/>
                <w:sz w:val="16"/>
                <w:szCs w:val="16"/>
              </w:rPr>
              <w:t>4,1</w:t>
            </w:r>
          </w:p>
        </w:tc>
        <w:tc>
          <w:tcPr>
            <w:tcW w:w="680" w:type="dxa"/>
            <w:tcBorders>
              <w:top w:val="nil"/>
              <w:left w:val="nil"/>
              <w:bottom w:val="nil"/>
              <w:right w:val="nil"/>
            </w:tcBorders>
            <w:shd w:val="clear" w:color="auto" w:fill="auto"/>
            <w:noWrap/>
            <w:vAlign w:val="center"/>
            <w:hideMark/>
          </w:tcPr>
          <w:p w14:paraId="05B08BEF" w14:textId="7CE700A1" w:rsidR="00987E13" w:rsidRPr="00D92E20" w:rsidRDefault="00987E13" w:rsidP="00987E13">
            <w:pPr>
              <w:spacing w:after="0" w:line="240" w:lineRule="auto"/>
              <w:jc w:val="center"/>
              <w:rPr>
                <w:rFonts w:cs="Arial"/>
                <w:color w:val="000000"/>
                <w:sz w:val="16"/>
                <w:szCs w:val="16"/>
              </w:rPr>
            </w:pPr>
            <w:r>
              <w:rPr>
                <w:rFonts w:cs="Arial"/>
                <w:color w:val="000000"/>
                <w:sz w:val="16"/>
                <w:szCs w:val="16"/>
              </w:rPr>
              <w:t>4,3</w:t>
            </w:r>
          </w:p>
        </w:tc>
        <w:tc>
          <w:tcPr>
            <w:tcW w:w="680" w:type="dxa"/>
            <w:tcBorders>
              <w:top w:val="nil"/>
              <w:left w:val="nil"/>
              <w:bottom w:val="nil"/>
              <w:right w:val="nil"/>
            </w:tcBorders>
            <w:shd w:val="clear" w:color="auto" w:fill="auto"/>
            <w:noWrap/>
            <w:vAlign w:val="center"/>
            <w:hideMark/>
          </w:tcPr>
          <w:p w14:paraId="60F4F476" w14:textId="16921A53" w:rsidR="00987E13" w:rsidRPr="00D92E20" w:rsidRDefault="00987E13" w:rsidP="00987E13">
            <w:pPr>
              <w:spacing w:after="0" w:line="240" w:lineRule="auto"/>
              <w:jc w:val="center"/>
              <w:rPr>
                <w:rFonts w:cs="Arial"/>
                <w:color w:val="000000"/>
                <w:sz w:val="16"/>
                <w:szCs w:val="16"/>
              </w:rPr>
            </w:pPr>
            <w:r>
              <w:rPr>
                <w:rFonts w:cs="Arial"/>
                <w:color w:val="000000"/>
                <w:sz w:val="16"/>
                <w:szCs w:val="16"/>
              </w:rPr>
              <w:t>4,3</w:t>
            </w:r>
          </w:p>
        </w:tc>
      </w:tr>
      <w:tr w:rsidR="00987E13" w:rsidRPr="00D92E20" w14:paraId="3380034F" w14:textId="77777777" w:rsidTr="004D1BAD">
        <w:trPr>
          <w:trHeight w:val="300"/>
        </w:trPr>
        <w:tc>
          <w:tcPr>
            <w:tcW w:w="2041" w:type="dxa"/>
            <w:tcBorders>
              <w:top w:val="nil"/>
              <w:left w:val="nil"/>
              <w:bottom w:val="nil"/>
              <w:right w:val="single" w:sz="4" w:space="0" w:color="auto"/>
            </w:tcBorders>
            <w:shd w:val="clear" w:color="auto" w:fill="auto"/>
            <w:noWrap/>
            <w:vAlign w:val="center"/>
            <w:hideMark/>
          </w:tcPr>
          <w:p w14:paraId="06A116FC" w14:textId="77777777" w:rsidR="00987E13" w:rsidRPr="00D92E20" w:rsidRDefault="00987E13" w:rsidP="00987E13">
            <w:pPr>
              <w:spacing w:after="0" w:line="240" w:lineRule="auto"/>
              <w:ind w:firstLineChars="100" w:firstLine="160"/>
              <w:rPr>
                <w:rFonts w:cs="Arial"/>
                <w:color w:val="000000"/>
                <w:sz w:val="16"/>
                <w:szCs w:val="16"/>
              </w:rPr>
            </w:pPr>
            <w:r w:rsidRPr="00D92E20">
              <w:rPr>
                <w:rFonts w:cs="Arial"/>
                <w:color w:val="000000"/>
                <w:sz w:val="16"/>
                <w:szCs w:val="16"/>
              </w:rPr>
              <w:t>Středočeský kraj</w:t>
            </w:r>
          </w:p>
        </w:tc>
        <w:tc>
          <w:tcPr>
            <w:tcW w:w="680" w:type="dxa"/>
            <w:tcBorders>
              <w:top w:val="nil"/>
              <w:left w:val="nil"/>
              <w:bottom w:val="nil"/>
              <w:right w:val="nil"/>
            </w:tcBorders>
            <w:shd w:val="clear" w:color="auto" w:fill="auto"/>
            <w:noWrap/>
            <w:vAlign w:val="center"/>
            <w:hideMark/>
          </w:tcPr>
          <w:p w14:paraId="6CFB6BF4" w14:textId="2B66A765" w:rsidR="00987E13" w:rsidRPr="00D92E20" w:rsidRDefault="00987E13" w:rsidP="00987E13">
            <w:pPr>
              <w:spacing w:after="0" w:line="240" w:lineRule="auto"/>
              <w:jc w:val="center"/>
              <w:rPr>
                <w:rFonts w:cs="Arial"/>
                <w:color w:val="000000"/>
                <w:sz w:val="16"/>
                <w:szCs w:val="16"/>
              </w:rPr>
            </w:pPr>
            <w:r>
              <w:rPr>
                <w:rFonts w:cs="Arial"/>
                <w:sz w:val="16"/>
                <w:szCs w:val="16"/>
              </w:rPr>
              <w:t>3,6</w:t>
            </w:r>
          </w:p>
        </w:tc>
        <w:tc>
          <w:tcPr>
            <w:tcW w:w="680" w:type="dxa"/>
            <w:tcBorders>
              <w:top w:val="nil"/>
              <w:left w:val="nil"/>
              <w:bottom w:val="nil"/>
              <w:right w:val="nil"/>
            </w:tcBorders>
            <w:shd w:val="clear" w:color="auto" w:fill="auto"/>
            <w:noWrap/>
            <w:vAlign w:val="center"/>
            <w:hideMark/>
          </w:tcPr>
          <w:p w14:paraId="04696881" w14:textId="0D145212" w:rsidR="00987E13" w:rsidRPr="00D92E20" w:rsidRDefault="00987E13" w:rsidP="00987E13">
            <w:pPr>
              <w:spacing w:after="0" w:line="240" w:lineRule="auto"/>
              <w:jc w:val="center"/>
              <w:rPr>
                <w:rFonts w:cs="Arial"/>
                <w:color w:val="000000"/>
                <w:sz w:val="16"/>
                <w:szCs w:val="16"/>
              </w:rPr>
            </w:pPr>
            <w:r>
              <w:rPr>
                <w:rFonts w:cs="Arial"/>
                <w:sz w:val="16"/>
                <w:szCs w:val="16"/>
              </w:rPr>
              <w:t>4,0</w:t>
            </w:r>
          </w:p>
        </w:tc>
        <w:tc>
          <w:tcPr>
            <w:tcW w:w="680" w:type="dxa"/>
            <w:tcBorders>
              <w:top w:val="nil"/>
              <w:left w:val="nil"/>
              <w:bottom w:val="nil"/>
              <w:right w:val="nil"/>
            </w:tcBorders>
            <w:shd w:val="clear" w:color="auto" w:fill="auto"/>
            <w:noWrap/>
            <w:vAlign w:val="center"/>
            <w:hideMark/>
          </w:tcPr>
          <w:p w14:paraId="5ADACFE3" w14:textId="2D44CFBF" w:rsidR="00987E13" w:rsidRPr="00D92E20" w:rsidRDefault="00987E13" w:rsidP="00987E13">
            <w:pPr>
              <w:spacing w:after="0" w:line="240" w:lineRule="auto"/>
              <w:jc w:val="center"/>
              <w:rPr>
                <w:rFonts w:cs="Arial"/>
                <w:color w:val="000000"/>
                <w:sz w:val="16"/>
                <w:szCs w:val="16"/>
              </w:rPr>
            </w:pPr>
            <w:r>
              <w:rPr>
                <w:rFonts w:cs="Arial"/>
                <w:sz w:val="16"/>
                <w:szCs w:val="16"/>
              </w:rPr>
              <w:t>3,9</w:t>
            </w:r>
          </w:p>
        </w:tc>
        <w:tc>
          <w:tcPr>
            <w:tcW w:w="680" w:type="dxa"/>
            <w:tcBorders>
              <w:top w:val="nil"/>
              <w:left w:val="nil"/>
              <w:bottom w:val="nil"/>
              <w:right w:val="nil"/>
            </w:tcBorders>
            <w:shd w:val="clear" w:color="auto" w:fill="auto"/>
            <w:noWrap/>
            <w:vAlign w:val="center"/>
            <w:hideMark/>
          </w:tcPr>
          <w:p w14:paraId="17662C0E" w14:textId="6749DD85" w:rsidR="00987E13" w:rsidRPr="00D92E20" w:rsidRDefault="00987E13" w:rsidP="00987E13">
            <w:pPr>
              <w:spacing w:after="0" w:line="240" w:lineRule="auto"/>
              <w:jc w:val="center"/>
              <w:rPr>
                <w:rFonts w:cs="Arial"/>
                <w:color w:val="000000"/>
                <w:sz w:val="16"/>
                <w:szCs w:val="16"/>
              </w:rPr>
            </w:pPr>
            <w:r>
              <w:rPr>
                <w:rFonts w:cs="Arial"/>
                <w:sz w:val="16"/>
                <w:szCs w:val="16"/>
              </w:rPr>
              <w:t>4,3</w:t>
            </w:r>
          </w:p>
        </w:tc>
        <w:tc>
          <w:tcPr>
            <w:tcW w:w="680" w:type="dxa"/>
            <w:tcBorders>
              <w:top w:val="nil"/>
              <w:left w:val="nil"/>
              <w:bottom w:val="nil"/>
              <w:right w:val="nil"/>
            </w:tcBorders>
            <w:shd w:val="clear" w:color="auto" w:fill="auto"/>
            <w:noWrap/>
            <w:vAlign w:val="center"/>
            <w:hideMark/>
          </w:tcPr>
          <w:p w14:paraId="45B4E0D7" w14:textId="5B035879" w:rsidR="00987E13" w:rsidRPr="00D92E20" w:rsidRDefault="00987E13" w:rsidP="00987E13">
            <w:pPr>
              <w:spacing w:after="0" w:line="240" w:lineRule="auto"/>
              <w:jc w:val="center"/>
              <w:rPr>
                <w:rFonts w:cs="Arial"/>
                <w:color w:val="000000"/>
                <w:sz w:val="16"/>
                <w:szCs w:val="16"/>
              </w:rPr>
            </w:pPr>
            <w:r>
              <w:rPr>
                <w:rFonts w:cs="Arial"/>
                <w:sz w:val="16"/>
                <w:szCs w:val="16"/>
              </w:rPr>
              <w:t>4,5</w:t>
            </w:r>
          </w:p>
        </w:tc>
        <w:tc>
          <w:tcPr>
            <w:tcW w:w="680" w:type="dxa"/>
            <w:tcBorders>
              <w:top w:val="nil"/>
              <w:left w:val="nil"/>
              <w:bottom w:val="nil"/>
              <w:right w:val="nil"/>
            </w:tcBorders>
            <w:shd w:val="clear" w:color="auto" w:fill="auto"/>
            <w:noWrap/>
            <w:vAlign w:val="center"/>
            <w:hideMark/>
          </w:tcPr>
          <w:p w14:paraId="47226415" w14:textId="2709CAF8" w:rsidR="00987E13" w:rsidRPr="00D92E20" w:rsidRDefault="00987E13" w:rsidP="00987E13">
            <w:pPr>
              <w:spacing w:after="0" w:line="240" w:lineRule="auto"/>
              <w:jc w:val="center"/>
              <w:rPr>
                <w:rFonts w:cs="Arial"/>
                <w:color w:val="000000"/>
                <w:sz w:val="16"/>
                <w:szCs w:val="16"/>
              </w:rPr>
            </w:pPr>
            <w:r>
              <w:rPr>
                <w:rFonts w:cs="Arial"/>
                <w:sz w:val="16"/>
                <w:szCs w:val="16"/>
              </w:rPr>
              <w:t>4,6</w:t>
            </w:r>
          </w:p>
        </w:tc>
        <w:tc>
          <w:tcPr>
            <w:tcW w:w="680" w:type="dxa"/>
            <w:tcBorders>
              <w:top w:val="nil"/>
              <w:left w:val="nil"/>
              <w:bottom w:val="nil"/>
              <w:right w:val="nil"/>
            </w:tcBorders>
            <w:shd w:val="clear" w:color="auto" w:fill="auto"/>
            <w:noWrap/>
            <w:vAlign w:val="center"/>
            <w:hideMark/>
          </w:tcPr>
          <w:p w14:paraId="0D665A84" w14:textId="7D1B7076" w:rsidR="00987E13" w:rsidRPr="00D92E20" w:rsidRDefault="00987E13" w:rsidP="00987E13">
            <w:pPr>
              <w:spacing w:after="0" w:line="240" w:lineRule="auto"/>
              <w:jc w:val="center"/>
              <w:rPr>
                <w:rFonts w:cs="Arial"/>
                <w:color w:val="000000"/>
                <w:sz w:val="16"/>
                <w:szCs w:val="16"/>
              </w:rPr>
            </w:pPr>
            <w:r>
              <w:rPr>
                <w:rFonts w:cs="Arial"/>
                <w:color w:val="000000"/>
                <w:sz w:val="16"/>
                <w:szCs w:val="16"/>
              </w:rPr>
              <w:t>4,9</w:t>
            </w:r>
          </w:p>
        </w:tc>
        <w:tc>
          <w:tcPr>
            <w:tcW w:w="680" w:type="dxa"/>
            <w:tcBorders>
              <w:top w:val="nil"/>
              <w:left w:val="nil"/>
              <w:bottom w:val="nil"/>
              <w:right w:val="nil"/>
            </w:tcBorders>
            <w:shd w:val="clear" w:color="auto" w:fill="auto"/>
            <w:noWrap/>
            <w:vAlign w:val="center"/>
            <w:hideMark/>
          </w:tcPr>
          <w:p w14:paraId="2AAB281C" w14:textId="0FB4C3ED" w:rsidR="00987E13" w:rsidRPr="00D92E20" w:rsidRDefault="00987E13" w:rsidP="00987E13">
            <w:pPr>
              <w:spacing w:after="0" w:line="240" w:lineRule="auto"/>
              <w:jc w:val="center"/>
              <w:rPr>
                <w:rFonts w:cs="Arial"/>
                <w:color w:val="000000"/>
                <w:sz w:val="16"/>
                <w:szCs w:val="16"/>
              </w:rPr>
            </w:pPr>
            <w:r>
              <w:rPr>
                <w:rFonts w:cs="Arial"/>
                <w:color w:val="000000"/>
                <w:sz w:val="16"/>
                <w:szCs w:val="16"/>
              </w:rPr>
              <w:t>5,0</w:t>
            </w:r>
          </w:p>
        </w:tc>
        <w:tc>
          <w:tcPr>
            <w:tcW w:w="680" w:type="dxa"/>
            <w:tcBorders>
              <w:top w:val="nil"/>
              <w:left w:val="nil"/>
              <w:bottom w:val="nil"/>
              <w:right w:val="nil"/>
            </w:tcBorders>
            <w:shd w:val="clear" w:color="auto" w:fill="auto"/>
            <w:noWrap/>
            <w:vAlign w:val="center"/>
            <w:hideMark/>
          </w:tcPr>
          <w:p w14:paraId="032E8FD2" w14:textId="6BDFB61D" w:rsidR="00987E13" w:rsidRPr="00D92E20" w:rsidRDefault="00987E13" w:rsidP="00987E13">
            <w:pPr>
              <w:spacing w:after="0" w:line="240" w:lineRule="auto"/>
              <w:jc w:val="center"/>
              <w:rPr>
                <w:rFonts w:cs="Arial"/>
                <w:color w:val="000000"/>
                <w:sz w:val="16"/>
                <w:szCs w:val="16"/>
              </w:rPr>
            </w:pPr>
            <w:r>
              <w:rPr>
                <w:rFonts w:cs="Arial"/>
                <w:color w:val="000000"/>
                <w:sz w:val="16"/>
                <w:szCs w:val="16"/>
              </w:rPr>
              <w:t>5,4</w:t>
            </w:r>
          </w:p>
        </w:tc>
        <w:tc>
          <w:tcPr>
            <w:tcW w:w="680" w:type="dxa"/>
            <w:tcBorders>
              <w:top w:val="nil"/>
              <w:left w:val="nil"/>
              <w:bottom w:val="nil"/>
              <w:right w:val="nil"/>
            </w:tcBorders>
            <w:shd w:val="clear" w:color="auto" w:fill="auto"/>
            <w:noWrap/>
            <w:vAlign w:val="center"/>
            <w:hideMark/>
          </w:tcPr>
          <w:p w14:paraId="2C501001" w14:textId="2542D3C2" w:rsidR="00987E13" w:rsidRPr="00D92E20" w:rsidRDefault="00987E13" w:rsidP="00987E13">
            <w:pPr>
              <w:spacing w:after="0" w:line="240" w:lineRule="auto"/>
              <w:jc w:val="center"/>
              <w:rPr>
                <w:rFonts w:cs="Arial"/>
                <w:color w:val="000000"/>
                <w:sz w:val="16"/>
                <w:szCs w:val="16"/>
              </w:rPr>
            </w:pPr>
            <w:r>
              <w:rPr>
                <w:rFonts w:cs="Arial"/>
                <w:color w:val="000000"/>
                <w:sz w:val="16"/>
                <w:szCs w:val="16"/>
              </w:rPr>
              <w:t>6,3</w:t>
            </w:r>
          </w:p>
        </w:tc>
        <w:tc>
          <w:tcPr>
            <w:tcW w:w="680" w:type="dxa"/>
            <w:tcBorders>
              <w:top w:val="nil"/>
              <w:left w:val="nil"/>
              <w:bottom w:val="nil"/>
              <w:right w:val="nil"/>
            </w:tcBorders>
            <w:shd w:val="clear" w:color="auto" w:fill="auto"/>
            <w:noWrap/>
            <w:vAlign w:val="center"/>
            <w:hideMark/>
          </w:tcPr>
          <w:p w14:paraId="1682D05B" w14:textId="3275BA35" w:rsidR="00987E13" w:rsidRPr="00D92E20" w:rsidRDefault="00987E13" w:rsidP="00987E13">
            <w:pPr>
              <w:spacing w:after="0" w:line="240" w:lineRule="auto"/>
              <w:jc w:val="center"/>
              <w:rPr>
                <w:rFonts w:cs="Arial"/>
                <w:color w:val="000000"/>
                <w:sz w:val="16"/>
                <w:szCs w:val="16"/>
              </w:rPr>
            </w:pPr>
            <w:r>
              <w:rPr>
                <w:rFonts w:cs="Arial"/>
                <w:color w:val="000000"/>
                <w:sz w:val="16"/>
                <w:szCs w:val="16"/>
              </w:rPr>
              <w:t>6,0</w:t>
            </w:r>
          </w:p>
        </w:tc>
      </w:tr>
      <w:tr w:rsidR="00987E13" w:rsidRPr="00D92E20" w14:paraId="26157382" w14:textId="77777777" w:rsidTr="004D1BAD">
        <w:trPr>
          <w:trHeight w:val="300"/>
        </w:trPr>
        <w:tc>
          <w:tcPr>
            <w:tcW w:w="2041" w:type="dxa"/>
            <w:tcBorders>
              <w:top w:val="nil"/>
              <w:left w:val="nil"/>
              <w:bottom w:val="nil"/>
              <w:right w:val="single" w:sz="4" w:space="0" w:color="auto"/>
            </w:tcBorders>
            <w:shd w:val="clear" w:color="auto" w:fill="auto"/>
            <w:noWrap/>
            <w:vAlign w:val="center"/>
            <w:hideMark/>
          </w:tcPr>
          <w:p w14:paraId="510BB5C8" w14:textId="77777777" w:rsidR="00987E13" w:rsidRPr="00D92E20" w:rsidRDefault="00987E13" w:rsidP="00987E13">
            <w:pPr>
              <w:spacing w:after="0" w:line="240" w:lineRule="auto"/>
              <w:ind w:firstLineChars="100" w:firstLine="160"/>
              <w:rPr>
                <w:rFonts w:cs="Arial"/>
                <w:color w:val="000000"/>
                <w:sz w:val="16"/>
                <w:szCs w:val="16"/>
              </w:rPr>
            </w:pPr>
            <w:r w:rsidRPr="00D92E20">
              <w:rPr>
                <w:rFonts w:cs="Arial"/>
                <w:color w:val="000000"/>
                <w:sz w:val="16"/>
                <w:szCs w:val="16"/>
              </w:rPr>
              <w:t>Jihočeský kraj</w:t>
            </w:r>
          </w:p>
        </w:tc>
        <w:tc>
          <w:tcPr>
            <w:tcW w:w="680" w:type="dxa"/>
            <w:tcBorders>
              <w:top w:val="nil"/>
              <w:left w:val="nil"/>
              <w:bottom w:val="nil"/>
              <w:right w:val="nil"/>
            </w:tcBorders>
            <w:shd w:val="clear" w:color="auto" w:fill="auto"/>
            <w:noWrap/>
            <w:vAlign w:val="center"/>
            <w:hideMark/>
          </w:tcPr>
          <w:p w14:paraId="49498974" w14:textId="53A4345E" w:rsidR="00987E13" w:rsidRPr="00D92E20" w:rsidRDefault="00987E13" w:rsidP="00987E13">
            <w:pPr>
              <w:spacing w:after="0" w:line="240" w:lineRule="auto"/>
              <w:jc w:val="center"/>
              <w:rPr>
                <w:rFonts w:cs="Arial"/>
                <w:color w:val="000000"/>
                <w:sz w:val="16"/>
                <w:szCs w:val="16"/>
              </w:rPr>
            </w:pPr>
            <w:r>
              <w:rPr>
                <w:rFonts w:cs="Arial"/>
                <w:sz w:val="16"/>
                <w:szCs w:val="16"/>
              </w:rPr>
              <w:t>4,2</w:t>
            </w:r>
          </w:p>
        </w:tc>
        <w:tc>
          <w:tcPr>
            <w:tcW w:w="680" w:type="dxa"/>
            <w:tcBorders>
              <w:top w:val="nil"/>
              <w:left w:val="nil"/>
              <w:bottom w:val="nil"/>
              <w:right w:val="nil"/>
            </w:tcBorders>
            <w:shd w:val="clear" w:color="auto" w:fill="auto"/>
            <w:noWrap/>
            <w:vAlign w:val="center"/>
            <w:hideMark/>
          </w:tcPr>
          <w:p w14:paraId="252B1224" w14:textId="27F6E95E" w:rsidR="00987E13" w:rsidRPr="00D92E20" w:rsidRDefault="00987E13" w:rsidP="00987E13">
            <w:pPr>
              <w:spacing w:after="0" w:line="240" w:lineRule="auto"/>
              <w:jc w:val="center"/>
              <w:rPr>
                <w:rFonts w:cs="Arial"/>
                <w:color w:val="000000"/>
                <w:sz w:val="16"/>
                <w:szCs w:val="16"/>
              </w:rPr>
            </w:pPr>
            <w:r>
              <w:rPr>
                <w:rFonts w:cs="Arial"/>
                <w:sz w:val="16"/>
                <w:szCs w:val="16"/>
              </w:rPr>
              <w:t>4,8</w:t>
            </w:r>
          </w:p>
        </w:tc>
        <w:tc>
          <w:tcPr>
            <w:tcW w:w="680" w:type="dxa"/>
            <w:tcBorders>
              <w:top w:val="nil"/>
              <w:left w:val="nil"/>
              <w:bottom w:val="nil"/>
              <w:right w:val="nil"/>
            </w:tcBorders>
            <w:shd w:val="clear" w:color="auto" w:fill="auto"/>
            <w:noWrap/>
            <w:vAlign w:val="center"/>
            <w:hideMark/>
          </w:tcPr>
          <w:p w14:paraId="0063B13E" w14:textId="6FD41F14" w:rsidR="00987E13" w:rsidRPr="00D92E20" w:rsidRDefault="00987E13" w:rsidP="00987E13">
            <w:pPr>
              <w:spacing w:after="0" w:line="240" w:lineRule="auto"/>
              <w:jc w:val="center"/>
              <w:rPr>
                <w:rFonts w:cs="Arial"/>
                <w:color w:val="000000"/>
                <w:sz w:val="16"/>
                <w:szCs w:val="16"/>
              </w:rPr>
            </w:pPr>
            <w:r>
              <w:rPr>
                <w:rFonts w:cs="Arial"/>
                <w:sz w:val="16"/>
                <w:szCs w:val="16"/>
              </w:rPr>
              <w:t>4,6</w:t>
            </w:r>
          </w:p>
        </w:tc>
        <w:tc>
          <w:tcPr>
            <w:tcW w:w="680" w:type="dxa"/>
            <w:tcBorders>
              <w:top w:val="nil"/>
              <w:left w:val="nil"/>
              <w:bottom w:val="nil"/>
              <w:right w:val="nil"/>
            </w:tcBorders>
            <w:shd w:val="clear" w:color="auto" w:fill="auto"/>
            <w:noWrap/>
            <w:vAlign w:val="center"/>
            <w:hideMark/>
          </w:tcPr>
          <w:p w14:paraId="0B9359EA" w14:textId="57ADF922" w:rsidR="00987E13" w:rsidRPr="00D92E20" w:rsidRDefault="00987E13" w:rsidP="00987E13">
            <w:pPr>
              <w:spacing w:after="0" w:line="240" w:lineRule="auto"/>
              <w:jc w:val="center"/>
              <w:rPr>
                <w:rFonts w:cs="Arial"/>
                <w:color w:val="000000"/>
                <w:sz w:val="16"/>
                <w:szCs w:val="16"/>
              </w:rPr>
            </w:pPr>
            <w:r>
              <w:rPr>
                <w:rFonts w:cs="Arial"/>
                <w:sz w:val="16"/>
                <w:szCs w:val="16"/>
              </w:rPr>
              <w:t>5,1</w:t>
            </w:r>
          </w:p>
        </w:tc>
        <w:tc>
          <w:tcPr>
            <w:tcW w:w="680" w:type="dxa"/>
            <w:tcBorders>
              <w:top w:val="nil"/>
              <w:left w:val="nil"/>
              <w:bottom w:val="nil"/>
              <w:right w:val="nil"/>
            </w:tcBorders>
            <w:shd w:val="clear" w:color="auto" w:fill="auto"/>
            <w:noWrap/>
            <w:vAlign w:val="center"/>
            <w:hideMark/>
          </w:tcPr>
          <w:p w14:paraId="2EED16F0" w14:textId="2A572FF3" w:rsidR="00987E13" w:rsidRPr="00D92E20" w:rsidRDefault="00987E13" w:rsidP="00987E13">
            <w:pPr>
              <w:spacing w:after="0" w:line="240" w:lineRule="auto"/>
              <w:jc w:val="center"/>
              <w:rPr>
                <w:rFonts w:cs="Arial"/>
                <w:color w:val="000000"/>
                <w:sz w:val="16"/>
                <w:szCs w:val="16"/>
              </w:rPr>
            </w:pPr>
            <w:r>
              <w:rPr>
                <w:rFonts w:cs="Arial"/>
                <w:sz w:val="16"/>
                <w:szCs w:val="16"/>
              </w:rPr>
              <w:t>5,3</w:t>
            </w:r>
          </w:p>
        </w:tc>
        <w:tc>
          <w:tcPr>
            <w:tcW w:w="680" w:type="dxa"/>
            <w:tcBorders>
              <w:top w:val="nil"/>
              <w:left w:val="nil"/>
              <w:bottom w:val="nil"/>
              <w:right w:val="nil"/>
            </w:tcBorders>
            <w:shd w:val="clear" w:color="auto" w:fill="auto"/>
            <w:noWrap/>
            <w:vAlign w:val="center"/>
            <w:hideMark/>
          </w:tcPr>
          <w:p w14:paraId="5895CE7E" w14:textId="74C67EA7" w:rsidR="00987E13" w:rsidRPr="00D92E20" w:rsidRDefault="00987E13" w:rsidP="00987E13">
            <w:pPr>
              <w:spacing w:after="0" w:line="240" w:lineRule="auto"/>
              <w:jc w:val="center"/>
              <w:rPr>
                <w:rFonts w:cs="Arial"/>
                <w:color w:val="000000"/>
                <w:sz w:val="16"/>
                <w:szCs w:val="16"/>
              </w:rPr>
            </w:pPr>
            <w:r>
              <w:rPr>
                <w:rFonts w:cs="Arial"/>
                <w:sz w:val="16"/>
                <w:szCs w:val="16"/>
              </w:rPr>
              <w:t>5,5</w:t>
            </w:r>
          </w:p>
        </w:tc>
        <w:tc>
          <w:tcPr>
            <w:tcW w:w="680" w:type="dxa"/>
            <w:tcBorders>
              <w:top w:val="nil"/>
              <w:left w:val="nil"/>
              <w:bottom w:val="nil"/>
              <w:right w:val="nil"/>
            </w:tcBorders>
            <w:shd w:val="clear" w:color="auto" w:fill="auto"/>
            <w:noWrap/>
            <w:vAlign w:val="center"/>
            <w:hideMark/>
          </w:tcPr>
          <w:p w14:paraId="061F9626" w14:textId="566E7F0A" w:rsidR="00987E13" w:rsidRPr="00D92E20" w:rsidRDefault="00987E13" w:rsidP="00987E13">
            <w:pPr>
              <w:spacing w:after="0" w:line="240" w:lineRule="auto"/>
              <w:jc w:val="center"/>
              <w:rPr>
                <w:rFonts w:cs="Arial"/>
                <w:color w:val="000000"/>
                <w:sz w:val="16"/>
                <w:szCs w:val="16"/>
              </w:rPr>
            </w:pPr>
            <w:r>
              <w:rPr>
                <w:rFonts w:cs="Arial"/>
                <w:color w:val="000000"/>
                <w:sz w:val="16"/>
                <w:szCs w:val="16"/>
              </w:rPr>
              <w:t>5,5</w:t>
            </w:r>
          </w:p>
        </w:tc>
        <w:tc>
          <w:tcPr>
            <w:tcW w:w="680" w:type="dxa"/>
            <w:tcBorders>
              <w:top w:val="nil"/>
              <w:left w:val="nil"/>
              <w:bottom w:val="nil"/>
              <w:right w:val="nil"/>
            </w:tcBorders>
            <w:shd w:val="clear" w:color="auto" w:fill="auto"/>
            <w:noWrap/>
            <w:vAlign w:val="center"/>
            <w:hideMark/>
          </w:tcPr>
          <w:p w14:paraId="04CFEDD9" w14:textId="41E201B3" w:rsidR="00987E13" w:rsidRPr="00D92E20" w:rsidRDefault="00987E13" w:rsidP="00987E13">
            <w:pPr>
              <w:spacing w:after="0" w:line="240" w:lineRule="auto"/>
              <w:jc w:val="center"/>
              <w:rPr>
                <w:rFonts w:cs="Arial"/>
                <w:color w:val="000000"/>
                <w:sz w:val="16"/>
                <w:szCs w:val="16"/>
              </w:rPr>
            </w:pPr>
            <w:r>
              <w:rPr>
                <w:rFonts w:cs="Arial"/>
                <w:color w:val="000000"/>
                <w:sz w:val="16"/>
                <w:szCs w:val="16"/>
              </w:rPr>
              <w:t>5,6</w:t>
            </w:r>
          </w:p>
        </w:tc>
        <w:tc>
          <w:tcPr>
            <w:tcW w:w="680" w:type="dxa"/>
            <w:tcBorders>
              <w:top w:val="nil"/>
              <w:left w:val="nil"/>
              <w:bottom w:val="nil"/>
              <w:right w:val="nil"/>
            </w:tcBorders>
            <w:shd w:val="clear" w:color="auto" w:fill="auto"/>
            <w:noWrap/>
            <w:vAlign w:val="center"/>
            <w:hideMark/>
          </w:tcPr>
          <w:p w14:paraId="37E46098" w14:textId="2EA02EB8" w:rsidR="00987E13" w:rsidRPr="00D92E20" w:rsidRDefault="00987E13" w:rsidP="00987E13">
            <w:pPr>
              <w:spacing w:after="0" w:line="240" w:lineRule="auto"/>
              <w:jc w:val="center"/>
              <w:rPr>
                <w:rFonts w:cs="Arial"/>
                <w:color w:val="000000"/>
                <w:sz w:val="16"/>
                <w:szCs w:val="16"/>
              </w:rPr>
            </w:pPr>
            <w:r>
              <w:rPr>
                <w:rFonts w:cs="Arial"/>
                <w:color w:val="000000"/>
                <w:sz w:val="16"/>
                <w:szCs w:val="16"/>
              </w:rPr>
              <w:t>6,2</w:t>
            </w:r>
          </w:p>
        </w:tc>
        <w:tc>
          <w:tcPr>
            <w:tcW w:w="680" w:type="dxa"/>
            <w:tcBorders>
              <w:top w:val="nil"/>
              <w:left w:val="nil"/>
              <w:bottom w:val="nil"/>
              <w:right w:val="nil"/>
            </w:tcBorders>
            <w:shd w:val="clear" w:color="auto" w:fill="auto"/>
            <w:noWrap/>
            <w:vAlign w:val="center"/>
            <w:hideMark/>
          </w:tcPr>
          <w:p w14:paraId="4F5A7AFD" w14:textId="292DDE86" w:rsidR="00987E13" w:rsidRPr="00D92E20" w:rsidRDefault="00987E13" w:rsidP="00987E13">
            <w:pPr>
              <w:spacing w:after="0" w:line="240" w:lineRule="auto"/>
              <w:jc w:val="center"/>
              <w:rPr>
                <w:rFonts w:cs="Arial"/>
                <w:color w:val="000000"/>
                <w:sz w:val="16"/>
                <w:szCs w:val="16"/>
              </w:rPr>
            </w:pPr>
            <w:r>
              <w:rPr>
                <w:rFonts w:cs="Arial"/>
                <w:color w:val="000000"/>
                <w:sz w:val="16"/>
                <w:szCs w:val="16"/>
              </w:rPr>
              <w:t>6,7</w:t>
            </w:r>
          </w:p>
        </w:tc>
        <w:tc>
          <w:tcPr>
            <w:tcW w:w="680" w:type="dxa"/>
            <w:tcBorders>
              <w:top w:val="nil"/>
              <w:left w:val="nil"/>
              <w:bottom w:val="nil"/>
              <w:right w:val="nil"/>
            </w:tcBorders>
            <w:shd w:val="clear" w:color="auto" w:fill="auto"/>
            <w:noWrap/>
            <w:vAlign w:val="center"/>
            <w:hideMark/>
          </w:tcPr>
          <w:p w14:paraId="5D2D1898" w14:textId="29E4EB90" w:rsidR="00987E13" w:rsidRPr="00D92E20" w:rsidRDefault="00987E13" w:rsidP="00987E13">
            <w:pPr>
              <w:spacing w:after="0" w:line="240" w:lineRule="auto"/>
              <w:jc w:val="center"/>
              <w:rPr>
                <w:rFonts w:cs="Arial"/>
                <w:color w:val="000000"/>
                <w:sz w:val="16"/>
                <w:szCs w:val="16"/>
              </w:rPr>
            </w:pPr>
            <w:r>
              <w:rPr>
                <w:rFonts w:cs="Arial"/>
                <w:color w:val="000000"/>
                <w:sz w:val="16"/>
                <w:szCs w:val="16"/>
              </w:rPr>
              <w:t>6,5</w:t>
            </w:r>
          </w:p>
        </w:tc>
      </w:tr>
      <w:tr w:rsidR="00987E13" w:rsidRPr="00D92E20" w14:paraId="163E7E6B" w14:textId="77777777" w:rsidTr="004D1BAD">
        <w:trPr>
          <w:trHeight w:val="300"/>
        </w:trPr>
        <w:tc>
          <w:tcPr>
            <w:tcW w:w="2041" w:type="dxa"/>
            <w:tcBorders>
              <w:top w:val="nil"/>
              <w:left w:val="nil"/>
              <w:bottom w:val="nil"/>
              <w:right w:val="single" w:sz="4" w:space="0" w:color="auto"/>
            </w:tcBorders>
            <w:shd w:val="clear" w:color="auto" w:fill="auto"/>
            <w:noWrap/>
            <w:vAlign w:val="center"/>
            <w:hideMark/>
          </w:tcPr>
          <w:p w14:paraId="1FFD1879" w14:textId="77777777" w:rsidR="00987E13" w:rsidRPr="00D92E20" w:rsidRDefault="00987E13" w:rsidP="00987E13">
            <w:pPr>
              <w:spacing w:after="0" w:line="240" w:lineRule="auto"/>
              <w:ind w:firstLineChars="100" w:firstLine="160"/>
              <w:rPr>
                <w:rFonts w:cs="Arial"/>
                <w:color w:val="000000"/>
                <w:sz w:val="16"/>
                <w:szCs w:val="16"/>
              </w:rPr>
            </w:pPr>
            <w:r w:rsidRPr="00D92E20">
              <w:rPr>
                <w:rFonts w:cs="Arial"/>
                <w:color w:val="000000"/>
                <w:sz w:val="16"/>
                <w:szCs w:val="16"/>
              </w:rPr>
              <w:t>Plzeňský kraj</w:t>
            </w:r>
          </w:p>
        </w:tc>
        <w:tc>
          <w:tcPr>
            <w:tcW w:w="680" w:type="dxa"/>
            <w:tcBorders>
              <w:top w:val="nil"/>
              <w:left w:val="nil"/>
              <w:bottom w:val="nil"/>
              <w:right w:val="nil"/>
            </w:tcBorders>
            <w:shd w:val="clear" w:color="auto" w:fill="auto"/>
            <w:noWrap/>
            <w:vAlign w:val="center"/>
            <w:hideMark/>
          </w:tcPr>
          <w:p w14:paraId="4BA0900E" w14:textId="4D552C27" w:rsidR="00987E13" w:rsidRPr="00D92E20" w:rsidRDefault="00987E13" w:rsidP="00987E13">
            <w:pPr>
              <w:spacing w:after="0" w:line="240" w:lineRule="auto"/>
              <w:jc w:val="center"/>
              <w:rPr>
                <w:rFonts w:cs="Arial"/>
                <w:color w:val="000000"/>
                <w:sz w:val="16"/>
                <w:szCs w:val="16"/>
              </w:rPr>
            </w:pPr>
            <w:r>
              <w:rPr>
                <w:rFonts w:cs="Arial"/>
                <w:sz w:val="16"/>
                <w:szCs w:val="16"/>
              </w:rPr>
              <w:t>3,8</w:t>
            </w:r>
          </w:p>
        </w:tc>
        <w:tc>
          <w:tcPr>
            <w:tcW w:w="680" w:type="dxa"/>
            <w:tcBorders>
              <w:top w:val="nil"/>
              <w:left w:val="nil"/>
              <w:bottom w:val="nil"/>
              <w:right w:val="nil"/>
            </w:tcBorders>
            <w:shd w:val="clear" w:color="auto" w:fill="auto"/>
            <w:noWrap/>
            <w:vAlign w:val="center"/>
            <w:hideMark/>
          </w:tcPr>
          <w:p w14:paraId="69C34878" w14:textId="230726C4" w:rsidR="00987E13" w:rsidRPr="00D92E20" w:rsidRDefault="00987E13" w:rsidP="00987E13">
            <w:pPr>
              <w:spacing w:after="0" w:line="240" w:lineRule="auto"/>
              <w:jc w:val="center"/>
              <w:rPr>
                <w:rFonts w:cs="Arial"/>
                <w:color w:val="000000"/>
                <w:sz w:val="16"/>
                <w:szCs w:val="16"/>
              </w:rPr>
            </w:pPr>
            <w:r>
              <w:rPr>
                <w:rFonts w:cs="Arial"/>
                <w:sz w:val="16"/>
                <w:szCs w:val="16"/>
              </w:rPr>
              <w:t>4,4</w:t>
            </w:r>
          </w:p>
        </w:tc>
        <w:tc>
          <w:tcPr>
            <w:tcW w:w="680" w:type="dxa"/>
            <w:tcBorders>
              <w:top w:val="nil"/>
              <w:left w:val="nil"/>
              <w:bottom w:val="nil"/>
              <w:right w:val="nil"/>
            </w:tcBorders>
            <w:shd w:val="clear" w:color="auto" w:fill="auto"/>
            <w:noWrap/>
            <w:vAlign w:val="center"/>
            <w:hideMark/>
          </w:tcPr>
          <w:p w14:paraId="03C00634" w14:textId="5B2AB4D8" w:rsidR="00987E13" w:rsidRPr="00D92E20" w:rsidRDefault="00987E13" w:rsidP="00987E13">
            <w:pPr>
              <w:spacing w:after="0" w:line="240" w:lineRule="auto"/>
              <w:jc w:val="center"/>
              <w:rPr>
                <w:rFonts w:cs="Arial"/>
                <w:color w:val="000000"/>
                <w:sz w:val="16"/>
                <w:szCs w:val="16"/>
              </w:rPr>
            </w:pPr>
            <w:r>
              <w:rPr>
                <w:rFonts w:cs="Arial"/>
                <w:sz w:val="16"/>
                <w:szCs w:val="16"/>
              </w:rPr>
              <w:t>4,2</w:t>
            </w:r>
          </w:p>
        </w:tc>
        <w:tc>
          <w:tcPr>
            <w:tcW w:w="680" w:type="dxa"/>
            <w:tcBorders>
              <w:top w:val="nil"/>
              <w:left w:val="nil"/>
              <w:bottom w:val="nil"/>
              <w:right w:val="nil"/>
            </w:tcBorders>
            <w:shd w:val="clear" w:color="auto" w:fill="auto"/>
            <w:noWrap/>
            <w:vAlign w:val="center"/>
            <w:hideMark/>
          </w:tcPr>
          <w:p w14:paraId="78BAADDD" w14:textId="1C186825" w:rsidR="00987E13" w:rsidRPr="00D92E20" w:rsidRDefault="00987E13" w:rsidP="00987E13">
            <w:pPr>
              <w:spacing w:after="0" w:line="240" w:lineRule="auto"/>
              <w:jc w:val="center"/>
              <w:rPr>
                <w:rFonts w:cs="Arial"/>
                <w:color w:val="000000"/>
                <w:sz w:val="16"/>
                <w:szCs w:val="16"/>
              </w:rPr>
            </w:pPr>
            <w:r>
              <w:rPr>
                <w:rFonts w:cs="Arial"/>
                <w:sz w:val="16"/>
                <w:szCs w:val="16"/>
              </w:rPr>
              <w:t>4,8</w:t>
            </w:r>
          </w:p>
        </w:tc>
        <w:tc>
          <w:tcPr>
            <w:tcW w:w="680" w:type="dxa"/>
            <w:tcBorders>
              <w:top w:val="nil"/>
              <w:left w:val="nil"/>
              <w:bottom w:val="nil"/>
              <w:right w:val="nil"/>
            </w:tcBorders>
            <w:shd w:val="clear" w:color="auto" w:fill="auto"/>
            <w:noWrap/>
            <w:vAlign w:val="center"/>
            <w:hideMark/>
          </w:tcPr>
          <w:p w14:paraId="2CACE13C" w14:textId="5366267D" w:rsidR="00987E13" w:rsidRPr="00D92E20" w:rsidRDefault="00987E13" w:rsidP="00987E13">
            <w:pPr>
              <w:spacing w:after="0" w:line="240" w:lineRule="auto"/>
              <w:jc w:val="center"/>
              <w:rPr>
                <w:rFonts w:cs="Arial"/>
                <w:color w:val="000000"/>
                <w:sz w:val="16"/>
                <w:szCs w:val="16"/>
              </w:rPr>
            </w:pPr>
            <w:r>
              <w:rPr>
                <w:rFonts w:cs="Arial"/>
                <w:sz w:val="16"/>
                <w:szCs w:val="16"/>
              </w:rPr>
              <w:t>4,9</w:t>
            </w:r>
          </w:p>
        </w:tc>
        <w:tc>
          <w:tcPr>
            <w:tcW w:w="680" w:type="dxa"/>
            <w:tcBorders>
              <w:top w:val="nil"/>
              <w:left w:val="nil"/>
              <w:bottom w:val="nil"/>
              <w:right w:val="nil"/>
            </w:tcBorders>
            <w:shd w:val="clear" w:color="auto" w:fill="auto"/>
            <w:noWrap/>
            <w:vAlign w:val="center"/>
            <w:hideMark/>
          </w:tcPr>
          <w:p w14:paraId="7F498EA3" w14:textId="6653CFE2" w:rsidR="00987E13" w:rsidRPr="00D92E20" w:rsidRDefault="00987E13" w:rsidP="00987E13">
            <w:pPr>
              <w:spacing w:after="0" w:line="240" w:lineRule="auto"/>
              <w:jc w:val="center"/>
              <w:rPr>
                <w:rFonts w:cs="Arial"/>
                <w:color w:val="000000"/>
                <w:sz w:val="16"/>
                <w:szCs w:val="16"/>
              </w:rPr>
            </w:pPr>
            <w:r>
              <w:rPr>
                <w:rFonts w:cs="Arial"/>
                <w:sz w:val="16"/>
                <w:szCs w:val="16"/>
              </w:rPr>
              <w:t>5,1</w:t>
            </w:r>
          </w:p>
        </w:tc>
        <w:tc>
          <w:tcPr>
            <w:tcW w:w="680" w:type="dxa"/>
            <w:tcBorders>
              <w:top w:val="nil"/>
              <w:left w:val="nil"/>
              <w:bottom w:val="nil"/>
              <w:right w:val="nil"/>
            </w:tcBorders>
            <w:shd w:val="clear" w:color="auto" w:fill="auto"/>
            <w:noWrap/>
            <w:vAlign w:val="center"/>
            <w:hideMark/>
          </w:tcPr>
          <w:p w14:paraId="43F20D3C" w14:textId="16CB04FF" w:rsidR="00987E13" w:rsidRPr="00D92E20" w:rsidRDefault="00987E13" w:rsidP="00987E13">
            <w:pPr>
              <w:spacing w:after="0" w:line="240" w:lineRule="auto"/>
              <w:jc w:val="center"/>
              <w:rPr>
                <w:rFonts w:cs="Arial"/>
                <w:color w:val="000000"/>
                <w:sz w:val="16"/>
                <w:szCs w:val="16"/>
              </w:rPr>
            </w:pPr>
            <w:r>
              <w:rPr>
                <w:rFonts w:cs="Arial"/>
                <w:color w:val="000000"/>
                <w:sz w:val="16"/>
                <w:szCs w:val="16"/>
              </w:rPr>
              <w:t>5,2</w:t>
            </w:r>
          </w:p>
        </w:tc>
        <w:tc>
          <w:tcPr>
            <w:tcW w:w="680" w:type="dxa"/>
            <w:tcBorders>
              <w:top w:val="nil"/>
              <w:left w:val="nil"/>
              <w:bottom w:val="nil"/>
              <w:right w:val="nil"/>
            </w:tcBorders>
            <w:shd w:val="clear" w:color="auto" w:fill="auto"/>
            <w:noWrap/>
            <w:vAlign w:val="center"/>
            <w:hideMark/>
          </w:tcPr>
          <w:p w14:paraId="37F280C0" w14:textId="50163FA7" w:rsidR="00987E13" w:rsidRPr="00D92E20" w:rsidRDefault="00987E13" w:rsidP="00987E13">
            <w:pPr>
              <w:spacing w:after="0" w:line="240" w:lineRule="auto"/>
              <w:jc w:val="center"/>
              <w:rPr>
                <w:rFonts w:cs="Arial"/>
                <w:color w:val="000000"/>
                <w:sz w:val="16"/>
                <w:szCs w:val="16"/>
              </w:rPr>
            </w:pPr>
            <w:r>
              <w:rPr>
                <w:rFonts w:cs="Arial"/>
                <w:color w:val="000000"/>
                <w:sz w:val="16"/>
                <w:szCs w:val="16"/>
              </w:rPr>
              <w:t>5,2</w:t>
            </w:r>
          </w:p>
        </w:tc>
        <w:tc>
          <w:tcPr>
            <w:tcW w:w="680" w:type="dxa"/>
            <w:tcBorders>
              <w:top w:val="nil"/>
              <w:left w:val="nil"/>
              <w:bottom w:val="nil"/>
              <w:right w:val="nil"/>
            </w:tcBorders>
            <w:shd w:val="clear" w:color="auto" w:fill="auto"/>
            <w:noWrap/>
            <w:vAlign w:val="center"/>
            <w:hideMark/>
          </w:tcPr>
          <w:p w14:paraId="6D422A4D" w14:textId="677BD41E" w:rsidR="00987E13" w:rsidRPr="00D92E20" w:rsidRDefault="00987E13" w:rsidP="00987E13">
            <w:pPr>
              <w:spacing w:after="0" w:line="240" w:lineRule="auto"/>
              <w:jc w:val="center"/>
              <w:rPr>
                <w:rFonts w:cs="Arial"/>
                <w:color w:val="000000"/>
                <w:sz w:val="16"/>
                <w:szCs w:val="16"/>
              </w:rPr>
            </w:pPr>
            <w:r>
              <w:rPr>
                <w:rFonts w:cs="Arial"/>
                <w:color w:val="000000"/>
                <w:sz w:val="16"/>
                <w:szCs w:val="16"/>
              </w:rPr>
              <w:t>5,9</w:t>
            </w:r>
          </w:p>
        </w:tc>
        <w:tc>
          <w:tcPr>
            <w:tcW w:w="680" w:type="dxa"/>
            <w:tcBorders>
              <w:top w:val="nil"/>
              <w:left w:val="nil"/>
              <w:bottom w:val="nil"/>
              <w:right w:val="nil"/>
            </w:tcBorders>
            <w:shd w:val="clear" w:color="auto" w:fill="auto"/>
            <w:noWrap/>
            <w:vAlign w:val="center"/>
            <w:hideMark/>
          </w:tcPr>
          <w:p w14:paraId="1E5DC309" w14:textId="6056E157" w:rsidR="00987E13" w:rsidRPr="00D92E20" w:rsidRDefault="00987E13" w:rsidP="00987E13">
            <w:pPr>
              <w:spacing w:after="0" w:line="240" w:lineRule="auto"/>
              <w:jc w:val="center"/>
              <w:rPr>
                <w:rFonts w:cs="Arial"/>
                <w:color w:val="000000"/>
                <w:sz w:val="16"/>
                <w:szCs w:val="16"/>
              </w:rPr>
            </w:pPr>
            <w:r>
              <w:rPr>
                <w:rFonts w:cs="Arial"/>
                <w:color w:val="000000"/>
                <w:sz w:val="16"/>
                <w:szCs w:val="16"/>
              </w:rPr>
              <w:t>7,0</w:t>
            </w:r>
          </w:p>
        </w:tc>
        <w:tc>
          <w:tcPr>
            <w:tcW w:w="680" w:type="dxa"/>
            <w:tcBorders>
              <w:top w:val="nil"/>
              <w:left w:val="nil"/>
              <w:bottom w:val="nil"/>
              <w:right w:val="nil"/>
            </w:tcBorders>
            <w:shd w:val="clear" w:color="auto" w:fill="auto"/>
            <w:noWrap/>
            <w:vAlign w:val="center"/>
            <w:hideMark/>
          </w:tcPr>
          <w:p w14:paraId="0E0FFBE0" w14:textId="73D59836" w:rsidR="00987E13" w:rsidRPr="00D92E20" w:rsidRDefault="00987E13" w:rsidP="00987E13">
            <w:pPr>
              <w:spacing w:after="0" w:line="240" w:lineRule="auto"/>
              <w:jc w:val="center"/>
              <w:rPr>
                <w:rFonts w:cs="Arial"/>
                <w:color w:val="000000"/>
                <w:sz w:val="16"/>
                <w:szCs w:val="16"/>
              </w:rPr>
            </w:pPr>
            <w:r>
              <w:rPr>
                <w:rFonts w:cs="Arial"/>
                <w:color w:val="000000"/>
                <w:sz w:val="16"/>
                <w:szCs w:val="16"/>
              </w:rPr>
              <w:t>6,4</w:t>
            </w:r>
          </w:p>
        </w:tc>
      </w:tr>
      <w:tr w:rsidR="00987E13" w:rsidRPr="00D92E20" w14:paraId="7EDE583E" w14:textId="77777777" w:rsidTr="004D1BAD">
        <w:trPr>
          <w:trHeight w:val="300"/>
        </w:trPr>
        <w:tc>
          <w:tcPr>
            <w:tcW w:w="2041" w:type="dxa"/>
            <w:tcBorders>
              <w:top w:val="nil"/>
              <w:left w:val="nil"/>
              <w:bottom w:val="nil"/>
              <w:right w:val="single" w:sz="4" w:space="0" w:color="auto"/>
            </w:tcBorders>
            <w:shd w:val="clear" w:color="auto" w:fill="auto"/>
            <w:noWrap/>
            <w:vAlign w:val="center"/>
            <w:hideMark/>
          </w:tcPr>
          <w:p w14:paraId="768491A1" w14:textId="77777777" w:rsidR="00987E13" w:rsidRPr="00D92E20" w:rsidRDefault="00987E13" w:rsidP="00987E13">
            <w:pPr>
              <w:spacing w:after="0" w:line="240" w:lineRule="auto"/>
              <w:ind w:firstLineChars="100" w:firstLine="160"/>
              <w:rPr>
                <w:rFonts w:cs="Arial"/>
                <w:color w:val="000000"/>
                <w:sz w:val="16"/>
                <w:szCs w:val="16"/>
              </w:rPr>
            </w:pPr>
            <w:r w:rsidRPr="00D92E20">
              <w:rPr>
                <w:rFonts w:cs="Arial"/>
                <w:color w:val="000000"/>
                <w:sz w:val="16"/>
                <w:szCs w:val="16"/>
              </w:rPr>
              <w:t>Karlovarský kraj</w:t>
            </w:r>
          </w:p>
        </w:tc>
        <w:tc>
          <w:tcPr>
            <w:tcW w:w="680" w:type="dxa"/>
            <w:tcBorders>
              <w:top w:val="nil"/>
              <w:left w:val="nil"/>
              <w:bottom w:val="nil"/>
              <w:right w:val="nil"/>
            </w:tcBorders>
            <w:shd w:val="clear" w:color="auto" w:fill="auto"/>
            <w:noWrap/>
            <w:vAlign w:val="center"/>
            <w:hideMark/>
          </w:tcPr>
          <w:p w14:paraId="56D3C79F" w14:textId="1D1282EF" w:rsidR="00987E13" w:rsidRPr="00D92E20" w:rsidRDefault="00987E13" w:rsidP="00987E13">
            <w:pPr>
              <w:spacing w:after="0" w:line="240" w:lineRule="auto"/>
              <w:jc w:val="center"/>
              <w:rPr>
                <w:rFonts w:cs="Arial"/>
                <w:color w:val="000000"/>
                <w:sz w:val="16"/>
                <w:szCs w:val="16"/>
              </w:rPr>
            </w:pPr>
            <w:r>
              <w:rPr>
                <w:rFonts w:cs="Arial"/>
                <w:sz w:val="16"/>
                <w:szCs w:val="16"/>
              </w:rPr>
              <w:t>3,5</w:t>
            </w:r>
          </w:p>
        </w:tc>
        <w:tc>
          <w:tcPr>
            <w:tcW w:w="680" w:type="dxa"/>
            <w:tcBorders>
              <w:top w:val="nil"/>
              <w:left w:val="nil"/>
              <w:bottom w:val="nil"/>
              <w:right w:val="nil"/>
            </w:tcBorders>
            <w:shd w:val="clear" w:color="auto" w:fill="auto"/>
            <w:noWrap/>
            <w:vAlign w:val="center"/>
            <w:hideMark/>
          </w:tcPr>
          <w:p w14:paraId="159DFB9A" w14:textId="2DAF60AB" w:rsidR="00987E13" w:rsidRPr="00D92E20" w:rsidRDefault="00987E13" w:rsidP="00987E13">
            <w:pPr>
              <w:spacing w:after="0" w:line="240" w:lineRule="auto"/>
              <w:jc w:val="center"/>
              <w:rPr>
                <w:rFonts w:cs="Arial"/>
                <w:color w:val="000000"/>
                <w:sz w:val="16"/>
                <w:szCs w:val="16"/>
              </w:rPr>
            </w:pPr>
            <w:r>
              <w:rPr>
                <w:rFonts w:cs="Arial"/>
                <w:sz w:val="16"/>
                <w:szCs w:val="16"/>
              </w:rPr>
              <w:t>4,1</w:t>
            </w:r>
          </w:p>
        </w:tc>
        <w:tc>
          <w:tcPr>
            <w:tcW w:w="680" w:type="dxa"/>
            <w:tcBorders>
              <w:top w:val="nil"/>
              <w:left w:val="nil"/>
              <w:bottom w:val="nil"/>
              <w:right w:val="nil"/>
            </w:tcBorders>
            <w:shd w:val="clear" w:color="auto" w:fill="auto"/>
            <w:noWrap/>
            <w:vAlign w:val="center"/>
            <w:hideMark/>
          </w:tcPr>
          <w:p w14:paraId="68C9F871" w14:textId="2460FED0" w:rsidR="00987E13" w:rsidRPr="00D92E20" w:rsidRDefault="00987E13" w:rsidP="00987E13">
            <w:pPr>
              <w:spacing w:after="0" w:line="240" w:lineRule="auto"/>
              <w:jc w:val="center"/>
              <w:rPr>
                <w:rFonts w:cs="Arial"/>
                <w:color w:val="000000"/>
                <w:sz w:val="16"/>
                <w:szCs w:val="16"/>
              </w:rPr>
            </w:pPr>
            <w:r>
              <w:rPr>
                <w:rFonts w:cs="Arial"/>
                <w:sz w:val="16"/>
                <w:szCs w:val="16"/>
              </w:rPr>
              <w:t>4,0</w:t>
            </w:r>
          </w:p>
        </w:tc>
        <w:tc>
          <w:tcPr>
            <w:tcW w:w="680" w:type="dxa"/>
            <w:tcBorders>
              <w:top w:val="nil"/>
              <w:left w:val="nil"/>
              <w:bottom w:val="nil"/>
              <w:right w:val="nil"/>
            </w:tcBorders>
            <w:shd w:val="clear" w:color="auto" w:fill="auto"/>
            <w:noWrap/>
            <w:vAlign w:val="center"/>
            <w:hideMark/>
          </w:tcPr>
          <w:p w14:paraId="274CFB6B" w14:textId="2C10536F" w:rsidR="00987E13" w:rsidRPr="00D92E20" w:rsidRDefault="00987E13" w:rsidP="00987E13">
            <w:pPr>
              <w:spacing w:after="0" w:line="240" w:lineRule="auto"/>
              <w:jc w:val="center"/>
              <w:rPr>
                <w:rFonts w:cs="Arial"/>
                <w:color w:val="000000"/>
                <w:sz w:val="16"/>
                <w:szCs w:val="16"/>
              </w:rPr>
            </w:pPr>
            <w:r>
              <w:rPr>
                <w:rFonts w:cs="Arial"/>
                <w:sz w:val="16"/>
                <w:szCs w:val="16"/>
              </w:rPr>
              <w:t>4,7</w:t>
            </w:r>
          </w:p>
        </w:tc>
        <w:tc>
          <w:tcPr>
            <w:tcW w:w="680" w:type="dxa"/>
            <w:tcBorders>
              <w:top w:val="nil"/>
              <w:left w:val="nil"/>
              <w:bottom w:val="nil"/>
              <w:right w:val="nil"/>
            </w:tcBorders>
            <w:shd w:val="clear" w:color="auto" w:fill="auto"/>
            <w:noWrap/>
            <w:vAlign w:val="center"/>
            <w:hideMark/>
          </w:tcPr>
          <w:p w14:paraId="4F55EEB8" w14:textId="662FCC1D" w:rsidR="00987E13" w:rsidRPr="00D92E20" w:rsidRDefault="00987E13" w:rsidP="00987E13">
            <w:pPr>
              <w:spacing w:after="0" w:line="240" w:lineRule="auto"/>
              <w:jc w:val="center"/>
              <w:rPr>
                <w:rFonts w:cs="Arial"/>
                <w:color w:val="000000"/>
                <w:sz w:val="16"/>
                <w:szCs w:val="16"/>
              </w:rPr>
            </w:pPr>
            <w:r>
              <w:rPr>
                <w:rFonts w:cs="Arial"/>
                <w:sz w:val="16"/>
                <w:szCs w:val="16"/>
              </w:rPr>
              <w:t>4,7</w:t>
            </w:r>
          </w:p>
        </w:tc>
        <w:tc>
          <w:tcPr>
            <w:tcW w:w="680" w:type="dxa"/>
            <w:tcBorders>
              <w:top w:val="nil"/>
              <w:left w:val="nil"/>
              <w:bottom w:val="nil"/>
              <w:right w:val="nil"/>
            </w:tcBorders>
            <w:shd w:val="clear" w:color="auto" w:fill="auto"/>
            <w:noWrap/>
            <w:vAlign w:val="center"/>
            <w:hideMark/>
          </w:tcPr>
          <w:p w14:paraId="2EB3E130" w14:textId="3759A581" w:rsidR="00987E13" w:rsidRPr="00D92E20" w:rsidRDefault="00987E13" w:rsidP="00987E13">
            <w:pPr>
              <w:spacing w:after="0" w:line="240" w:lineRule="auto"/>
              <w:jc w:val="center"/>
              <w:rPr>
                <w:rFonts w:cs="Arial"/>
                <w:color w:val="000000"/>
                <w:sz w:val="16"/>
                <w:szCs w:val="16"/>
              </w:rPr>
            </w:pPr>
            <w:r>
              <w:rPr>
                <w:rFonts w:cs="Arial"/>
                <w:sz w:val="16"/>
                <w:szCs w:val="16"/>
              </w:rPr>
              <w:t>4,8</w:t>
            </w:r>
          </w:p>
        </w:tc>
        <w:tc>
          <w:tcPr>
            <w:tcW w:w="680" w:type="dxa"/>
            <w:tcBorders>
              <w:top w:val="nil"/>
              <w:left w:val="nil"/>
              <w:bottom w:val="nil"/>
              <w:right w:val="nil"/>
            </w:tcBorders>
            <w:shd w:val="clear" w:color="auto" w:fill="auto"/>
            <w:noWrap/>
            <w:vAlign w:val="center"/>
            <w:hideMark/>
          </w:tcPr>
          <w:p w14:paraId="45D2A7D5" w14:textId="7AB7FB61" w:rsidR="00987E13" w:rsidRPr="00D92E20" w:rsidRDefault="00987E13" w:rsidP="00987E13">
            <w:pPr>
              <w:spacing w:after="0" w:line="240" w:lineRule="auto"/>
              <w:jc w:val="center"/>
              <w:rPr>
                <w:rFonts w:cs="Arial"/>
                <w:color w:val="000000"/>
                <w:sz w:val="16"/>
                <w:szCs w:val="16"/>
              </w:rPr>
            </w:pPr>
            <w:r>
              <w:rPr>
                <w:rFonts w:cs="Arial"/>
                <w:color w:val="000000"/>
                <w:sz w:val="16"/>
                <w:szCs w:val="16"/>
              </w:rPr>
              <w:t>5,1</w:t>
            </w:r>
          </w:p>
        </w:tc>
        <w:tc>
          <w:tcPr>
            <w:tcW w:w="680" w:type="dxa"/>
            <w:tcBorders>
              <w:top w:val="nil"/>
              <w:left w:val="nil"/>
              <w:bottom w:val="nil"/>
              <w:right w:val="nil"/>
            </w:tcBorders>
            <w:shd w:val="clear" w:color="auto" w:fill="auto"/>
            <w:noWrap/>
            <w:vAlign w:val="center"/>
            <w:hideMark/>
          </w:tcPr>
          <w:p w14:paraId="3D7D7577" w14:textId="7E853561" w:rsidR="00987E13" w:rsidRPr="00D92E20" w:rsidRDefault="00987E13" w:rsidP="00987E13">
            <w:pPr>
              <w:spacing w:after="0" w:line="240" w:lineRule="auto"/>
              <w:jc w:val="center"/>
              <w:rPr>
                <w:rFonts w:cs="Arial"/>
                <w:color w:val="000000"/>
                <w:sz w:val="16"/>
                <w:szCs w:val="16"/>
              </w:rPr>
            </w:pPr>
            <w:r>
              <w:rPr>
                <w:rFonts w:cs="Arial"/>
                <w:color w:val="000000"/>
                <w:sz w:val="16"/>
                <w:szCs w:val="16"/>
              </w:rPr>
              <w:t>5,2</w:t>
            </w:r>
          </w:p>
        </w:tc>
        <w:tc>
          <w:tcPr>
            <w:tcW w:w="680" w:type="dxa"/>
            <w:tcBorders>
              <w:top w:val="nil"/>
              <w:left w:val="nil"/>
              <w:bottom w:val="nil"/>
              <w:right w:val="nil"/>
            </w:tcBorders>
            <w:shd w:val="clear" w:color="auto" w:fill="auto"/>
            <w:noWrap/>
            <w:vAlign w:val="center"/>
            <w:hideMark/>
          </w:tcPr>
          <w:p w14:paraId="11101CF7" w14:textId="41074702" w:rsidR="00987E13" w:rsidRPr="00D92E20" w:rsidRDefault="00987E13" w:rsidP="00987E13">
            <w:pPr>
              <w:spacing w:after="0" w:line="240" w:lineRule="auto"/>
              <w:jc w:val="center"/>
              <w:rPr>
                <w:rFonts w:cs="Arial"/>
                <w:color w:val="000000"/>
                <w:sz w:val="16"/>
                <w:szCs w:val="16"/>
              </w:rPr>
            </w:pPr>
            <w:r>
              <w:rPr>
                <w:rFonts w:cs="Arial"/>
                <w:color w:val="000000"/>
                <w:sz w:val="16"/>
                <w:szCs w:val="16"/>
              </w:rPr>
              <w:t>5,9</w:t>
            </w:r>
          </w:p>
        </w:tc>
        <w:tc>
          <w:tcPr>
            <w:tcW w:w="680" w:type="dxa"/>
            <w:tcBorders>
              <w:top w:val="nil"/>
              <w:left w:val="nil"/>
              <w:bottom w:val="nil"/>
              <w:right w:val="nil"/>
            </w:tcBorders>
            <w:shd w:val="clear" w:color="auto" w:fill="auto"/>
            <w:noWrap/>
            <w:vAlign w:val="center"/>
            <w:hideMark/>
          </w:tcPr>
          <w:p w14:paraId="3233F531" w14:textId="4B1C28EC" w:rsidR="00987E13" w:rsidRPr="00D92E20" w:rsidRDefault="00987E13" w:rsidP="00987E13">
            <w:pPr>
              <w:spacing w:after="0" w:line="240" w:lineRule="auto"/>
              <w:jc w:val="center"/>
              <w:rPr>
                <w:rFonts w:cs="Arial"/>
                <w:color w:val="000000"/>
                <w:sz w:val="16"/>
                <w:szCs w:val="16"/>
              </w:rPr>
            </w:pPr>
            <w:r>
              <w:rPr>
                <w:rFonts w:cs="Arial"/>
                <w:color w:val="000000"/>
                <w:sz w:val="16"/>
                <w:szCs w:val="16"/>
              </w:rPr>
              <w:t>7,2</w:t>
            </w:r>
          </w:p>
        </w:tc>
        <w:tc>
          <w:tcPr>
            <w:tcW w:w="680" w:type="dxa"/>
            <w:tcBorders>
              <w:top w:val="nil"/>
              <w:left w:val="nil"/>
              <w:bottom w:val="nil"/>
              <w:right w:val="nil"/>
            </w:tcBorders>
            <w:shd w:val="clear" w:color="auto" w:fill="auto"/>
            <w:noWrap/>
            <w:vAlign w:val="center"/>
            <w:hideMark/>
          </w:tcPr>
          <w:p w14:paraId="0E521AE4" w14:textId="4071052F" w:rsidR="00987E13" w:rsidRPr="00D92E20" w:rsidRDefault="00987E13" w:rsidP="00987E13">
            <w:pPr>
              <w:spacing w:after="0" w:line="240" w:lineRule="auto"/>
              <w:jc w:val="center"/>
              <w:rPr>
                <w:rFonts w:cs="Arial"/>
                <w:color w:val="000000"/>
                <w:sz w:val="16"/>
                <w:szCs w:val="16"/>
              </w:rPr>
            </w:pPr>
            <w:r>
              <w:rPr>
                <w:rFonts w:cs="Arial"/>
                <w:color w:val="000000"/>
                <w:sz w:val="16"/>
                <w:szCs w:val="16"/>
              </w:rPr>
              <w:t>6,4</w:t>
            </w:r>
          </w:p>
        </w:tc>
      </w:tr>
      <w:tr w:rsidR="00987E13" w:rsidRPr="00D92E20" w14:paraId="79A3A7D7" w14:textId="77777777" w:rsidTr="004D1BAD">
        <w:trPr>
          <w:trHeight w:val="300"/>
        </w:trPr>
        <w:tc>
          <w:tcPr>
            <w:tcW w:w="2041" w:type="dxa"/>
            <w:tcBorders>
              <w:top w:val="nil"/>
              <w:left w:val="nil"/>
              <w:bottom w:val="nil"/>
              <w:right w:val="single" w:sz="4" w:space="0" w:color="auto"/>
            </w:tcBorders>
            <w:shd w:val="clear" w:color="auto" w:fill="auto"/>
            <w:noWrap/>
            <w:vAlign w:val="center"/>
            <w:hideMark/>
          </w:tcPr>
          <w:p w14:paraId="32EC444D" w14:textId="77777777" w:rsidR="00987E13" w:rsidRPr="00D92E20" w:rsidRDefault="00987E13" w:rsidP="00987E13">
            <w:pPr>
              <w:spacing w:after="0" w:line="240" w:lineRule="auto"/>
              <w:ind w:firstLineChars="100" w:firstLine="160"/>
              <w:rPr>
                <w:rFonts w:cs="Arial"/>
                <w:color w:val="000000"/>
                <w:sz w:val="16"/>
                <w:szCs w:val="16"/>
              </w:rPr>
            </w:pPr>
            <w:r w:rsidRPr="00D92E20">
              <w:rPr>
                <w:rFonts w:cs="Arial"/>
                <w:color w:val="000000"/>
                <w:sz w:val="16"/>
                <w:szCs w:val="16"/>
              </w:rPr>
              <w:t>Ústecký kraj</w:t>
            </w:r>
          </w:p>
        </w:tc>
        <w:tc>
          <w:tcPr>
            <w:tcW w:w="680" w:type="dxa"/>
            <w:tcBorders>
              <w:top w:val="nil"/>
              <w:left w:val="nil"/>
              <w:bottom w:val="nil"/>
              <w:right w:val="nil"/>
            </w:tcBorders>
            <w:shd w:val="clear" w:color="auto" w:fill="auto"/>
            <w:noWrap/>
            <w:vAlign w:val="center"/>
            <w:hideMark/>
          </w:tcPr>
          <w:p w14:paraId="2D050887" w14:textId="298A455D" w:rsidR="00987E13" w:rsidRPr="00D92E20" w:rsidRDefault="00987E13" w:rsidP="00987E13">
            <w:pPr>
              <w:spacing w:after="0" w:line="240" w:lineRule="auto"/>
              <w:jc w:val="center"/>
              <w:rPr>
                <w:rFonts w:cs="Arial"/>
                <w:color w:val="000000"/>
                <w:sz w:val="16"/>
                <w:szCs w:val="16"/>
              </w:rPr>
            </w:pPr>
            <w:r>
              <w:rPr>
                <w:rFonts w:cs="Arial"/>
                <w:sz w:val="16"/>
                <w:szCs w:val="16"/>
              </w:rPr>
              <w:t>3,8</w:t>
            </w:r>
          </w:p>
        </w:tc>
        <w:tc>
          <w:tcPr>
            <w:tcW w:w="680" w:type="dxa"/>
            <w:tcBorders>
              <w:top w:val="nil"/>
              <w:left w:val="nil"/>
              <w:bottom w:val="nil"/>
              <w:right w:val="nil"/>
            </w:tcBorders>
            <w:shd w:val="clear" w:color="auto" w:fill="auto"/>
            <w:noWrap/>
            <w:vAlign w:val="center"/>
            <w:hideMark/>
          </w:tcPr>
          <w:p w14:paraId="3524F29E" w14:textId="17AD868A" w:rsidR="00987E13" w:rsidRPr="00D92E20" w:rsidRDefault="00987E13" w:rsidP="00987E13">
            <w:pPr>
              <w:spacing w:after="0" w:line="240" w:lineRule="auto"/>
              <w:jc w:val="center"/>
              <w:rPr>
                <w:rFonts w:cs="Arial"/>
                <w:color w:val="000000"/>
                <w:sz w:val="16"/>
                <w:szCs w:val="16"/>
              </w:rPr>
            </w:pPr>
            <w:r>
              <w:rPr>
                <w:rFonts w:cs="Arial"/>
                <w:sz w:val="16"/>
                <w:szCs w:val="16"/>
              </w:rPr>
              <w:t>4,3</w:t>
            </w:r>
          </w:p>
        </w:tc>
        <w:tc>
          <w:tcPr>
            <w:tcW w:w="680" w:type="dxa"/>
            <w:tcBorders>
              <w:top w:val="nil"/>
              <w:left w:val="nil"/>
              <w:bottom w:val="nil"/>
              <w:right w:val="nil"/>
            </w:tcBorders>
            <w:shd w:val="clear" w:color="auto" w:fill="auto"/>
            <w:noWrap/>
            <w:vAlign w:val="center"/>
            <w:hideMark/>
          </w:tcPr>
          <w:p w14:paraId="657C6D7D" w14:textId="16D6D0DB" w:rsidR="00987E13" w:rsidRPr="00D92E20" w:rsidRDefault="00987E13" w:rsidP="00987E13">
            <w:pPr>
              <w:spacing w:after="0" w:line="240" w:lineRule="auto"/>
              <w:jc w:val="center"/>
              <w:rPr>
                <w:rFonts w:cs="Arial"/>
                <w:color w:val="000000"/>
                <w:sz w:val="16"/>
                <w:szCs w:val="16"/>
              </w:rPr>
            </w:pPr>
            <w:r>
              <w:rPr>
                <w:rFonts w:cs="Arial"/>
                <w:sz w:val="16"/>
                <w:szCs w:val="16"/>
              </w:rPr>
              <w:t>4,1</w:t>
            </w:r>
          </w:p>
        </w:tc>
        <w:tc>
          <w:tcPr>
            <w:tcW w:w="680" w:type="dxa"/>
            <w:tcBorders>
              <w:top w:val="nil"/>
              <w:left w:val="nil"/>
              <w:bottom w:val="nil"/>
              <w:right w:val="nil"/>
            </w:tcBorders>
            <w:shd w:val="clear" w:color="auto" w:fill="auto"/>
            <w:noWrap/>
            <w:vAlign w:val="center"/>
            <w:hideMark/>
          </w:tcPr>
          <w:p w14:paraId="7181494C" w14:textId="75B96778" w:rsidR="00987E13" w:rsidRPr="00D92E20" w:rsidRDefault="00987E13" w:rsidP="00987E13">
            <w:pPr>
              <w:spacing w:after="0" w:line="240" w:lineRule="auto"/>
              <w:jc w:val="center"/>
              <w:rPr>
                <w:rFonts w:cs="Arial"/>
                <w:color w:val="000000"/>
                <w:sz w:val="16"/>
                <w:szCs w:val="16"/>
              </w:rPr>
            </w:pPr>
            <w:r>
              <w:rPr>
                <w:rFonts w:cs="Arial"/>
                <w:sz w:val="16"/>
                <w:szCs w:val="16"/>
              </w:rPr>
              <w:t>4,6</w:t>
            </w:r>
          </w:p>
        </w:tc>
        <w:tc>
          <w:tcPr>
            <w:tcW w:w="680" w:type="dxa"/>
            <w:tcBorders>
              <w:top w:val="nil"/>
              <w:left w:val="nil"/>
              <w:bottom w:val="nil"/>
              <w:right w:val="nil"/>
            </w:tcBorders>
            <w:shd w:val="clear" w:color="auto" w:fill="auto"/>
            <w:noWrap/>
            <w:vAlign w:val="center"/>
            <w:hideMark/>
          </w:tcPr>
          <w:p w14:paraId="07E5D03D" w14:textId="358B0608" w:rsidR="00987E13" w:rsidRPr="00D92E20" w:rsidRDefault="00987E13" w:rsidP="00987E13">
            <w:pPr>
              <w:spacing w:after="0" w:line="240" w:lineRule="auto"/>
              <w:jc w:val="center"/>
              <w:rPr>
                <w:rFonts w:cs="Arial"/>
                <w:color w:val="000000"/>
                <w:sz w:val="16"/>
                <w:szCs w:val="16"/>
              </w:rPr>
            </w:pPr>
            <w:r>
              <w:rPr>
                <w:rFonts w:cs="Arial"/>
                <w:sz w:val="16"/>
                <w:szCs w:val="16"/>
              </w:rPr>
              <w:t>4,7</w:t>
            </w:r>
          </w:p>
        </w:tc>
        <w:tc>
          <w:tcPr>
            <w:tcW w:w="680" w:type="dxa"/>
            <w:tcBorders>
              <w:top w:val="nil"/>
              <w:left w:val="nil"/>
              <w:bottom w:val="nil"/>
              <w:right w:val="nil"/>
            </w:tcBorders>
            <w:shd w:val="clear" w:color="auto" w:fill="auto"/>
            <w:noWrap/>
            <w:vAlign w:val="center"/>
            <w:hideMark/>
          </w:tcPr>
          <w:p w14:paraId="16726FBB" w14:textId="2C3727D8" w:rsidR="00987E13" w:rsidRPr="00D92E20" w:rsidRDefault="00987E13" w:rsidP="00987E13">
            <w:pPr>
              <w:spacing w:after="0" w:line="240" w:lineRule="auto"/>
              <w:jc w:val="center"/>
              <w:rPr>
                <w:rFonts w:cs="Arial"/>
                <w:color w:val="000000"/>
                <w:sz w:val="16"/>
                <w:szCs w:val="16"/>
              </w:rPr>
            </w:pPr>
            <w:r>
              <w:rPr>
                <w:rFonts w:cs="Arial"/>
                <w:sz w:val="16"/>
                <w:szCs w:val="16"/>
              </w:rPr>
              <w:t>4,9</w:t>
            </w:r>
          </w:p>
        </w:tc>
        <w:tc>
          <w:tcPr>
            <w:tcW w:w="680" w:type="dxa"/>
            <w:tcBorders>
              <w:top w:val="nil"/>
              <w:left w:val="nil"/>
              <w:bottom w:val="nil"/>
              <w:right w:val="nil"/>
            </w:tcBorders>
            <w:shd w:val="clear" w:color="auto" w:fill="auto"/>
            <w:noWrap/>
            <w:vAlign w:val="center"/>
            <w:hideMark/>
          </w:tcPr>
          <w:p w14:paraId="3F351BEB" w14:textId="38B801D4" w:rsidR="00987E13" w:rsidRPr="00D92E20" w:rsidRDefault="00987E13" w:rsidP="00987E13">
            <w:pPr>
              <w:spacing w:after="0" w:line="240" w:lineRule="auto"/>
              <w:jc w:val="center"/>
              <w:rPr>
                <w:rFonts w:cs="Arial"/>
                <w:color w:val="000000"/>
                <w:sz w:val="16"/>
                <w:szCs w:val="16"/>
              </w:rPr>
            </w:pPr>
            <w:r>
              <w:rPr>
                <w:rFonts w:cs="Arial"/>
                <w:color w:val="000000"/>
                <w:sz w:val="16"/>
                <w:szCs w:val="16"/>
              </w:rPr>
              <w:t>5,2</w:t>
            </w:r>
          </w:p>
        </w:tc>
        <w:tc>
          <w:tcPr>
            <w:tcW w:w="680" w:type="dxa"/>
            <w:tcBorders>
              <w:top w:val="nil"/>
              <w:left w:val="nil"/>
              <w:bottom w:val="nil"/>
              <w:right w:val="nil"/>
            </w:tcBorders>
            <w:shd w:val="clear" w:color="auto" w:fill="auto"/>
            <w:noWrap/>
            <w:vAlign w:val="center"/>
            <w:hideMark/>
          </w:tcPr>
          <w:p w14:paraId="737CEF0B" w14:textId="3A37F04B" w:rsidR="00987E13" w:rsidRPr="00D92E20" w:rsidRDefault="00987E13" w:rsidP="00987E13">
            <w:pPr>
              <w:spacing w:after="0" w:line="240" w:lineRule="auto"/>
              <w:jc w:val="center"/>
              <w:rPr>
                <w:rFonts w:cs="Arial"/>
                <w:color w:val="000000"/>
                <w:sz w:val="16"/>
                <w:szCs w:val="16"/>
              </w:rPr>
            </w:pPr>
            <w:r>
              <w:rPr>
                <w:rFonts w:cs="Arial"/>
                <w:color w:val="000000"/>
                <w:sz w:val="16"/>
                <w:szCs w:val="16"/>
              </w:rPr>
              <w:t>5,3</w:t>
            </w:r>
          </w:p>
        </w:tc>
        <w:tc>
          <w:tcPr>
            <w:tcW w:w="680" w:type="dxa"/>
            <w:tcBorders>
              <w:top w:val="nil"/>
              <w:left w:val="nil"/>
              <w:bottom w:val="nil"/>
              <w:right w:val="nil"/>
            </w:tcBorders>
            <w:shd w:val="clear" w:color="auto" w:fill="auto"/>
            <w:noWrap/>
            <w:vAlign w:val="center"/>
            <w:hideMark/>
          </w:tcPr>
          <w:p w14:paraId="1AEB6FAF" w14:textId="14C0F1EC" w:rsidR="00987E13" w:rsidRPr="00D92E20" w:rsidRDefault="00987E13" w:rsidP="00987E13">
            <w:pPr>
              <w:spacing w:after="0" w:line="240" w:lineRule="auto"/>
              <w:jc w:val="center"/>
              <w:rPr>
                <w:rFonts w:cs="Arial"/>
                <w:color w:val="000000"/>
                <w:sz w:val="16"/>
                <w:szCs w:val="16"/>
              </w:rPr>
            </w:pPr>
            <w:r>
              <w:rPr>
                <w:rFonts w:cs="Arial"/>
                <w:color w:val="000000"/>
                <w:sz w:val="16"/>
                <w:szCs w:val="16"/>
              </w:rPr>
              <w:t>5,8</w:t>
            </w:r>
          </w:p>
        </w:tc>
        <w:tc>
          <w:tcPr>
            <w:tcW w:w="680" w:type="dxa"/>
            <w:tcBorders>
              <w:top w:val="nil"/>
              <w:left w:val="nil"/>
              <w:bottom w:val="nil"/>
              <w:right w:val="nil"/>
            </w:tcBorders>
            <w:shd w:val="clear" w:color="auto" w:fill="auto"/>
            <w:noWrap/>
            <w:vAlign w:val="center"/>
            <w:hideMark/>
          </w:tcPr>
          <w:p w14:paraId="55285B9F" w14:textId="2BF3DE59" w:rsidR="00987E13" w:rsidRPr="00D92E20" w:rsidRDefault="00987E13" w:rsidP="00987E13">
            <w:pPr>
              <w:spacing w:after="0" w:line="240" w:lineRule="auto"/>
              <w:jc w:val="center"/>
              <w:rPr>
                <w:rFonts w:cs="Arial"/>
                <w:color w:val="000000"/>
                <w:sz w:val="16"/>
                <w:szCs w:val="16"/>
              </w:rPr>
            </w:pPr>
            <w:r>
              <w:rPr>
                <w:rFonts w:cs="Arial"/>
                <w:color w:val="000000"/>
                <w:sz w:val="16"/>
                <w:szCs w:val="16"/>
              </w:rPr>
              <w:t>6,8</w:t>
            </w:r>
          </w:p>
        </w:tc>
        <w:tc>
          <w:tcPr>
            <w:tcW w:w="680" w:type="dxa"/>
            <w:tcBorders>
              <w:top w:val="nil"/>
              <w:left w:val="nil"/>
              <w:bottom w:val="nil"/>
              <w:right w:val="nil"/>
            </w:tcBorders>
            <w:shd w:val="clear" w:color="auto" w:fill="auto"/>
            <w:noWrap/>
            <w:vAlign w:val="center"/>
            <w:hideMark/>
          </w:tcPr>
          <w:p w14:paraId="084FD4CE" w14:textId="059A8D39" w:rsidR="00987E13" w:rsidRPr="00D92E20" w:rsidRDefault="00987E13" w:rsidP="00987E13">
            <w:pPr>
              <w:spacing w:after="0" w:line="240" w:lineRule="auto"/>
              <w:jc w:val="center"/>
              <w:rPr>
                <w:rFonts w:cs="Arial"/>
                <w:color w:val="000000"/>
                <w:sz w:val="16"/>
                <w:szCs w:val="16"/>
              </w:rPr>
            </w:pPr>
            <w:r>
              <w:rPr>
                <w:rFonts w:cs="Arial"/>
                <w:color w:val="000000"/>
                <w:sz w:val="16"/>
                <w:szCs w:val="16"/>
              </w:rPr>
              <w:t>6,6</w:t>
            </w:r>
          </w:p>
        </w:tc>
      </w:tr>
      <w:tr w:rsidR="00987E13" w:rsidRPr="00D92E20" w14:paraId="2C0EEF9D" w14:textId="77777777" w:rsidTr="004D1BAD">
        <w:trPr>
          <w:trHeight w:val="300"/>
        </w:trPr>
        <w:tc>
          <w:tcPr>
            <w:tcW w:w="2041" w:type="dxa"/>
            <w:tcBorders>
              <w:top w:val="nil"/>
              <w:left w:val="nil"/>
              <w:bottom w:val="nil"/>
              <w:right w:val="single" w:sz="4" w:space="0" w:color="auto"/>
            </w:tcBorders>
            <w:shd w:val="clear" w:color="auto" w:fill="auto"/>
            <w:noWrap/>
            <w:vAlign w:val="center"/>
            <w:hideMark/>
          </w:tcPr>
          <w:p w14:paraId="166AEE7A" w14:textId="77777777" w:rsidR="00987E13" w:rsidRPr="00D92E20" w:rsidRDefault="00987E13" w:rsidP="00987E13">
            <w:pPr>
              <w:spacing w:after="0" w:line="240" w:lineRule="auto"/>
              <w:ind w:firstLineChars="100" w:firstLine="160"/>
              <w:rPr>
                <w:rFonts w:cs="Arial"/>
                <w:color w:val="000000"/>
                <w:sz w:val="16"/>
                <w:szCs w:val="16"/>
              </w:rPr>
            </w:pPr>
            <w:r w:rsidRPr="00D92E20">
              <w:rPr>
                <w:rFonts w:cs="Arial"/>
                <w:color w:val="000000"/>
                <w:sz w:val="16"/>
                <w:szCs w:val="16"/>
              </w:rPr>
              <w:t>Liberecký kraj</w:t>
            </w:r>
          </w:p>
        </w:tc>
        <w:tc>
          <w:tcPr>
            <w:tcW w:w="680" w:type="dxa"/>
            <w:tcBorders>
              <w:top w:val="nil"/>
              <w:left w:val="nil"/>
              <w:bottom w:val="nil"/>
              <w:right w:val="nil"/>
            </w:tcBorders>
            <w:shd w:val="clear" w:color="auto" w:fill="auto"/>
            <w:noWrap/>
            <w:vAlign w:val="center"/>
            <w:hideMark/>
          </w:tcPr>
          <w:p w14:paraId="1F4B6C1B" w14:textId="4A2F51BE" w:rsidR="00987E13" w:rsidRPr="00D92E20" w:rsidRDefault="00987E13" w:rsidP="00987E13">
            <w:pPr>
              <w:spacing w:after="0" w:line="240" w:lineRule="auto"/>
              <w:jc w:val="center"/>
              <w:rPr>
                <w:rFonts w:cs="Arial"/>
                <w:color w:val="000000"/>
                <w:sz w:val="16"/>
                <w:szCs w:val="16"/>
              </w:rPr>
            </w:pPr>
            <w:r>
              <w:rPr>
                <w:rFonts w:cs="Arial"/>
                <w:sz w:val="16"/>
                <w:szCs w:val="16"/>
              </w:rPr>
              <w:t>4,0</w:t>
            </w:r>
          </w:p>
        </w:tc>
        <w:tc>
          <w:tcPr>
            <w:tcW w:w="680" w:type="dxa"/>
            <w:tcBorders>
              <w:top w:val="nil"/>
              <w:left w:val="nil"/>
              <w:bottom w:val="nil"/>
              <w:right w:val="nil"/>
            </w:tcBorders>
            <w:shd w:val="clear" w:color="auto" w:fill="auto"/>
            <w:noWrap/>
            <w:vAlign w:val="center"/>
            <w:hideMark/>
          </w:tcPr>
          <w:p w14:paraId="2B7EFA9D" w14:textId="35E64EC3" w:rsidR="00987E13" w:rsidRPr="00D92E20" w:rsidRDefault="00987E13" w:rsidP="00987E13">
            <w:pPr>
              <w:spacing w:after="0" w:line="240" w:lineRule="auto"/>
              <w:jc w:val="center"/>
              <w:rPr>
                <w:rFonts w:cs="Arial"/>
                <w:color w:val="000000"/>
                <w:sz w:val="16"/>
                <w:szCs w:val="16"/>
              </w:rPr>
            </w:pPr>
            <w:r>
              <w:rPr>
                <w:rFonts w:cs="Arial"/>
                <w:sz w:val="16"/>
                <w:szCs w:val="16"/>
              </w:rPr>
              <w:t>4,5</w:t>
            </w:r>
          </w:p>
        </w:tc>
        <w:tc>
          <w:tcPr>
            <w:tcW w:w="680" w:type="dxa"/>
            <w:tcBorders>
              <w:top w:val="nil"/>
              <w:left w:val="nil"/>
              <w:bottom w:val="nil"/>
              <w:right w:val="nil"/>
            </w:tcBorders>
            <w:shd w:val="clear" w:color="auto" w:fill="auto"/>
            <w:noWrap/>
            <w:vAlign w:val="center"/>
            <w:hideMark/>
          </w:tcPr>
          <w:p w14:paraId="4161125B" w14:textId="44004752" w:rsidR="00987E13" w:rsidRPr="00D92E20" w:rsidRDefault="00987E13" w:rsidP="00987E13">
            <w:pPr>
              <w:spacing w:after="0" w:line="240" w:lineRule="auto"/>
              <w:jc w:val="center"/>
              <w:rPr>
                <w:rFonts w:cs="Arial"/>
                <w:color w:val="000000"/>
                <w:sz w:val="16"/>
                <w:szCs w:val="16"/>
              </w:rPr>
            </w:pPr>
            <w:r>
              <w:rPr>
                <w:rFonts w:cs="Arial"/>
                <w:sz w:val="16"/>
                <w:szCs w:val="16"/>
              </w:rPr>
              <w:t>4,2</w:t>
            </w:r>
          </w:p>
        </w:tc>
        <w:tc>
          <w:tcPr>
            <w:tcW w:w="680" w:type="dxa"/>
            <w:tcBorders>
              <w:top w:val="nil"/>
              <w:left w:val="nil"/>
              <w:bottom w:val="nil"/>
              <w:right w:val="nil"/>
            </w:tcBorders>
            <w:shd w:val="clear" w:color="auto" w:fill="auto"/>
            <w:noWrap/>
            <w:vAlign w:val="center"/>
            <w:hideMark/>
          </w:tcPr>
          <w:p w14:paraId="440A052D" w14:textId="423AAFB8" w:rsidR="00987E13" w:rsidRPr="00D92E20" w:rsidRDefault="00987E13" w:rsidP="00987E13">
            <w:pPr>
              <w:spacing w:after="0" w:line="240" w:lineRule="auto"/>
              <w:jc w:val="center"/>
              <w:rPr>
                <w:rFonts w:cs="Arial"/>
                <w:color w:val="000000"/>
                <w:sz w:val="16"/>
                <w:szCs w:val="16"/>
              </w:rPr>
            </w:pPr>
            <w:r>
              <w:rPr>
                <w:rFonts w:cs="Arial"/>
                <w:sz w:val="16"/>
                <w:szCs w:val="16"/>
              </w:rPr>
              <w:t>4,6</w:t>
            </w:r>
          </w:p>
        </w:tc>
        <w:tc>
          <w:tcPr>
            <w:tcW w:w="680" w:type="dxa"/>
            <w:tcBorders>
              <w:top w:val="nil"/>
              <w:left w:val="nil"/>
              <w:bottom w:val="nil"/>
              <w:right w:val="nil"/>
            </w:tcBorders>
            <w:shd w:val="clear" w:color="auto" w:fill="auto"/>
            <w:noWrap/>
            <w:vAlign w:val="center"/>
            <w:hideMark/>
          </w:tcPr>
          <w:p w14:paraId="4F755A33" w14:textId="5B55E311" w:rsidR="00987E13" w:rsidRPr="00D92E20" w:rsidRDefault="00987E13" w:rsidP="00987E13">
            <w:pPr>
              <w:spacing w:after="0" w:line="240" w:lineRule="auto"/>
              <w:jc w:val="center"/>
              <w:rPr>
                <w:rFonts w:cs="Arial"/>
                <w:color w:val="000000"/>
                <w:sz w:val="16"/>
                <w:szCs w:val="16"/>
              </w:rPr>
            </w:pPr>
            <w:r>
              <w:rPr>
                <w:rFonts w:cs="Arial"/>
                <w:sz w:val="16"/>
                <w:szCs w:val="16"/>
              </w:rPr>
              <w:t>4,9</w:t>
            </w:r>
          </w:p>
        </w:tc>
        <w:tc>
          <w:tcPr>
            <w:tcW w:w="680" w:type="dxa"/>
            <w:tcBorders>
              <w:top w:val="nil"/>
              <w:left w:val="nil"/>
              <w:bottom w:val="nil"/>
              <w:right w:val="nil"/>
            </w:tcBorders>
            <w:shd w:val="clear" w:color="auto" w:fill="auto"/>
            <w:noWrap/>
            <w:vAlign w:val="center"/>
            <w:hideMark/>
          </w:tcPr>
          <w:p w14:paraId="641241F9" w14:textId="36708160" w:rsidR="00987E13" w:rsidRPr="00D92E20" w:rsidRDefault="00987E13" w:rsidP="00987E13">
            <w:pPr>
              <w:spacing w:after="0" w:line="240" w:lineRule="auto"/>
              <w:jc w:val="center"/>
              <w:rPr>
                <w:rFonts w:cs="Arial"/>
                <w:color w:val="000000"/>
                <w:sz w:val="16"/>
                <w:szCs w:val="16"/>
              </w:rPr>
            </w:pPr>
            <w:r>
              <w:rPr>
                <w:rFonts w:cs="Arial"/>
                <w:sz w:val="16"/>
                <w:szCs w:val="16"/>
              </w:rPr>
              <w:t>5,1</w:t>
            </w:r>
          </w:p>
        </w:tc>
        <w:tc>
          <w:tcPr>
            <w:tcW w:w="680" w:type="dxa"/>
            <w:tcBorders>
              <w:top w:val="nil"/>
              <w:left w:val="nil"/>
              <w:bottom w:val="nil"/>
              <w:right w:val="nil"/>
            </w:tcBorders>
            <w:shd w:val="clear" w:color="auto" w:fill="auto"/>
            <w:noWrap/>
            <w:vAlign w:val="center"/>
            <w:hideMark/>
          </w:tcPr>
          <w:p w14:paraId="2B79D96E" w14:textId="08261A15" w:rsidR="00987E13" w:rsidRPr="00D92E20" w:rsidRDefault="00987E13" w:rsidP="00987E13">
            <w:pPr>
              <w:spacing w:after="0" w:line="240" w:lineRule="auto"/>
              <w:jc w:val="center"/>
              <w:rPr>
                <w:rFonts w:cs="Arial"/>
                <w:color w:val="000000"/>
                <w:sz w:val="16"/>
                <w:szCs w:val="16"/>
              </w:rPr>
            </w:pPr>
            <w:r>
              <w:rPr>
                <w:rFonts w:cs="Arial"/>
                <w:color w:val="000000"/>
                <w:sz w:val="16"/>
                <w:szCs w:val="16"/>
              </w:rPr>
              <w:t>5,3</w:t>
            </w:r>
          </w:p>
        </w:tc>
        <w:tc>
          <w:tcPr>
            <w:tcW w:w="680" w:type="dxa"/>
            <w:tcBorders>
              <w:top w:val="nil"/>
              <w:left w:val="nil"/>
              <w:bottom w:val="nil"/>
              <w:right w:val="nil"/>
            </w:tcBorders>
            <w:shd w:val="clear" w:color="auto" w:fill="auto"/>
            <w:noWrap/>
            <w:vAlign w:val="center"/>
            <w:hideMark/>
          </w:tcPr>
          <w:p w14:paraId="7C9720FB" w14:textId="38FF6724" w:rsidR="00987E13" w:rsidRPr="00D92E20" w:rsidRDefault="00987E13" w:rsidP="00987E13">
            <w:pPr>
              <w:spacing w:after="0" w:line="240" w:lineRule="auto"/>
              <w:jc w:val="center"/>
              <w:rPr>
                <w:rFonts w:cs="Arial"/>
                <w:color w:val="000000"/>
                <w:sz w:val="16"/>
                <w:szCs w:val="16"/>
              </w:rPr>
            </w:pPr>
            <w:r>
              <w:rPr>
                <w:rFonts w:cs="Arial"/>
                <w:color w:val="000000"/>
                <w:sz w:val="16"/>
                <w:szCs w:val="16"/>
              </w:rPr>
              <w:t>5,4</w:t>
            </w:r>
          </w:p>
        </w:tc>
        <w:tc>
          <w:tcPr>
            <w:tcW w:w="680" w:type="dxa"/>
            <w:tcBorders>
              <w:top w:val="nil"/>
              <w:left w:val="nil"/>
              <w:bottom w:val="nil"/>
              <w:right w:val="nil"/>
            </w:tcBorders>
            <w:shd w:val="clear" w:color="auto" w:fill="auto"/>
            <w:noWrap/>
            <w:vAlign w:val="center"/>
            <w:hideMark/>
          </w:tcPr>
          <w:p w14:paraId="4CD93D16" w14:textId="501B7C95" w:rsidR="00987E13" w:rsidRPr="00D92E20" w:rsidRDefault="00987E13" w:rsidP="00987E13">
            <w:pPr>
              <w:spacing w:after="0" w:line="240" w:lineRule="auto"/>
              <w:jc w:val="center"/>
              <w:rPr>
                <w:rFonts w:cs="Arial"/>
                <w:color w:val="000000"/>
                <w:sz w:val="16"/>
                <w:szCs w:val="16"/>
              </w:rPr>
            </w:pPr>
            <w:r>
              <w:rPr>
                <w:rFonts w:cs="Arial"/>
                <w:color w:val="000000"/>
                <w:sz w:val="16"/>
                <w:szCs w:val="16"/>
              </w:rPr>
              <w:t>6,6</w:t>
            </w:r>
          </w:p>
        </w:tc>
        <w:tc>
          <w:tcPr>
            <w:tcW w:w="680" w:type="dxa"/>
            <w:tcBorders>
              <w:top w:val="nil"/>
              <w:left w:val="nil"/>
              <w:bottom w:val="nil"/>
              <w:right w:val="nil"/>
            </w:tcBorders>
            <w:shd w:val="clear" w:color="auto" w:fill="auto"/>
            <w:noWrap/>
            <w:vAlign w:val="center"/>
            <w:hideMark/>
          </w:tcPr>
          <w:p w14:paraId="4509513B" w14:textId="66937090" w:rsidR="00987E13" w:rsidRPr="00D92E20" w:rsidRDefault="00987E13" w:rsidP="00987E13">
            <w:pPr>
              <w:spacing w:after="0" w:line="240" w:lineRule="auto"/>
              <w:jc w:val="center"/>
              <w:rPr>
                <w:rFonts w:cs="Arial"/>
                <w:color w:val="000000"/>
                <w:sz w:val="16"/>
                <w:szCs w:val="16"/>
              </w:rPr>
            </w:pPr>
            <w:r>
              <w:rPr>
                <w:rFonts w:cs="Arial"/>
                <w:color w:val="000000"/>
                <w:sz w:val="16"/>
                <w:szCs w:val="16"/>
              </w:rPr>
              <w:t>7,0</w:t>
            </w:r>
          </w:p>
        </w:tc>
        <w:tc>
          <w:tcPr>
            <w:tcW w:w="680" w:type="dxa"/>
            <w:tcBorders>
              <w:top w:val="nil"/>
              <w:left w:val="nil"/>
              <w:bottom w:val="nil"/>
              <w:right w:val="nil"/>
            </w:tcBorders>
            <w:shd w:val="clear" w:color="auto" w:fill="auto"/>
            <w:noWrap/>
            <w:vAlign w:val="center"/>
            <w:hideMark/>
          </w:tcPr>
          <w:p w14:paraId="117E0EEA" w14:textId="07BD1FF0" w:rsidR="00987E13" w:rsidRPr="00D92E20" w:rsidRDefault="00987E13" w:rsidP="00987E13">
            <w:pPr>
              <w:spacing w:after="0" w:line="240" w:lineRule="auto"/>
              <w:jc w:val="center"/>
              <w:rPr>
                <w:rFonts w:cs="Arial"/>
                <w:color w:val="000000"/>
                <w:sz w:val="16"/>
                <w:szCs w:val="16"/>
              </w:rPr>
            </w:pPr>
            <w:r>
              <w:rPr>
                <w:rFonts w:cs="Arial"/>
                <w:color w:val="000000"/>
                <w:sz w:val="16"/>
                <w:szCs w:val="16"/>
              </w:rPr>
              <w:t>6,8</w:t>
            </w:r>
          </w:p>
        </w:tc>
      </w:tr>
      <w:tr w:rsidR="00987E13" w:rsidRPr="00D92E20" w14:paraId="114ABD25" w14:textId="77777777" w:rsidTr="004D1BAD">
        <w:trPr>
          <w:trHeight w:val="300"/>
        </w:trPr>
        <w:tc>
          <w:tcPr>
            <w:tcW w:w="2041" w:type="dxa"/>
            <w:tcBorders>
              <w:top w:val="nil"/>
              <w:left w:val="nil"/>
              <w:bottom w:val="nil"/>
              <w:right w:val="single" w:sz="4" w:space="0" w:color="auto"/>
            </w:tcBorders>
            <w:shd w:val="clear" w:color="auto" w:fill="auto"/>
            <w:noWrap/>
            <w:vAlign w:val="center"/>
            <w:hideMark/>
          </w:tcPr>
          <w:p w14:paraId="540B343F" w14:textId="77777777" w:rsidR="00987E13" w:rsidRPr="00D92E20" w:rsidRDefault="00987E13" w:rsidP="00987E13">
            <w:pPr>
              <w:spacing w:after="0" w:line="240" w:lineRule="auto"/>
              <w:ind w:firstLineChars="100" w:firstLine="160"/>
              <w:rPr>
                <w:rFonts w:cs="Arial"/>
                <w:color w:val="000000"/>
                <w:sz w:val="16"/>
                <w:szCs w:val="16"/>
              </w:rPr>
            </w:pPr>
            <w:r w:rsidRPr="00D92E20">
              <w:rPr>
                <w:rFonts w:cs="Arial"/>
                <w:color w:val="000000"/>
                <w:sz w:val="16"/>
                <w:szCs w:val="16"/>
              </w:rPr>
              <w:t>Královéhradecký kraj</w:t>
            </w:r>
          </w:p>
        </w:tc>
        <w:tc>
          <w:tcPr>
            <w:tcW w:w="680" w:type="dxa"/>
            <w:tcBorders>
              <w:top w:val="nil"/>
              <w:left w:val="nil"/>
              <w:bottom w:val="nil"/>
              <w:right w:val="nil"/>
            </w:tcBorders>
            <w:shd w:val="clear" w:color="auto" w:fill="auto"/>
            <w:noWrap/>
            <w:vAlign w:val="center"/>
            <w:hideMark/>
          </w:tcPr>
          <w:p w14:paraId="4CE04966" w14:textId="0825D34E" w:rsidR="00987E13" w:rsidRPr="00D92E20" w:rsidRDefault="00987E13" w:rsidP="00987E13">
            <w:pPr>
              <w:spacing w:after="0" w:line="240" w:lineRule="auto"/>
              <w:jc w:val="center"/>
              <w:rPr>
                <w:rFonts w:cs="Arial"/>
                <w:color w:val="000000"/>
                <w:sz w:val="16"/>
                <w:szCs w:val="16"/>
              </w:rPr>
            </w:pPr>
            <w:r>
              <w:rPr>
                <w:rFonts w:cs="Arial"/>
                <w:sz w:val="16"/>
                <w:szCs w:val="16"/>
              </w:rPr>
              <w:t>3,6</w:t>
            </w:r>
          </w:p>
        </w:tc>
        <w:tc>
          <w:tcPr>
            <w:tcW w:w="680" w:type="dxa"/>
            <w:tcBorders>
              <w:top w:val="nil"/>
              <w:left w:val="nil"/>
              <w:bottom w:val="nil"/>
              <w:right w:val="nil"/>
            </w:tcBorders>
            <w:shd w:val="clear" w:color="auto" w:fill="auto"/>
            <w:noWrap/>
            <w:vAlign w:val="center"/>
            <w:hideMark/>
          </w:tcPr>
          <w:p w14:paraId="536CB934" w14:textId="532D8879" w:rsidR="00987E13" w:rsidRPr="00D92E20" w:rsidRDefault="00987E13" w:rsidP="00987E13">
            <w:pPr>
              <w:spacing w:after="0" w:line="240" w:lineRule="auto"/>
              <w:jc w:val="center"/>
              <w:rPr>
                <w:rFonts w:cs="Arial"/>
                <w:color w:val="000000"/>
                <w:sz w:val="16"/>
                <w:szCs w:val="16"/>
              </w:rPr>
            </w:pPr>
            <w:r>
              <w:rPr>
                <w:rFonts w:cs="Arial"/>
                <w:sz w:val="16"/>
                <w:szCs w:val="16"/>
              </w:rPr>
              <w:t>4,0</w:t>
            </w:r>
          </w:p>
        </w:tc>
        <w:tc>
          <w:tcPr>
            <w:tcW w:w="680" w:type="dxa"/>
            <w:tcBorders>
              <w:top w:val="nil"/>
              <w:left w:val="nil"/>
              <w:bottom w:val="nil"/>
              <w:right w:val="nil"/>
            </w:tcBorders>
            <w:shd w:val="clear" w:color="auto" w:fill="auto"/>
            <w:noWrap/>
            <w:vAlign w:val="center"/>
            <w:hideMark/>
          </w:tcPr>
          <w:p w14:paraId="0D09CFFE" w14:textId="734F1559" w:rsidR="00987E13" w:rsidRPr="00D92E20" w:rsidRDefault="00987E13" w:rsidP="00987E13">
            <w:pPr>
              <w:spacing w:after="0" w:line="240" w:lineRule="auto"/>
              <w:jc w:val="center"/>
              <w:rPr>
                <w:rFonts w:cs="Arial"/>
                <w:color w:val="000000"/>
                <w:sz w:val="16"/>
                <w:szCs w:val="16"/>
              </w:rPr>
            </w:pPr>
            <w:r>
              <w:rPr>
                <w:rFonts w:cs="Arial"/>
                <w:sz w:val="16"/>
                <w:szCs w:val="16"/>
              </w:rPr>
              <w:t>3,8</w:t>
            </w:r>
          </w:p>
        </w:tc>
        <w:tc>
          <w:tcPr>
            <w:tcW w:w="680" w:type="dxa"/>
            <w:tcBorders>
              <w:top w:val="nil"/>
              <w:left w:val="nil"/>
              <w:bottom w:val="nil"/>
              <w:right w:val="nil"/>
            </w:tcBorders>
            <w:shd w:val="clear" w:color="auto" w:fill="auto"/>
            <w:noWrap/>
            <w:vAlign w:val="center"/>
            <w:hideMark/>
          </w:tcPr>
          <w:p w14:paraId="4C7CFD6B" w14:textId="700CB72C" w:rsidR="00987E13" w:rsidRPr="00D92E20" w:rsidRDefault="00987E13" w:rsidP="00987E13">
            <w:pPr>
              <w:spacing w:after="0" w:line="240" w:lineRule="auto"/>
              <w:jc w:val="center"/>
              <w:rPr>
                <w:rFonts w:cs="Arial"/>
                <w:color w:val="000000"/>
                <w:sz w:val="16"/>
                <w:szCs w:val="16"/>
              </w:rPr>
            </w:pPr>
            <w:r>
              <w:rPr>
                <w:rFonts w:cs="Arial"/>
                <w:sz w:val="16"/>
                <w:szCs w:val="16"/>
              </w:rPr>
              <w:t>4,3</w:t>
            </w:r>
          </w:p>
        </w:tc>
        <w:tc>
          <w:tcPr>
            <w:tcW w:w="680" w:type="dxa"/>
            <w:tcBorders>
              <w:top w:val="nil"/>
              <w:left w:val="nil"/>
              <w:bottom w:val="nil"/>
              <w:right w:val="nil"/>
            </w:tcBorders>
            <w:shd w:val="clear" w:color="auto" w:fill="auto"/>
            <w:noWrap/>
            <w:vAlign w:val="center"/>
            <w:hideMark/>
          </w:tcPr>
          <w:p w14:paraId="7212C9E9" w14:textId="3F9C8CFA" w:rsidR="00987E13" w:rsidRPr="00D92E20" w:rsidRDefault="00987E13" w:rsidP="00987E13">
            <w:pPr>
              <w:spacing w:after="0" w:line="240" w:lineRule="auto"/>
              <w:jc w:val="center"/>
              <w:rPr>
                <w:rFonts w:cs="Arial"/>
                <w:color w:val="000000"/>
                <w:sz w:val="16"/>
                <w:szCs w:val="16"/>
              </w:rPr>
            </w:pPr>
            <w:r>
              <w:rPr>
                <w:rFonts w:cs="Arial"/>
                <w:sz w:val="16"/>
                <w:szCs w:val="16"/>
              </w:rPr>
              <w:t>4,5</w:t>
            </w:r>
          </w:p>
        </w:tc>
        <w:tc>
          <w:tcPr>
            <w:tcW w:w="680" w:type="dxa"/>
            <w:tcBorders>
              <w:top w:val="nil"/>
              <w:left w:val="nil"/>
              <w:bottom w:val="nil"/>
              <w:right w:val="nil"/>
            </w:tcBorders>
            <w:shd w:val="clear" w:color="auto" w:fill="auto"/>
            <w:noWrap/>
            <w:vAlign w:val="center"/>
            <w:hideMark/>
          </w:tcPr>
          <w:p w14:paraId="55D8D9E4" w14:textId="6B515B0F" w:rsidR="00987E13" w:rsidRPr="00D92E20" w:rsidRDefault="00987E13" w:rsidP="00987E13">
            <w:pPr>
              <w:spacing w:after="0" w:line="240" w:lineRule="auto"/>
              <w:jc w:val="center"/>
              <w:rPr>
                <w:rFonts w:cs="Arial"/>
                <w:color w:val="000000"/>
                <w:sz w:val="16"/>
                <w:szCs w:val="16"/>
              </w:rPr>
            </w:pPr>
            <w:r>
              <w:rPr>
                <w:rFonts w:cs="Arial"/>
                <w:sz w:val="16"/>
                <w:szCs w:val="16"/>
              </w:rPr>
              <w:t>4,7</w:t>
            </w:r>
          </w:p>
        </w:tc>
        <w:tc>
          <w:tcPr>
            <w:tcW w:w="680" w:type="dxa"/>
            <w:tcBorders>
              <w:top w:val="nil"/>
              <w:left w:val="nil"/>
              <w:bottom w:val="nil"/>
              <w:right w:val="nil"/>
            </w:tcBorders>
            <w:shd w:val="clear" w:color="auto" w:fill="auto"/>
            <w:noWrap/>
            <w:vAlign w:val="center"/>
            <w:hideMark/>
          </w:tcPr>
          <w:p w14:paraId="7B2BEF8B" w14:textId="68B20A17" w:rsidR="00987E13" w:rsidRPr="00D92E20" w:rsidRDefault="00987E13" w:rsidP="00987E13">
            <w:pPr>
              <w:spacing w:after="0" w:line="240" w:lineRule="auto"/>
              <w:jc w:val="center"/>
              <w:rPr>
                <w:rFonts w:cs="Arial"/>
                <w:color w:val="000000"/>
                <w:sz w:val="16"/>
                <w:szCs w:val="16"/>
              </w:rPr>
            </w:pPr>
            <w:r>
              <w:rPr>
                <w:rFonts w:cs="Arial"/>
                <w:color w:val="000000"/>
                <w:sz w:val="16"/>
                <w:szCs w:val="16"/>
              </w:rPr>
              <w:t>5,0</w:t>
            </w:r>
          </w:p>
        </w:tc>
        <w:tc>
          <w:tcPr>
            <w:tcW w:w="680" w:type="dxa"/>
            <w:tcBorders>
              <w:top w:val="nil"/>
              <w:left w:val="nil"/>
              <w:bottom w:val="nil"/>
              <w:right w:val="nil"/>
            </w:tcBorders>
            <w:shd w:val="clear" w:color="auto" w:fill="auto"/>
            <w:noWrap/>
            <w:vAlign w:val="center"/>
            <w:hideMark/>
          </w:tcPr>
          <w:p w14:paraId="5F91A107" w14:textId="775C9B5C" w:rsidR="00987E13" w:rsidRPr="00D92E20" w:rsidRDefault="00987E13" w:rsidP="00987E13">
            <w:pPr>
              <w:spacing w:after="0" w:line="240" w:lineRule="auto"/>
              <w:jc w:val="center"/>
              <w:rPr>
                <w:rFonts w:cs="Arial"/>
                <w:color w:val="000000"/>
                <w:sz w:val="16"/>
                <w:szCs w:val="16"/>
              </w:rPr>
            </w:pPr>
            <w:r>
              <w:rPr>
                <w:rFonts w:cs="Arial"/>
                <w:color w:val="000000"/>
                <w:sz w:val="16"/>
                <w:szCs w:val="16"/>
              </w:rPr>
              <w:t>5,0</w:t>
            </w:r>
          </w:p>
        </w:tc>
        <w:tc>
          <w:tcPr>
            <w:tcW w:w="680" w:type="dxa"/>
            <w:tcBorders>
              <w:top w:val="nil"/>
              <w:left w:val="nil"/>
              <w:bottom w:val="nil"/>
              <w:right w:val="nil"/>
            </w:tcBorders>
            <w:shd w:val="clear" w:color="auto" w:fill="auto"/>
            <w:noWrap/>
            <w:vAlign w:val="center"/>
            <w:hideMark/>
          </w:tcPr>
          <w:p w14:paraId="70DB7B5B" w14:textId="24C15327" w:rsidR="00987E13" w:rsidRPr="00D92E20" w:rsidRDefault="00987E13" w:rsidP="00987E13">
            <w:pPr>
              <w:spacing w:after="0" w:line="240" w:lineRule="auto"/>
              <w:jc w:val="center"/>
              <w:rPr>
                <w:rFonts w:cs="Arial"/>
                <w:color w:val="000000"/>
                <w:sz w:val="16"/>
                <w:szCs w:val="16"/>
              </w:rPr>
            </w:pPr>
            <w:r>
              <w:rPr>
                <w:rFonts w:cs="Arial"/>
                <w:color w:val="000000"/>
                <w:sz w:val="16"/>
                <w:szCs w:val="16"/>
              </w:rPr>
              <w:t>5,9</w:t>
            </w:r>
          </w:p>
        </w:tc>
        <w:tc>
          <w:tcPr>
            <w:tcW w:w="680" w:type="dxa"/>
            <w:tcBorders>
              <w:top w:val="nil"/>
              <w:left w:val="nil"/>
              <w:bottom w:val="nil"/>
              <w:right w:val="nil"/>
            </w:tcBorders>
            <w:shd w:val="clear" w:color="auto" w:fill="auto"/>
            <w:noWrap/>
            <w:vAlign w:val="center"/>
            <w:hideMark/>
          </w:tcPr>
          <w:p w14:paraId="2F184EE4" w14:textId="37CE307F" w:rsidR="00987E13" w:rsidRPr="00D92E20" w:rsidRDefault="00987E13" w:rsidP="00987E13">
            <w:pPr>
              <w:spacing w:after="0" w:line="240" w:lineRule="auto"/>
              <w:jc w:val="center"/>
              <w:rPr>
                <w:rFonts w:cs="Arial"/>
                <w:color w:val="000000"/>
                <w:sz w:val="16"/>
                <w:szCs w:val="16"/>
              </w:rPr>
            </w:pPr>
            <w:r>
              <w:rPr>
                <w:rFonts w:cs="Arial"/>
                <w:color w:val="000000"/>
                <w:sz w:val="16"/>
                <w:szCs w:val="16"/>
              </w:rPr>
              <w:t>6,7</w:t>
            </w:r>
          </w:p>
        </w:tc>
        <w:tc>
          <w:tcPr>
            <w:tcW w:w="680" w:type="dxa"/>
            <w:tcBorders>
              <w:top w:val="nil"/>
              <w:left w:val="nil"/>
              <w:bottom w:val="nil"/>
              <w:right w:val="nil"/>
            </w:tcBorders>
            <w:shd w:val="clear" w:color="auto" w:fill="auto"/>
            <w:noWrap/>
            <w:vAlign w:val="center"/>
            <w:hideMark/>
          </w:tcPr>
          <w:p w14:paraId="52974BFB" w14:textId="0C698B05" w:rsidR="00987E13" w:rsidRPr="00D92E20" w:rsidRDefault="00987E13" w:rsidP="00987E13">
            <w:pPr>
              <w:spacing w:after="0" w:line="240" w:lineRule="auto"/>
              <w:jc w:val="center"/>
              <w:rPr>
                <w:rFonts w:cs="Arial"/>
                <w:color w:val="000000"/>
                <w:sz w:val="16"/>
                <w:szCs w:val="16"/>
              </w:rPr>
            </w:pPr>
            <w:r>
              <w:rPr>
                <w:rFonts w:cs="Arial"/>
                <w:color w:val="000000"/>
                <w:sz w:val="16"/>
                <w:szCs w:val="16"/>
              </w:rPr>
              <w:t>6,2</w:t>
            </w:r>
          </w:p>
        </w:tc>
      </w:tr>
      <w:tr w:rsidR="00987E13" w:rsidRPr="00D92E20" w14:paraId="26ACAD37" w14:textId="77777777" w:rsidTr="004D1BAD">
        <w:trPr>
          <w:trHeight w:val="300"/>
        </w:trPr>
        <w:tc>
          <w:tcPr>
            <w:tcW w:w="2041" w:type="dxa"/>
            <w:tcBorders>
              <w:top w:val="nil"/>
              <w:left w:val="nil"/>
              <w:bottom w:val="nil"/>
              <w:right w:val="single" w:sz="4" w:space="0" w:color="auto"/>
            </w:tcBorders>
            <w:shd w:val="clear" w:color="auto" w:fill="auto"/>
            <w:noWrap/>
            <w:vAlign w:val="center"/>
            <w:hideMark/>
          </w:tcPr>
          <w:p w14:paraId="7B46E990" w14:textId="77777777" w:rsidR="00987E13" w:rsidRPr="00D92E20" w:rsidRDefault="00987E13" w:rsidP="00987E13">
            <w:pPr>
              <w:spacing w:after="0" w:line="240" w:lineRule="auto"/>
              <w:ind w:firstLineChars="100" w:firstLine="160"/>
              <w:rPr>
                <w:rFonts w:cs="Arial"/>
                <w:color w:val="000000"/>
                <w:sz w:val="16"/>
                <w:szCs w:val="16"/>
              </w:rPr>
            </w:pPr>
            <w:r w:rsidRPr="00D92E20">
              <w:rPr>
                <w:rFonts w:cs="Arial"/>
                <w:color w:val="000000"/>
                <w:sz w:val="16"/>
                <w:szCs w:val="16"/>
              </w:rPr>
              <w:t>Pardubický kraj</w:t>
            </w:r>
          </w:p>
        </w:tc>
        <w:tc>
          <w:tcPr>
            <w:tcW w:w="680" w:type="dxa"/>
            <w:tcBorders>
              <w:top w:val="nil"/>
              <w:left w:val="nil"/>
              <w:bottom w:val="nil"/>
              <w:right w:val="nil"/>
            </w:tcBorders>
            <w:shd w:val="clear" w:color="auto" w:fill="auto"/>
            <w:noWrap/>
            <w:vAlign w:val="center"/>
            <w:hideMark/>
          </w:tcPr>
          <w:p w14:paraId="6A7B3132" w14:textId="4F3365C7" w:rsidR="00987E13" w:rsidRPr="00D92E20" w:rsidRDefault="00987E13" w:rsidP="00987E13">
            <w:pPr>
              <w:spacing w:after="0" w:line="240" w:lineRule="auto"/>
              <w:jc w:val="center"/>
              <w:rPr>
                <w:rFonts w:cs="Arial"/>
                <w:color w:val="000000"/>
                <w:sz w:val="16"/>
                <w:szCs w:val="16"/>
              </w:rPr>
            </w:pPr>
            <w:r>
              <w:rPr>
                <w:rFonts w:cs="Arial"/>
                <w:sz w:val="16"/>
                <w:szCs w:val="16"/>
              </w:rPr>
              <w:t>3,7</w:t>
            </w:r>
          </w:p>
        </w:tc>
        <w:tc>
          <w:tcPr>
            <w:tcW w:w="680" w:type="dxa"/>
            <w:tcBorders>
              <w:top w:val="nil"/>
              <w:left w:val="nil"/>
              <w:bottom w:val="nil"/>
              <w:right w:val="nil"/>
            </w:tcBorders>
            <w:shd w:val="clear" w:color="auto" w:fill="auto"/>
            <w:noWrap/>
            <w:vAlign w:val="center"/>
            <w:hideMark/>
          </w:tcPr>
          <w:p w14:paraId="131B3CFC" w14:textId="4B89ED13" w:rsidR="00987E13" w:rsidRPr="00D92E20" w:rsidRDefault="00987E13" w:rsidP="00987E13">
            <w:pPr>
              <w:spacing w:after="0" w:line="240" w:lineRule="auto"/>
              <w:jc w:val="center"/>
              <w:rPr>
                <w:rFonts w:cs="Arial"/>
                <w:color w:val="000000"/>
                <w:sz w:val="16"/>
                <w:szCs w:val="16"/>
              </w:rPr>
            </w:pPr>
            <w:r>
              <w:rPr>
                <w:rFonts w:cs="Arial"/>
                <w:sz w:val="16"/>
                <w:szCs w:val="16"/>
              </w:rPr>
              <w:t>4,1</w:t>
            </w:r>
          </w:p>
        </w:tc>
        <w:tc>
          <w:tcPr>
            <w:tcW w:w="680" w:type="dxa"/>
            <w:tcBorders>
              <w:top w:val="nil"/>
              <w:left w:val="nil"/>
              <w:bottom w:val="nil"/>
              <w:right w:val="nil"/>
            </w:tcBorders>
            <w:shd w:val="clear" w:color="auto" w:fill="auto"/>
            <w:noWrap/>
            <w:vAlign w:val="center"/>
            <w:hideMark/>
          </w:tcPr>
          <w:p w14:paraId="16FF3FA7" w14:textId="3AD21D98" w:rsidR="00987E13" w:rsidRPr="00D92E20" w:rsidRDefault="00987E13" w:rsidP="00987E13">
            <w:pPr>
              <w:spacing w:after="0" w:line="240" w:lineRule="auto"/>
              <w:jc w:val="center"/>
              <w:rPr>
                <w:rFonts w:cs="Arial"/>
                <w:color w:val="000000"/>
                <w:sz w:val="16"/>
                <w:szCs w:val="16"/>
              </w:rPr>
            </w:pPr>
            <w:r>
              <w:rPr>
                <w:rFonts w:cs="Arial"/>
                <w:sz w:val="16"/>
                <w:szCs w:val="16"/>
              </w:rPr>
              <w:t>4,0</w:t>
            </w:r>
          </w:p>
        </w:tc>
        <w:tc>
          <w:tcPr>
            <w:tcW w:w="680" w:type="dxa"/>
            <w:tcBorders>
              <w:top w:val="nil"/>
              <w:left w:val="nil"/>
              <w:bottom w:val="nil"/>
              <w:right w:val="nil"/>
            </w:tcBorders>
            <w:shd w:val="clear" w:color="auto" w:fill="auto"/>
            <w:noWrap/>
            <w:vAlign w:val="center"/>
            <w:hideMark/>
          </w:tcPr>
          <w:p w14:paraId="5939B4AC" w14:textId="3348279D" w:rsidR="00987E13" w:rsidRPr="00D92E20" w:rsidRDefault="00987E13" w:rsidP="00987E13">
            <w:pPr>
              <w:spacing w:after="0" w:line="240" w:lineRule="auto"/>
              <w:jc w:val="center"/>
              <w:rPr>
                <w:rFonts w:cs="Arial"/>
                <w:color w:val="000000"/>
                <w:sz w:val="16"/>
                <w:szCs w:val="16"/>
              </w:rPr>
            </w:pPr>
            <w:r>
              <w:rPr>
                <w:rFonts w:cs="Arial"/>
                <w:sz w:val="16"/>
                <w:szCs w:val="16"/>
              </w:rPr>
              <w:t>4,5</w:t>
            </w:r>
          </w:p>
        </w:tc>
        <w:tc>
          <w:tcPr>
            <w:tcW w:w="680" w:type="dxa"/>
            <w:tcBorders>
              <w:top w:val="nil"/>
              <w:left w:val="nil"/>
              <w:bottom w:val="nil"/>
              <w:right w:val="nil"/>
            </w:tcBorders>
            <w:shd w:val="clear" w:color="auto" w:fill="auto"/>
            <w:noWrap/>
            <w:vAlign w:val="center"/>
            <w:hideMark/>
          </w:tcPr>
          <w:p w14:paraId="15D4FD82" w14:textId="7BCCA7F0" w:rsidR="00987E13" w:rsidRPr="00D92E20" w:rsidRDefault="00987E13" w:rsidP="00987E13">
            <w:pPr>
              <w:spacing w:after="0" w:line="240" w:lineRule="auto"/>
              <w:jc w:val="center"/>
              <w:rPr>
                <w:rFonts w:cs="Arial"/>
                <w:color w:val="000000"/>
                <w:sz w:val="16"/>
                <w:szCs w:val="16"/>
              </w:rPr>
            </w:pPr>
            <w:r>
              <w:rPr>
                <w:rFonts w:cs="Arial"/>
                <w:sz w:val="16"/>
                <w:szCs w:val="16"/>
              </w:rPr>
              <w:t>4,7</w:t>
            </w:r>
          </w:p>
        </w:tc>
        <w:tc>
          <w:tcPr>
            <w:tcW w:w="680" w:type="dxa"/>
            <w:tcBorders>
              <w:top w:val="nil"/>
              <w:left w:val="nil"/>
              <w:bottom w:val="nil"/>
              <w:right w:val="nil"/>
            </w:tcBorders>
            <w:shd w:val="clear" w:color="auto" w:fill="auto"/>
            <w:noWrap/>
            <w:vAlign w:val="center"/>
            <w:hideMark/>
          </w:tcPr>
          <w:p w14:paraId="270E2198" w14:textId="21760B83" w:rsidR="00987E13" w:rsidRPr="00D92E20" w:rsidRDefault="00987E13" w:rsidP="00987E13">
            <w:pPr>
              <w:spacing w:after="0" w:line="240" w:lineRule="auto"/>
              <w:jc w:val="center"/>
              <w:rPr>
                <w:rFonts w:cs="Arial"/>
                <w:color w:val="000000"/>
                <w:sz w:val="16"/>
                <w:szCs w:val="16"/>
              </w:rPr>
            </w:pPr>
            <w:r>
              <w:rPr>
                <w:rFonts w:cs="Arial"/>
                <w:sz w:val="16"/>
                <w:szCs w:val="16"/>
              </w:rPr>
              <w:t>4,9</w:t>
            </w:r>
          </w:p>
        </w:tc>
        <w:tc>
          <w:tcPr>
            <w:tcW w:w="680" w:type="dxa"/>
            <w:tcBorders>
              <w:top w:val="nil"/>
              <w:left w:val="nil"/>
              <w:bottom w:val="nil"/>
              <w:right w:val="nil"/>
            </w:tcBorders>
            <w:shd w:val="clear" w:color="auto" w:fill="auto"/>
            <w:noWrap/>
            <w:vAlign w:val="center"/>
            <w:hideMark/>
          </w:tcPr>
          <w:p w14:paraId="642B94FD" w14:textId="66B4F9C1" w:rsidR="00987E13" w:rsidRPr="00D92E20" w:rsidRDefault="00987E13" w:rsidP="00987E13">
            <w:pPr>
              <w:spacing w:after="0" w:line="240" w:lineRule="auto"/>
              <w:jc w:val="center"/>
              <w:rPr>
                <w:rFonts w:cs="Arial"/>
                <w:color w:val="000000"/>
                <w:sz w:val="16"/>
                <w:szCs w:val="16"/>
              </w:rPr>
            </w:pPr>
            <w:r>
              <w:rPr>
                <w:rFonts w:cs="Arial"/>
                <w:color w:val="000000"/>
                <w:sz w:val="16"/>
                <w:szCs w:val="16"/>
              </w:rPr>
              <w:t>5,1</w:t>
            </w:r>
          </w:p>
        </w:tc>
        <w:tc>
          <w:tcPr>
            <w:tcW w:w="680" w:type="dxa"/>
            <w:tcBorders>
              <w:top w:val="nil"/>
              <w:left w:val="nil"/>
              <w:bottom w:val="nil"/>
              <w:right w:val="nil"/>
            </w:tcBorders>
            <w:shd w:val="clear" w:color="auto" w:fill="auto"/>
            <w:noWrap/>
            <w:vAlign w:val="center"/>
            <w:hideMark/>
          </w:tcPr>
          <w:p w14:paraId="76FFA6C4" w14:textId="377C46CA" w:rsidR="00987E13" w:rsidRPr="00D92E20" w:rsidRDefault="00987E13" w:rsidP="00987E13">
            <w:pPr>
              <w:spacing w:after="0" w:line="240" w:lineRule="auto"/>
              <w:jc w:val="center"/>
              <w:rPr>
                <w:rFonts w:cs="Arial"/>
                <w:color w:val="000000"/>
                <w:sz w:val="16"/>
                <w:szCs w:val="16"/>
              </w:rPr>
            </w:pPr>
            <w:r>
              <w:rPr>
                <w:rFonts w:cs="Arial"/>
                <w:color w:val="000000"/>
                <w:sz w:val="16"/>
                <w:szCs w:val="16"/>
              </w:rPr>
              <w:t>5,1</w:t>
            </w:r>
          </w:p>
        </w:tc>
        <w:tc>
          <w:tcPr>
            <w:tcW w:w="680" w:type="dxa"/>
            <w:tcBorders>
              <w:top w:val="nil"/>
              <w:left w:val="nil"/>
              <w:bottom w:val="nil"/>
              <w:right w:val="nil"/>
            </w:tcBorders>
            <w:shd w:val="clear" w:color="auto" w:fill="auto"/>
            <w:noWrap/>
            <w:vAlign w:val="center"/>
            <w:hideMark/>
          </w:tcPr>
          <w:p w14:paraId="48ADACE1" w14:textId="6B9D49BD" w:rsidR="00987E13" w:rsidRPr="00D92E20" w:rsidRDefault="00987E13" w:rsidP="00987E13">
            <w:pPr>
              <w:spacing w:after="0" w:line="240" w:lineRule="auto"/>
              <w:jc w:val="center"/>
              <w:rPr>
                <w:rFonts w:cs="Arial"/>
                <w:color w:val="000000"/>
                <w:sz w:val="16"/>
                <w:szCs w:val="16"/>
              </w:rPr>
            </w:pPr>
            <w:r>
              <w:rPr>
                <w:rFonts w:cs="Arial"/>
                <w:color w:val="000000"/>
                <w:sz w:val="16"/>
                <w:szCs w:val="16"/>
              </w:rPr>
              <w:t>5,7</w:t>
            </w:r>
          </w:p>
        </w:tc>
        <w:tc>
          <w:tcPr>
            <w:tcW w:w="680" w:type="dxa"/>
            <w:tcBorders>
              <w:top w:val="nil"/>
              <w:left w:val="nil"/>
              <w:bottom w:val="nil"/>
              <w:right w:val="nil"/>
            </w:tcBorders>
            <w:shd w:val="clear" w:color="auto" w:fill="auto"/>
            <w:noWrap/>
            <w:vAlign w:val="center"/>
            <w:hideMark/>
          </w:tcPr>
          <w:p w14:paraId="49CE215C" w14:textId="2BD7B80A" w:rsidR="00987E13" w:rsidRPr="00D92E20" w:rsidRDefault="00987E13" w:rsidP="00987E13">
            <w:pPr>
              <w:spacing w:after="0" w:line="240" w:lineRule="auto"/>
              <w:jc w:val="center"/>
              <w:rPr>
                <w:rFonts w:cs="Arial"/>
                <w:color w:val="000000"/>
                <w:sz w:val="16"/>
                <w:szCs w:val="16"/>
              </w:rPr>
            </w:pPr>
            <w:r>
              <w:rPr>
                <w:rFonts w:cs="Arial"/>
                <w:color w:val="000000"/>
                <w:sz w:val="16"/>
                <w:szCs w:val="16"/>
              </w:rPr>
              <w:t>6,4</w:t>
            </w:r>
          </w:p>
        </w:tc>
        <w:tc>
          <w:tcPr>
            <w:tcW w:w="680" w:type="dxa"/>
            <w:tcBorders>
              <w:top w:val="nil"/>
              <w:left w:val="nil"/>
              <w:bottom w:val="nil"/>
              <w:right w:val="nil"/>
            </w:tcBorders>
            <w:shd w:val="clear" w:color="auto" w:fill="auto"/>
            <w:noWrap/>
            <w:vAlign w:val="center"/>
            <w:hideMark/>
          </w:tcPr>
          <w:p w14:paraId="03E2964D" w14:textId="05307E40" w:rsidR="00987E13" w:rsidRPr="00D92E20" w:rsidRDefault="00987E13" w:rsidP="00987E13">
            <w:pPr>
              <w:spacing w:after="0" w:line="240" w:lineRule="auto"/>
              <w:jc w:val="center"/>
              <w:rPr>
                <w:rFonts w:cs="Arial"/>
                <w:color w:val="000000"/>
                <w:sz w:val="16"/>
                <w:szCs w:val="16"/>
              </w:rPr>
            </w:pPr>
            <w:r>
              <w:rPr>
                <w:rFonts w:cs="Arial"/>
                <w:color w:val="000000"/>
                <w:sz w:val="16"/>
                <w:szCs w:val="16"/>
              </w:rPr>
              <w:t>6,4</w:t>
            </w:r>
          </w:p>
        </w:tc>
      </w:tr>
      <w:tr w:rsidR="00987E13" w:rsidRPr="00D92E20" w14:paraId="1408511B" w14:textId="77777777" w:rsidTr="004D1BAD">
        <w:trPr>
          <w:trHeight w:val="300"/>
        </w:trPr>
        <w:tc>
          <w:tcPr>
            <w:tcW w:w="2041" w:type="dxa"/>
            <w:tcBorders>
              <w:top w:val="nil"/>
              <w:left w:val="nil"/>
              <w:bottom w:val="nil"/>
              <w:right w:val="single" w:sz="4" w:space="0" w:color="auto"/>
            </w:tcBorders>
            <w:shd w:val="clear" w:color="auto" w:fill="auto"/>
            <w:noWrap/>
            <w:vAlign w:val="center"/>
            <w:hideMark/>
          </w:tcPr>
          <w:p w14:paraId="497DD505" w14:textId="77777777" w:rsidR="00987E13" w:rsidRPr="00D92E20" w:rsidRDefault="00987E13" w:rsidP="00987E13">
            <w:pPr>
              <w:spacing w:after="0" w:line="240" w:lineRule="auto"/>
              <w:ind w:firstLineChars="100" w:firstLine="160"/>
              <w:rPr>
                <w:rFonts w:cs="Arial"/>
                <w:color w:val="000000"/>
                <w:sz w:val="16"/>
                <w:szCs w:val="16"/>
              </w:rPr>
            </w:pPr>
            <w:r w:rsidRPr="00D92E20">
              <w:rPr>
                <w:rFonts w:cs="Arial"/>
                <w:color w:val="000000"/>
                <w:sz w:val="16"/>
                <w:szCs w:val="16"/>
              </w:rPr>
              <w:t>Kraj Vysočina</w:t>
            </w:r>
          </w:p>
        </w:tc>
        <w:tc>
          <w:tcPr>
            <w:tcW w:w="680" w:type="dxa"/>
            <w:tcBorders>
              <w:top w:val="nil"/>
              <w:left w:val="nil"/>
              <w:bottom w:val="nil"/>
              <w:right w:val="nil"/>
            </w:tcBorders>
            <w:shd w:val="clear" w:color="auto" w:fill="auto"/>
            <w:noWrap/>
            <w:vAlign w:val="center"/>
            <w:hideMark/>
          </w:tcPr>
          <w:p w14:paraId="7B6209F0" w14:textId="20F7FC88" w:rsidR="00987E13" w:rsidRPr="00D92E20" w:rsidRDefault="00987E13" w:rsidP="00987E13">
            <w:pPr>
              <w:spacing w:after="0" w:line="240" w:lineRule="auto"/>
              <w:jc w:val="center"/>
              <w:rPr>
                <w:rFonts w:cs="Arial"/>
                <w:color w:val="000000"/>
                <w:sz w:val="16"/>
                <w:szCs w:val="16"/>
              </w:rPr>
            </w:pPr>
            <w:r>
              <w:rPr>
                <w:rFonts w:cs="Arial"/>
                <w:sz w:val="16"/>
                <w:szCs w:val="16"/>
              </w:rPr>
              <w:t>3,8</w:t>
            </w:r>
          </w:p>
        </w:tc>
        <w:tc>
          <w:tcPr>
            <w:tcW w:w="680" w:type="dxa"/>
            <w:tcBorders>
              <w:top w:val="nil"/>
              <w:left w:val="nil"/>
              <w:bottom w:val="nil"/>
              <w:right w:val="nil"/>
            </w:tcBorders>
            <w:shd w:val="clear" w:color="auto" w:fill="auto"/>
            <w:noWrap/>
            <w:vAlign w:val="center"/>
            <w:hideMark/>
          </w:tcPr>
          <w:p w14:paraId="7B243651" w14:textId="5EAEC473" w:rsidR="00987E13" w:rsidRPr="00D92E20" w:rsidRDefault="00987E13" w:rsidP="00987E13">
            <w:pPr>
              <w:spacing w:after="0" w:line="240" w:lineRule="auto"/>
              <w:jc w:val="center"/>
              <w:rPr>
                <w:rFonts w:cs="Arial"/>
                <w:color w:val="000000"/>
                <w:sz w:val="16"/>
                <w:szCs w:val="16"/>
              </w:rPr>
            </w:pPr>
            <w:r>
              <w:rPr>
                <w:rFonts w:cs="Arial"/>
                <w:sz w:val="16"/>
                <w:szCs w:val="16"/>
              </w:rPr>
              <w:t>4,3</w:t>
            </w:r>
          </w:p>
        </w:tc>
        <w:tc>
          <w:tcPr>
            <w:tcW w:w="680" w:type="dxa"/>
            <w:tcBorders>
              <w:top w:val="nil"/>
              <w:left w:val="nil"/>
              <w:bottom w:val="nil"/>
              <w:right w:val="nil"/>
            </w:tcBorders>
            <w:shd w:val="clear" w:color="auto" w:fill="auto"/>
            <w:noWrap/>
            <w:vAlign w:val="center"/>
            <w:hideMark/>
          </w:tcPr>
          <w:p w14:paraId="3744C4A0" w14:textId="061EE3F2" w:rsidR="00987E13" w:rsidRPr="00D92E20" w:rsidRDefault="00987E13" w:rsidP="00987E13">
            <w:pPr>
              <w:spacing w:after="0" w:line="240" w:lineRule="auto"/>
              <w:jc w:val="center"/>
              <w:rPr>
                <w:rFonts w:cs="Arial"/>
                <w:color w:val="000000"/>
                <w:sz w:val="16"/>
                <w:szCs w:val="16"/>
              </w:rPr>
            </w:pPr>
            <w:r>
              <w:rPr>
                <w:rFonts w:cs="Arial"/>
                <w:sz w:val="16"/>
                <w:szCs w:val="16"/>
              </w:rPr>
              <w:t>4,2</w:t>
            </w:r>
          </w:p>
        </w:tc>
        <w:tc>
          <w:tcPr>
            <w:tcW w:w="680" w:type="dxa"/>
            <w:tcBorders>
              <w:top w:val="nil"/>
              <w:left w:val="nil"/>
              <w:bottom w:val="nil"/>
              <w:right w:val="nil"/>
            </w:tcBorders>
            <w:shd w:val="clear" w:color="auto" w:fill="auto"/>
            <w:noWrap/>
            <w:vAlign w:val="center"/>
            <w:hideMark/>
          </w:tcPr>
          <w:p w14:paraId="64380A0F" w14:textId="38BA4BC3" w:rsidR="00987E13" w:rsidRPr="00D92E20" w:rsidRDefault="00987E13" w:rsidP="00987E13">
            <w:pPr>
              <w:spacing w:after="0" w:line="240" w:lineRule="auto"/>
              <w:jc w:val="center"/>
              <w:rPr>
                <w:rFonts w:cs="Arial"/>
                <w:color w:val="000000"/>
                <w:sz w:val="16"/>
                <w:szCs w:val="16"/>
              </w:rPr>
            </w:pPr>
            <w:r>
              <w:rPr>
                <w:rFonts w:cs="Arial"/>
                <w:sz w:val="16"/>
                <w:szCs w:val="16"/>
              </w:rPr>
              <w:t>4,9</w:t>
            </w:r>
          </w:p>
        </w:tc>
        <w:tc>
          <w:tcPr>
            <w:tcW w:w="680" w:type="dxa"/>
            <w:tcBorders>
              <w:top w:val="nil"/>
              <w:left w:val="nil"/>
              <w:bottom w:val="nil"/>
              <w:right w:val="nil"/>
            </w:tcBorders>
            <w:shd w:val="clear" w:color="auto" w:fill="auto"/>
            <w:noWrap/>
            <w:vAlign w:val="center"/>
            <w:hideMark/>
          </w:tcPr>
          <w:p w14:paraId="54E6DCC8" w14:textId="3D7DB763" w:rsidR="00987E13" w:rsidRPr="00D92E20" w:rsidRDefault="00987E13" w:rsidP="00987E13">
            <w:pPr>
              <w:spacing w:after="0" w:line="240" w:lineRule="auto"/>
              <w:jc w:val="center"/>
              <w:rPr>
                <w:rFonts w:cs="Arial"/>
                <w:color w:val="000000"/>
                <w:sz w:val="16"/>
                <w:szCs w:val="16"/>
              </w:rPr>
            </w:pPr>
            <w:r>
              <w:rPr>
                <w:rFonts w:cs="Arial"/>
                <w:sz w:val="16"/>
                <w:szCs w:val="16"/>
              </w:rPr>
              <w:t>5,0</w:t>
            </w:r>
          </w:p>
        </w:tc>
        <w:tc>
          <w:tcPr>
            <w:tcW w:w="680" w:type="dxa"/>
            <w:tcBorders>
              <w:top w:val="nil"/>
              <w:left w:val="nil"/>
              <w:bottom w:val="nil"/>
              <w:right w:val="nil"/>
            </w:tcBorders>
            <w:shd w:val="clear" w:color="auto" w:fill="auto"/>
            <w:noWrap/>
            <w:vAlign w:val="center"/>
            <w:hideMark/>
          </w:tcPr>
          <w:p w14:paraId="37B0BDBF" w14:textId="31D2E933" w:rsidR="00987E13" w:rsidRPr="00D92E20" w:rsidRDefault="00987E13" w:rsidP="00987E13">
            <w:pPr>
              <w:spacing w:after="0" w:line="240" w:lineRule="auto"/>
              <w:jc w:val="center"/>
              <w:rPr>
                <w:rFonts w:cs="Arial"/>
                <w:color w:val="000000"/>
                <w:sz w:val="16"/>
                <w:szCs w:val="16"/>
              </w:rPr>
            </w:pPr>
            <w:r>
              <w:rPr>
                <w:rFonts w:cs="Arial"/>
                <w:sz w:val="16"/>
                <w:szCs w:val="16"/>
              </w:rPr>
              <w:t>5,3</w:t>
            </w:r>
          </w:p>
        </w:tc>
        <w:tc>
          <w:tcPr>
            <w:tcW w:w="680" w:type="dxa"/>
            <w:tcBorders>
              <w:top w:val="nil"/>
              <w:left w:val="nil"/>
              <w:bottom w:val="nil"/>
              <w:right w:val="nil"/>
            </w:tcBorders>
            <w:shd w:val="clear" w:color="auto" w:fill="auto"/>
            <w:noWrap/>
            <w:vAlign w:val="center"/>
            <w:hideMark/>
          </w:tcPr>
          <w:p w14:paraId="126C211B" w14:textId="2394903A" w:rsidR="00987E13" w:rsidRPr="00D92E20" w:rsidRDefault="00987E13" w:rsidP="00987E13">
            <w:pPr>
              <w:spacing w:after="0" w:line="240" w:lineRule="auto"/>
              <w:jc w:val="center"/>
              <w:rPr>
                <w:rFonts w:cs="Arial"/>
                <w:color w:val="000000"/>
                <w:sz w:val="16"/>
                <w:szCs w:val="16"/>
              </w:rPr>
            </w:pPr>
            <w:r>
              <w:rPr>
                <w:rFonts w:cs="Arial"/>
                <w:color w:val="000000"/>
                <w:sz w:val="16"/>
                <w:szCs w:val="16"/>
              </w:rPr>
              <w:t>5,5</w:t>
            </w:r>
          </w:p>
        </w:tc>
        <w:tc>
          <w:tcPr>
            <w:tcW w:w="680" w:type="dxa"/>
            <w:tcBorders>
              <w:top w:val="nil"/>
              <w:left w:val="nil"/>
              <w:bottom w:val="nil"/>
              <w:right w:val="nil"/>
            </w:tcBorders>
            <w:shd w:val="clear" w:color="auto" w:fill="auto"/>
            <w:noWrap/>
            <w:vAlign w:val="center"/>
            <w:hideMark/>
          </w:tcPr>
          <w:p w14:paraId="593EBEAE" w14:textId="2CD6C5FC" w:rsidR="00987E13" w:rsidRPr="00D92E20" w:rsidRDefault="00987E13" w:rsidP="00987E13">
            <w:pPr>
              <w:spacing w:after="0" w:line="240" w:lineRule="auto"/>
              <w:jc w:val="center"/>
              <w:rPr>
                <w:rFonts w:cs="Arial"/>
                <w:color w:val="000000"/>
                <w:sz w:val="16"/>
                <w:szCs w:val="16"/>
              </w:rPr>
            </w:pPr>
            <w:r>
              <w:rPr>
                <w:rFonts w:cs="Arial"/>
                <w:color w:val="000000"/>
                <w:sz w:val="16"/>
                <w:szCs w:val="16"/>
              </w:rPr>
              <w:t>5,6</w:t>
            </w:r>
          </w:p>
        </w:tc>
        <w:tc>
          <w:tcPr>
            <w:tcW w:w="680" w:type="dxa"/>
            <w:tcBorders>
              <w:top w:val="nil"/>
              <w:left w:val="nil"/>
              <w:bottom w:val="nil"/>
              <w:right w:val="nil"/>
            </w:tcBorders>
            <w:shd w:val="clear" w:color="auto" w:fill="auto"/>
            <w:noWrap/>
            <w:vAlign w:val="center"/>
            <w:hideMark/>
          </w:tcPr>
          <w:p w14:paraId="57260A0D" w14:textId="3BC7E134" w:rsidR="00987E13" w:rsidRPr="00D92E20" w:rsidRDefault="00987E13" w:rsidP="00987E13">
            <w:pPr>
              <w:spacing w:after="0" w:line="240" w:lineRule="auto"/>
              <w:jc w:val="center"/>
              <w:rPr>
                <w:rFonts w:cs="Arial"/>
                <w:color w:val="000000"/>
                <w:sz w:val="16"/>
                <w:szCs w:val="16"/>
              </w:rPr>
            </w:pPr>
            <w:r>
              <w:rPr>
                <w:rFonts w:cs="Arial"/>
                <w:color w:val="000000"/>
                <w:sz w:val="16"/>
                <w:szCs w:val="16"/>
              </w:rPr>
              <w:t>6,2</w:t>
            </w:r>
          </w:p>
        </w:tc>
        <w:tc>
          <w:tcPr>
            <w:tcW w:w="680" w:type="dxa"/>
            <w:tcBorders>
              <w:top w:val="nil"/>
              <w:left w:val="nil"/>
              <w:bottom w:val="nil"/>
              <w:right w:val="nil"/>
            </w:tcBorders>
            <w:shd w:val="clear" w:color="auto" w:fill="auto"/>
            <w:noWrap/>
            <w:vAlign w:val="center"/>
            <w:hideMark/>
          </w:tcPr>
          <w:p w14:paraId="695C83B0" w14:textId="5F5853C5" w:rsidR="00987E13" w:rsidRPr="00D92E20" w:rsidRDefault="00987E13" w:rsidP="00987E13">
            <w:pPr>
              <w:spacing w:after="0" w:line="240" w:lineRule="auto"/>
              <w:jc w:val="center"/>
              <w:rPr>
                <w:rFonts w:cs="Arial"/>
                <w:color w:val="000000"/>
                <w:sz w:val="16"/>
                <w:szCs w:val="16"/>
              </w:rPr>
            </w:pPr>
            <w:r>
              <w:rPr>
                <w:rFonts w:cs="Arial"/>
                <w:color w:val="000000"/>
                <w:sz w:val="16"/>
                <w:szCs w:val="16"/>
              </w:rPr>
              <w:t>6,4</w:t>
            </w:r>
          </w:p>
        </w:tc>
        <w:tc>
          <w:tcPr>
            <w:tcW w:w="680" w:type="dxa"/>
            <w:tcBorders>
              <w:top w:val="nil"/>
              <w:left w:val="nil"/>
              <w:bottom w:val="nil"/>
              <w:right w:val="nil"/>
            </w:tcBorders>
            <w:shd w:val="clear" w:color="auto" w:fill="auto"/>
            <w:noWrap/>
            <w:vAlign w:val="center"/>
            <w:hideMark/>
          </w:tcPr>
          <w:p w14:paraId="1D34F784" w14:textId="47489B42" w:rsidR="00987E13" w:rsidRPr="00D92E20" w:rsidRDefault="00987E13" w:rsidP="00987E13">
            <w:pPr>
              <w:spacing w:after="0" w:line="240" w:lineRule="auto"/>
              <w:jc w:val="center"/>
              <w:rPr>
                <w:rFonts w:cs="Arial"/>
                <w:color w:val="000000"/>
                <w:sz w:val="16"/>
                <w:szCs w:val="16"/>
              </w:rPr>
            </w:pPr>
            <w:r>
              <w:rPr>
                <w:rFonts w:cs="Arial"/>
                <w:color w:val="000000"/>
                <w:sz w:val="16"/>
                <w:szCs w:val="16"/>
              </w:rPr>
              <w:t>6,6</w:t>
            </w:r>
          </w:p>
        </w:tc>
      </w:tr>
      <w:tr w:rsidR="00987E13" w:rsidRPr="00D92E20" w14:paraId="677F6946" w14:textId="77777777" w:rsidTr="004D1BAD">
        <w:trPr>
          <w:trHeight w:val="300"/>
        </w:trPr>
        <w:tc>
          <w:tcPr>
            <w:tcW w:w="2041" w:type="dxa"/>
            <w:tcBorders>
              <w:top w:val="nil"/>
              <w:left w:val="nil"/>
              <w:bottom w:val="nil"/>
              <w:right w:val="single" w:sz="4" w:space="0" w:color="auto"/>
            </w:tcBorders>
            <w:shd w:val="clear" w:color="auto" w:fill="auto"/>
            <w:noWrap/>
            <w:vAlign w:val="center"/>
            <w:hideMark/>
          </w:tcPr>
          <w:p w14:paraId="1E1C3D98" w14:textId="77777777" w:rsidR="00987E13" w:rsidRPr="00D92E20" w:rsidRDefault="00987E13" w:rsidP="00987E13">
            <w:pPr>
              <w:spacing w:after="0" w:line="240" w:lineRule="auto"/>
              <w:ind w:firstLineChars="100" w:firstLine="160"/>
              <w:rPr>
                <w:rFonts w:cs="Arial"/>
                <w:color w:val="000000"/>
                <w:sz w:val="16"/>
                <w:szCs w:val="16"/>
              </w:rPr>
            </w:pPr>
            <w:r w:rsidRPr="00D92E20">
              <w:rPr>
                <w:rFonts w:cs="Arial"/>
                <w:color w:val="000000"/>
                <w:sz w:val="16"/>
                <w:szCs w:val="16"/>
              </w:rPr>
              <w:t>Jihomoravský kraj</w:t>
            </w:r>
          </w:p>
        </w:tc>
        <w:tc>
          <w:tcPr>
            <w:tcW w:w="680" w:type="dxa"/>
            <w:tcBorders>
              <w:top w:val="nil"/>
              <w:left w:val="nil"/>
              <w:bottom w:val="nil"/>
              <w:right w:val="nil"/>
            </w:tcBorders>
            <w:shd w:val="clear" w:color="auto" w:fill="auto"/>
            <w:noWrap/>
            <w:vAlign w:val="center"/>
            <w:hideMark/>
          </w:tcPr>
          <w:p w14:paraId="3C73C051" w14:textId="07E816E1" w:rsidR="00987E13" w:rsidRPr="00D92E20" w:rsidRDefault="00987E13" w:rsidP="00987E13">
            <w:pPr>
              <w:spacing w:after="0" w:line="240" w:lineRule="auto"/>
              <w:jc w:val="center"/>
              <w:rPr>
                <w:rFonts w:cs="Arial"/>
                <w:color w:val="000000"/>
                <w:sz w:val="16"/>
                <w:szCs w:val="16"/>
              </w:rPr>
            </w:pPr>
            <w:r>
              <w:rPr>
                <w:rFonts w:cs="Arial"/>
                <w:sz w:val="16"/>
                <w:szCs w:val="16"/>
              </w:rPr>
              <w:t>3,7</w:t>
            </w:r>
          </w:p>
        </w:tc>
        <w:tc>
          <w:tcPr>
            <w:tcW w:w="680" w:type="dxa"/>
            <w:tcBorders>
              <w:top w:val="nil"/>
              <w:left w:val="nil"/>
              <w:bottom w:val="nil"/>
              <w:right w:val="nil"/>
            </w:tcBorders>
            <w:shd w:val="clear" w:color="auto" w:fill="auto"/>
            <w:noWrap/>
            <w:vAlign w:val="center"/>
            <w:hideMark/>
          </w:tcPr>
          <w:p w14:paraId="3FA5C3EF" w14:textId="58285F2F" w:rsidR="00987E13" w:rsidRPr="00D92E20" w:rsidRDefault="00987E13" w:rsidP="00987E13">
            <w:pPr>
              <w:spacing w:after="0" w:line="240" w:lineRule="auto"/>
              <w:jc w:val="center"/>
              <w:rPr>
                <w:rFonts w:cs="Arial"/>
                <w:color w:val="000000"/>
                <w:sz w:val="16"/>
                <w:szCs w:val="16"/>
              </w:rPr>
            </w:pPr>
            <w:r>
              <w:rPr>
                <w:rFonts w:cs="Arial"/>
                <w:sz w:val="16"/>
                <w:szCs w:val="16"/>
              </w:rPr>
              <w:t>4,1</w:t>
            </w:r>
          </w:p>
        </w:tc>
        <w:tc>
          <w:tcPr>
            <w:tcW w:w="680" w:type="dxa"/>
            <w:tcBorders>
              <w:top w:val="nil"/>
              <w:left w:val="nil"/>
              <w:bottom w:val="nil"/>
              <w:right w:val="nil"/>
            </w:tcBorders>
            <w:shd w:val="clear" w:color="auto" w:fill="auto"/>
            <w:noWrap/>
            <w:vAlign w:val="center"/>
            <w:hideMark/>
          </w:tcPr>
          <w:p w14:paraId="555A7FDD" w14:textId="4CFD4355" w:rsidR="00987E13" w:rsidRPr="00D92E20" w:rsidRDefault="00987E13" w:rsidP="00987E13">
            <w:pPr>
              <w:spacing w:after="0" w:line="240" w:lineRule="auto"/>
              <w:jc w:val="center"/>
              <w:rPr>
                <w:rFonts w:cs="Arial"/>
                <w:color w:val="000000"/>
                <w:sz w:val="16"/>
                <w:szCs w:val="16"/>
              </w:rPr>
            </w:pPr>
            <w:r>
              <w:rPr>
                <w:rFonts w:cs="Arial"/>
                <w:sz w:val="16"/>
                <w:szCs w:val="16"/>
              </w:rPr>
              <w:t>3,8</w:t>
            </w:r>
          </w:p>
        </w:tc>
        <w:tc>
          <w:tcPr>
            <w:tcW w:w="680" w:type="dxa"/>
            <w:tcBorders>
              <w:top w:val="nil"/>
              <w:left w:val="nil"/>
              <w:bottom w:val="nil"/>
              <w:right w:val="nil"/>
            </w:tcBorders>
            <w:shd w:val="clear" w:color="auto" w:fill="auto"/>
            <w:noWrap/>
            <w:vAlign w:val="center"/>
            <w:hideMark/>
          </w:tcPr>
          <w:p w14:paraId="0BE82B89" w14:textId="2C4D2365" w:rsidR="00987E13" w:rsidRPr="00D92E20" w:rsidRDefault="00987E13" w:rsidP="00987E13">
            <w:pPr>
              <w:spacing w:after="0" w:line="240" w:lineRule="auto"/>
              <w:jc w:val="center"/>
              <w:rPr>
                <w:rFonts w:cs="Arial"/>
                <w:color w:val="000000"/>
                <w:sz w:val="16"/>
                <w:szCs w:val="16"/>
              </w:rPr>
            </w:pPr>
            <w:r>
              <w:rPr>
                <w:rFonts w:cs="Arial"/>
                <w:sz w:val="16"/>
                <w:szCs w:val="16"/>
              </w:rPr>
              <w:t>4,4</w:t>
            </w:r>
          </w:p>
        </w:tc>
        <w:tc>
          <w:tcPr>
            <w:tcW w:w="680" w:type="dxa"/>
            <w:tcBorders>
              <w:top w:val="nil"/>
              <w:left w:val="nil"/>
              <w:bottom w:val="nil"/>
              <w:right w:val="nil"/>
            </w:tcBorders>
            <w:shd w:val="clear" w:color="auto" w:fill="auto"/>
            <w:noWrap/>
            <w:vAlign w:val="center"/>
            <w:hideMark/>
          </w:tcPr>
          <w:p w14:paraId="64DAEFF9" w14:textId="7004E926" w:rsidR="00987E13" w:rsidRPr="00D92E20" w:rsidRDefault="00987E13" w:rsidP="00987E13">
            <w:pPr>
              <w:spacing w:after="0" w:line="240" w:lineRule="auto"/>
              <w:jc w:val="center"/>
              <w:rPr>
                <w:rFonts w:cs="Arial"/>
                <w:color w:val="000000"/>
                <w:sz w:val="16"/>
                <w:szCs w:val="16"/>
              </w:rPr>
            </w:pPr>
            <w:r>
              <w:rPr>
                <w:rFonts w:cs="Arial"/>
                <w:sz w:val="16"/>
                <w:szCs w:val="16"/>
              </w:rPr>
              <w:t>4,5</w:t>
            </w:r>
          </w:p>
        </w:tc>
        <w:tc>
          <w:tcPr>
            <w:tcW w:w="680" w:type="dxa"/>
            <w:tcBorders>
              <w:top w:val="nil"/>
              <w:left w:val="nil"/>
              <w:bottom w:val="nil"/>
              <w:right w:val="nil"/>
            </w:tcBorders>
            <w:shd w:val="clear" w:color="auto" w:fill="auto"/>
            <w:noWrap/>
            <w:vAlign w:val="center"/>
            <w:hideMark/>
          </w:tcPr>
          <w:p w14:paraId="3E350F0E" w14:textId="22A7F387" w:rsidR="00987E13" w:rsidRPr="00D92E20" w:rsidRDefault="00987E13" w:rsidP="00987E13">
            <w:pPr>
              <w:spacing w:after="0" w:line="240" w:lineRule="auto"/>
              <w:jc w:val="center"/>
              <w:rPr>
                <w:rFonts w:cs="Arial"/>
                <w:color w:val="000000"/>
                <w:sz w:val="16"/>
                <w:szCs w:val="16"/>
              </w:rPr>
            </w:pPr>
            <w:r>
              <w:rPr>
                <w:rFonts w:cs="Arial"/>
                <w:sz w:val="16"/>
                <w:szCs w:val="16"/>
              </w:rPr>
              <w:t>4,7</w:t>
            </w:r>
          </w:p>
        </w:tc>
        <w:tc>
          <w:tcPr>
            <w:tcW w:w="680" w:type="dxa"/>
            <w:tcBorders>
              <w:top w:val="nil"/>
              <w:left w:val="nil"/>
              <w:bottom w:val="nil"/>
              <w:right w:val="nil"/>
            </w:tcBorders>
            <w:shd w:val="clear" w:color="auto" w:fill="auto"/>
            <w:noWrap/>
            <w:vAlign w:val="center"/>
            <w:hideMark/>
          </w:tcPr>
          <w:p w14:paraId="148F5FA2" w14:textId="5C0051DB" w:rsidR="00987E13" w:rsidRPr="00D92E20" w:rsidRDefault="00987E13" w:rsidP="00987E13">
            <w:pPr>
              <w:spacing w:after="0" w:line="240" w:lineRule="auto"/>
              <w:jc w:val="center"/>
              <w:rPr>
                <w:rFonts w:cs="Arial"/>
                <w:color w:val="000000"/>
                <w:sz w:val="16"/>
                <w:szCs w:val="16"/>
              </w:rPr>
            </w:pPr>
            <w:r>
              <w:rPr>
                <w:rFonts w:cs="Arial"/>
                <w:color w:val="000000"/>
                <w:sz w:val="16"/>
                <w:szCs w:val="16"/>
              </w:rPr>
              <w:t>4,8</w:t>
            </w:r>
          </w:p>
        </w:tc>
        <w:tc>
          <w:tcPr>
            <w:tcW w:w="680" w:type="dxa"/>
            <w:tcBorders>
              <w:top w:val="nil"/>
              <w:left w:val="nil"/>
              <w:bottom w:val="nil"/>
              <w:right w:val="nil"/>
            </w:tcBorders>
            <w:shd w:val="clear" w:color="auto" w:fill="auto"/>
            <w:noWrap/>
            <w:vAlign w:val="center"/>
            <w:hideMark/>
          </w:tcPr>
          <w:p w14:paraId="5B5491A2" w14:textId="2B8BD6EC" w:rsidR="00987E13" w:rsidRPr="00D92E20" w:rsidRDefault="00987E13" w:rsidP="00987E13">
            <w:pPr>
              <w:spacing w:after="0" w:line="240" w:lineRule="auto"/>
              <w:jc w:val="center"/>
              <w:rPr>
                <w:rFonts w:cs="Arial"/>
                <w:color w:val="000000"/>
                <w:sz w:val="16"/>
                <w:szCs w:val="16"/>
              </w:rPr>
            </w:pPr>
            <w:r>
              <w:rPr>
                <w:rFonts w:cs="Arial"/>
                <w:color w:val="000000"/>
                <w:sz w:val="16"/>
                <w:szCs w:val="16"/>
              </w:rPr>
              <w:t>4,8</w:t>
            </w:r>
          </w:p>
        </w:tc>
        <w:tc>
          <w:tcPr>
            <w:tcW w:w="680" w:type="dxa"/>
            <w:tcBorders>
              <w:top w:val="nil"/>
              <w:left w:val="nil"/>
              <w:bottom w:val="nil"/>
              <w:right w:val="nil"/>
            </w:tcBorders>
            <w:shd w:val="clear" w:color="auto" w:fill="auto"/>
            <w:noWrap/>
            <w:vAlign w:val="center"/>
            <w:hideMark/>
          </w:tcPr>
          <w:p w14:paraId="5663CE24" w14:textId="3AFBC130" w:rsidR="00987E13" w:rsidRPr="00D92E20" w:rsidRDefault="00987E13" w:rsidP="00987E13">
            <w:pPr>
              <w:spacing w:after="0" w:line="240" w:lineRule="auto"/>
              <w:jc w:val="center"/>
              <w:rPr>
                <w:rFonts w:cs="Arial"/>
                <w:color w:val="000000"/>
                <w:sz w:val="16"/>
                <w:szCs w:val="16"/>
              </w:rPr>
            </w:pPr>
            <w:r>
              <w:rPr>
                <w:rFonts w:cs="Arial"/>
                <w:color w:val="000000"/>
                <w:sz w:val="16"/>
                <w:szCs w:val="16"/>
              </w:rPr>
              <w:t>5,5</w:t>
            </w:r>
          </w:p>
        </w:tc>
        <w:tc>
          <w:tcPr>
            <w:tcW w:w="680" w:type="dxa"/>
            <w:tcBorders>
              <w:top w:val="nil"/>
              <w:left w:val="nil"/>
              <w:bottom w:val="nil"/>
              <w:right w:val="nil"/>
            </w:tcBorders>
            <w:shd w:val="clear" w:color="auto" w:fill="auto"/>
            <w:noWrap/>
            <w:vAlign w:val="center"/>
            <w:hideMark/>
          </w:tcPr>
          <w:p w14:paraId="4DE81032" w14:textId="1690A452" w:rsidR="00987E13" w:rsidRPr="00D92E20" w:rsidRDefault="00987E13" w:rsidP="00987E13">
            <w:pPr>
              <w:spacing w:after="0" w:line="240" w:lineRule="auto"/>
              <w:jc w:val="center"/>
              <w:rPr>
                <w:rFonts w:cs="Arial"/>
                <w:color w:val="000000"/>
                <w:sz w:val="16"/>
                <w:szCs w:val="16"/>
              </w:rPr>
            </w:pPr>
            <w:r>
              <w:rPr>
                <w:rFonts w:cs="Arial"/>
                <w:color w:val="000000"/>
                <w:sz w:val="16"/>
                <w:szCs w:val="16"/>
              </w:rPr>
              <w:t>5,8</w:t>
            </w:r>
          </w:p>
        </w:tc>
        <w:tc>
          <w:tcPr>
            <w:tcW w:w="680" w:type="dxa"/>
            <w:tcBorders>
              <w:top w:val="nil"/>
              <w:left w:val="nil"/>
              <w:bottom w:val="nil"/>
              <w:right w:val="nil"/>
            </w:tcBorders>
            <w:shd w:val="clear" w:color="auto" w:fill="auto"/>
            <w:noWrap/>
            <w:vAlign w:val="center"/>
            <w:hideMark/>
          </w:tcPr>
          <w:p w14:paraId="5AC23530" w14:textId="0948E23E" w:rsidR="00987E13" w:rsidRPr="00D92E20" w:rsidRDefault="00987E13" w:rsidP="00987E13">
            <w:pPr>
              <w:spacing w:after="0" w:line="240" w:lineRule="auto"/>
              <w:jc w:val="center"/>
              <w:rPr>
                <w:rFonts w:cs="Arial"/>
                <w:color w:val="000000"/>
                <w:sz w:val="16"/>
                <w:szCs w:val="16"/>
              </w:rPr>
            </w:pPr>
            <w:r>
              <w:rPr>
                <w:rFonts w:cs="Arial"/>
                <w:color w:val="000000"/>
                <w:sz w:val="16"/>
                <w:szCs w:val="16"/>
              </w:rPr>
              <w:t>5,9</w:t>
            </w:r>
          </w:p>
        </w:tc>
      </w:tr>
      <w:tr w:rsidR="00987E13" w:rsidRPr="00D92E20" w14:paraId="7B2C54D7" w14:textId="77777777" w:rsidTr="004D1BAD">
        <w:trPr>
          <w:trHeight w:val="300"/>
        </w:trPr>
        <w:tc>
          <w:tcPr>
            <w:tcW w:w="2041" w:type="dxa"/>
            <w:tcBorders>
              <w:top w:val="nil"/>
              <w:left w:val="nil"/>
              <w:bottom w:val="nil"/>
              <w:right w:val="single" w:sz="4" w:space="0" w:color="auto"/>
            </w:tcBorders>
            <w:shd w:val="clear" w:color="auto" w:fill="auto"/>
            <w:noWrap/>
            <w:vAlign w:val="center"/>
            <w:hideMark/>
          </w:tcPr>
          <w:p w14:paraId="1DF67F6B" w14:textId="77777777" w:rsidR="00987E13" w:rsidRPr="00D92E20" w:rsidRDefault="00987E13" w:rsidP="00987E13">
            <w:pPr>
              <w:spacing w:after="0" w:line="240" w:lineRule="auto"/>
              <w:ind w:firstLineChars="100" w:firstLine="160"/>
              <w:rPr>
                <w:rFonts w:cs="Arial"/>
                <w:color w:val="000000"/>
                <w:sz w:val="16"/>
                <w:szCs w:val="16"/>
              </w:rPr>
            </w:pPr>
            <w:r w:rsidRPr="00D92E20">
              <w:rPr>
                <w:rFonts w:cs="Arial"/>
                <w:color w:val="000000"/>
                <w:sz w:val="16"/>
                <w:szCs w:val="16"/>
              </w:rPr>
              <w:t>Olomoucký kraj</w:t>
            </w:r>
          </w:p>
        </w:tc>
        <w:tc>
          <w:tcPr>
            <w:tcW w:w="680" w:type="dxa"/>
            <w:tcBorders>
              <w:top w:val="nil"/>
              <w:left w:val="nil"/>
              <w:bottom w:val="nil"/>
              <w:right w:val="nil"/>
            </w:tcBorders>
            <w:shd w:val="clear" w:color="auto" w:fill="auto"/>
            <w:noWrap/>
            <w:vAlign w:val="center"/>
            <w:hideMark/>
          </w:tcPr>
          <w:p w14:paraId="1482EF4F" w14:textId="6FAE88B1" w:rsidR="00987E13" w:rsidRPr="00D92E20" w:rsidRDefault="00987E13" w:rsidP="00987E13">
            <w:pPr>
              <w:spacing w:after="0" w:line="240" w:lineRule="auto"/>
              <w:jc w:val="center"/>
              <w:rPr>
                <w:rFonts w:cs="Arial"/>
                <w:color w:val="000000"/>
                <w:sz w:val="16"/>
                <w:szCs w:val="16"/>
              </w:rPr>
            </w:pPr>
            <w:r>
              <w:rPr>
                <w:rFonts w:cs="Arial"/>
                <w:sz w:val="16"/>
                <w:szCs w:val="16"/>
              </w:rPr>
              <w:t>3,9</w:t>
            </w:r>
          </w:p>
        </w:tc>
        <w:tc>
          <w:tcPr>
            <w:tcW w:w="680" w:type="dxa"/>
            <w:tcBorders>
              <w:top w:val="nil"/>
              <w:left w:val="nil"/>
              <w:bottom w:val="nil"/>
              <w:right w:val="nil"/>
            </w:tcBorders>
            <w:shd w:val="clear" w:color="auto" w:fill="auto"/>
            <w:noWrap/>
            <w:vAlign w:val="center"/>
            <w:hideMark/>
          </w:tcPr>
          <w:p w14:paraId="7E236F74" w14:textId="567D974E" w:rsidR="00987E13" w:rsidRPr="00D92E20" w:rsidRDefault="00987E13" w:rsidP="00987E13">
            <w:pPr>
              <w:spacing w:after="0" w:line="240" w:lineRule="auto"/>
              <w:jc w:val="center"/>
              <w:rPr>
                <w:rFonts w:cs="Arial"/>
                <w:color w:val="000000"/>
                <w:sz w:val="16"/>
                <w:szCs w:val="16"/>
              </w:rPr>
            </w:pPr>
            <w:r>
              <w:rPr>
                <w:rFonts w:cs="Arial"/>
                <w:sz w:val="16"/>
                <w:szCs w:val="16"/>
              </w:rPr>
              <w:t>4,2</w:t>
            </w:r>
          </w:p>
        </w:tc>
        <w:tc>
          <w:tcPr>
            <w:tcW w:w="680" w:type="dxa"/>
            <w:tcBorders>
              <w:top w:val="nil"/>
              <w:left w:val="nil"/>
              <w:bottom w:val="nil"/>
              <w:right w:val="nil"/>
            </w:tcBorders>
            <w:shd w:val="clear" w:color="auto" w:fill="auto"/>
            <w:noWrap/>
            <w:vAlign w:val="center"/>
            <w:hideMark/>
          </w:tcPr>
          <w:p w14:paraId="3077B977" w14:textId="62DAD225" w:rsidR="00987E13" w:rsidRPr="00D92E20" w:rsidRDefault="00987E13" w:rsidP="00987E13">
            <w:pPr>
              <w:spacing w:after="0" w:line="240" w:lineRule="auto"/>
              <w:jc w:val="center"/>
              <w:rPr>
                <w:rFonts w:cs="Arial"/>
                <w:color w:val="000000"/>
                <w:sz w:val="16"/>
                <w:szCs w:val="16"/>
              </w:rPr>
            </w:pPr>
            <w:r>
              <w:rPr>
                <w:rFonts w:cs="Arial"/>
                <w:sz w:val="16"/>
                <w:szCs w:val="16"/>
              </w:rPr>
              <w:t>4,1</w:t>
            </w:r>
          </w:p>
        </w:tc>
        <w:tc>
          <w:tcPr>
            <w:tcW w:w="680" w:type="dxa"/>
            <w:tcBorders>
              <w:top w:val="nil"/>
              <w:left w:val="nil"/>
              <w:bottom w:val="nil"/>
              <w:right w:val="nil"/>
            </w:tcBorders>
            <w:shd w:val="clear" w:color="auto" w:fill="auto"/>
            <w:noWrap/>
            <w:vAlign w:val="center"/>
            <w:hideMark/>
          </w:tcPr>
          <w:p w14:paraId="7C12DBAD" w14:textId="084364CD" w:rsidR="00987E13" w:rsidRPr="00D92E20" w:rsidRDefault="00987E13" w:rsidP="00987E13">
            <w:pPr>
              <w:spacing w:after="0" w:line="240" w:lineRule="auto"/>
              <w:jc w:val="center"/>
              <w:rPr>
                <w:rFonts w:cs="Arial"/>
                <w:color w:val="000000"/>
                <w:sz w:val="16"/>
                <w:szCs w:val="16"/>
              </w:rPr>
            </w:pPr>
            <w:r>
              <w:rPr>
                <w:rFonts w:cs="Arial"/>
                <w:sz w:val="16"/>
                <w:szCs w:val="16"/>
              </w:rPr>
              <w:t>4,5</w:t>
            </w:r>
          </w:p>
        </w:tc>
        <w:tc>
          <w:tcPr>
            <w:tcW w:w="680" w:type="dxa"/>
            <w:tcBorders>
              <w:top w:val="nil"/>
              <w:left w:val="nil"/>
              <w:bottom w:val="nil"/>
              <w:right w:val="nil"/>
            </w:tcBorders>
            <w:shd w:val="clear" w:color="auto" w:fill="auto"/>
            <w:noWrap/>
            <w:vAlign w:val="center"/>
            <w:hideMark/>
          </w:tcPr>
          <w:p w14:paraId="7A8266B1" w14:textId="460999C7" w:rsidR="00987E13" w:rsidRPr="00D92E20" w:rsidRDefault="00987E13" w:rsidP="00987E13">
            <w:pPr>
              <w:spacing w:after="0" w:line="240" w:lineRule="auto"/>
              <w:jc w:val="center"/>
              <w:rPr>
                <w:rFonts w:cs="Arial"/>
                <w:color w:val="000000"/>
                <w:sz w:val="16"/>
                <w:szCs w:val="16"/>
              </w:rPr>
            </w:pPr>
            <w:r>
              <w:rPr>
                <w:rFonts w:cs="Arial"/>
                <w:sz w:val="16"/>
                <w:szCs w:val="16"/>
              </w:rPr>
              <w:t>4,8</w:t>
            </w:r>
          </w:p>
        </w:tc>
        <w:tc>
          <w:tcPr>
            <w:tcW w:w="680" w:type="dxa"/>
            <w:tcBorders>
              <w:top w:val="nil"/>
              <w:left w:val="nil"/>
              <w:bottom w:val="nil"/>
              <w:right w:val="nil"/>
            </w:tcBorders>
            <w:shd w:val="clear" w:color="auto" w:fill="auto"/>
            <w:noWrap/>
            <w:vAlign w:val="center"/>
            <w:hideMark/>
          </w:tcPr>
          <w:p w14:paraId="77AA9566" w14:textId="07D25B76" w:rsidR="00987E13" w:rsidRPr="00D92E20" w:rsidRDefault="00987E13" w:rsidP="00987E13">
            <w:pPr>
              <w:spacing w:after="0" w:line="240" w:lineRule="auto"/>
              <w:jc w:val="center"/>
              <w:rPr>
                <w:rFonts w:cs="Arial"/>
                <w:color w:val="000000"/>
                <w:sz w:val="16"/>
                <w:szCs w:val="16"/>
              </w:rPr>
            </w:pPr>
            <w:r>
              <w:rPr>
                <w:rFonts w:cs="Arial"/>
                <w:sz w:val="16"/>
                <w:szCs w:val="16"/>
              </w:rPr>
              <w:t>4,9</w:t>
            </w:r>
          </w:p>
        </w:tc>
        <w:tc>
          <w:tcPr>
            <w:tcW w:w="680" w:type="dxa"/>
            <w:tcBorders>
              <w:top w:val="nil"/>
              <w:left w:val="nil"/>
              <w:bottom w:val="nil"/>
              <w:right w:val="nil"/>
            </w:tcBorders>
            <w:shd w:val="clear" w:color="auto" w:fill="auto"/>
            <w:noWrap/>
            <w:vAlign w:val="center"/>
            <w:hideMark/>
          </w:tcPr>
          <w:p w14:paraId="6632690E" w14:textId="4DCE913A" w:rsidR="00987E13" w:rsidRPr="00D92E20" w:rsidRDefault="00987E13" w:rsidP="00987E13">
            <w:pPr>
              <w:spacing w:after="0" w:line="240" w:lineRule="auto"/>
              <w:jc w:val="center"/>
              <w:rPr>
                <w:rFonts w:cs="Arial"/>
                <w:color w:val="000000"/>
                <w:sz w:val="16"/>
                <w:szCs w:val="16"/>
              </w:rPr>
            </w:pPr>
            <w:r>
              <w:rPr>
                <w:rFonts w:cs="Arial"/>
                <w:color w:val="000000"/>
                <w:sz w:val="16"/>
                <w:szCs w:val="16"/>
              </w:rPr>
              <w:t>5,0</w:t>
            </w:r>
          </w:p>
        </w:tc>
        <w:tc>
          <w:tcPr>
            <w:tcW w:w="680" w:type="dxa"/>
            <w:tcBorders>
              <w:top w:val="nil"/>
              <w:left w:val="nil"/>
              <w:bottom w:val="nil"/>
              <w:right w:val="nil"/>
            </w:tcBorders>
            <w:shd w:val="clear" w:color="auto" w:fill="auto"/>
            <w:noWrap/>
            <w:vAlign w:val="center"/>
            <w:hideMark/>
          </w:tcPr>
          <w:p w14:paraId="36F539CB" w14:textId="6C84EE43" w:rsidR="00987E13" w:rsidRPr="00D92E20" w:rsidRDefault="00987E13" w:rsidP="00987E13">
            <w:pPr>
              <w:spacing w:after="0" w:line="240" w:lineRule="auto"/>
              <w:jc w:val="center"/>
              <w:rPr>
                <w:rFonts w:cs="Arial"/>
                <w:color w:val="000000"/>
                <w:sz w:val="16"/>
                <w:szCs w:val="16"/>
              </w:rPr>
            </w:pPr>
            <w:r>
              <w:rPr>
                <w:rFonts w:cs="Arial"/>
                <w:color w:val="000000"/>
                <w:sz w:val="16"/>
                <w:szCs w:val="16"/>
              </w:rPr>
              <w:t>5,2</w:t>
            </w:r>
          </w:p>
        </w:tc>
        <w:tc>
          <w:tcPr>
            <w:tcW w:w="680" w:type="dxa"/>
            <w:tcBorders>
              <w:top w:val="nil"/>
              <w:left w:val="nil"/>
              <w:bottom w:val="nil"/>
              <w:right w:val="nil"/>
            </w:tcBorders>
            <w:shd w:val="clear" w:color="auto" w:fill="auto"/>
            <w:noWrap/>
            <w:vAlign w:val="center"/>
            <w:hideMark/>
          </w:tcPr>
          <w:p w14:paraId="78B6F650" w14:textId="4503496B" w:rsidR="00987E13" w:rsidRPr="00D92E20" w:rsidRDefault="00987E13" w:rsidP="00987E13">
            <w:pPr>
              <w:spacing w:after="0" w:line="240" w:lineRule="auto"/>
              <w:jc w:val="center"/>
              <w:rPr>
                <w:rFonts w:cs="Arial"/>
                <w:color w:val="000000"/>
                <w:sz w:val="16"/>
                <w:szCs w:val="16"/>
              </w:rPr>
            </w:pPr>
            <w:r>
              <w:rPr>
                <w:rFonts w:cs="Arial"/>
                <w:color w:val="000000"/>
                <w:sz w:val="16"/>
                <w:szCs w:val="16"/>
              </w:rPr>
              <w:t>6,3</w:t>
            </w:r>
          </w:p>
        </w:tc>
        <w:tc>
          <w:tcPr>
            <w:tcW w:w="680" w:type="dxa"/>
            <w:tcBorders>
              <w:top w:val="nil"/>
              <w:left w:val="nil"/>
              <w:bottom w:val="nil"/>
              <w:right w:val="nil"/>
            </w:tcBorders>
            <w:shd w:val="clear" w:color="auto" w:fill="auto"/>
            <w:noWrap/>
            <w:vAlign w:val="center"/>
            <w:hideMark/>
          </w:tcPr>
          <w:p w14:paraId="1E14458A" w14:textId="53E7890D" w:rsidR="00987E13" w:rsidRPr="00D92E20" w:rsidRDefault="00987E13" w:rsidP="00987E13">
            <w:pPr>
              <w:spacing w:after="0" w:line="240" w:lineRule="auto"/>
              <w:jc w:val="center"/>
              <w:rPr>
                <w:rFonts w:cs="Arial"/>
                <w:color w:val="000000"/>
                <w:sz w:val="16"/>
                <w:szCs w:val="16"/>
              </w:rPr>
            </w:pPr>
            <w:r>
              <w:rPr>
                <w:rFonts w:cs="Arial"/>
                <w:color w:val="000000"/>
                <w:sz w:val="16"/>
                <w:szCs w:val="16"/>
              </w:rPr>
              <w:t>6,4</w:t>
            </w:r>
          </w:p>
        </w:tc>
        <w:tc>
          <w:tcPr>
            <w:tcW w:w="680" w:type="dxa"/>
            <w:tcBorders>
              <w:top w:val="nil"/>
              <w:left w:val="nil"/>
              <w:bottom w:val="nil"/>
              <w:right w:val="nil"/>
            </w:tcBorders>
            <w:shd w:val="clear" w:color="auto" w:fill="auto"/>
            <w:noWrap/>
            <w:vAlign w:val="center"/>
            <w:hideMark/>
          </w:tcPr>
          <w:p w14:paraId="0ABC76F5" w14:textId="2D3DCA82" w:rsidR="00987E13" w:rsidRPr="00D92E20" w:rsidRDefault="00987E13" w:rsidP="00987E13">
            <w:pPr>
              <w:spacing w:after="0" w:line="240" w:lineRule="auto"/>
              <w:jc w:val="center"/>
              <w:rPr>
                <w:rFonts w:cs="Arial"/>
                <w:color w:val="000000"/>
                <w:sz w:val="16"/>
                <w:szCs w:val="16"/>
              </w:rPr>
            </w:pPr>
            <w:r>
              <w:rPr>
                <w:rFonts w:cs="Arial"/>
                <w:color w:val="000000"/>
                <w:sz w:val="16"/>
                <w:szCs w:val="16"/>
              </w:rPr>
              <w:t>6,7</w:t>
            </w:r>
          </w:p>
        </w:tc>
      </w:tr>
      <w:tr w:rsidR="00987E13" w:rsidRPr="00D92E20" w14:paraId="4272B8F1" w14:textId="77777777" w:rsidTr="004D1BAD">
        <w:trPr>
          <w:trHeight w:val="300"/>
        </w:trPr>
        <w:tc>
          <w:tcPr>
            <w:tcW w:w="2041" w:type="dxa"/>
            <w:tcBorders>
              <w:top w:val="nil"/>
              <w:left w:val="nil"/>
              <w:bottom w:val="nil"/>
              <w:right w:val="single" w:sz="4" w:space="0" w:color="auto"/>
            </w:tcBorders>
            <w:shd w:val="clear" w:color="auto" w:fill="auto"/>
            <w:noWrap/>
            <w:vAlign w:val="center"/>
            <w:hideMark/>
          </w:tcPr>
          <w:p w14:paraId="6EBFB304" w14:textId="77777777" w:rsidR="00987E13" w:rsidRPr="00D92E20" w:rsidRDefault="00987E13" w:rsidP="00987E13">
            <w:pPr>
              <w:spacing w:after="0" w:line="240" w:lineRule="auto"/>
              <w:ind w:firstLineChars="100" w:firstLine="160"/>
              <w:rPr>
                <w:rFonts w:cs="Arial"/>
                <w:color w:val="000000"/>
                <w:sz w:val="16"/>
                <w:szCs w:val="16"/>
              </w:rPr>
            </w:pPr>
            <w:r w:rsidRPr="00D92E20">
              <w:rPr>
                <w:rFonts w:cs="Arial"/>
                <w:color w:val="000000"/>
                <w:sz w:val="16"/>
                <w:szCs w:val="16"/>
              </w:rPr>
              <w:t>Zlínský kraj</w:t>
            </w:r>
          </w:p>
        </w:tc>
        <w:tc>
          <w:tcPr>
            <w:tcW w:w="680" w:type="dxa"/>
            <w:tcBorders>
              <w:top w:val="nil"/>
              <w:left w:val="nil"/>
              <w:bottom w:val="nil"/>
              <w:right w:val="nil"/>
            </w:tcBorders>
            <w:shd w:val="clear" w:color="auto" w:fill="auto"/>
            <w:noWrap/>
            <w:vAlign w:val="center"/>
            <w:hideMark/>
          </w:tcPr>
          <w:p w14:paraId="4B43847B" w14:textId="186E82C0" w:rsidR="00987E13" w:rsidRPr="00D92E20" w:rsidRDefault="00987E13" w:rsidP="00987E13">
            <w:pPr>
              <w:spacing w:after="0" w:line="240" w:lineRule="auto"/>
              <w:jc w:val="center"/>
              <w:rPr>
                <w:rFonts w:cs="Arial"/>
                <w:color w:val="000000"/>
                <w:sz w:val="16"/>
                <w:szCs w:val="16"/>
              </w:rPr>
            </w:pPr>
            <w:r>
              <w:rPr>
                <w:rFonts w:cs="Arial"/>
                <w:sz w:val="16"/>
                <w:szCs w:val="16"/>
              </w:rPr>
              <w:t>4,4</w:t>
            </w:r>
          </w:p>
        </w:tc>
        <w:tc>
          <w:tcPr>
            <w:tcW w:w="680" w:type="dxa"/>
            <w:tcBorders>
              <w:top w:val="nil"/>
              <w:left w:val="nil"/>
              <w:bottom w:val="nil"/>
              <w:right w:val="nil"/>
            </w:tcBorders>
            <w:shd w:val="clear" w:color="auto" w:fill="auto"/>
            <w:noWrap/>
            <w:vAlign w:val="center"/>
            <w:hideMark/>
          </w:tcPr>
          <w:p w14:paraId="783E4F67" w14:textId="6869953C" w:rsidR="00987E13" w:rsidRPr="00D92E20" w:rsidRDefault="00987E13" w:rsidP="00987E13">
            <w:pPr>
              <w:spacing w:after="0" w:line="240" w:lineRule="auto"/>
              <w:jc w:val="center"/>
              <w:rPr>
                <w:rFonts w:cs="Arial"/>
                <w:color w:val="000000"/>
                <w:sz w:val="16"/>
                <w:szCs w:val="16"/>
              </w:rPr>
            </w:pPr>
            <w:r>
              <w:rPr>
                <w:rFonts w:cs="Arial"/>
                <w:sz w:val="16"/>
                <w:szCs w:val="16"/>
              </w:rPr>
              <w:t>4,9</w:t>
            </w:r>
          </w:p>
        </w:tc>
        <w:tc>
          <w:tcPr>
            <w:tcW w:w="680" w:type="dxa"/>
            <w:tcBorders>
              <w:top w:val="nil"/>
              <w:left w:val="nil"/>
              <w:bottom w:val="nil"/>
              <w:right w:val="nil"/>
            </w:tcBorders>
            <w:shd w:val="clear" w:color="auto" w:fill="auto"/>
            <w:noWrap/>
            <w:vAlign w:val="center"/>
            <w:hideMark/>
          </w:tcPr>
          <w:p w14:paraId="097911C4" w14:textId="4B0D3E0E" w:rsidR="00987E13" w:rsidRPr="00D92E20" w:rsidRDefault="00987E13" w:rsidP="00987E13">
            <w:pPr>
              <w:spacing w:after="0" w:line="240" w:lineRule="auto"/>
              <w:jc w:val="center"/>
              <w:rPr>
                <w:rFonts w:cs="Arial"/>
                <w:color w:val="000000"/>
                <w:sz w:val="16"/>
                <w:szCs w:val="16"/>
              </w:rPr>
            </w:pPr>
            <w:r>
              <w:rPr>
                <w:rFonts w:cs="Arial"/>
                <w:sz w:val="16"/>
                <w:szCs w:val="16"/>
              </w:rPr>
              <w:t>4,6</w:t>
            </w:r>
          </w:p>
        </w:tc>
        <w:tc>
          <w:tcPr>
            <w:tcW w:w="680" w:type="dxa"/>
            <w:tcBorders>
              <w:top w:val="nil"/>
              <w:left w:val="nil"/>
              <w:bottom w:val="nil"/>
              <w:right w:val="nil"/>
            </w:tcBorders>
            <w:shd w:val="clear" w:color="auto" w:fill="auto"/>
            <w:noWrap/>
            <w:vAlign w:val="center"/>
            <w:hideMark/>
          </w:tcPr>
          <w:p w14:paraId="04AB3CB0" w14:textId="1FCC95B8" w:rsidR="00987E13" w:rsidRPr="00D92E20" w:rsidRDefault="00987E13" w:rsidP="00987E13">
            <w:pPr>
              <w:spacing w:after="0" w:line="240" w:lineRule="auto"/>
              <w:jc w:val="center"/>
              <w:rPr>
                <w:rFonts w:cs="Arial"/>
                <w:color w:val="000000"/>
                <w:sz w:val="16"/>
                <w:szCs w:val="16"/>
              </w:rPr>
            </w:pPr>
            <w:r>
              <w:rPr>
                <w:rFonts w:cs="Arial"/>
                <w:sz w:val="16"/>
                <w:szCs w:val="16"/>
              </w:rPr>
              <w:t>5,3</w:t>
            </w:r>
          </w:p>
        </w:tc>
        <w:tc>
          <w:tcPr>
            <w:tcW w:w="680" w:type="dxa"/>
            <w:tcBorders>
              <w:top w:val="nil"/>
              <w:left w:val="nil"/>
              <w:bottom w:val="nil"/>
              <w:right w:val="nil"/>
            </w:tcBorders>
            <w:shd w:val="clear" w:color="auto" w:fill="auto"/>
            <w:noWrap/>
            <w:vAlign w:val="center"/>
            <w:hideMark/>
          </w:tcPr>
          <w:p w14:paraId="3843CD0E" w14:textId="1FCC05F2" w:rsidR="00987E13" w:rsidRPr="00D92E20" w:rsidRDefault="00987E13" w:rsidP="00987E13">
            <w:pPr>
              <w:spacing w:after="0" w:line="240" w:lineRule="auto"/>
              <w:jc w:val="center"/>
              <w:rPr>
                <w:rFonts w:cs="Arial"/>
                <w:color w:val="000000"/>
                <w:sz w:val="16"/>
                <w:szCs w:val="16"/>
              </w:rPr>
            </w:pPr>
            <w:r>
              <w:rPr>
                <w:rFonts w:cs="Arial"/>
                <w:sz w:val="16"/>
                <w:szCs w:val="16"/>
              </w:rPr>
              <w:t>5,5</w:t>
            </w:r>
          </w:p>
        </w:tc>
        <w:tc>
          <w:tcPr>
            <w:tcW w:w="680" w:type="dxa"/>
            <w:tcBorders>
              <w:top w:val="nil"/>
              <w:left w:val="nil"/>
              <w:bottom w:val="nil"/>
              <w:right w:val="nil"/>
            </w:tcBorders>
            <w:shd w:val="clear" w:color="auto" w:fill="auto"/>
            <w:noWrap/>
            <w:vAlign w:val="center"/>
            <w:hideMark/>
          </w:tcPr>
          <w:p w14:paraId="1C1E76DE" w14:textId="15A69104" w:rsidR="00987E13" w:rsidRPr="00D92E20" w:rsidRDefault="00987E13" w:rsidP="00987E13">
            <w:pPr>
              <w:spacing w:after="0" w:line="240" w:lineRule="auto"/>
              <w:jc w:val="center"/>
              <w:rPr>
                <w:rFonts w:cs="Arial"/>
                <w:color w:val="000000"/>
                <w:sz w:val="16"/>
                <w:szCs w:val="16"/>
              </w:rPr>
            </w:pPr>
            <w:r>
              <w:rPr>
                <w:rFonts w:cs="Arial"/>
                <w:sz w:val="16"/>
                <w:szCs w:val="16"/>
              </w:rPr>
              <w:t>5,7</w:t>
            </w:r>
          </w:p>
        </w:tc>
        <w:tc>
          <w:tcPr>
            <w:tcW w:w="680" w:type="dxa"/>
            <w:tcBorders>
              <w:top w:val="nil"/>
              <w:left w:val="nil"/>
              <w:bottom w:val="nil"/>
              <w:right w:val="nil"/>
            </w:tcBorders>
            <w:shd w:val="clear" w:color="auto" w:fill="auto"/>
            <w:noWrap/>
            <w:vAlign w:val="center"/>
            <w:hideMark/>
          </w:tcPr>
          <w:p w14:paraId="57C2E1E3" w14:textId="11A8DF8C" w:rsidR="00987E13" w:rsidRPr="00D92E20" w:rsidRDefault="00987E13" w:rsidP="00987E13">
            <w:pPr>
              <w:spacing w:after="0" w:line="240" w:lineRule="auto"/>
              <w:jc w:val="center"/>
              <w:rPr>
                <w:rFonts w:cs="Arial"/>
                <w:color w:val="000000"/>
                <w:sz w:val="16"/>
                <w:szCs w:val="16"/>
              </w:rPr>
            </w:pPr>
            <w:r>
              <w:rPr>
                <w:rFonts w:cs="Arial"/>
                <w:color w:val="000000"/>
                <w:sz w:val="16"/>
                <w:szCs w:val="16"/>
              </w:rPr>
              <w:t>5,6</w:t>
            </w:r>
          </w:p>
        </w:tc>
        <w:tc>
          <w:tcPr>
            <w:tcW w:w="680" w:type="dxa"/>
            <w:tcBorders>
              <w:top w:val="nil"/>
              <w:left w:val="nil"/>
              <w:bottom w:val="nil"/>
              <w:right w:val="nil"/>
            </w:tcBorders>
            <w:shd w:val="clear" w:color="auto" w:fill="auto"/>
            <w:noWrap/>
            <w:vAlign w:val="center"/>
            <w:hideMark/>
          </w:tcPr>
          <w:p w14:paraId="6A60A6FE" w14:textId="6391A8D3" w:rsidR="00987E13" w:rsidRPr="00D92E20" w:rsidRDefault="00987E13" w:rsidP="00987E13">
            <w:pPr>
              <w:spacing w:after="0" w:line="240" w:lineRule="auto"/>
              <w:jc w:val="center"/>
              <w:rPr>
                <w:rFonts w:cs="Arial"/>
                <w:color w:val="000000"/>
                <w:sz w:val="16"/>
                <w:szCs w:val="16"/>
              </w:rPr>
            </w:pPr>
            <w:r>
              <w:rPr>
                <w:rFonts w:cs="Arial"/>
                <w:color w:val="000000"/>
                <w:sz w:val="16"/>
                <w:szCs w:val="16"/>
              </w:rPr>
              <w:t>5,8</w:t>
            </w:r>
          </w:p>
        </w:tc>
        <w:tc>
          <w:tcPr>
            <w:tcW w:w="680" w:type="dxa"/>
            <w:tcBorders>
              <w:top w:val="nil"/>
              <w:left w:val="nil"/>
              <w:bottom w:val="nil"/>
              <w:right w:val="nil"/>
            </w:tcBorders>
            <w:shd w:val="clear" w:color="auto" w:fill="auto"/>
            <w:noWrap/>
            <w:vAlign w:val="center"/>
            <w:hideMark/>
          </w:tcPr>
          <w:p w14:paraId="18F33CD6" w14:textId="2356A99E" w:rsidR="00987E13" w:rsidRPr="00D92E20" w:rsidRDefault="00987E13" w:rsidP="00987E13">
            <w:pPr>
              <w:spacing w:after="0" w:line="240" w:lineRule="auto"/>
              <w:jc w:val="center"/>
              <w:rPr>
                <w:rFonts w:cs="Arial"/>
                <w:color w:val="000000"/>
                <w:sz w:val="16"/>
                <w:szCs w:val="16"/>
              </w:rPr>
            </w:pPr>
            <w:r>
              <w:rPr>
                <w:rFonts w:cs="Arial"/>
                <w:color w:val="000000"/>
                <w:sz w:val="16"/>
                <w:szCs w:val="16"/>
              </w:rPr>
              <w:t>7,1</w:t>
            </w:r>
          </w:p>
        </w:tc>
        <w:tc>
          <w:tcPr>
            <w:tcW w:w="680" w:type="dxa"/>
            <w:tcBorders>
              <w:top w:val="nil"/>
              <w:left w:val="nil"/>
              <w:bottom w:val="nil"/>
              <w:right w:val="nil"/>
            </w:tcBorders>
            <w:shd w:val="clear" w:color="auto" w:fill="auto"/>
            <w:noWrap/>
            <w:vAlign w:val="center"/>
            <w:hideMark/>
          </w:tcPr>
          <w:p w14:paraId="46719A0F" w14:textId="3331FD79" w:rsidR="00987E13" w:rsidRPr="00D92E20" w:rsidRDefault="00987E13" w:rsidP="00987E13">
            <w:pPr>
              <w:spacing w:after="0" w:line="240" w:lineRule="auto"/>
              <w:jc w:val="center"/>
              <w:rPr>
                <w:rFonts w:cs="Arial"/>
                <w:color w:val="000000"/>
                <w:sz w:val="16"/>
                <w:szCs w:val="16"/>
              </w:rPr>
            </w:pPr>
            <w:r>
              <w:rPr>
                <w:rFonts w:cs="Arial"/>
                <w:color w:val="000000"/>
                <w:sz w:val="16"/>
                <w:szCs w:val="16"/>
              </w:rPr>
              <w:t>7,0</w:t>
            </w:r>
          </w:p>
        </w:tc>
        <w:tc>
          <w:tcPr>
            <w:tcW w:w="680" w:type="dxa"/>
            <w:tcBorders>
              <w:top w:val="nil"/>
              <w:left w:val="nil"/>
              <w:bottom w:val="nil"/>
              <w:right w:val="nil"/>
            </w:tcBorders>
            <w:shd w:val="clear" w:color="auto" w:fill="auto"/>
            <w:noWrap/>
            <w:vAlign w:val="center"/>
            <w:hideMark/>
          </w:tcPr>
          <w:p w14:paraId="0F3013C2" w14:textId="69BD4E8A" w:rsidR="00987E13" w:rsidRPr="00D92E20" w:rsidRDefault="00987E13" w:rsidP="00987E13">
            <w:pPr>
              <w:spacing w:after="0" w:line="240" w:lineRule="auto"/>
              <w:jc w:val="center"/>
              <w:rPr>
                <w:rFonts w:cs="Arial"/>
                <w:color w:val="000000"/>
                <w:sz w:val="16"/>
                <w:szCs w:val="16"/>
              </w:rPr>
            </w:pPr>
            <w:r>
              <w:rPr>
                <w:rFonts w:cs="Arial"/>
                <w:color w:val="000000"/>
                <w:sz w:val="16"/>
                <w:szCs w:val="16"/>
              </w:rPr>
              <w:t>7,2</w:t>
            </w:r>
          </w:p>
        </w:tc>
      </w:tr>
      <w:tr w:rsidR="00987E13" w:rsidRPr="00D92E20" w14:paraId="10048B53" w14:textId="77777777" w:rsidTr="004D1BAD">
        <w:trPr>
          <w:trHeight w:val="300"/>
        </w:trPr>
        <w:tc>
          <w:tcPr>
            <w:tcW w:w="2041" w:type="dxa"/>
            <w:tcBorders>
              <w:top w:val="nil"/>
              <w:left w:val="nil"/>
              <w:bottom w:val="nil"/>
              <w:right w:val="single" w:sz="4" w:space="0" w:color="auto"/>
            </w:tcBorders>
            <w:shd w:val="clear" w:color="auto" w:fill="auto"/>
            <w:noWrap/>
            <w:vAlign w:val="center"/>
            <w:hideMark/>
          </w:tcPr>
          <w:p w14:paraId="462DC99F" w14:textId="77777777" w:rsidR="00987E13" w:rsidRPr="00D92E20" w:rsidRDefault="00987E13" w:rsidP="00987E13">
            <w:pPr>
              <w:spacing w:after="0" w:line="240" w:lineRule="auto"/>
              <w:ind w:firstLineChars="100" w:firstLine="160"/>
              <w:rPr>
                <w:rFonts w:cs="Arial"/>
                <w:color w:val="000000"/>
                <w:sz w:val="16"/>
                <w:szCs w:val="16"/>
              </w:rPr>
            </w:pPr>
            <w:r w:rsidRPr="00D92E20">
              <w:rPr>
                <w:rFonts w:cs="Arial"/>
                <w:color w:val="000000"/>
                <w:sz w:val="16"/>
                <w:szCs w:val="16"/>
              </w:rPr>
              <w:t>Moravskoslezský kraj</w:t>
            </w:r>
          </w:p>
        </w:tc>
        <w:tc>
          <w:tcPr>
            <w:tcW w:w="680" w:type="dxa"/>
            <w:tcBorders>
              <w:top w:val="nil"/>
              <w:left w:val="nil"/>
              <w:bottom w:val="nil"/>
              <w:right w:val="nil"/>
            </w:tcBorders>
            <w:shd w:val="clear" w:color="auto" w:fill="auto"/>
            <w:noWrap/>
            <w:vAlign w:val="center"/>
            <w:hideMark/>
          </w:tcPr>
          <w:p w14:paraId="659CAAF5" w14:textId="6FC6EFE5" w:rsidR="00987E13" w:rsidRPr="00D92E20" w:rsidRDefault="00987E13" w:rsidP="00987E13">
            <w:pPr>
              <w:spacing w:after="0" w:line="240" w:lineRule="auto"/>
              <w:jc w:val="center"/>
              <w:rPr>
                <w:rFonts w:cs="Arial"/>
                <w:color w:val="000000"/>
                <w:sz w:val="16"/>
                <w:szCs w:val="16"/>
              </w:rPr>
            </w:pPr>
            <w:r>
              <w:rPr>
                <w:rFonts w:cs="Arial"/>
                <w:sz w:val="16"/>
                <w:szCs w:val="16"/>
              </w:rPr>
              <w:t>4,3</w:t>
            </w:r>
          </w:p>
        </w:tc>
        <w:tc>
          <w:tcPr>
            <w:tcW w:w="680" w:type="dxa"/>
            <w:tcBorders>
              <w:top w:val="nil"/>
              <w:left w:val="nil"/>
              <w:bottom w:val="nil"/>
              <w:right w:val="nil"/>
            </w:tcBorders>
            <w:shd w:val="clear" w:color="auto" w:fill="auto"/>
            <w:noWrap/>
            <w:vAlign w:val="center"/>
            <w:hideMark/>
          </w:tcPr>
          <w:p w14:paraId="46575CCF" w14:textId="72C09667" w:rsidR="00987E13" w:rsidRPr="00D92E20" w:rsidRDefault="00987E13" w:rsidP="00987E13">
            <w:pPr>
              <w:spacing w:after="0" w:line="240" w:lineRule="auto"/>
              <w:jc w:val="center"/>
              <w:rPr>
                <w:rFonts w:cs="Arial"/>
                <w:color w:val="000000"/>
                <w:sz w:val="16"/>
                <w:szCs w:val="16"/>
              </w:rPr>
            </w:pPr>
            <w:r>
              <w:rPr>
                <w:rFonts w:cs="Arial"/>
                <w:sz w:val="16"/>
                <w:szCs w:val="16"/>
              </w:rPr>
              <w:t>4,7</w:t>
            </w:r>
          </w:p>
        </w:tc>
        <w:tc>
          <w:tcPr>
            <w:tcW w:w="680" w:type="dxa"/>
            <w:tcBorders>
              <w:top w:val="nil"/>
              <w:left w:val="nil"/>
              <w:bottom w:val="nil"/>
              <w:right w:val="nil"/>
            </w:tcBorders>
            <w:shd w:val="clear" w:color="auto" w:fill="auto"/>
            <w:noWrap/>
            <w:vAlign w:val="center"/>
            <w:hideMark/>
          </w:tcPr>
          <w:p w14:paraId="209048F1" w14:textId="5D966DB7" w:rsidR="00987E13" w:rsidRPr="00D92E20" w:rsidRDefault="00987E13" w:rsidP="00987E13">
            <w:pPr>
              <w:spacing w:after="0" w:line="240" w:lineRule="auto"/>
              <w:jc w:val="center"/>
              <w:rPr>
                <w:rFonts w:cs="Arial"/>
                <w:color w:val="000000"/>
                <w:sz w:val="16"/>
                <w:szCs w:val="16"/>
              </w:rPr>
            </w:pPr>
            <w:r>
              <w:rPr>
                <w:rFonts w:cs="Arial"/>
                <w:sz w:val="16"/>
                <w:szCs w:val="16"/>
              </w:rPr>
              <w:t>4,5</w:t>
            </w:r>
          </w:p>
        </w:tc>
        <w:tc>
          <w:tcPr>
            <w:tcW w:w="680" w:type="dxa"/>
            <w:tcBorders>
              <w:top w:val="nil"/>
              <w:left w:val="nil"/>
              <w:bottom w:val="nil"/>
              <w:right w:val="nil"/>
            </w:tcBorders>
            <w:shd w:val="clear" w:color="auto" w:fill="auto"/>
            <w:noWrap/>
            <w:vAlign w:val="center"/>
            <w:hideMark/>
          </w:tcPr>
          <w:p w14:paraId="5A4B13ED" w14:textId="4F3D43C3" w:rsidR="00987E13" w:rsidRPr="00D92E20" w:rsidRDefault="00987E13" w:rsidP="00987E13">
            <w:pPr>
              <w:spacing w:after="0" w:line="240" w:lineRule="auto"/>
              <w:jc w:val="center"/>
              <w:rPr>
                <w:rFonts w:cs="Arial"/>
                <w:color w:val="000000"/>
                <w:sz w:val="16"/>
                <w:szCs w:val="16"/>
              </w:rPr>
            </w:pPr>
            <w:r>
              <w:rPr>
                <w:rFonts w:cs="Arial"/>
                <w:sz w:val="16"/>
                <w:szCs w:val="16"/>
              </w:rPr>
              <w:t>5,1</w:t>
            </w:r>
          </w:p>
        </w:tc>
        <w:tc>
          <w:tcPr>
            <w:tcW w:w="680" w:type="dxa"/>
            <w:tcBorders>
              <w:top w:val="nil"/>
              <w:left w:val="nil"/>
              <w:bottom w:val="nil"/>
              <w:right w:val="nil"/>
            </w:tcBorders>
            <w:shd w:val="clear" w:color="auto" w:fill="auto"/>
            <w:noWrap/>
            <w:vAlign w:val="center"/>
            <w:hideMark/>
          </w:tcPr>
          <w:p w14:paraId="0D4844CA" w14:textId="28F0AFC3" w:rsidR="00987E13" w:rsidRPr="00D92E20" w:rsidRDefault="00987E13" w:rsidP="00987E13">
            <w:pPr>
              <w:spacing w:after="0" w:line="240" w:lineRule="auto"/>
              <w:jc w:val="center"/>
              <w:rPr>
                <w:rFonts w:cs="Arial"/>
                <w:color w:val="000000"/>
                <w:sz w:val="16"/>
                <w:szCs w:val="16"/>
              </w:rPr>
            </w:pPr>
            <w:r>
              <w:rPr>
                <w:rFonts w:cs="Arial"/>
                <w:sz w:val="16"/>
                <w:szCs w:val="16"/>
              </w:rPr>
              <w:t>5,4</w:t>
            </w:r>
          </w:p>
        </w:tc>
        <w:tc>
          <w:tcPr>
            <w:tcW w:w="680" w:type="dxa"/>
            <w:tcBorders>
              <w:top w:val="nil"/>
              <w:left w:val="nil"/>
              <w:bottom w:val="nil"/>
              <w:right w:val="nil"/>
            </w:tcBorders>
            <w:shd w:val="clear" w:color="auto" w:fill="auto"/>
            <w:noWrap/>
            <w:vAlign w:val="center"/>
            <w:hideMark/>
          </w:tcPr>
          <w:p w14:paraId="2883BD1F" w14:textId="1B3184F6" w:rsidR="00987E13" w:rsidRPr="00D92E20" w:rsidRDefault="00987E13" w:rsidP="00987E13">
            <w:pPr>
              <w:spacing w:after="0" w:line="240" w:lineRule="auto"/>
              <w:jc w:val="center"/>
              <w:rPr>
                <w:rFonts w:cs="Arial"/>
                <w:color w:val="000000"/>
                <w:sz w:val="16"/>
                <w:szCs w:val="16"/>
              </w:rPr>
            </w:pPr>
            <w:r>
              <w:rPr>
                <w:rFonts w:cs="Arial"/>
                <w:sz w:val="16"/>
                <w:szCs w:val="16"/>
              </w:rPr>
              <w:t>5,6</w:t>
            </w:r>
          </w:p>
        </w:tc>
        <w:tc>
          <w:tcPr>
            <w:tcW w:w="680" w:type="dxa"/>
            <w:tcBorders>
              <w:top w:val="nil"/>
              <w:left w:val="nil"/>
              <w:bottom w:val="nil"/>
              <w:right w:val="nil"/>
            </w:tcBorders>
            <w:shd w:val="clear" w:color="auto" w:fill="auto"/>
            <w:noWrap/>
            <w:vAlign w:val="center"/>
            <w:hideMark/>
          </w:tcPr>
          <w:p w14:paraId="60FB0987" w14:textId="3C675E31" w:rsidR="00987E13" w:rsidRPr="00D92E20" w:rsidRDefault="00987E13" w:rsidP="00987E13">
            <w:pPr>
              <w:spacing w:after="0" w:line="240" w:lineRule="auto"/>
              <w:jc w:val="center"/>
              <w:rPr>
                <w:rFonts w:cs="Arial"/>
                <w:color w:val="000000"/>
                <w:sz w:val="16"/>
                <w:szCs w:val="16"/>
              </w:rPr>
            </w:pPr>
            <w:r>
              <w:rPr>
                <w:rFonts w:cs="Arial"/>
                <w:color w:val="000000"/>
                <w:sz w:val="16"/>
                <w:szCs w:val="16"/>
              </w:rPr>
              <w:t>5,7</w:t>
            </w:r>
          </w:p>
        </w:tc>
        <w:tc>
          <w:tcPr>
            <w:tcW w:w="680" w:type="dxa"/>
            <w:tcBorders>
              <w:top w:val="nil"/>
              <w:left w:val="nil"/>
              <w:bottom w:val="nil"/>
              <w:right w:val="nil"/>
            </w:tcBorders>
            <w:shd w:val="clear" w:color="auto" w:fill="auto"/>
            <w:noWrap/>
            <w:vAlign w:val="center"/>
            <w:hideMark/>
          </w:tcPr>
          <w:p w14:paraId="19A973E3" w14:textId="5094FD25" w:rsidR="00987E13" w:rsidRPr="00D92E20" w:rsidRDefault="00987E13" w:rsidP="00987E13">
            <w:pPr>
              <w:spacing w:after="0" w:line="240" w:lineRule="auto"/>
              <w:jc w:val="center"/>
              <w:rPr>
                <w:rFonts w:cs="Arial"/>
                <w:color w:val="000000"/>
                <w:sz w:val="16"/>
                <w:szCs w:val="16"/>
              </w:rPr>
            </w:pPr>
            <w:r>
              <w:rPr>
                <w:rFonts w:cs="Arial"/>
                <w:color w:val="000000"/>
                <w:sz w:val="16"/>
                <w:szCs w:val="16"/>
              </w:rPr>
              <w:t>6,0</w:t>
            </w:r>
          </w:p>
        </w:tc>
        <w:tc>
          <w:tcPr>
            <w:tcW w:w="680" w:type="dxa"/>
            <w:tcBorders>
              <w:top w:val="nil"/>
              <w:left w:val="nil"/>
              <w:bottom w:val="nil"/>
              <w:right w:val="nil"/>
            </w:tcBorders>
            <w:shd w:val="clear" w:color="auto" w:fill="auto"/>
            <w:noWrap/>
            <w:vAlign w:val="center"/>
            <w:hideMark/>
          </w:tcPr>
          <w:p w14:paraId="14CF77E6" w14:textId="34E396AC" w:rsidR="00987E13" w:rsidRPr="00D92E20" w:rsidRDefault="00987E13" w:rsidP="00987E13">
            <w:pPr>
              <w:spacing w:after="0" w:line="240" w:lineRule="auto"/>
              <w:jc w:val="center"/>
              <w:rPr>
                <w:rFonts w:cs="Arial"/>
                <w:color w:val="000000"/>
                <w:sz w:val="16"/>
                <w:szCs w:val="16"/>
              </w:rPr>
            </w:pPr>
            <w:r>
              <w:rPr>
                <w:rFonts w:cs="Arial"/>
                <w:color w:val="000000"/>
                <w:sz w:val="16"/>
                <w:szCs w:val="16"/>
              </w:rPr>
              <w:t>7,2</w:t>
            </w:r>
          </w:p>
        </w:tc>
        <w:tc>
          <w:tcPr>
            <w:tcW w:w="680" w:type="dxa"/>
            <w:tcBorders>
              <w:top w:val="nil"/>
              <w:left w:val="nil"/>
              <w:bottom w:val="nil"/>
              <w:right w:val="nil"/>
            </w:tcBorders>
            <w:shd w:val="clear" w:color="auto" w:fill="auto"/>
            <w:noWrap/>
            <w:vAlign w:val="center"/>
            <w:hideMark/>
          </w:tcPr>
          <w:p w14:paraId="76378160" w14:textId="2708CD97" w:rsidR="00987E13" w:rsidRPr="00D92E20" w:rsidRDefault="00987E13" w:rsidP="00987E13">
            <w:pPr>
              <w:spacing w:after="0" w:line="240" w:lineRule="auto"/>
              <w:jc w:val="center"/>
              <w:rPr>
                <w:rFonts w:cs="Arial"/>
                <w:color w:val="000000"/>
                <w:sz w:val="16"/>
                <w:szCs w:val="16"/>
              </w:rPr>
            </w:pPr>
            <w:r>
              <w:rPr>
                <w:rFonts w:cs="Arial"/>
                <w:color w:val="000000"/>
                <w:sz w:val="16"/>
                <w:szCs w:val="16"/>
              </w:rPr>
              <w:t>7,4</w:t>
            </w:r>
          </w:p>
        </w:tc>
        <w:tc>
          <w:tcPr>
            <w:tcW w:w="680" w:type="dxa"/>
            <w:tcBorders>
              <w:top w:val="nil"/>
              <w:left w:val="nil"/>
              <w:bottom w:val="nil"/>
              <w:right w:val="nil"/>
            </w:tcBorders>
            <w:shd w:val="clear" w:color="auto" w:fill="auto"/>
            <w:noWrap/>
            <w:vAlign w:val="center"/>
            <w:hideMark/>
          </w:tcPr>
          <w:p w14:paraId="4A6B4360" w14:textId="4FB43003" w:rsidR="00987E13" w:rsidRPr="00D92E20" w:rsidRDefault="00987E13" w:rsidP="00987E13">
            <w:pPr>
              <w:spacing w:after="0" w:line="240" w:lineRule="auto"/>
              <w:jc w:val="center"/>
              <w:rPr>
                <w:rFonts w:cs="Arial"/>
                <w:color w:val="000000"/>
                <w:sz w:val="16"/>
                <w:szCs w:val="16"/>
              </w:rPr>
            </w:pPr>
            <w:r>
              <w:rPr>
                <w:rFonts w:cs="Arial"/>
                <w:color w:val="000000"/>
                <w:sz w:val="16"/>
                <w:szCs w:val="16"/>
              </w:rPr>
              <w:t>7,3</w:t>
            </w:r>
          </w:p>
        </w:tc>
      </w:tr>
    </w:tbl>
    <w:p w14:paraId="1961B3A4" w14:textId="77777777" w:rsidR="004D1BAD" w:rsidRPr="00D92E20" w:rsidRDefault="004D1BAD" w:rsidP="00000A90">
      <w:pPr>
        <w:spacing w:before="60" w:after="120"/>
        <w:rPr>
          <w:sz w:val="16"/>
        </w:rPr>
      </w:pPr>
      <w:r w:rsidRPr="00D92E20">
        <w:rPr>
          <w:sz w:val="16"/>
        </w:rPr>
        <w:t>Zdroj: ČSÚ</w:t>
      </w:r>
    </w:p>
    <w:p w14:paraId="54354ECD" w14:textId="6181B22B" w:rsidR="004D1BAD" w:rsidRPr="00987E13" w:rsidRDefault="004D1BAD" w:rsidP="00000A90">
      <w:pPr>
        <w:spacing w:before="120" w:after="120"/>
        <w:jc w:val="both"/>
      </w:pPr>
      <w:r w:rsidRPr="00987E13">
        <w:t>Obdobný ukazatel jako průměrné procento dočasné pracovní neschopnosti, avšak v absolutním vyjádření</w:t>
      </w:r>
      <w:r w:rsidR="00E14C0A">
        <w:t>,</w:t>
      </w:r>
      <w:r w:rsidRPr="00987E13">
        <w:t xml:space="preserve"> představuje </w:t>
      </w:r>
      <w:r w:rsidRPr="00987E13">
        <w:rPr>
          <w:b/>
        </w:rPr>
        <w:t>průměrný denní stav dočasně práce neschopných</w:t>
      </w:r>
      <w:r w:rsidRPr="00987E13">
        <w:t xml:space="preserve">. Říká, kolik nemocensky pojištěných bylo ve sledovaném období </w:t>
      </w:r>
      <w:r w:rsidR="0075396C" w:rsidRPr="00987E13">
        <w:t xml:space="preserve">(zde 1. pololetí) </w:t>
      </w:r>
      <w:r w:rsidRPr="00987E13">
        <w:t>v průměru denně nepřítomno v práci z důvodu prac</w:t>
      </w:r>
      <w:r w:rsidR="00350B58" w:rsidRPr="00987E13">
        <w:t>ovní neschopnosti</w:t>
      </w:r>
      <w:r w:rsidRPr="00987E13">
        <w:t>.</w:t>
      </w:r>
    </w:p>
    <w:p w14:paraId="1C1CFF78" w14:textId="2B1B5784" w:rsidR="004D1BAD" w:rsidRPr="0075396C" w:rsidRDefault="004D1BAD" w:rsidP="00000A90">
      <w:pPr>
        <w:spacing w:before="120" w:after="120"/>
        <w:jc w:val="both"/>
      </w:pPr>
      <w:r w:rsidRPr="00987E13">
        <w:rPr>
          <w:rFonts w:cs="Arial"/>
          <w:color w:val="000000"/>
          <w:szCs w:val="16"/>
        </w:rPr>
        <w:t>V</w:t>
      </w:r>
      <w:r w:rsidR="00422B21" w:rsidRPr="00987E13">
        <w:rPr>
          <w:rFonts w:cs="Arial"/>
          <w:color w:val="000000"/>
          <w:szCs w:val="16"/>
        </w:rPr>
        <w:t> 1. pol. 202</w:t>
      </w:r>
      <w:r w:rsidR="00987E13" w:rsidRPr="00987E13">
        <w:rPr>
          <w:rFonts w:cs="Arial"/>
          <w:color w:val="000000"/>
          <w:szCs w:val="16"/>
        </w:rPr>
        <w:t>2</w:t>
      </w:r>
      <w:r w:rsidRPr="00987E13">
        <w:rPr>
          <w:rFonts w:cs="Arial"/>
          <w:color w:val="000000"/>
          <w:szCs w:val="16"/>
        </w:rPr>
        <w:t xml:space="preserve"> kvůli dočasné pracovní neschopnosti způsobené nemocí či úrazem </w:t>
      </w:r>
      <w:r w:rsidR="00422B21" w:rsidRPr="00987E13">
        <w:rPr>
          <w:rFonts w:cs="Arial"/>
          <w:color w:val="000000"/>
          <w:szCs w:val="16"/>
        </w:rPr>
        <w:t>denně chybělo na</w:t>
      </w:r>
      <w:r w:rsidR="00CD63E8" w:rsidRPr="00987E13">
        <w:rPr>
          <w:rFonts w:cs="Arial"/>
          <w:color w:val="000000"/>
          <w:szCs w:val="16"/>
        </w:rPr>
        <w:t> </w:t>
      </w:r>
      <w:r w:rsidR="00422B21" w:rsidRPr="00987E13">
        <w:rPr>
          <w:rFonts w:cs="Arial"/>
          <w:color w:val="000000"/>
          <w:szCs w:val="16"/>
        </w:rPr>
        <w:t>pracovištích 2</w:t>
      </w:r>
      <w:r w:rsidR="00987E13" w:rsidRPr="00987E13">
        <w:rPr>
          <w:rFonts w:cs="Arial"/>
          <w:color w:val="000000"/>
          <w:szCs w:val="16"/>
        </w:rPr>
        <w:t xml:space="preserve">78 </w:t>
      </w:r>
      <w:r w:rsidR="0075396C" w:rsidRPr="00987E13">
        <w:rPr>
          <w:rFonts w:cs="Arial"/>
          <w:color w:val="000000"/>
          <w:szCs w:val="16"/>
        </w:rPr>
        <w:t>3</w:t>
      </w:r>
      <w:r w:rsidR="00987E13" w:rsidRPr="00987E13">
        <w:rPr>
          <w:rFonts w:cs="Arial"/>
          <w:color w:val="000000"/>
          <w:szCs w:val="16"/>
        </w:rPr>
        <w:t>82</w:t>
      </w:r>
      <w:r w:rsidRPr="00987E13">
        <w:rPr>
          <w:rFonts w:cs="Arial"/>
          <w:color w:val="000000"/>
          <w:szCs w:val="16"/>
        </w:rPr>
        <w:t xml:space="preserve"> nemocensky pojištěných osob. Oproti </w:t>
      </w:r>
      <w:r w:rsidR="00422B21" w:rsidRPr="00987E13">
        <w:rPr>
          <w:rFonts w:cs="Arial"/>
          <w:color w:val="000000"/>
          <w:szCs w:val="16"/>
        </w:rPr>
        <w:t>1. pol. 202</w:t>
      </w:r>
      <w:r w:rsidR="00987E13" w:rsidRPr="00987E13">
        <w:rPr>
          <w:rFonts w:cs="Arial"/>
          <w:color w:val="000000"/>
          <w:szCs w:val="16"/>
        </w:rPr>
        <w:t>1</w:t>
      </w:r>
      <w:r w:rsidRPr="00987E13">
        <w:rPr>
          <w:rFonts w:cs="Arial"/>
          <w:color w:val="000000"/>
          <w:szCs w:val="16"/>
        </w:rPr>
        <w:t xml:space="preserve">, kdy hodnota činila </w:t>
      </w:r>
      <w:r w:rsidR="0075396C" w:rsidRPr="00987E13">
        <w:rPr>
          <w:rFonts w:cs="Arial"/>
          <w:color w:val="000000"/>
          <w:szCs w:val="16"/>
        </w:rPr>
        <w:t>2</w:t>
      </w:r>
      <w:r w:rsidR="00987E13" w:rsidRPr="00987E13">
        <w:rPr>
          <w:rFonts w:cs="Arial"/>
          <w:color w:val="000000"/>
          <w:szCs w:val="16"/>
        </w:rPr>
        <w:t>8</w:t>
      </w:r>
      <w:r w:rsidR="0075396C" w:rsidRPr="00987E13">
        <w:rPr>
          <w:rFonts w:cs="Arial"/>
          <w:color w:val="000000"/>
          <w:szCs w:val="16"/>
        </w:rPr>
        <w:t>0</w:t>
      </w:r>
      <w:r w:rsidR="00CD63E8" w:rsidRPr="00987E13">
        <w:rPr>
          <w:rFonts w:cs="Arial"/>
          <w:color w:val="000000"/>
          <w:szCs w:val="16"/>
        </w:rPr>
        <w:t> </w:t>
      </w:r>
      <w:r w:rsidR="00987E13" w:rsidRPr="00987E13">
        <w:rPr>
          <w:rFonts w:cs="Arial"/>
          <w:color w:val="000000"/>
          <w:szCs w:val="16"/>
        </w:rPr>
        <w:t>973</w:t>
      </w:r>
      <w:r w:rsidRPr="00987E13">
        <w:rPr>
          <w:rFonts w:cs="Arial"/>
          <w:color w:val="000000"/>
          <w:szCs w:val="16"/>
        </w:rPr>
        <w:t xml:space="preserve"> pojištěnců, se jedná o </w:t>
      </w:r>
      <w:r w:rsidR="00987E13" w:rsidRPr="00987E13">
        <w:rPr>
          <w:rFonts w:cs="Arial"/>
          <w:color w:val="000000"/>
          <w:szCs w:val="16"/>
        </w:rPr>
        <w:t>1</w:t>
      </w:r>
      <w:r w:rsidRPr="00987E13">
        <w:rPr>
          <w:rFonts w:cs="Arial"/>
          <w:color w:val="000000"/>
          <w:szCs w:val="16"/>
        </w:rPr>
        <w:t xml:space="preserve">% </w:t>
      </w:r>
      <w:r w:rsidR="00987E13" w:rsidRPr="00987E13">
        <w:rPr>
          <w:rFonts w:cs="Arial"/>
          <w:color w:val="000000"/>
          <w:szCs w:val="16"/>
        </w:rPr>
        <w:t>pokles</w:t>
      </w:r>
      <w:r w:rsidRPr="00987E13">
        <w:rPr>
          <w:rFonts w:cs="Arial"/>
          <w:color w:val="000000"/>
          <w:szCs w:val="16"/>
        </w:rPr>
        <w:t xml:space="preserve"> (o </w:t>
      </w:r>
      <w:r w:rsidR="0075396C" w:rsidRPr="00987E13">
        <w:rPr>
          <w:rFonts w:cs="Arial"/>
          <w:color w:val="000000"/>
          <w:szCs w:val="16"/>
        </w:rPr>
        <w:t>2</w:t>
      </w:r>
      <w:r w:rsidR="00987E13" w:rsidRPr="00987E13">
        <w:rPr>
          <w:rFonts w:cs="Arial"/>
          <w:color w:val="000000"/>
          <w:szCs w:val="16"/>
        </w:rPr>
        <w:t>,6 tis.</w:t>
      </w:r>
      <w:r w:rsidRPr="00987E13">
        <w:rPr>
          <w:rFonts w:cs="Arial"/>
          <w:color w:val="000000"/>
          <w:szCs w:val="16"/>
        </w:rPr>
        <w:t>). Ve srovnání s</w:t>
      </w:r>
      <w:r w:rsidR="0075396C" w:rsidRPr="00987E13">
        <w:rPr>
          <w:rFonts w:cs="Arial"/>
          <w:color w:val="000000"/>
          <w:szCs w:val="16"/>
        </w:rPr>
        <w:t> 1. pol. 201</w:t>
      </w:r>
      <w:r w:rsidR="008627B7">
        <w:rPr>
          <w:rFonts w:cs="Arial"/>
          <w:color w:val="000000"/>
          <w:szCs w:val="16"/>
        </w:rPr>
        <w:t>9</w:t>
      </w:r>
      <w:r w:rsidRPr="00987E13">
        <w:rPr>
          <w:rFonts w:cs="Arial"/>
          <w:color w:val="000000"/>
          <w:szCs w:val="16"/>
        </w:rPr>
        <w:t xml:space="preserve"> přibylo </w:t>
      </w:r>
      <w:r w:rsidR="008627B7">
        <w:rPr>
          <w:rFonts w:cs="Arial"/>
          <w:color w:val="000000"/>
          <w:szCs w:val="16"/>
        </w:rPr>
        <w:t>4</w:t>
      </w:r>
      <w:r w:rsidR="00987E13" w:rsidRPr="00987E13">
        <w:rPr>
          <w:rFonts w:cs="Arial"/>
          <w:color w:val="000000"/>
          <w:szCs w:val="16"/>
        </w:rPr>
        <w:t>9</w:t>
      </w:r>
      <w:r w:rsidRPr="00987E13">
        <w:rPr>
          <w:rFonts w:cs="Arial"/>
          <w:color w:val="000000"/>
          <w:szCs w:val="16"/>
        </w:rPr>
        <w:t xml:space="preserve"> tis. (tj. </w:t>
      </w:r>
      <w:r w:rsidR="008627B7">
        <w:rPr>
          <w:rFonts w:cs="Arial"/>
          <w:color w:val="000000"/>
          <w:szCs w:val="16"/>
        </w:rPr>
        <w:t>pětina</w:t>
      </w:r>
      <w:r w:rsidRPr="00987E13">
        <w:rPr>
          <w:rFonts w:cs="Arial"/>
          <w:color w:val="000000"/>
          <w:szCs w:val="16"/>
        </w:rPr>
        <w:t xml:space="preserve">) dočasně práce neschopných denně. Na </w:t>
      </w:r>
      <w:r w:rsidR="00216AD5" w:rsidRPr="00987E13">
        <w:rPr>
          <w:rFonts w:cs="Arial"/>
          <w:color w:val="000000"/>
          <w:szCs w:val="16"/>
        </w:rPr>
        <w:t xml:space="preserve">tomto </w:t>
      </w:r>
      <w:r w:rsidRPr="00987E13">
        <w:rPr>
          <w:rFonts w:cs="Arial"/>
          <w:color w:val="000000"/>
          <w:szCs w:val="16"/>
        </w:rPr>
        <w:t>nárůstu se podílely především ne</w:t>
      </w:r>
      <w:r w:rsidR="00537BCC" w:rsidRPr="00987E13">
        <w:rPr>
          <w:rFonts w:cs="Arial"/>
          <w:color w:val="000000"/>
          <w:szCs w:val="16"/>
        </w:rPr>
        <w:t>schopenky zapříčiněné nemocí (+</w:t>
      </w:r>
      <w:r w:rsidR="008627B7">
        <w:rPr>
          <w:rFonts w:cs="Arial"/>
          <w:color w:val="000000"/>
          <w:szCs w:val="16"/>
        </w:rPr>
        <w:t xml:space="preserve">47 tis.). </w:t>
      </w:r>
      <w:r w:rsidRPr="00987E13">
        <w:t>Vývoj hodnot ukazatele průměrný denní stav dočasně práce neschopných v posledních deseti letech je zřejmý z tabulky 2.10.</w:t>
      </w:r>
      <w:r w:rsidRPr="0075396C">
        <w:t xml:space="preserve"> </w:t>
      </w:r>
    </w:p>
    <w:p w14:paraId="3EB7D3E7" w14:textId="75A0E65E" w:rsidR="004D1BAD" w:rsidRPr="00D92E20" w:rsidRDefault="00537BCC" w:rsidP="00000A90">
      <w:pPr>
        <w:spacing w:after="0"/>
        <w:jc w:val="both"/>
        <w:rPr>
          <w:b/>
        </w:rPr>
      </w:pPr>
      <w:r w:rsidRPr="00D92E20">
        <w:rPr>
          <w:b/>
        </w:rPr>
        <w:t>Tab. 2.10: Průměrný denní stav dočasně práce neschopných</w:t>
      </w:r>
      <w:r w:rsidR="00330CDD" w:rsidRPr="00D92E20">
        <w:rPr>
          <w:b/>
        </w:rPr>
        <w:t xml:space="preserve"> podle příčiny a pohlaví</w:t>
      </w:r>
      <w:r w:rsidRPr="00D92E20">
        <w:rPr>
          <w:b/>
        </w:rPr>
        <w:t xml:space="preserve">, </w:t>
      </w:r>
      <w:r w:rsidR="00422B21">
        <w:rPr>
          <w:b/>
        </w:rPr>
        <w:br/>
      </w:r>
      <w:r w:rsidR="009F34CD" w:rsidRPr="0050059C">
        <w:rPr>
          <w:b/>
          <w:spacing w:val="-2"/>
        </w:rPr>
        <w:t>1. pol. 201</w:t>
      </w:r>
      <w:r w:rsidR="009F34CD">
        <w:rPr>
          <w:b/>
          <w:spacing w:val="-2"/>
        </w:rPr>
        <w:t>2</w:t>
      </w:r>
      <w:r w:rsidR="009F34CD" w:rsidRPr="0050059C">
        <w:rPr>
          <w:b/>
          <w:spacing w:val="-2"/>
        </w:rPr>
        <w:t xml:space="preserve"> až 1. pol. 202</w:t>
      </w:r>
      <w:r w:rsidR="009F34CD">
        <w:rPr>
          <w:b/>
          <w:spacing w:val="-2"/>
        </w:rPr>
        <w:t>2</w:t>
      </w:r>
      <w:r w:rsidR="009F34CD" w:rsidRPr="00D92E20">
        <w:rPr>
          <w:b/>
        </w:rPr>
        <w:t xml:space="preserve"> </w:t>
      </w:r>
      <w:r w:rsidRPr="00D92E20">
        <w:rPr>
          <w:b/>
        </w:rPr>
        <w:t>(v tis.)</w:t>
      </w:r>
    </w:p>
    <w:tbl>
      <w:tblPr>
        <w:tblW w:w="9542" w:type="dxa"/>
        <w:tblCellMar>
          <w:left w:w="70" w:type="dxa"/>
          <w:right w:w="70" w:type="dxa"/>
        </w:tblCellMar>
        <w:tblLook w:val="04A0" w:firstRow="1" w:lastRow="0" w:firstColumn="1" w:lastColumn="0" w:noHBand="0" w:noVBand="1"/>
      </w:tblPr>
      <w:tblGrid>
        <w:gridCol w:w="1009"/>
        <w:gridCol w:w="710"/>
        <w:gridCol w:w="703"/>
        <w:gridCol w:w="705"/>
        <w:gridCol w:w="707"/>
        <w:gridCol w:w="704"/>
        <w:gridCol w:w="705"/>
        <w:gridCol w:w="754"/>
        <w:gridCol w:w="709"/>
        <w:gridCol w:w="709"/>
        <w:gridCol w:w="709"/>
        <w:gridCol w:w="709"/>
        <w:gridCol w:w="709"/>
      </w:tblGrid>
      <w:tr w:rsidR="00422B21" w:rsidRPr="00D92E20" w14:paraId="5790EBFE" w14:textId="77777777" w:rsidTr="00350B58">
        <w:trPr>
          <w:trHeight w:val="296"/>
        </w:trPr>
        <w:tc>
          <w:tcPr>
            <w:tcW w:w="1009" w:type="dxa"/>
            <w:vMerge w:val="restart"/>
            <w:tcBorders>
              <w:top w:val="single" w:sz="4" w:space="0" w:color="auto"/>
              <w:left w:val="nil"/>
              <w:bottom w:val="single" w:sz="4" w:space="0" w:color="000000"/>
              <w:right w:val="nil"/>
            </w:tcBorders>
            <w:shd w:val="clear" w:color="000000" w:fill="F5DADD"/>
            <w:vAlign w:val="center"/>
            <w:hideMark/>
          </w:tcPr>
          <w:p w14:paraId="2D4913D2" w14:textId="62A10010" w:rsidR="00422B21" w:rsidRPr="00D92E20" w:rsidRDefault="00422B21" w:rsidP="00422B21">
            <w:pPr>
              <w:spacing w:after="0" w:line="240" w:lineRule="auto"/>
              <w:jc w:val="center"/>
              <w:rPr>
                <w:rFonts w:cs="Arial"/>
                <w:color w:val="000000"/>
                <w:sz w:val="16"/>
                <w:szCs w:val="16"/>
              </w:rPr>
            </w:pPr>
            <w:r>
              <w:rPr>
                <w:rFonts w:cs="Arial"/>
                <w:sz w:val="16"/>
                <w:szCs w:val="16"/>
              </w:rPr>
              <w:t>Období</w:t>
            </w:r>
          </w:p>
        </w:tc>
        <w:tc>
          <w:tcPr>
            <w:tcW w:w="710" w:type="dxa"/>
            <w:vMerge w:val="restart"/>
            <w:tcBorders>
              <w:top w:val="single" w:sz="4" w:space="0" w:color="auto"/>
              <w:left w:val="single" w:sz="4" w:space="0" w:color="auto"/>
              <w:bottom w:val="single" w:sz="4" w:space="0" w:color="000000"/>
              <w:right w:val="nil"/>
            </w:tcBorders>
            <w:shd w:val="clear" w:color="000000" w:fill="F2DBDB"/>
            <w:vAlign w:val="center"/>
            <w:hideMark/>
          </w:tcPr>
          <w:p w14:paraId="678A1D07" w14:textId="77777777" w:rsidR="00422B21" w:rsidRPr="00D92E20" w:rsidRDefault="00422B21" w:rsidP="00422B21">
            <w:pPr>
              <w:spacing w:after="0" w:line="240" w:lineRule="auto"/>
              <w:jc w:val="center"/>
              <w:rPr>
                <w:rFonts w:cs="Arial"/>
                <w:b/>
                <w:bCs/>
                <w:color w:val="000000"/>
                <w:sz w:val="16"/>
                <w:szCs w:val="16"/>
              </w:rPr>
            </w:pPr>
            <w:r w:rsidRPr="00D92E20">
              <w:rPr>
                <w:rFonts w:cs="Arial"/>
                <w:b/>
                <w:bCs/>
                <w:color w:val="000000"/>
                <w:sz w:val="16"/>
                <w:szCs w:val="16"/>
              </w:rPr>
              <w:t>Celkem</w:t>
            </w:r>
          </w:p>
        </w:tc>
        <w:tc>
          <w:tcPr>
            <w:tcW w:w="1408" w:type="dxa"/>
            <w:gridSpan w:val="2"/>
            <w:tcBorders>
              <w:top w:val="single" w:sz="4" w:space="0" w:color="auto"/>
              <w:left w:val="single" w:sz="4" w:space="0" w:color="auto"/>
              <w:bottom w:val="single" w:sz="4" w:space="0" w:color="auto"/>
              <w:right w:val="single" w:sz="4" w:space="0" w:color="auto"/>
            </w:tcBorders>
            <w:shd w:val="clear" w:color="000000" w:fill="F2DBDB"/>
            <w:vAlign w:val="center"/>
            <w:hideMark/>
          </w:tcPr>
          <w:p w14:paraId="38888928" w14:textId="77777777" w:rsidR="00422B21" w:rsidRPr="00D92E20" w:rsidRDefault="00422B21" w:rsidP="00422B21">
            <w:pPr>
              <w:spacing w:after="0" w:line="240" w:lineRule="auto"/>
              <w:jc w:val="center"/>
              <w:rPr>
                <w:rFonts w:cs="Arial"/>
                <w:color w:val="000000"/>
                <w:sz w:val="16"/>
                <w:szCs w:val="16"/>
              </w:rPr>
            </w:pPr>
            <w:r w:rsidRPr="00D92E20">
              <w:rPr>
                <w:rFonts w:cs="Arial"/>
                <w:color w:val="000000"/>
                <w:sz w:val="16"/>
                <w:szCs w:val="16"/>
              </w:rPr>
              <w:t>podle pohlaví</w:t>
            </w:r>
          </w:p>
        </w:tc>
        <w:tc>
          <w:tcPr>
            <w:tcW w:w="707" w:type="dxa"/>
            <w:vMerge w:val="restart"/>
            <w:tcBorders>
              <w:top w:val="single" w:sz="4" w:space="0" w:color="auto"/>
              <w:left w:val="nil"/>
              <w:right w:val="nil"/>
            </w:tcBorders>
            <w:shd w:val="clear" w:color="000000" w:fill="F2DBDB"/>
            <w:vAlign w:val="center"/>
            <w:hideMark/>
          </w:tcPr>
          <w:p w14:paraId="6902A7C8" w14:textId="77777777" w:rsidR="00422B21" w:rsidRPr="00D92E20" w:rsidRDefault="00422B21" w:rsidP="00422B21">
            <w:pPr>
              <w:spacing w:after="0" w:line="240" w:lineRule="auto"/>
              <w:jc w:val="center"/>
              <w:rPr>
                <w:rFonts w:cs="Arial"/>
                <w:color w:val="000000"/>
                <w:sz w:val="16"/>
                <w:szCs w:val="16"/>
              </w:rPr>
            </w:pPr>
            <w:r w:rsidRPr="00D92E20">
              <w:rPr>
                <w:rFonts w:cs="Arial"/>
                <w:color w:val="000000"/>
                <w:sz w:val="16"/>
                <w:szCs w:val="16"/>
              </w:rPr>
              <w:t>Pro nemoc</w:t>
            </w:r>
          </w:p>
        </w:tc>
        <w:tc>
          <w:tcPr>
            <w:tcW w:w="1409" w:type="dxa"/>
            <w:gridSpan w:val="2"/>
            <w:tcBorders>
              <w:top w:val="single" w:sz="4" w:space="0" w:color="auto"/>
              <w:left w:val="single" w:sz="4" w:space="0" w:color="auto"/>
              <w:bottom w:val="single" w:sz="4" w:space="0" w:color="auto"/>
              <w:right w:val="single" w:sz="4" w:space="0" w:color="auto"/>
            </w:tcBorders>
            <w:shd w:val="clear" w:color="000000" w:fill="F2DBDB"/>
            <w:vAlign w:val="center"/>
            <w:hideMark/>
          </w:tcPr>
          <w:p w14:paraId="25EBA536" w14:textId="77777777" w:rsidR="00422B21" w:rsidRPr="00D92E20" w:rsidRDefault="00422B21" w:rsidP="00422B21">
            <w:pPr>
              <w:spacing w:after="0" w:line="240" w:lineRule="auto"/>
              <w:jc w:val="center"/>
              <w:rPr>
                <w:rFonts w:cs="Arial"/>
                <w:color w:val="000000"/>
                <w:sz w:val="16"/>
                <w:szCs w:val="16"/>
              </w:rPr>
            </w:pPr>
            <w:r w:rsidRPr="00D92E20">
              <w:rPr>
                <w:rFonts w:cs="Arial"/>
                <w:color w:val="000000"/>
                <w:sz w:val="16"/>
                <w:szCs w:val="16"/>
              </w:rPr>
              <w:t>podle pohlaví</w:t>
            </w:r>
          </w:p>
        </w:tc>
        <w:tc>
          <w:tcPr>
            <w:tcW w:w="754" w:type="dxa"/>
            <w:vMerge w:val="restart"/>
            <w:tcBorders>
              <w:top w:val="single" w:sz="4" w:space="0" w:color="auto"/>
              <w:left w:val="single" w:sz="4" w:space="0" w:color="auto"/>
              <w:right w:val="nil"/>
            </w:tcBorders>
            <w:shd w:val="clear" w:color="000000" w:fill="F2DBDB"/>
            <w:vAlign w:val="center"/>
            <w:hideMark/>
          </w:tcPr>
          <w:p w14:paraId="5C2DBE44" w14:textId="77777777" w:rsidR="00422B21" w:rsidRPr="00D92E20" w:rsidRDefault="00422B21" w:rsidP="00422B21">
            <w:pPr>
              <w:spacing w:after="0" w:line="240" w:lineRule="auto"/>
              <w:jc w:val="center"/>
              <w:rPr>
                <w:rFonts w:cs="Arial"/>
                <w:color w:val="000000"/>
                <w:sz w:val="16"/>
                <w:szCs w:val="16"/>
              </w:rPr>
            </w:pPr>
            <w:r w:rsidRPr="00D92E20">
              <w:rPr>
                <w:rFonts w:cs="Arial"/>
                <w:color w:val="000000"/>
                <w:sz w:val="16"/>
                <w:szCs w:val="16"/>
              </w:rPr>
              <w:t>Pro pracovní úrazy</w:t>
            </w:r>
          </w:p>
        </w:tc>
        <w:tc>
          <w:tcPr>
            <w:tcW w:w="1418" w:type="dxa"/>
            <w:gridSpan w:val="2"/>
            <w:tcBorders>
              <w:top w:val="single" w:sz="4" w:space="0" w:color="auto"/>
              <w:left w:val="single" w:sz="4" w:space="0" w:color="auto"/>
              <w:bottom w:val="single" w:sz="4" w:space="0" w:color="auto"/>
              <w:right w:val="single" w:sz="4" w:space="0" w:color="auto"/>
            </w:tcBorders>
            <w:shd w:val="clear" w:color="000000" w:fill="F2DBDB"/>
            <w:vAlign w:val="center"/>
            <w:hideMark/>
          </w:tcPr>
          <w:p w14:paraId="61E912A3" w14:textId="77777777" w:rsidR="00422B21" w:rsidRPr="00D92E20" w:rsidRDefault="00422B21" w:rsidP="00422B21">
            <w:pPr>
              <w:spacing w:after="0" w:line="240" w:lineRule="auto"/>
              <w:jc w:val="center"/>
              <w:rPr>
                <w:rFonts w:cs="Arial"/>
                <w:color w:val="000000"/>
                <w:sz w:val="16"/>
                <w:szCs w:val="16"/>
              </w:rPr>
            </w:pPr>
            <w:r w:rsidRPr="00D92E20">
              <w:rPr>
                <w:rFonts w:cs="Arial"/>
                <w:color w:val="000000"/>
                <w:sz w:val="16"/>
                <w:szCs w:val="16"/>
              </w:rPr>
              <w:t>podle pohlaví</w:t>
            </w:r>
          </w:p>
        </w:tc>
        <w:tc>
          <w:tcPr>
            <w:tcW w:w="709" w:type="dxa"/>
            <w:vMerge w:val="restart"/>
            <w:tcBorders>
              <w:top w:val="single" w:sz="4" w:space="0" w:color="auto"/>
              <w:left w:val="nil"/>
              <w:right w:val="nil"/>
            </w:tcBorders>
            <w:shd w:val="clear" w:color="000000" w:fill="F2DBDB"/>
            <w:vAlign w:val="center"/>
            <w:hideMark/>
          </w:tcPr>
          <w:p w14:paraId="457CF28C" w14:textId="77777777" w:rsidR="00422B21" w:rsidRPr="00D92E20" w:rsidRDefault="00422B21" w:rsidP="00422B21">
            <w:pPr>
              <w:spacing w:after="0" w:line="240" w:lineRule="auto"/>
              <w:jc w:val="center"/>
              <w:rPr>
                <w:rFonts w:cs="Arial"/>
                <w:color w:val="000000"/>
                <w:sz w:val="16"/>
                <w:szCs w:val="16"/>
              </w:rPr>
            </w:pPr>
            <w:r w:rsidRPr="00D92E20">
              <w:rPr>
                <w:rFonts w:cs="Arial"/>
                <w:color w:val="000000"/>
                <w:sz w:val="16"/>
                <w:szCs w:val="16"/>
              </w:rPr>
              <w:t>Pro ostatní úrazy</w:t>
            </w:r>
          </w:p>
        </w:tc>
        <w:tc>
          <w:tcPr>
            <w:tcW w:w="1418" w:type="dxa"/>
            <w:gridSpan w:val="2"/>
            <w:tcBorders>
              <w:top w:val="single" w:sz="4" w:space="0" w:color="auto"/>
              <w:left w:val="single" w:sz="4" w:space="0" w:color="auto"/>
              <w:bottom w:val="single" w:sz="4" w:space="0" w:color="auto"/>
            </w:tcBorders>
            <w:shd w:val="clear" w:color="000000" w:fill="F2DBDB"/>
            <w:vAlign w:val="center"/>
            <w:hideMark/>
          </w:tcPr>
          <w:p w14:paraId="6571BDF2" w14:textId="77777777" w:rsidR="00422B21" w:rsidRPr="00D92E20" w:rsidRDefault="00422B21" w:rsidP="00422B21">
            <w:pPr>
              <w:spacing w:after="0" w:line="240" w:lineRule="auto"/>
              <w:jc w:val="center"/>
              <w:rPr>
                <w:rFonts w:cs="Arial"/>
                <w:color w:val="000000"/>
                <w:sz w:val="16"/>
                <w:szCs w:val="16"/>
              </w:rPr>
            </w:pPr>
            <w:r w:rsidRPr="00D92E20">
              <w:rPr>
                <w:rFonts w:cs="Arial"/>
                <w:color w:val="000000"/>
                <w:sz w:val="16"/>
                <w:szCs w:val="16"/>
              </w:rPr>
              <w:t>podle pohlaví</w:t>
            </w:r>
          </w:p>
        </w:tc>
      </w:tr>
      <w:tr w:rsidR="00422B21" w:rsidRPr="00D92E20" w14:paraId="617A51DF" w14:textId="77777777" w:rsidTr="00350B58">
        <w:trPr>
          <w:trHeight w:val="385"/>
        </w:trPr>
        <w:tc>
          <w:tcPr>
            <w:tcW w:w="1009" w:type="dxa"/>
            <w:vMerge/>
            <w:tcBorders>
              <w:top w:val="single" w:sz="4" w:space="0" w:color="auto"/>
              <w:left w:val="nil"/>
              <w:bottom w:val="single" w:sz="4" w:space="0" w:color="000000"/>
              <w:right w:val="nil"/>
            </w:tcBorders>
            <w:vAlign w:val="center"/>
            <w:hideMark/>
          </w:tcPr>
          <w:p w14:paraId="6DBA4B82" w14:textId="77777777" w:rsidR="00422B21" w:rsidRPr="00D92E20" w:rsidRDefault="00422B21" w:rsidP="00422B21">
            <w:pPr>
              <w:spacing w:after="0" w:line="240" w:lineRule="auto"/>
              <w:rPr>
                <w:rFonts w:cs="Arial"/>
                <w:color w:val="000000"/>
                <w:sz w:val="16"/>
                <w:szCs w:val="16"/>
              </w:rPr>
            </w:pPr>
          </w:p>
        </w:tc>
        <w:tc>
          <w:tcPr>
            <w:tcW w:w="710" w:type="dxa"/>
            <w:vMerge/>
            <w:tcBorders>
              <w:top w:val="single" w:sz="4" w:space="0" w:color="auto"/>
              <w:left w:val="single" w:sz="4" w:space="0" w:color="auto"/>
              <w:bottom w:val="single" w:sz="4" w:space="0" w:color="000000"/>
              <w:right w:val="nil"/>
            </w:tcBorders>
            <w:vAlign w:val="center"/>
            <w:hideMark/>
          </w:tcPr>
          <w:p w14:paraId="1EEFAB12" w14:textId="77777777" w:rsidR="00422B21" w:rsidRPr="00D92E20" w:rsidRDefault="00422B21" w:rsidP="00422B21">
            <w:pPr>
              <w:spacing w:after="0" w:line="240" w:lineRule="auto"/>
              <w:rPr>
                <w:rFonts w:cs="Arial"/>
                <w:b/>
                <w:bCs/>
                <w:color w:val="000000"/>
                <w:sz w:val="16"/>
                <w:szCs w:val="16"/>
              </w:rPr>
            </w:pPr>
          </w:p>
        </w:tc>
        <w:tc>
          <w:tcPr>
            <w:tcW w:w="703" w:type="dxa"/>
            <w:tcBorders>
              <w:top w:val="nil"/>
              <w:left w:val="single" w:sz="4" w:space="0" w:color="auto"/>
              <w:bottom w:val="single" w:sz="4" w:space="0" w:color="auto"/>
              <w:right w:val="single" w:sz="4" w:space="0" w:color="auto"/>
            </w:tcBorders>
            <w:shd w:val="clear" w:color="000000" w:fill="F2DBDB"/>
            <w:vAlign w:val="center"/>
            <w:hideMark/>
          </w:tcPr>
          <w:p w14:paraId="6B829A4B" w14:textId="77777777" w:rsidR="00422B21" w:rsidRPr="00D92E20" w:rsidRDefault="00422B21" w:rsidP="00422B21">
            <w:pPr>
              <w:spacing w:after="0" w:line="240" w:lineRule="auto"/>
              <w:jc w:val="center"/>
              <w:rPr>
                <w:rFonts w:cs="Arial"/>
                <w:color w:val="000000"/>
                <w:sz w:val="16"/>
                <w:szCs w:val="16"/>
              </w:rPr>
            </w:pPr>
            <w:r w:rsidRPr="00D92E20">
              <w:rPr>
                <w:rFonts w:cs="Arial"/>
                <w:color w:val="000000"/>
                <w:sz w:val="16"/>
                <w:szCs w:val="16"/>
              </w:rPr>
              <w:t>muži</w:t>
            </w:r>
          </w:p>
        </w:tc>
        <w:tc>
          <w:tcPr>
            <w:tcW w:w="705" w:type="dxa"/>
            <w:tcBorders>
              <w:top w:val="nil"/>
              <w:left w:val="nil"/>
              <w:bottom w:val="single" w:sz="4" w:space="0" w:color="auto"/>
              <w:right w:val="single" w:sz="4" w:space="0" w:color="auto"/>
            </w:tcBorders>
            <w:shd w:val="clear" w:color="000000" w:fill="F2DBDB"/>
            <w:vAlign w:val="center"/>
            <w:hideMark/>
          </w:tcPr>
          <w:p w14:paraId="0C661766" w14:textId="77777777" w:rsidR="00422B21" w:rsidRPr="00D92E20" w:rsidRDefault="00422B21" w:rsidP="00422B21">
            <w:pPr>
              <w:spacing w:after="0" w:line="240" w:lineRule="auto"/>
              <w:jc w:val="center"/>
              <w:rPr>
                <w:rFonts w:cs="Arial"/>
                <w:color w:val="000000"/>
                <w:sz w:val="16"/>
                <w:szCs w:val="16"/>
              </w:rPr>
            </w:pPr>
            <w:r w:rsidRPr="00D92E20">
              <w:rPr>
                <w:rFonts w:cs="Arial"/>
                <w:color w:val="000000"/>
                <w:sz w:val="16"/>
                <w:szCs w:val="16"/>
              </w:rPr>
              <w:t>ženy</w:t>
            </w:r>
          </w:p>
        </w:tc>
        <w:tc>
          <w:tcPr>
            <w:tcW w:w="707" w:type="dxa"/>
            <w:vMerge/>
            <w:tcBorders>
              <w:left w:val="nil"/>
              <w:bottom w:val="single" w:sz="4" w:space="0" w:color="000000"/>
              <w:right w:val="nil"/>
            </w:tcBorders>
            <w:vAlign w:val="center"/>
            <w:hideMark/>
          </w:tcPr>
          <w:p w14:paraId="439C6A1D" w14:textId="77777777" w:rsidR="00422B21" w:rsidRPr="00D92E20" w:rsidRDefault="00422B21" w:rsidP="00422B21">
            <w:pPr>
              <w:spacing w:after="0" w:line="240" w:lineRule="auto"/>
              <w:rPr>
                <w:rFonts w:cs="Arial"/>
                <w:color w:val="000000"/>
                <w:sz w:val="16"/>
                <w:szCs w:val="16"/>
              </w:rPr>
            </w:pPr>
          </w:p>
        </w:tc>
        <w:tc>
          <w:tcPr>
            <w:tcW w:w="704" w:type="dxa"/>
            <w:tcBorders>
              <w:top w:val="nil"/>
              <w:left w:val="single" w:sz="4" w:space="0" w:color="auto"/>
              <w:bottom w:val="single" w:sz="4" w:space="0" w:color="auto"/>
              <w:right w:val="single" w:sz="4" w:space="0" w:color="auto"/>
            </w:tcBorders>
            <w:shd w:val="clear" w:color="000000" w:fill="F2DBDB"/>
            <w:vAlign w:val="center"/>
            <w:hideMark/>
          </w:tcPr>
          <w:p w14:paraId="629FAE01" w14:textId="77777777" w:rsidR="00422B21" w:rsidRPr="00D92E20" w:rsidRDefault="00422B21" w:rsidP="00422B21">
            <w:pPr>
              <w:spacing w:after="0" w:line="240" w:lineRule="auto"/>
              <w:jc w:val="center"/>
              <w:rPr>
                <w:rFonts w:cs="Arial"/>
                <w:color w:val="000000"/>
                <w:sz w:val="16"/>
                <w:szCs w:val="16"/>
              </w:rPr>
            </w:pPr>
            <w:r w:rsidRPr="00D92E20">
              <w:rPr>
                <w:rFonts w:cs="Arial"/>
                <w:color w:val="000000"/>
                <w:sz w:val="16"/>
                <w:szCs w:val="16"/>
              </w:rPr>
              <w:t>muži</w:t>
            </w:r>
          </w:p>
        </w:tc>
        <w:tc>
          <w:tcPr>
            <w:tcW w:w="705" w:type="dxa"/>
            <w:tcBorders>
              <w:top w:val="nil"/>
              <w:left w:val="nil"/>
              <w:bottom w:val="single" w:sz="4" w:space="0" w:color="auto"/>
              <w:right w:val="single" w:sz="4" w:space="0" w:color="auto"/>
            </w:tcBorders>
            <w:shd w:val="clear" w:color="000000" w:fill="F2DBDB"/>
            <w:vAlign w:val="center"/>
            <w:hideMark/>
          </w:tcPr>
          <w:p w14:paraId="22E3438B" w14:textId="77777777" w:rsidR="00422B21" w:rsidRPr="00D92E20" w:rsidRDefault="00422B21" w:rsidP="00422B21">
            <w:pPr>
              <w:spacing w:after="0" w:line="240" w:lineRule="auto"/>
              <w:jc w:val="center"/>
              <w:rPr>
                <w:rFonts w:cs="Arial"/>
                <w:color w:val="000000"/>
                <w:sz w:val="16"/>
                <w:szCs w:val="16"/>
              </w:rPr>
            </w:pPr>
            <w:r w:rsidRPr="00D92E20">
              <w:rPr>
                <w:rFonts w:cs="Arial"/>
                <w:color w:val="000000"/>
                <w:sz w:val="16"/>
                <w:szCs w:val="16"/>
              </w:rPr>
              <w:t>ženy</w:t>
            </w:r>
          </w:p>
        </w:tc>
        <w:tc>
          <w:tcPr>
            <w:tcW w:w="754" w:type="dxa"/>
            <w:vMerge/>
            <w:tcBorders>
              <w:left w:val="single" w:sz="4" w:space="0" w:color="auto"/>
              <w:bottom w:val="single" w:sz="4" w:space="0" w:color="000000"/>
              <w:right w:val="nil"/>
            </w:tcBorders>
            <w:vAlign w:val="center"/>
            <w:hideMark/>
          </w:tcPr>
          <w:p w14:paraId="03A2E38C" w14:textId="77777777" w:rsidR="00422B21" w:rsidRPr="00D92E20" w:rsidRDefault="00422B21" w:rsidP="00422B21">
            <w:pPr>
              <w:spacing w:after="0" w:line="240" w:lineRule="auto"/>
              <w:rPr>
                <w:rFonts w:cs="Arial"/>
                <w:color w:val="000000"/>
                <w:sz w:val="16"/>
                <w:szCs w:val="16"/>
              </w:rPr>
            </w:pPr>
          </w:p>
        </w:tc>
        <w:tc>
          <w:tcPr>
            <w:tcW w:w="709" w:type="dxa"/>
            <w:tcBorders>
              <w:top w:val="nil"/>
              <w:left w:val="single" w:sz="4" w:space="0" w:color="auto"/>
              <w:bottom w:val="single" w:sz="4" w:space="0" w:color="auto"/>
              <w:right w:val="single" w:sz="4" w:space="0" w:color="auto"/>
            </w:tcBorders>
            <w:shd w:val="clear" w:color="000000" w:fill="F2DBDB"/>
            <w:vAlign w:val="center"/>
            <w:hideMark/>
          </w:tcPr>
          <w:p w14:paraId="1B00203E" w14:textId="77777777" w:rsidR="00422B21" w:rsidRPr="00D92E20" w:rsidRDefault="00422B21" w:rsidP="00422B21">
            <w:pPr>
              <w:spacing w:after="0" w:line="240" w:lineRule="auto"/>
              <w:jc w:val="center"/>
              <w:rPr>
                <w:rFonts w:cs="Arial"/>
                <w:color w:val="000000"/>
                <w:sz w:val="16"/>
                <w:szCs w:val="16"/>
              </w:rPr>
            </w:pPr>
            <w:r w:rsidRPr="00D92E20">
              <w:rPr>
                <w:rFonts w:cs="Arial"/>
                <w:color w:val="000000"/>
                <w:sz w:val="16"/>
                <w:szCs w:val="16"/>
              </w:rPr>
              <w:t>muži</w:t>
            </w:r>
          </w:p>
        </w:tc>
        <w:tc>
          <w:tcPr>
            <w:tcW w:w="709" w:type="dxa"/>
            <w:tcBorders>
              <w:top w:val="nil"/>
              <w:left w:val="nil"/>
              <w:bottom w:val="single" w:sz="4" w:space="0" w:color="auto"/>
              <w:right w:val="single" w:sz="4" w:space="0" w:color="auto"/>
            </w:tcBorders>
            <w:shd w:val="clear" w:color="000000" w:fill="F2DBDB"/>
            <w:vAlign w:val="center"/>
            <w:hideMark/>
          </w:tcPr>
          <w:p w14:paraId="6EE1AEB5" w14:textId="77777777" w:rsidR="00422B21" w:rsidRPr="00D92E20" w:rsidRDefault="00422B21" w:rsidP="00422B21">
            <w:pPr>
              <w:spacing w:after="0" w:line="240" w:lineRule="auto"/>
              <w:jc w:val="center"/>
              <w:rPr>
                <w:rFonts w:cs="Arial"/>
                <w:color w:val="000000"/>
                <w:sz w:val="16"/>
                <w:szCs w:val="16"/>
              </w:rPr>
            </w:pPr>
            <w:r w:rsidRPr="00D92E20">
              <w:rPr>
                <w:rFonts w:cs="Arial"/>
                <w:color w:val="000000"/>
                <w:sz w:val="16"/>
                <w:szCs w:val="16"/>
              </w:rPr>
              <w:t>ženy</w:t>
            </w:r>
          </w:p>
        </w:tc>
        <w:tc>
          <w:tcPr>
            <w:tcW w:w="709" w:type="dxa"/>
            <w:vMerge/>
            <w:tcBorders>
              <w:left w:val="nil"/>
              <w:bottom w:val="single" w:sz="4" w:space="0" w:color="000000"/>
              <w:right w:val="nil"/>
            </w:tcBorders>
            <w:vAlign w:val="center"/>
            <w:hideMark/>
          </w:tcPr>
          <w:p w14:paraId="62F83AD5" w14:textId="77777777" w:rsidR="00422B21" w:rsidRPr="00D92E20" w:rsidRDefault="00422B21" w:rsidP="00422B21">
            <w:pPr>
              <w:spacing w:after="0" w:line="240" w:lineRule="auto"/>
              <w:rPr>
                <w:rFonts w:cs="Arial"/>
                <w:color w:val="000000"/>
                <w:sz w:val="16"/>
                <w:szCs w:val="16"/>
              </w:rPr>
            </w:pPr>
          </w:p>
        </w:tc>
        <w:tc>
          <w:tcPr>
            <w:tcW w:w="709" w:type="dxa"/>
            <w:tcBorders>
              <w:top w:val="nil"/>
              <w:left w:val="single" w:sz="4" w:space="0" w:color="auto"/>
              <w:bottom w:val="single" w:sz="4" w:space="0" w:color="auto"/>
              <w:right w:val="single" w:sz="4" w:space="0" w:color="auto"/>
            </w:tcBorders>
            <w:shd w:val="clear" w:color="000000" w:fill="F2DBDB"/>
            <w:vAlign w:val="center"/>
            <w:hideMark/>
          </w:tcPr>
          <w:p w14:paraId="67F5D891" w14:textId="77777777" w:rsidR="00422B21" w:rsidRPr="00D92E20" w:rsidRDefault="00422B21" w:rsidP="00422B21">
            <w:pPr>
              <w:spacing w:after="0" w:line="240" w:lineRule="auto"/>
              <w:jc w:val="center"/>
              <w:rPr>
                <w:rFonts w:cs="Arial"/>
                <w:color w:val="000000"/>
                <w:sz w:val="16"/>
                <w:szCs w:val="16"/>
              </w:rPr>
            </w:pPr>
            <w:r w:rsidRPr="00D92E20">
              <w:rPr>
                <w:rFonts w:cs="Arial"/>
                <w:color w:val="000000"/>
                <w:sz w:val="16"/>
                <w:szCs w:val="16"/>
              </w:rPr>
              <w:t>muži</w:t>
            </w:r>
          </w:p>
        </w:tc>
        <w:tc>
          <w:tcPr>
            <w:tcW w:w="709" w:type="dxa"/>
            <w:tcBorders>
              <w:top w:val="nil"/>
              <w:left w:val="nil"/>
              <w:bottom w:val="single" w:sz="4" w:space="0" w:color="auto"/>
              <w:right w:val="nil"/>
            </w:tcBorders>
            <w:shd w:val="clear" w:color="000000" w:fill="F2DBDB"/>
            <w:vAlign w:val="center"/>
            <w:hideMark/>
          </w:tcPr>
          <w:p w14:paraId="5D820EB0" w14:textId="77777777" w:rsidR="00422B21" w:rsidRPr="00D92E20" w:rsidRDefault="00422B21" w:rsidP="00422B21">
            <w:pPr>
              <w:spacing w:after="0" w:line="240" w:lineRule="auto"/>
              <w:jc w:val="center"/>
              <w:rPr>
                <w:rFonts w:cs="Arial"/>
                <w:color w:val="000000"/>
                <w:sz w:val="16"/>
                <w:szCs w:val="16"/>
              </w:rPr>
            </w:pPr>
            <w:r w:rsidRPr="00D92E20">
              <w:rPr>
                <w:rFonts w:cs="Arial"/>
                <w:color w:val="000000"/>
                <w:sz w:val="16"/>
                <w:szCs w:val="16"/>
              </w:rPr>
              <w:t>ženy</w:t>
            </w:r>
          </w:p>
        </w:tc>
      </w:tr>
      <w:tr w:rsidR="00987E13" w:rsidRPr="00D92E20" w14:paraId="2DDF13E6" w14:textId="77777777" w:rsidTr="00350B58">
        <w:trPr>
          <w:trHeight w:val="296"/>
        </w:trPr>
        <w:tc>
          <w:tcPr>
            <w:tcW w:w="1009" w:type="dxa"/>
            <w:tcBorders>
              <w:top w:val="nil"/>
              <w:left w:val="nil"/>
              <w:bottom w:val="nil"/>
              <w:right w:val="nil"/>
            </w:tcBorders>
            <w:shd w:val="clear" w:color="auto" w:fill="auto"/>
            <w:vAlign w:val="center"/>
            <w:hideMark/>
          </w:tcPr>
          <w:p w14:paraId="2CA3D358" w14:textId="6A597595" w:rsidR="00987E13" w:rsidRPr="00D92E20" w:rsidRDefault="00987E13" w:rsidP="00987E13">
            <w:pPr>
              <w:spacing w:after="0" w:line="240" w:lineRule="auto"/>
              <w:jc w:val="center"/>
              <w:rPr>
                <w:rFonts w:cs="Arial"/>
                <w:color w:val="000000"/>
                <w:sz w:val="16"/>
                <w:szCs w:val="16"/>
              </w:rPr>
            </w:pPr>
            <w:r>
              <w:rPr>
                <w:rFonts w:cs="Arial"/>
                <w:sz w:val="16"/>
                <w:szCs w:val="16"/>
              </w:rPr>
              <w:t>1. pol. 2012</w:t>
            </w:r>
          </w:p>
        </w:tc>
        <w:tc>
          <w:tcPr>
            <w:tcW w:w="710" w:type="dxa"/>
            <w:tcBorders>
              <w:top w:val="nil"/>
              <w:left w:val="single" w:sz="4" w:space="0" w:color="auto"/>
              <w:bottom w:val="nil"/>
              <w:right w:val="nil"/>
            </w:tcBorders>
            <w:shd w:val="clear" w:color="auto" w:fill="auto"/>
            <w:vAlign w:val="center"/>
            <w:hideMark/>
          </w:tcPr>
          <w:p w14:paraId="23EFB00F" w14:textId="0941CF5E" w:rsidR="00987E13" w:rsidRPr="00D92E20" w:rsidRDefault="00987E13" w:rsidP="00987E13">
            <w:pPr>
              <w:spacing w:after="0" w:line="240" w:lineRule="auto"/>
              <w:jc w:val="center"/>
              <w:rPr>
                <w:rFonts w:cs="Arial"/>
                <w:color w:val="000000"/>
                <w:sz w:val="16"/>
                <w:szCs w:val="16"/>
              </w:rPr>
            </w:pPr>
            <w:r>
              <w:rPr>
                <w:rFonts w:cs="Arial"/>
                <w:sz w:val="16"/>
                <w:szCs w:val="16"/>
              </w:rPr>
              <w:t>159,2</w:t>
            </w:r>
          </w:p>
        </w:tc>
        <w:tc>
          <w:tcPr>
            <w:tcW w:w="703" w:type="dxa"/>
            <w:tcBorders>
              <w:top w:val="nil"/>
              <w:left w:val="nil"/>
              <w:bottom w:val="nil"/>
              <w:right w:val="nil"/>
            </w:tcBorders>
            <w:shd w:val="clear" w:color="auto" w:fill="auto"/>
            <w:vAlign w:val="center"/>
            <w:hideMark/>
          </w:tcPr>
          <w:p w14:paraId="3D42082A" w14:textId="3B95BC61" w:rsidR="00987E13" w:rsidRPr="00D92E20" w:rsidRDefault="00987E13" w:rsidP="00987E13">
            <w:pPr>
              <w:spacing w:after="0" w:line="240" w:lineRule="auto"/>
              <w:jc w:val="center"/>
              <w:rPr>
                <w:rFonts w:cs="Arial"/>
                <w:color w:val="000000"/>
                <w:sz w:val="16"/>
                <w:szCs w:val="16"/>
              </w:rPr>
            </w:pPr>
            <w:r>
              <w:rPr>
                <w:rFonts w:cs="Arial"/>
                <w:sz w:val="16"/>
                <w:szCs w:val="16"/>
              </w:rPr>
              <w:t>73,7</w:t>
            </w:r>
          </w:p>
        </w:tc>
        <w:tc>
          <w:tcPr>
            <w:tcW w:w="705" w:type="dxa"/>
            <w:tcBorders>
              <w:top w:val="nil"/>
              <w:left w:val="nil"/>
              <w:bottom w:val="nil"/>
              <w:right w:val="single" w:sz="4" w:space="0" w:color="auto"/>
            </w:tcBorders>
            <w:shd w:val="clear" w:color="auto" w:fill="auto"/>
            <w:vAlign w:val="center"/>
            <w:hideMark/>
          </w:tcPr>
          <w:p w14:paraId="29400F7F" w14:textId="1E4D95B7" w:rsidR="00987E13" w:rsidRPr="00D92E20" w:rsidRDefault="00987E13" w:rsidP="00987E13">
            <w:pPr>
              <w:spacing w:after="0" w:line="240" w:lineRule="auto"/>
              <w:jc w:val="center"/>
              <w:rPr>
                <w:rFonts w:cs="Arial"/>
                <w:color w:val="000000"/>
                <w:sz w:val="16"/>
                <w:szCs w:val="16"/>
              </w:rPr>
            </w:pPr>
            <w:r>
              <w:rPr>
                <w:rFonts w:cs="Arial"/>
                <w:sz w:val="16"/>
                <w:szCs w:val="16"/>
              </w:rPr>
              <w:t>85,5</w:t>
            </w:r>
          </w:p>
        </w:tc>
        <w:tc>
          <w:tcPr>
            <w:tcW w:w="707" w:type="dxa"/>
            <w:tcBorders>
              <w:top w:val="nil"/>
              <w:left w:val="nil"/>
              <w:bottom w:val="nil"/>
              <w:right w:val="nil"/>
            </w:tcBorders>
            <w:shd w:val="clear" w:color="auto" w:fill="auto"/>
            <w:vAlign w:val="center"/>
            <w:hideMark/>
          </w:tcPr>
          <w:p w14:paraId="199F459E" w14:textId="2B46BD4C" w:rsidR="00987E13" w:rsidRPr="00D92E20" w:rsidRDefault="00987E13" w:rsidP="00987E13">
            <w:pPr>
              <w:spacing w:after="0" w:line="240" w:lineRule="auto"/>
              <w:jc w:val="center"/>
              <w:rPr>
                <w:rFonts w:cs="Arial"/>
                <w:color w:val="000000"/>
                <w:sz w:val="16"/>
                <w:szCs w:val="16"/>
              </w:rPr>
            </w:pPr>
            <w:r>
              <w:rPr>
                <w:rFonts w:cs="Arial"/>
                <w:sz w:val="16"/>
                <w:szCs w:val="16"/>
              </w:rPr>
              <w:t>135,6</w:t>
            </w:r>
          </w:p>
        </w:tc>
        <w:tc>
          <w:tcPr>
            <w:tcW w:w="704" w:type="dxa"/>
            <w:tcBorders>
              <w:top w:val="nil"/>
              <w:left w:val="nil"/>
              <w:bottom w:val="nil"/>
              <w:right w:val="nil"/>
            </w:tcBorders>
            <w:shd w:val="clear" w:color="auto" w:fill="auto"/>
            <w:vAlign w:val="center"/>
            <w:hideMark/>
          </w:tcPr>
          <w:p w14:paraId="0E3E8702" w14:textId="40617A3B" w:rsidR="00987E13" w:rsidRPr="00D92E20" w:rsidRDefault="00987E13" w:rsidP="00987E13">
            <w:pPr>
              <w:spacing w:after="0" w:line="240" w:lineRule="auto"/>
              <w:jc w:val="center"/>
              <w:rPr>
                <w:rFonts w:cs="Arial"/>
                <w:color w:val="000000"/>
                <w:sz w:val="16"/>
                <w:szCs w:val="16"/>
              </w:rPr>
            </w:pPr>
            <w:r>
              <w:rPr>
                <w:rFonts w:cs="Arial"/>
                <w:sz w:val="16"/>
                <w:szCs w:val="16"/>
              </w:rPr>
              <w:t>58,2</w:t>
            </w:r>
          </w:p>
        </w:tc>
        <w:tc>
          <w:tcPr>
            <w:tcW w:w="705" w:type="dxa"/>
            <w:tcBorders>
              <w:top w:val="nil"/>
              <w:left w:val="nil"/>
              <w:bottom w:val="nil"/>
              <w:right w:val="nil"/>
            </w:tcBorders>
            <w:shd w:val="clear" w:color="auto" w:fill="auto"/>
            <w:vAlign w:val="center"/>
            <w:hideMark/>
          </w:tcPr>
          <w:p w14:paraId="0FCE0B95" w14:textId="314A0397" w:rsidR="00987E13" w:rsidRPr="00D92E20" w:rsidRDefault="00987E13" w:rsidP="00987E13">
            <w:pPr>
              <w:spacing w:after="0" w:line="240" w:lineRule="auto"/>
              <w:jc w:val="center"/>
              <w:rPr>
                <w:rFonts w:cs="Arial"/>
                <w:color w:val="000000"/>
                <w:sz w:val="16"/>
                <w:szCs w:val="16"/>
              </w:rPr>
            </w:pPr>
            <w:r>
              <w:rPr>
                <w:rFonts w:cs="Arial"/>
                <w:sz w:val="16"/>
                <w:szCs w:val="16"/>
              </w:rPr>
              <w:t>77,3</w:t>
            </w:r>
          </w:p>
        </w:tc>
        <w:tc>
          <w:tcPr>
            <w:tcW w:w="754" w:type="dxa"/>
            <w:tcBorders>
              <w:top w:val="nil"/>
              <w:left w:val="single" w:sz="4" w:space="0" w:color="auto"/>
              <w:bottom w:val="nil"/>
              <w:right w:val="nil"/>
            </w:tcBorders>
            <w:shd w:val="clear" w:color="auto" w:fill="auto"/>
            <w:vAlign w:val="center"/>
            <w:hideMark/>
          </w:tcPr>
          <w:p w14:paraId="6E9EFAEA" w14:textId="4C834D7A" w:rsidR="00987E13" w:rsidRPr="00D92E20" w:rsidRDefault="00987E13" w:rsidP="00987E13">
            <w:pPr>
              <w:spacing w:after="0" w:line="240" w:lineRule="auto"/>
              <w:jc w:val="center"/>
              <w:rPr>
                <w:rFonts w:cs="Arial"/>
                <w:color w:val="000000"/>
                <w:sz w:val="16"/>
                <w:szCs w:val="16"/>
              </w:rPr>
            </w:pPr>
            <w:r>
              <w:rPr>
                <w:rFonts w:cs="Arial"/>
                <w:sz w:val="16"/>
                <w:szCs w:val="16"/>
              </w:rPr>
              <w:t>6,9</w:t>
            </w:r>
          </w:p>
        </w:tc>
        <w:tc>
          <w:tcPr>
            <w:tcW w:w="709" w:type="dxa"/>
            <w:tcBorders>
              <w:top w:val="nil"/>
              <w:left w:val="nil"/>
              <w:bottom w:val="nil"/>
              <w:right w:val="nil"/>
            </w:tcBorders>
            <w:shd w:val="clear" w:color="auto" w:fill="auto"/>
            <w:vAlign w:val="center"/>
            <w:hideMark/>
          </w:tcPr>
          <w:p w14:paraId="640CCE27" w14:textId="0C642E4B" w:rsidR="00987E13" w:rsidRPr="00D92E20" w:rsidRDefault="00987E13" w:rsidP="00987E13">
            <w:pPr>
              <w:spacing w:after="0" w:line="240" w:lineRule="auto"/>
              <w:jc w:val="center"/>
              <w:rPr>
                <w:rFonts w:cs="Arial"/>
                <w:color w:val="000000"/>
                <w:sz w:val="16"/>
                <w:szCs w:val="16"/>
              </w:rPr>
            </w:pPr>
            <w:r>
              <w:rPr>
                <w:rFonts w:cs="Arial"/>
                <w:sz w:val="16"/>
                <w:szCs w:val="16"/>
              </w:rPr>
              <w:t>4,9</w:t>
            </w:r>
          </w:p>
        </w:tc>
        <w:tc>
          <w:tcPr>
            <w:tcW w:w="709" w:type="dxa"/>
            <w:tcBorders>
              <w:top w:val="nil"/>
              <w:left w:val="nil"/>
              <w:bottom w:val="nil"/>
              <w:right w:val="single" w:sz="4" w:space="0" w:color="auto"/>
            </w:tcBorders>
            <w:shd w:val="clear" w:color="auto" w:fill="auto"/>
            <w:vAlign w:val="center"/>
            <w:hideMark/>
          </w:tcPr>
          <w:p w14:paraId="5A4DA4C7" w14:textId="01192FE7" w:rsidR="00987E13" w:rsidRPr="00D92E20" w:rsidRDefault="00987E13" w:rsidP="00987E13">
            <w:pPr>
              <w:spacing w:after="0" w:line="240" w:lineRule="auto"/>
              <w:jc w:val="center"/>
              <w:rPr>
                <w:rFonts w:cs="Arial"/>
                <w:color w:val="000000"/>
                <w:sz w:val="16"/>
                <w:szCs w:val="16"/>
              </w:rPr>
            </w:pPr>
            <w:r>
              <w:rPr>
                <w:rFonts w:cs="Arial"/>
                <w:sz w:val="16"/>
                <w:szCs w:val="16"/>
              </w:rPr>
              <w:t>2,0</w:t>
            </w:r>
          </w:p>
        </w:tc>
        <w:tc>
          <w:tcPr>
            <w:tcW w:w="709" w:type="dxa"/>
            <w:tcBorders>
              <w:top w:val="nil"/>
              <w:left w:val="nil"/>
              <w:bottom w:val="nil"/>
              <w:right w:val="nil"/>
            </w:tcBorders>
            <w:shd w:val="clear" w:color="auto" w:fill="auto"/>
            <w:vAlign w:val="center"/>
            <w:hideMark/>
          </w:tcPr>
          <w:p w14:paraId="6FB754BC" w14:textId="076C4120" w:rsidR="00987E13" w:rsidRPr="00D92E20" w:rsidRDefault="00987E13" w:rsidP="00987E13">
            <w:pPr>
              <w:spacing w:after="0" w:line="240" w:lineRule="auto"/>
              <w:jc w:val="center"/>
              <w:rPr>
                <w:rFonts w:cs="Arial"/>
                <w:color w:val="000000"/>
                <w:sz w:val="16"/>
                <w:szCs w:val="16"/>
              </w:rPr>
            </w:pPr>
            <w:r>
              <w:rPr>
                <w:rFonts w:cs="Arial"/>
                <w:sz w:val="16"/>
                <w:szCs w:val="16"/>
              </w:rPr>
              <w:t>16,7</w:t>
            </w:r>
          </w:p>
        </w:tc>
        <w:tc>
          <w:tcPr>
            <w:tcW w:w="709" w:type="dxa"/>
            <w:tcBorders>
              <w:top w:val="nil"/>
              <w:left w:val="nil"/>
              <w:bottom w:val="nil"/>
              <w:right w:val="nil"/>
            </w:tcBorders>
            <w:shd w:val="clear" w:color="auto" w:fill="auto"/>
            <w:vAlign w:val="center"/>
            <w:hideMark/>
          </w:tcPr>
          <w:p w14:paraId="673AA675" w14:textId="49D17124" w:rsidR="00987E13" w:rsidRPr="00D92E20" w:rsidRDefault="00987E13" w:rsidP="00987E13">
            <w:pPr>
              <w:spacing w:after="0" w:line="240" w:lineRule="auto"/>
              <w:jc w:val="center"/>
              <w:rPr>
                <w:rFonts w:cs="Arial"/>
                <w:color w:val="000000"/>
                <w:sz w:val="16"/>
                <w:szCs w:val="16"/>
              </w:rPr>
            </w:pPr>
            <w:r>
              <w:rPr>
                <w:rFonts w:cs="Arial"/>
                <w:sz w:val="16"/>
                <w:szCs w:val="16"/>
              </w:rPr>
              <w:t>9,7</w:t>
            </w:r>
          </w:p>
        </w:tc>
        <w:tc>
          <w:tcPr>
            <w:tcW w:w="709" w:type="dxa"/>
            <w:tcBorders>
              <w:top w:val="nil"/>
              <w:left w:val="nil"/>
              <w:bottom w:val="nil"/>
              <w:right w:val="nil"/>
            </w:tcBorders>
            <w:shd w:val="clear" w:color="auto" w:fill="auto"/>
            <w:vAlign w:val="center"/>
            <w:hideMark/>
          </w:tcPr>
          <w:p w14:paraId="5010C193" w14:textId="0B36A44C" w:rsidR="00987E13" w:rsidRPr="00D92E20" w:rsidRDefault="00987E13" w:rsidP="00987E13">
            <w:pPr>
              <w:spacing w:after="0" w:line="240" w:lineRule="auto"/>
              <w:jc w:val="center"/>
              <w:rPr>
                <w:rFonts w:cs="Arial"/>
                <w:color w:val="000000"/>
                <w:sz w:val="16"/>
                <w:szCs w:val="16"/>
              </w:rPr>
            </w:pPr>
            <w:r>
              <w:rPr>
                <w:rFonts w:cs="Arial"/>
                <w:sz w:val="16"/>
                <w:szCs w:val="16"/>
              </w:rPr>
              <w:t>7,1</w:t>
            </w:r>
          </w:p>
        </w:tc>
      </w:tr>
      <w:tr w:rsidR="00987E13" w:rsidRPr="00D92E20" w14:paraId="3A13D752" w14:textId="77777777" w:rsidTr="00350B58">
        <w:trPr>
          <w:trHeight w:val="296"/>
        </w:trPr>
        <w:tc>
          <w:tcPr>
            <w:tcW w:w="1009" w:type="dxa"/>
            <w:tcBorders>
              <w:top w:val="nil"/>
              <w:left w:val="nil"/>
              <w:bottom w:val="nil"/>
              <w:right w:val="nil"/>
            </w:tcBorders>
            <w:shd w:val="clear" w:color="auto" w:fill="auto"/>
            <w:vAlign w:val="center"/>
            <w:hideMark/>
          </w:tcPr>
          <w:p w14:paraId="620B1CD1" w14:textId="067A7C11" w:rsidR="00987E13" w:rsidRPr="00D92E20" w:rsidRDefault="00987E13" w:rsidP="00987E13">
            <w:pPr>
              <w:spacing w:after="0" w:line="240" w:lineRule="auto"/>
              <w:jc w:val="center"/>
              <w:rPr>
                <w:rFonts w:cs="Arial"/>
                <w:color w:val="000000"/>
                <w:sz w:val="16"/>
                <w:szCs w:val="16"/>
              </w:rPr>
            </w:pPr>
            <w:r>
              <w:rPr>
                <w:rFonts w:cs="Arial"/>
                <w:sz w:val="16"/>
                <w:szCs w:val="16"/>
              </w:rPr>
              <w:t>1. pol. 2013</w:t>
            </w:r>
          </w:p>
        </w:tc>
        <w:tc>
          <w:tcPr>
            <w:tcW w:w="710" w:type="dxa"/>
            <w:tcBorders>
              <w:top w:val="nil"/>
              <w:left w:val="single" w:sz="4" w:space="0" w:color="auto"/>
              <w:bottom w:val="nil"/>
              <w:right w:val="nil"/>
            </w:tcBorders>
            <w:shd w:val="clear" w:color="auto" w:fill="auto"/>
            <w:vAlign w:val="center"/>
            <w:hideMark/>
          </w:tcPr>
          <w:p w14:paraId="5F5D7BF4" w14:textId="3CAF8119" w:rsidR="00987E13" w:rsidRPr="00D92E20" w:rsidRDefault="00987E13" w:rsidP="00987E13">
            <w:pPr>
              <w:spacing w:after="0" w:line="240" w:lineRule="auto"/>
              <w:jc w:val="center"/>
              <w:rPr>
                <w:rFonts w:cs="Arial"/>
                <w:color w:val="000000"/>
                <w:sz w:val="16"/>
                <w:szCs w:val="16"/>
              </w:rPr>
            </w:pPr>
            <w:r>
              <w:rPr>
                <w:rFonts w:cs="Arial"/>
                <w:sz w:val="16"/>
                <w:szCs w:val="16"/>
              </w:rPr>
              <w:t>176,1</w:t>
            </w:r>
          </w:p>
        </w:tc>
        <w:tc>
          <w:tcPr>
            <w:tcW w:w="703" w:type="dxa"/>
            <w:tcBorders>
              <w:top w:val="nil"/>
              <w:left w:val="nil"/>
              <w:bottom w:val="nil"/>
              <w:right w:val="nil"/>
            </w:tcBorders>
            <w:shd w:val="clear" w:color="auto" w:fill="auto"/>
            <w:vAlign w:val="center"/>
            <w:hideMark/>
          </w:tcPr>
          <w:p w14:paraId="20692D6A" w14:textId="5B0210BD" w:rsidR="00987E13" w:rsidRPr="00D92E20" w:rsidRDefault="00987E13" w:rsidP="00987E13">
            <w:pPr>
              <w:spacing w:after="0" w:line="240" w:lineRule="auto"/>
              <w:jc w:val="center"/>
              <w:rPr>
                <w:rFonts w:cs="Arial"/>
                <w:color w:val="000000"/>
                <w:sz w:val="16"/>
                <w:szCs w:val="16"/>
              </w:rPr>
            </w:pPr>
            <w:r>
              <w:rPr>
                <w:rFonts w:cs="Arial"/>
                <w:sz w:val="16"/>
                <w:szCs w:val="16"/>
              </w:rPr>
              <w:t>81,6</w:t>
            </w:r>
          </w:p>
        </w:tc>
        <w:tc>
          <w:tcPr>
            <w:tcW w:w="705" w:type="dxa"/>
            <w:tcBorders>
              <w:top w:val="nil"/>
              <w:left w:val="nil"/>
              <w:bottom w:val="nil"/>
              <w:right w:val="single" w:sz="4" w:space="0" w:color="auto"/>
            </w:tcBorders>
            <w:shd w:val="clear" w:color="auto" w:fill="auto"/>
            <w:vAlign w:val="center"/>
            <w:hideMark/>
          </w:tcPr>
          <w:p w14:paraId="7DFFF2F4" w14:textId="7F259684" w:rsidR="00987E13" w:rsidRPr="00D92E20" w:rsidRDefault="00987E13" w:rsidP="00987E13">
            <w:pPr>
              <w:spacing w:after="0" w:line="240" w:lineRule="auto"/>
              <w:jc w:val="center"/>
              <w:rPr>
                <w:rFonts w:cs="Arial"/>
                <w:color w:val="000000"/>
                <w:sz w:val="16"/>
                <w:szCs w:val="16"/>
              </w:rPr>
            </w:pPr>
            <w:r>
              <w:rPr>
                <w:rFonts w:cs="Arial"/>
                <w:sz w:val="16"/>
                <w:szCs w:val="16"/>
              </w:rPr>
              <w:t>94,5</w:t>
            </w:r>
          </w:p>
        </w:tc>
        <w:tc>
          <w:tcPr>
            <w:tcW w:w="707" w:type="dxa"/>
            <w:tcBorders>
              <w:top w:val="nil"/>
              <w:left w:val="nil"/>
              <w:bottom w:val="nil"/>
              <w:right w:val="nil"/>
            </w:tcBorders>
            <w:shd w:val="clear" w:color="auto" w:fill="auto"/>
            <w:vAlign w:val="center"/>
            <w:hideMark/>
          </w:tcPr>
          <w:p w14:paraId="5F18645D" w14:textId="4F8AD9B2" w:rsidR="00987E13" w:rsidRPr="00D92E20" w:rsidRDefault="00987E13" w:rsidP="00987E13">
            <w:pPr>
              <w:spacing w:after="0" w:line="240" w:lineRule="auto"/>
              <w:jc w:val="center"/>
              <w:rPr>
                <w:rFonts w:cs="Arial"/>
                <w:color w:val="000000"/>
                <w:sz w:val="16"/>
                <w:szCs w:val="16"/>
              </w:rPr>
            </w:pPr>
            <w:r>
              <w:rPr>
                <w:rFonts w:cs="Arial"/>
                <w:sz w:val="16"/>
                <w:szCs w:val="16"/>
              </w:rPr>
              <w:t>150,6</w:t>
            </w:r>
          </w:p>
        </w:tc>
        <w:tc>
          <w:tcPr>
            <w:tcW w:w="704" w:type="dxa"/>
            <w:tcBorders>
              <w:top w:val="nil"/>
              <w:left w:val="nil"/>
              <w:bottom w:val="nil"/>
              <w:right w:val="nil"/>
            </w:tcBorders>
            <w:shd w:val="clear" w:color="auto" w:fill="auto"/>
            <w:vAlign w:val="center"/>
            <w:hideMark/>
          </w:tcPr>
          <w:p w14:paraId="45CF2903" w14:textId="3345D949" w:rsidR="00987E13" w:rsidRPr="00D92E20" w:rsidRDefault="00987E13" w:rsidP="00987E13">
            <w:pPr>
              <w:spacing w:after="0" w:line="240" w:lineRule="auto"/>
              <w:jc w:val="center"/>
              <w:rPr>
                <w:rFonts w:cs="Arial"/>
                <w:color w:val="000000"/>
                <w:sz w:val="16"/>
                <w:szCs w:val="16"/>
              </w:rPr>
            </w:pPr>
            <w:r>
              <w:rPr>
                <w:rFonts w:cs="Arial"/>
                <w:sz w:val="16"/>
                <w:szCs w:val="16"/>
              </w:rPr>
              <w:t>65,2</w:t>
            </w:r>
          </w:p>
        </w:tc>
        <w:tc>
          <w:tcPr>
            <w:tcW w:w="705" w:type="dxa"/>
            <w:tcBorders>
              <w:top w:val="nil"/>
              <w:left w:val="nil"/>
              <w:bottom w:val="nil"/>
              <w:right w:val="nil"/>
            </w:tcBorders>
            <w:shd w:val="clear" w:color="auto" w:fill="auto"/>
            <w:vAlign w:val="center"/>
            <w:hideMark/>
          </w:tcPr>
          <w:p w14:paraId="37654124" w14:textId="355FB73E" w:rsidR="00987E13" w:rsidRPr="00D92E20" w:rsidRDefault="00987E13" w:rsidP="00987E13">
            <w:pPr>
              <w:spacing w:after="0" w:line="240" w:lineRule="auto"/>
              <w:jc w:val="center"/>
              <w:rPr>
                <w:rFonts w:cs="Arial"/>
                <w:color w:val="000000"/>
                <w:sz w:val="16"/>
                <w:szCs w:val="16"/>
              </w:rPr>
            </w:pPr>
            <w:r>
              <w:rPr>
                <w:rFonts w:cs="Arial"/>
                <w:sz w:val="16"/>
                <w:szCs w:val="16"/>
              </w:rPr>
              <w:t>85,3</w:t>
            </w:r>
          </w:p>
        </w:tc>
        <w:tc>
          <w:tcPr>
            <w:tcW w:w="754" w:type="dxa"/>
            <w:tcBorders>
              <w:top w:val="nil"/>
              <w:left w:val="single" w:sz="4" w:space="0" w:color="auto"/>
              <w:bottom w:val="nil"/>
              <w:right w:val="nil"/>
            </w:tcBorders>
            <w:shd w:val="clear" w:color="auto" w:fill="auto"/>
            <w:vAlign w:val="center"/>
            <w:hideMark/>
          </w:tcPr>
          <w:p w14:paraId="4280CEE1" w14:textId="52B1D325" w:rsidR="00987E13" w:rsidRPr="00D92E20" w:rsidRDefault="00987E13" w:rsidP="00987E13">
            <w:pPr>
              <w:spacing w:after="0" w:line="240" w:lineRule="auto"/>
              <w:jc w:val="center"/>
              <w:rPr>
                <w:rFonts w:cs="Arial"/>
                <w:color w:val="000000"/>
                <w:sz w:val="16"/>
                <w:szCs w:val="16"/>
              </w:rPr>
            </w:pPr>
            <w:r>
              <w:rPr>
                <w:rFonts w:cs="Arial"/>
                <w:sz w:val="16"/>
                <w:szCs w:val="16"/>
              </w:rPr>
              <w:t>6,8</w:t>
            </w:r>
          </w:p>
        </w:tc>
        <w:tc>
          <w:tcPr>
            <w:tcW w:w="709" w:type="dxa"/>
            <w:tcBorders>
              <w:top w:val="nil"/>
              <w:left w:val="nil"/>
              <w:bottom w:val="nil"/>
              <w:right w:val="nil"/>
            </w:tcBorders>
            <w:shd w:val="clear" w:color="auto" w:fill="auto"/>
            <w:vAlign w:val="center"/>
            <w:hideMark/>
          </w:tcPr>
          <w:p w14:paraId="628D6E8B" w14:textId="4DD3E738" w:rsidR="00987E13" w:rsidRPr="00D92E20" w:rsidRDefault="00987E13" w:rsidP="00987E13">
            <w:pPr>
              <w:spacing w:after="0" w:line="240" w:lineRule="auto"/>
              <w:jc w:val="center"/>
              <w:rPr>
                <w:rFonts w:cs="Arial"/>
                <w:color w:val="000000"/>
                <w:sz w:val="16"/>
                <w:szCs w:val="16"/>
              </w:rPr>
            </w:pPr>
            <w:r>
              <w:rPr>
                <w:rFonts w:cs="Arial"/>
                <w:sz w:val="16"/>
                <w:szCs w:val="16"/>
              </w:rPr>
              <w:t>4,8</w:t>
            </w:r>
          </w:p>
        </w:tc>
        <w:tc>
          <w:tcPr>
            <w:tcW w:w="709" w:type="dxa"/>
            <w:tcBorders>
              <w:top w:val="nil"/>
              <w:left w:val="nil"/>
              <w:bottom w:val="nil"/>
              <w:right w:val="single" w:sz="4" w:space="0" w:color="auto"/>
            </w:tcBorders>
            <w:shd w:val="clear" w:color="auto" w:fill="auto"/>
            <w:vAlign w:val="center"/>
            <w:hideMark/>
          </w:tcPr>
          <w:p w14:paraId="66D6BE68" w14:textId="7D9A70E0" w:rsidR="00987E13" w:rsidRPr="00D92E20" w:rsidRDefault="00987E13" w:rsidP="00987E13">
            <w:pPr>
              <w:spacing w:after="0" w:line="240" w:lineRule="auto"/>
              <w:jc w:val="center"/>
              <w:rPr>
                <w:rFonts w:cs="Arial"/>
                <w:color w:val="000000"/>
                <w:sz w:val="16"/>
                <w:szCs w:val="16"/>
              </w:rPr>
            </w:pPr>
            <w:r>
              <w:rPr>
                <w:rFonts w:cs="Arial"/>
                <w:sz w:val="16"/>
                <w:szCs w:val="16"/>
              </w:rPr>
              <w:t>2,1</w:t>
            </w:r>
          </w:p>
        </w:tc>
        <w:tc>
          <w:tcPr>
            <w:tcW w:w="709" w:type="dxa"/>
            <w:tcBorders>
              <w:top w:val="nil"/>
              <w:left w:val="nil"/>
              <w:bottom w:val="nil"/>
              <w:right w:val="nil"/>
            </w:tcBorders>
            <w:shd w:val="clear" w:color="auto" w:fill="auto"/>
            <w:vAlign w:val="center"/>
            <w:hideMark/>
          </w:tcPr>
          <w:p w14:paraId="57539BE8" w14:textId="14F919CC" w:rsidR="00987E13" w:rsidRPr="00D92E20" w:rsidRDefault="00987E13" w:rsidP="00987E13">
            <w:pPr>
              <w:spacing w:after="0" w:line="240" w:lineRule="auto"/>
              <w:jc w:val="center"/>
              <w:rPr>
                <w:rFonts w:cs="Arial"/>
                <w:color w:val="000000"/>
                <w:sz w:val="16"/>
                <w:szCs w:val="16"/>
              </w:rPr>
            </w:pPr>
            <w:r>
              <w:rPr>
                <w:rFonts w:cs="Arial"/>
                <w:sz w:val="16"/>
                <w:szCs w:val="16"/>
              </w:rPr>
              <w:t>18,7</w:t>
            </w:r>
          </w:p>
        </w:tc>
        <w:tc>
          <w:tcPr>
            <w:tcW w:w="709" w:type="dxa"/>
            <w:tcBorders>
              <w:top w:val="nil"/>
              <w:left w:val="nil"/>
              <w:bottom w:val="nil"/>
              <w:right w:val="nil"/>
            </w:tcBorders>
            <w:shd w:val="clear" w:color="auto" w:fill="auto"/>
            <w:vAlign w:val="center"/>
            <w:hideMark/>
          </w:tcPr>
          <w:p w14:paraId="3D910459" w14:textId="6E480576" w:rsidR="00987E13" w:rsidRPr="00D92E20" w:rsidRDefault="00987E13" w:rsidP="00987E13">
            <w:pPr>
              <w:spacing w:after="0" w:line="240" w:lineRule="auto"/>
              <w:jc w:val="center"/>
              <w:rPr>
                <w:rFonts w:cs="Arial"/>
                <w:color w:val="000000"/>
                <w:sz w:val="16"/>
                <w:szCs w:val="16"/>
              </w:rPr>
            </w:pPr>
            <w:r>
              <w:rPr>
                <w:rFonts w:cs="Arial"/>
                <w:sz w:val="16"/>
                <w:szCs w:val="16"/>
              </w:rPr>
              <w:t>11,6</w:t>
            </w:r>
          </w:p>
        </w:tc>
        <w:tc>
          <w:tcPr>
            <w:tcW w:w="709" w:type="dxa"/>
            <w:tcBorders>
              <w:top w:val="nil"/>
              <w:left w:val="nil"/>
              <w:bottom w:val="nil"/>
              <w:right w:val="nil"/>
            </w:tcBorders>
            <w:shd w:val="clear" w:color="auto" w:fill="auto"/>
            <w:vAlign w:val="center"/>
            <w:hideMark/>
          </w:tcPr>
          <w:p w14:paraId="7F60A7D7" w14:textId="7D610741" w:rsidR="00987E13" w:rsidRPr="00D92E20" w:rsidRDefault="00987E13" w:rsidP="00987E13">
            <w:pPr>
              <w:spacing w:after="0" w:line="240" w:lineRule="auto"/>
              <w:jc w:val="center"/>
              <w:rPr>
                <w:rFonts w:cs="Arial"/>
                <w:color w:val="000000"/>
                <w:sz w:val="16"/>
                <w:szCs w:val="16"/>
              </w:rPr>
            </w:pPr>
            <w:r>
              <w:rPr>
                <w:rFonts w:cs="Arial"/>
                <w:sz w:val="16"/>
                <w:szCs w:val="16"/>
              </w:rPr>
              <w:t>7,1</w:t>
            </w:r>
          </w:p>
        </w:tc>
      </w:tr>
      <w:tr w:rsidR="00987E13" w:rsidRPr="00D92E20" w14:paraId="7A7056E1" w14:textId="77777777" w:rsidTr="00350B58">
        <w:trPr>
          <w:trHeight w:val="296"/>
        </w:trPr>
        <w:tc>
          <w:tcPr>
            <w:tcW w:w="1009" w:type="dxa"/>
            <w:tcBorders>
              <w:top w:val="nil"/>
              <w:left w:val="nil"/>
              <w:bottom w:val="nil"/>
              <w:right w:val="nil"/>
            </w:tcBorders>
            <w:shd w:val="clear" w:color="auto" w:fill="auto"/>
            <w:vAlign w:val="center"/>
            <w:hideMark/>
          </w:tcPr>
          <w:p w14:paraId="26383424" w14:textId="1F68E527" w:rsidR="00987E13" w:rsidRPr="00D92E20" w:rsidRDefault="00987E13" w:rsidP="00987E13">
            <w:pPr>
              <w:spacing w:after="0" w:line="240" w:lineRule="auto"/>
              <w:jc w:val="center"/>
              <w:rPr>
                <w:rFonts w:cs="Arial"/>
                <w:color w:val="000000"/>
                <w:sz w:val="16"/>
                <w:szCs w:val="16"/>
              </w:rPr>
            </w:pPr>
            <w:r>
              <w:rPr>
                <w:rFonts w:cs="Arial"/>
                <w:sz w:val="16"/>
                <w:szCs w:val="16"/>
              </w:rPr>
              <w:t>1. pol. 2014</w:t>
            </w:r>
          </w:p>
        </w:tc>
        <w:tc>
          <w:tcPr>
            <w:tcW w:w="710" w:type="dxa"/>
            <w:tcBorders>
              <w:top w:val="nil"/>
              <w:left w:val="single" w:sz="4" w:space="0" w:color="auto"/>
              <w:bottom w:val="nil"/>
              <w:right w:val="nil"/>
            </w:tcBorders>
            <w:shd w:val="clear" w:color="auto" w:fill="auto"/>
            <w:vAlign w:val="center"/>
            <w:hideMark/>
          </w:tcPr>
          <w:p w14:paraId="55350A44" w14:textId="2BF5BDCE" w:rsidR="00987E13" w:rsidRPr="00D92E20" w:rsidRDefault="00987E13" w:rsidP="00987E13">
            <w:pPr>
              <w:spacing w:after="0" w:line="240" w:lineRule="auto"/>
              <w:jc w:val="center"/>
              <w:rPr>
                <w:rFonts w:cs="Arial"/>
                <w:color w:val="000000"/>
                <w:sz w:val="16"/>
                <w:szCs w:val="16"/>
              </w:rPr>
            </w:pPr>
            <w:r>
              <w:rPr>
                <w:rFonts w:cs="Arial"/>
                <w:sz w:val="16"/>
                <w:szCs w:val="16"/>
              </w:rPr>
              <w:t>168,6</w:t>
            </w:r>
          </w:p>
        </w:tc>
        <w:tc>
          <w:tcPr>
            <w:tcW w:w="703" w:type="dxa"/>
            <w:tcBorders>
              <w:top w:val="nil"/>
              <w:left w:val="nil"/>
              <w:bottom w:val="nil"/>
              <w:right w:val="nil"/>
            </w:tcBorders>
            <w:shd w:val="clear" w:color="auto" w:fill="auto"/>
            <w:vAlign w:val="center"/>
            <w:hideMark/>
          </w:tcPr>
          <w:p w14:paraId="6ED7AD97" w14:textId="6AA7DD75" w:rsidR="00987E13" w:rsidRPr="00D92E20" w:rsidRDefault="00987E13" w:rsidP="00987E13">
            <w:pPr>
              <w:spacing w:after="0" w:line="240" w:lineRule="auto"/>
              <w:jc w:val="center"/>
              <w:rPr>
                <w:rFonts w:cs="Arial"/>
                <w:color w:val="000000"/>
                <w:sz w:val="16"/>
                <w:szCs w:val="16"/>
              </w:rPr>
            </w:pPr>
            <w:r>
              <w:rPr>
                <w:rFonts w:cs="Arial"/>
                <w:sz w:val="16"/>
                <w:szCs w:val="16"/>
              </w:rPr>
              <w:t>76,8</w:t>
            </w:r>
          </w:p>
        </w:tc>
        <w:tc>
          <w:tcPr>
            <w:tcW w:w="705" w:type="dxa"/>
            <w:tcBorders>
              <w:top w:val="nil"/>
              <w:left w:val="nil"/>
              <w:bottom w:val="nil"/>
              <w:right w:val="single" w:sz="4" w:space="0" w:color="auto"/>
            </w:tcBorders>
            <w:shd w:val="clear" w:color="auto" w:fill="auto"/>
            <w:vAlign w:val="center"/>
            <w:hideMark/>
          </w:tcPr>
          <w:p w14:paraId="632B605B" w14:textId="0A1798F1" w:rsidR="00987E13" w:rsidRPr="00D92E20" w:rsidRDefault="00987E13" w:rsidP="00987E13">
            <w:pPr>
              <w:spacing w:after="0" w:line="240" w:lineRule="auto"/>
              <w:jc w:val="center"/>
              <w:rPr>
                <w:rFonts w:cs="Arial"/>
                <w:color w:val="000000"/>
                <w:sz w:val="16"/>
                <w:szCs w:val="16"/>
              </w:rPr>
            </w:pPr>
            <w:r>
              <w:rPr>
                <w:rFonts w:ascii="Arial CE" w:hAnsi="Arial CE" w:cs="Arial CE"/>
                <w:sz w:val="16"/>
                <w:szCs w:val="16"/>
              </w:rPr>
              <w:t>91,7</w:t>
            </w:r>
          </w:p>
        </w:tc>
        <w:tc>
          <w:tcPr>
            <w:tcW w:w="707" w:type="dxa"/>
            <w:tcBorders>
              <w:top w:val="nil"/>
              <w:left w:val="nil"/>
              <w:bottom w:val="nil"/>
              <w:right w:val="nil"/>
            </w:tcBorders>
            <w:shd w:val="clear" w:color="auto" w:fill="auto"/>
            <w:vAlign w:val="center"/>
            <w:hideMark/>
          </w:tcPr>
          <w:p w14:paraId="121C6F7C" w14:textId="7A9C8291" w:rsidR="00987E13" w:rsidRPr="00D92E20" w:rsidRDefault="00987E13" w:rsidP="00987E13">
            <w:pPr>
              <w:spacing w:after="0" w:line="240" w:lineRule="auto"/>
              <w:jc w:val="center"/>
              <w:rPr>
                <w:rFonts w:cs="Arial"/>
                <w:color w:val="000000"/>
                <w:sz w:val="16"/>
                <w:szCs w:val="16"/>
              </w:rPr>
            </w:pPr>
            <w:r>
              <w:rPr>
                <w:rFonts w:cs="Arial"/>
                <w:sz w:val="16"/>
                <w:szCs w:val="16"/>
              </w:rPr>
              <w:t>143,7</w:t>
            </w:r>
          </w:p>
        </w:tc>
        <w:tc>
          <w:tcPr>
            <w:tcW w:w="704" w:type="dxa"/>
            <w:tcBorders>
              <w:top w:val="nil"/>
              <w:left w:val="nil"/>
              <w:bottom w:val="nil"/>
              <w:right w:val="nil"/>
            </w:tcBorders>
            <w:shd w:val="clear" w:color="auto" w:fill="auto"/>
            <w:vAlign w:val="center"/>
            <w:hideMark/>
          </w:tcPr>
          <w:p w14:paraId="67ED9527" w14:textId="6A1C71E6" w:rsidR="00987E13" w:rsidRPr="00D92E20" w:rsidRDefault="00987E13" w:rsidP="00987E13">
            <w:pPr>
              <w:spacing w:after="0" w:line="240" w:lineRule="auto"/>
              <w:jc w:val="center"/>
              <w:rPr>
                <w:rFonts w:cs="Arial"/>
                <w:color w:val="000000"/>
                <w:sz w:val="16"/>
                <w:szCs w:val="16"/>
              </w:rPr>
            </w:pPr>
            <w:r>
              <w:rPr>
                <w:rFonts w:cs="Arial"/>
                <w:sz w:val="16"/>
                <w:szCs w:val="16"/>
              </w:rPr>
              <w:t>60,6</w:t>
            </w:r>
          </w:p>
        </w:tc>
        <w:tc>
          <w:tcPr>
            <w:tcW w:w="705" w:type="dxa"/>
            <w:tcBorders>
              <w:top w:val="nil"/>
              <w:left w:val="nil"/>
              <w:bottom w:val="nil"/>
              <w:right w:val="nil"/>
            </w:tcBorders>
            <w:shd w:val="clear" w:color="auto" w:fill="auto"/>
            <w:vAlign w:val="center"/>
            <w:hideMark/>
          </w:tcPr>
          <w:p w14:paraId="207FE059" w14:textId="232A96CD" w:rsidR="00987E13" w:rsidRPr="00D92E20" w:rsidRDefault="00987E13" w:rsidP="00987E13">
            <w:pPr>
              <w:spacing w:after="0" w:line="240" w:lineRule="auto"/>
              <w:jc w:val="center"/>
              <w:rPr>
                <w:rFonts w:cs="Arial"/>
                <w:color w:val="000000"/>
                <w:sz w:val="16"/>
                <w:szCs w:val="16"/>
              </w:rPr>
            </w:pPr>
            <w:r>
              <w:rPr>
                <w:rFonts w:ascii="Arial CE" w:hAnsi="Arial CE" w:cs="Arial CE"/>
                <w:sz w:val="16"/>
                <w:szCs w:val="16"/>
              </w:rPr>
              <w:t>83,1</w:t>
            </w:r>
          </w:p>
        </w:tc>
        <w:tc>
          <w:tcPr>
            <w:tcW w:w="754" w:type="dxa"/>
            <w:tcBorders>
              <w:top w:val="nil"/>
              <w:left w:val="single" w:sz="4" w:space="0" w:color="auto"/>
              <w:bottom w:val="nil"/>
              <w:right w:val="nil"/>
            </w:tcBorders>
            <w:shd w:val="clear" w:color="auto" w:fill="auto"/>
            <w:vAlign w:val="center"/>
            <w:hideMark/>
          </w:tcPr>
          <w:p w14:paraId="64CE6E60" w14:textId="65992355" w:rsidR="00987E13" w:rsidRPr="00D92E20" w:rsidRDefault="00987E13" w:rsidP="00987E13">
            <w:pPr>
              <w:spacing w:after="0" w:line="240" w:lineRule="auto"/>
              <w:jc w:val="center"/>
              <w:rPr>
                <w:rFonts w:cs="Arial"/>
                <w:color w:val="000000"/>
                <w:sz w:val="16"/>
                <w:szCs w:val="16"/>
              </w:rPr>
            </w:pPr>
            <w:r>
              <w:rPr>
                <w:rFonts w:cs="Arial"/>
                <w:sz w:val="16"/>
                <w:szCs w:val="16"/>
              </w:rPr>
              <w:t>6,6</w:t>
            </w:r>
          </w:p>
        </w:tc>
        <w:tc>
          <w:tcPr>
            <w:tcW w:w="709" w:type="dxa"/>
            <w:tcBorders>
              <w:top w:val="nil"/>
              <w:left w:val="nil"/>
              <w:bottom w:val="nil"/>
              <w:right w:val="nil"/>
            </w:tcBorders>
            <w:shd w:val="clear" w:color="auto" w:fill="auto"/>
            <w:vAlign w:val="center"/>
            <w:hideMark/>
          </w:tcPr>
          <w:p w14:paraId="5E6D53FB" w14:textId="330763C8" w:rsidR="00987E13" w:rsidRPr="00D92E20" w:rsidRDefault="00987E13" w:rsidP="00987E13">
            <w:pPr>
              <w:spacing w:after="0" w:line="240" w:lineRule="auto"/>
              <w:jc w:val="center"/>
              <w:rPr>
                <w:rFonts w:cs="Arial"/>
                <w:color w:val="000000"/>
                <w:sz w:val="16"/>
                <w:szCs w:val="16"/>
              </w:rPr>
            </w:pPr>
            <w:r>
              <w:rPr>
                <w:rFonts w:cs="Arial"/>
                <w:sz w:val="16"/>
                <w:szCs w:val="16"/>
              </w:rPr>
              <w:t>4,6</w:t>
            </w:r>
          </w:p>
        </w:tc>
        <w:tc>
          <w:tcPr>
            <w:tcW w:w="709" w:type="dxa"/>
            <w:tcBorders>
              <w:top w:val="nil"/>
              <w:left w:val="nil"/>
              <w:bottom w:val="nil"/>
              <w:right w:val="single" w:sz="4" w:space="0" w:color="auto"/>
            </w:tcBorders>
            <w:shd w:val="clear" w:color="auto" w:fill="auto"/>
            <w:vAlign w:val="center"/>
            <w:hideMark/>
          </w:tcPr>
          <w:p w14:paraId="233BAEBC" w14:textId="3481D88C" w:rsidR="00987E13" w:rsidRPr="00D92E20" w:rsidRDefault="00987E13" w:rsidP="00987E13">
            <w:pPr>
              <w:spacing w:after="0" w:line="240" w:lineRule="auto"/>
              <w:jc w:val="center"/>
              <w:rPr>
                <w:rFonts w:cs="Arial"/>
                <w:color w:val="000000"/>
                <w:sz w:val="16"/>
                <w:szCs w:val="16"/>
              </w:rPr>
            </w:pPr>
            <w:r>
              <w:rPr>
                <w:rFonts w:ascii="Arial CE" w:hAnsi="Arial CE" w:cs="Arial CE"/>
                <w:sz w:val="16"/>
                <w:szCs w:val="16"/>
              </w:rPr>
              <w:t>1,9</w:t>
            </w:r>
          </w:p>
        </w:tc>
        <w:tc>
          <w:tcPr>
            <w:tcW w:w="709" w:type="dxa"/>
            <w:tcBorders>
              <w:top w:val="nil"/>
              <w:left w:val="nil"/>
              <w:bottom w:val="nil"/>
              <w:right w:val="nil"/>
            </w:tcBorders>
            <w:shd w:val="clear" w:color="auto" w:fill="auto"/>
            <w:vAlign w:val="center"/>
            <w:hideMark/>
          </w:tcPr>
          <w:p w14:paraId="43AB2103" w14:textId="36AE0ABB" w:rsidR="00987E13" w:rsidRPr="00D92E20" w:rsidRDefault="00987E13" w:rsidP="00987E13">
            <w:pPr>
              <w:spacing w:after="0" w:line="240" w:lineRule="auto"/>
              <w:jc w:val="center"/>
              <w:rPr>
                <w:rFonts w:cs="Arial"/>
                <w:color w:val="000000"/>
                <w:sz w:val="16"/>
                <w:szCs w:val="16"/>
              </w:rPr>
            </w:pPr>
            <w:r>
              <w:rPr>
                <w:rFonts w:cs="Arial"/>
                <w:sz w:val="16"/>
                <w:szCs w:val="16"/>
              </w:rPr>
              <w:t>18,3</w:t>
            </w:r>
          </w:p>
        </w:tc>
        <w:tc>
          <w:tcPr>
            <w:tcW w:w="709" w:type="dxa"/>
            <w:tcBorders>
              <w:top w:val="nil"/>
              <w:left w:val="nil"/>
              <w:bottom w:val="nil"/>
              <w:right w:val="nil"/>
            </w:tcBorders>
            <w:shd w:val="clear" w:color="auto" w:fill="auto"/>
            <w:vAlign w:val="center"/>
            <w:hideMark/>
          </w:tcPr>
          <w:p w14:paraId="171E4B35" w14:textId="6B95A111" w:rsidR="00987E13" w:rsidRPr="00D92E20" w:rsidRDefault="00987E13" w:rsidP="00987E13">
            <w:pPr>
              <w:spacing w:after="0" w:line="240" w:lineRule="auto"/>
              <w:jc w:val="center"/>
              <w:rPr>
                <w:rFonts w:cs="Arial"/>
                <w:color w:val="000000"/>
                <w:sz w:val="16"/>
                <w:szCs w:val="16"/>
              </w:rPr>
            </w:pPr>
            <w:r>
              <w:rPr>
                <w:rFonts w:cs="Arial"/>
                <w:sz w:val="16"/>
                <w:szCs w:val="16"/>
              </w:rPr>
              <w:t>11,6</w:t>
            </w:r>
          </w:p>
        </w:tc>
        <w:tc>
          <w:tcPr>
            <w:tcW w:w="709" w:type="dxa"/>
            <w:tcBorders>
              <w:top w:val="nil"/>
              <w:left w:val="nil"/>
              <w:bottom w:val="nil"/>
              <w:right w:val="nil"/>
            </w:tcBorders>
            <w:shd w:val="clear" w:color="auto" w:fill="auto"/>
            <w:vAlign w:val="center"/>
            <w:hideMark/>
          </w:tcPr>
          <w:p w14:paraId="0037DEF0" w14:textId="4A32CA67" w:rsidR="00987E13" w:rsidRPr="00D92E20" w:rsidRDefault="00987E13" w:rsidP="00987E13">
            <w:pPr>
              <w:spacing w:after="0" w:line="240" w:lineRule="auto"/>
              <w:jc w:val="center"/>
              <w:rPr>
                <w:rFonts w:cs="Arial"/>
                <w:color w:val="000000"/>
                <w:sz w:val="16"/>
                <w:szCs w:val="16"/>
              </w:rPr>
            </w:pPr>
            <w:r>
              <w:rPr>
                <w:rFonts w:ascii="Arial CE" w:hAnsi="Arial CE" w:cs="Arial CE"/>
                <w:sz w:val="16"/>
                <w:szCs w:val="16"/>
              </w:rPr>
              <w:t>6,7</w:t>
            </w:r>
          </w:p>
        </w:tc>
      </w:tr>
      <w:tr w:rsidR="00987E13" w:rsidRPr="00D92E20" w14:paraId="3B69318A" w14:textId="77777777" w:rsidTr="00350B58">
        <w:trPr>
          <w:trHeight w:val="296"/>
        </w:trPr>
        <w:tc>
          <w:tcPr>
            <w:tcW w:w="1009" w:type="dxa"/>
            <w:tcBorders>
              <w:top w:val="nil"/>
              <w:left w:val="nil"/>
              <w:bottom w:val="nil"/>
              <w:right w:val="nil"/>
            </w:tcBorders>
            <w:shd w:val="clear" w:color="auto" w:fill="auto"/>
            <w:vAlign w:val="center"/>
            <w:hideMark/>
          </w:tcPr>
          <w:p w14:paraId="42C1F0B2" w14:textId="2088D9E1" w:rsidR="00987E13" w:rsidRPr="00D92E20" w:rsidRDefault="00987E13" w:rsidP="00987E13">
            <w:pPr>
              <w:spacing w:after="0" w:line="240" w:lineRule="auto"/>
              <w:jc w:val="center"/>
              <w:rPr>
                <w:rFonts w:cs="Arial"/>
                <w:color w:val="000000"/>
                <w:sz w:val="16"/>
                <w:szCs w:val="16"/>
              </w:rPr>
            </w:pPr>
            <w:r>
              <w:rPr>
                <w:rFonts w:cs="Arial"/>
                <w:sz w:val="16"/>
                <w:szCs w:val="16"/>
              </w:rPr>
              <w:t>1. pol. 2015</w:t>
            </w:r>
          </w:p>
        </w:tc>
        <w:tc>
          <w:tcPr>
            <w:tcW w:w="710" w:type="dxa"/>
            <w:tcBorders>
              <w:top w:val="nil"/>
              <w:left w:val="single" w:sz="4" w:space="0" w:color="auto"/>
              <w:bottom w:val="nil"/>
              <w:right w:val="nil"/>
            </w:tcBorders>
            <w:shd w:val="clear" w:color="auto" w:fill="auto"/>
            <w:vAlign w:val="center"/>
            <w:hideMark/>
          </w:tcPr>
          <w:p w14:paraId="253BC7BD" w14:textId="5DCDFDDC" w:rsidR="00987E13" w:rsidRPr="00D92E20" w:rsidRDefault="00987E13" w:rsidP="00987E13">
            <w:pPr>
              <w:spacing w:after="0" w:line="240" w:lineRule="auto"/>
              <w:jc w:val="center"/>
              <w:rPr>
                <w:rFonts w:cs="Arial"/>
                <w:color w:val="000000"/>
                <w:sz w:val="16"/>
                <w:szCs w:val="16"/>
              </w:rPr>
            </w:pPr>
            <w:r>
              <w:rPr>
                <w:rFonts w:cs="Arial"/>
                <w:sz w:val="16"/>
                <w:szCs w:val="16"/>
              </w:rPr>
              <w:t>193,7</w:t>
            </w:r>
          </w:p>
        </w:tc>
        <w:tc>
          <w:tcPr>
            <w:tcW w:w="703" w:type="dxa"/>
            <w:tcBorders>
              <w:top w:val="nil"/>
              <w:left w:val="nil"/>
              <w:bottom w:val="nil"/>
              <w:right w:val="nil"/>
            </w:tcBorders>
            <w:shd w:val="clear" w:color="auto" w:fill="auto"/>
            <w:vAlign w:val="center"/>
            <w:hideMark/>
          </w:tcPr>
          <w:p w14:paraId="016A66CB" w14:textId="48FA12BD" w:rsidR="00987E13" w:rsidRPr="00D92E20" w:rsidRDefault="00987E13" w:rsidP="00987E13">
            <w:pPr>
              <w:spacing w:after="0" w:line="240" w:lineRule="auto"/>
              <w:jc w:val="center"/>
              <w:rPr>
                <w:rFonts w:cs="Arial"/>
                <w:color w:val="000000"/>
                <w:sz w:val="16"/>
                <w:szCs w:val="16"/>
              </w:rPr>
            </w:pPr>
            <w:r>
              <w:rPr>
                <w:rFonts w:cs="Arial"/>
                <w:sz w:val="16"/>
                <w:szCs w:val="16"/>
              </w:rPr>
              <w:t>87,8</w:t>
            </w:r>
          </w:p>
        </w:tc>
        <w:tc>
          <w:tcPr>
            <w:tcW w:w="705" w:type="dxa"/>
            <w:tcBorders>
              <w:top w:val="nil"/>
              <w:left w:val="nil"/>
              <w:bottom w:val="nil"/>
              <w:right w:val="single" w:sz="4" w:space="0" w:color="auto"/>
            </w:tcBorders>
            <w:shd w:val="clear" w:color="auto" w:fill="auto"/>
            <w:vAlign w:val="center"/>
            <w:hideMark/>
          </w:tcPr>
          <w:p w14:paraId="69F63802" w14:textId="70EB6AE6" w:rsidR="00987E13" w:rsidRPr="00D92E20" w:rsidRDefault="00987E13" w:rsidP="00987E13">
            <w:pPr>
              <w:spacing w:after="0" w:line="240" w:lineRule="auto"/>
              <w:jc w:val="center"/>
              <w:rPr>
                <w:rFonts w:cs="Arial"/>
                <w:color w:val="000000"/>
                <w:sz w:val="16"/>
                <w:szCs w:val="16"/>
              </w:rPr>
            </w:pPr>
            <w:r>
              <w:rPr>
                <w:rFonts w:cs="Arial"/>
                <w:sz w:val="16"/>
                <w:szCs w:val="16"/>
              </w:rPr>
              <w:t>105,9</w:t>
            </w:r>
          </w:p>
        </w:tc>
        <w:tc>
          <w:tcPr>
            <w:tcW w:w="707" w:type="dxa"/>
            <w:tcBorders>
              <w:top w:val="nil"/>
              <w:left w:val="nil"/>
              <w:bottom w:val="nil"/>
              <w:right w:val="nil"/>
            </w:tcBorders>
            <w:shd w:val="clear" w:color="auto" w:fill="auto"/>
            <w:vAlign w:val="center"/>
            <w:hideMark/>
          </w:tcPr>
          <w:p w14:paraId="25CFA2C2" w14:textId="13107A77" w:rsidR="00987E13" w:rsidRPr="00D92E20" w:rsidRDefault="00987E13" w:rsidP="00987E13">
            <w:pPr>
              <w:spacing w:after="0" w:line="240" w:lineRule="auto"/>
              <w:jc w:val="center"/>
              <w:rPr>
                <w:rFonts w:cs="Arial"/>
                <w:color w:val="000000"/>
                <w:sz w:val="16"/>
                <w:szCs w:val="16"/>
              </w:rPr>
            </w:pPr>
            <w:r>
              <w:rPr>
                <w:rFonts w:cs="Arial"/>
                <w:sz w:val="16"/>
                <w:szCs w:val="16"/>
              </w:rPr>
              <w:t>166,8</w:t>
            </w:r>
          </w:p>
        </w:tc>
        <w:tc>
          <w:tcPr>
            <w:tcW w:w="704" w:type="dxa"/>
            <w:tcBorders>
              <w:top w:val="nil"/>
              <w:left w:val="nil"/>
              <w:bottom w:val="nil"/>
              <w:right w:val="nil"/>
            </w:tcBorders>
            <w:shd w:val="clear" w:color="auto" w:fill="auto"/>
            <w:vAlign w:val="center"/>
            <w:hideMark/>
          </w:tcPr>
          <w:p w14:paraId="29A3BF59" w14:textId="2745AE59" w:rsidR="00987E13" w:rsidRPr="00D92E20" w:rsidRDefault="00987E13" w:rsidP="00987E13">
            <w:pPr>
              <w:spacing w:after="0" w:line="240" w:lineRule="auto"/>
              <w:jc w:val="center"/>
              <w:rPr>
                <w:rFonts w:cs="Arial"/>
                <w:color w:val="000000"/>
                <w:sz w:val="16"/>
                <w:szCs w:val="16"/>
              </w:rPr>
            </w:pPr>
            <w:r>
              <w:rPr>
                <w:rFonts w:cs="Arial"/>
                <w:sz w:val="16"/>
                <w:szCs w:val="16"/>
              </w:rPr>
              <w:t>70,7</w:t>
            </w:r>
          </w:p>
        </w:tc>
        <w:tc>
          <w:tcPr>
            <w:tcW w:w="705" w:type="dxa"/>
            <w:tcBorders>
              <w:top w:val="nil"/>
              <w:left w:val="nil"/>
              <w:bottom w:val="nil"/>
              <w:right w:val="nil"/>
            </w:tcBorders>
            <w:shd w:val="clear" w:color="auto" w:fill="auto"/>
            <w:vAlign w:val="center"/>
            <w:hideMark/>
          </w:tcPr>
          <w:p w14:paraId="09F08F21" w14:textId="6CE5DA0E" w:rsidR="00987E13" w:rsidRPr="00D92E20" w:rsidRDefault="00987E13" w:rsidP="00987E13">
            <w:pPr>
              <w:spacing w:after="0" w:line="240" w:lineRule="auto"/>
              <w:jc w:val="center"/>
              <w:rPr>
                <w:rFonts w:cs="Arial"/>
                <w:color w:val="000000"/>
                <w:sz w:val="16"/>
                <w:szCs w:val="16"/>
              </w:rPr>
            </w:pPr>
            <w:r>
              <w:rPr>
                <w:rFonts w:cs="Arial"/>
                <w:sz w:val="16"/>
                <w:szCs w:val="16"/>
              </w:rPr>
              <w:t>96,1</w:t>
            </w:r>
          </w:p>
        </w:tc>
        <w:tc>
          <w:tcPr>
            <w:tcW w:w="754" w:type="dxa"/>
            <w:tcBorders>
              <w:top w:val="nil"/>
              <w:left w:val="single" w:sz="4" w:space="0" w:color="auto"/>
              <w:bottom w:val="nil"/>
              <w:right w:val="nil"/>
            </w:tcBorders>
            <w:shd w:val="clear" w:color="auto" w:fill="auto"/>
            <w:vAlign w:val="center"/>
            <w:hideMark/>
          </w:tcPr>
          <w:p w14:paraId="6CAF97A3" w14:textId="0330449A" w:rsidR="00987E13" w:rsidRPr="00D92E20" w:rsidRDefault="00987E13" w:rsidP="00987E13">
            <w:pPr>
              <w:spacing w:after="0" w:line="240" w:lineRule="auto"/>
              <w:jc w:val="center"/>
              <w:rPr>
                <w:rFonts w:cs="Arial"/>
                <w:color w:val="000000"/>
                <w:sz w:val="16"/>
                <w:szCs w:val="16"/>
              </w:rPr>
            </w:pPr>
            <w:r>
              <w:rPr>
                <w:rFonts w:cs="Arial"/>
                <w:sz w:val="16"/>
                <w:szCs w:val="16"/>
              </w:rPr>
              <w:t>7,2</w:t>
            </w:r>
          </w:p>
        </w:tc>
        <w:tc>
          <w:tcPr>
            <w:tcW w:w="709" w:type="dxa"/>
            <w:tcBorders>
              <w:top w:val="nil"/>
              <w:left w:val="nil"/>
              <w:bottom w:val="nil"/>
              <w:right w:val="nil"/>
            </w:tcBorders>
            <w:shd w:val="clear" w:color="auto" w:fill="auto"/>
            <w:vAlign w:val="center"/>
            <w:hideMark/>
          </w:tcPr>
          <w:p w14:paraId="27594054" w14:textId="2715C085" w:rsidR="00987E13" w:rsidRPr="00D92E20" w:rsidRDefault="00987E13" w:rsidP="00987E13">
            <w:pPr>
              <w:spacing w:after="0" w:line="240" w:lineRule="auto"/>
              <w:jc w:val="center"/>
              <w:rPr>
                <w:rFonts w:cs="Arial"/>
                <w:color w:val="000000"/>
                <w:sz w:val="16"/>
                <w:szCs w:val="16"/>
              </w:rPr>
            </w:pPr>
            <w:r>
              <w:rPr>
                <w:rFonts w:cs="Arial"/>
                <w:sz w:val="16"/>
                <w:szCs w:val="16"/>
              </w:rPr>
              <w:t>4,9</w:t>
            </w:r>
          </w:p>
        </w:tc>
        <w:tc>
          <w:tcPr>
            <w:tcW w:w="709" w:type="dxa"/>
            <w:tcBorders>
              <w:top w:val="nil"/>
              <w:left w:val="nil"/>
              <w:bottom w:val="nil"/>
              <w:right w:val="single" w:sz="4" w:space="0" w:color="auto"/>
            </w:tcBorders>
            <w:shd w:val="clear" w:color="auto" w:fill="auto"/>
            <w:vAlign w:val="center"/>
            <w:hideMark/>
          </w:tcPr>
          <w:p w14:paraId="26059096" w14:textId="515FC523" w:rsidR="00987E13" w:rsidRPr="00D92E20" w:rsidRDefault="00987E13" w:rsidP="00987E13">
            <w:pPr>
              <w:spacing w:after="0" w:line="240" w:lineRule="auto"/>
              <w:jc w:val="center"/>
              <w:rPr>
                <w:rFonts w:cs="Arial"/>
                <w:color w:val="000000"/>
                <w:sz w:val="16"/>
                <w:szCs w:val="16"/>
              </w:rPr>
            </w:pPr>
            <w:r>
              <w:rPr>
                <w:rFonts w:cs="Arial"/>
                <w:sz w:val="16"/>
                <w:szCs w:val="16"/>
              </w:rPr>
              <w:t>2,3</w:t>
            </w:r>
          </w:p>
        </w:tc>
        <w:tc>
          <w:tcPr>
            <w:tcW w:w="709" w:type="dxa"/>
            <w:tcBorders>
              <w:top w:val="nil"/>
              <w:left w:val="nil"/>
              <w:bottom w:val="nil"/>
              <w:right w:val="nil"/>
            </w:tcBorders>
            <w:shd w:val="clear" w:color="auto" w:fill="auto"/>
            <w:vAlign w:val="center"/>
            <w:hideMark/>
          </w:tcPr>
          <w:p w14:paraId="3E889B91" w14:textId="325AD01B" w:rsidR="00987E13" w:rsidRPr="00D92E20" w:rsidRDefault="00987E13" w:rsidP="00987E13">
            <w:pPr>
              <w:spacing w:after="0" w:line="240" w:lineRule="auto"/>
              <w:jc w:val="center"/>
              <w:rPr>
                <w:rFonts w:cs="Arial"/>
                <w:color w:val="000000"/>
                <w:sz w:val="16"/>
                <w:szCs w:val="16"/>
              </w:rPr>
            </w:pPr>
            <w:r>
              <w:rPr>
                <w:rFonts w:cs="Arial"/>
                <w:sz w:val="16"/>
                <w:szCs w:val="16"/>
              </w:rPr>
              <w:t>19,7</w:t>
            </w:r>
          </w:p>
        </w:tc>
        <w:tc>
          <w:tcPr>
            <w:tcW w:w="709" w:type="dxa"/>
            <w:tcBorders>
              <w:top w:val="nil"/>
              <w:left w:val="nil"/>
              <w:bottom w:val="nil"/>
              <w:right w:val="nil"/>
            </w:tcBorders>
            <w:shd w:val="clear" w:color="auto" w:fill="auto"/>
            <w:vAlign w:val="center"/>
            <w:hideMark/>
          </w:tcPr>
          <w:p w14:paraId="19C4D1AF" w14:textId="36103F65" w:rsidR="00987E13" w:rsidRPr="00D92E20" w:rsidRDefault="00987E13" w:rsidP="00987E13">
            <w:pPr>
              <w:spacing w:after="0" w:line="240" w:lineRule="auto"/>
              <w:jc w:val="center"/>
              <w:rPr>
                <w:rFonts w:cs="Arial"/>
                <w:color w:val="000000"/>
                <w:sz w:val="16"/>
                <w:szCs w:val="16"/>
              </w:rPr>
            </w:pPr>
            <w:r>
              <w:rPr>
                <w:rFonts w:cs="Arial"/>
                <w:sz w:val="16"/>
                <w:szCs w:val="16"/>
              </w:rPr>
              <w:t>12,2</w:t>
            </w:r>
          </w:p>
        </w:tc>
        <w:tc>
          <w:tcPr>
            <w:tcW w:w="709" w:type="dxa"/>
            <w:tcBorders>
              <w:top w:val="nil"/>
              <w:left w:val="nil"/>
              <w:bottom w:val="nil"/>
              <w:right w:val="nil"/>
            </w:tcBorders>
            <w:shd w:val="clear" w:color="auto" w:fill="auto"/>
            <w:vAlign w:val="center"/>
            <w:hideMark/>
          </w:tcPr>
          <w:p w14:paraId="2EACEF68" w14:textId="09F32461" w:rsidR="00987E13" w:rsidRPr="00D92E20" w:rsidRDefault="00987E13" w:rsidP="00987E13">
            <w:pPr>
              <w:spacing w:after="0" w:line="240" w:lineRule="auto"/>
              <w:jc w:val="center"/>
              <w:rPr>
                <w:rFonts w:cs="Arial"/>
                <w:color w:val="000000"/>
                <w:sz w:val="16"/>
                <w:szCs w:val="16"/>
              </w:rPr>
            </w:pPr>
            <w:r>
              <w:rPr>
                <w:rFonts w:cs="Arial"/>
                <w:sz w:val="16"/>
                <w:szCs w:val="16"/>
              </w:rPr>
              <w:t>7,5</w:t>
            </w:r>
          </w:p>
        </w:tc>
      </w:tr>
      <w:tr w:rsidR="00987E13" w:rsidRPr="00D92E20" w14:paraId="3744EB5F" w14:textId="77777777" w:rsidTr="00350B58">
        <w:trPr>
          <w:trHeight w:val="296"/>
        </w:trPr>
        <w:tc>
          <w:tcPr>
            <w:tcW w:w="1009" w:type="dxa"/>
            <w:tcBorders>
              <w:top w:val="nil"/>
              <w:left w:val="nil"/>
              <w:bottom w:val="nil"/>
              <w:right w:val="nil"/>
            </w:tcBorders>
            <w:shd w:val="clear" w:color="auto" w:fill="auto"/>
            <w:vAlign w:val="center"/>
            <w:hideMark/>
          </w:tcPr>
          <w:p w14:paraId="4D9E3CEB" w14:textId="2EFFB0AB" w:rsidR="00987E13" w:rsidRPr="00D92E20" w:rsidRDefault="00987E13" w:rsidP="00987E13">
            <w:pPr>
              <w:spacing w:after="0" w:line="240" w:lineRule="auto"/>
              <w:jc w:val="center"/>
              <w:rPr>
                <w:rFonts w:cs="Arial"/>
                <w:color w:val="000000"/>
                <w:sz w:val="16"/>
                <w:szCs w:val="16"/>
              </w:rPr>
            </w:pPr>
            <w:r>
              <w:rPr>
                <w:rFonts w:cs="Arial"/>
                <w:sz w:val="16"/>
                <w:szCs w:val="16"/>
              </w:rPr>
              <w:t>1. pol. 2016</w:t>
            </w:r>
          </w:p>
        </w:tc>
        <w:tc>
          <w:tcPr>
            <w:tcW w:w="710" w:type="dxa"/>
            <w:tcBorders>
              <w:top w:val="nil"/>
              <w:left w:val="single" w:sz="4" w:space="0" w:color="auto"/>
              <w:bottom w:val="nil"/>
              <w:right w:val="nil"/>
            </w:tcBorders>
            <w:shd w:val="clear" w:color="auto" w:fill="auto"/>
            <w:vAlign w:val="center"/>
            <w:hideMark/>
          </w:tcPr>
          <w:p w14:paraId="4A93EFA4" w14:textId="26ED3568" w:rsidR="00987E13" w:rsidRPr="00D92E20" w:rsidRDefault="00987E13" w:rsidP="00987E13">
            <w:pPr>
              <w:spacing w:after="0" w:line="240" w:lineRule="auto"/>
              <w:jc w:val="center"/>
              <w:rPr>
                <w:rFonts w:cs="Arial"/>
                <w:color w:val="000000"/>
                <w:sz w:val="16"/>
                <w:szCs w:val="16"/>
              </w:rPr>
            </w:pPr>
            <w:r>
              <w:rPr>
                <w:rFonts w:cs="Arial"/>
                <w:sz w:val="16"/>
                <w:szCs w:val="16"/>
              </w:rPr>
              <w:t>202,1</w:t>
            </w:r>
          </w:p>
        </w:tc>
        <w:tc>
          <w:tcPr>
            <w:tcW w:w="703" w:type="dxa"/>
            <w:tcBorders>
              <w:top w:val="nil"/>
              <w:left w:val="nil"/>
              <w:bottom w:val="nil"/>
              <w:right w:val="nil"/>
            </w:tcBorders>
            <w:shd w:val="clear" w:color="auto" w:fill="auto"/>
            <w:vAlign w:val="center"/>
            <w:hideMark/>
          </w:tcPr>
          <w:p w14:paraId="285D527A" w14:textId="669DA917" w:rsidR="00987E13" w:rsidRPr="00D92E20" w:rsidRDefault="00987E13" w:rsidP="00987E13">
            <w:pPr>
              <w:spacing w:after="0" w:line="240" w:lineRule="auto"/>
              <w:jc w:val="center"/>
              <w:rPr>
                <w:rFonts w:cs="Arial"/>
                <w:color w:val="000000"/>
                <w:sz w:val="16"/>
                <w:szCs w:val="16"/>
              </w:rPr>
            </w:pPr>
            <w:r>
              <w:rPr>
                <w:rFonts w:cs="Arial"/>
                <w:sz w:val="16"/>
                <w:szCs w:val="16"/>
              </w:rPr>
              <w:t>91,5</w:t>
            </w:r>
          </w:p>
        </w:tc>
        <w:tc>
          <w:tcPr>
            <w:tcW w:w="705" w:type="dxa"/>
            <w:tcBorders>
              <w:top w:val="nil"/>
              <w:left w:val="nil"/>
              <w:bottom w:val="nil"/>
              <w:right w:val="single" w:sz="4" w:space="0" w:color="auto"/>
            </w:tcBorders>
            <w:shd w:val="clear" w:color="auto" w:fill="auto"/>
            <w:vAlign w:val="center"/>
            <w:hideMark/>
          </w:tcPr>
          <w:p w14:paraId="1F31DB61" w14:textId="6BAE07A0" w:rsidR="00987E13" w:rsidRPr="00D92E20" w:rsidRDefault="00987E13" w:rsidP="00987E13">
            <w:pPr>
              <w:spacing w:after="0" w:line="240" w:lineRule="auto"/>
              <w:jc w:val="center"/>
              <w:rPr>
                <w:rFonts w:cs="Arial"/>
                <w:color w:val="000000"/>
                <w:sz w:val="16"/>
                <w:szCs w:val="16"/>
              </w:rPr>
            </w:pPr>
            <w:r>
              <w:rPr>
                <w:rFonts w:cs="Arial"/>
                <w:sz w:val="16"/>
                <w:szCs w:val="16"/>
              </w:rPr>
              <w:t>110,6</w:t>
            </w:r>
          </w:p>
        </w:tc>
        <w:tc>
          <w:tcPr>
            <w:tcW w:w="707" w:type="dxa"/>
            <w:tcBorders>
              <w:top w:val="nil"/>
              <w:left w:val="nil"/>
              <w:bottom w:val="nil"/>
              <w:right w:val="nil"/>
            </w:tcBorders>
            <w:shd w:val="clear" w:color="auto" w:fill="auto"/>
            <w:vAlign w:val="center"/>
            <w:hideMark/>
          </w:tcPr>
          <w:p w14:paraId="56B9CF89" w14:textId="30D522E8" w:rsidR="00987E13" w:rsidRPr="00D92E20" w:rsidRDefault="00987E13" w:rsidP="00987E13">
            <w:pPr>
              <w:spacing w:after="0" w:line="240" w:lineRule="auto"/>
              <w:jc w:val="center"/>
              <w:rPr>
                <w:rFonts w:cs="Arial"/>
                <w:color w:val="000000"/>
                <w:sz w:val="16"/>
                <w:szCs w:val="16"/>
              </w:rPr>
            </w:pPr>
            <w:r>
              <w:rPr>
                <w:rFonts w:cs="Arial"/>
                <w:sz w:val="16"/>
                <w:szCs w:val="16"/>
              </w:rPr>
              <w:t>174,0</w:t>
            </w:r>
          </w:p>
        </w:tc>
        <w:tc>
          <w:tcPr>
            <w:tcW w:w="704" w:type="dxa"/>
            <w:tcBorders>
              <w:top w:val="nil"/>
              <w:left w:val="nil"/>
              <w:bottom w:val="nil"/>
              <w:right w:val="nil"/>
            </w:tcBorders>
            <w:shd w:val="clear" w:color="auto" w:fill="auto"/>
            <w:vAlign w:val="center"/>
            <w:hideMark/>
          </w:tcPr>
          <w:p w14:paraId="315B968F" w14:textId="1AE1FED8" w:rsidR="00987E13" w:rsidRPr="00D92E20" w:rsidRDefault="00987E13" w:rsidP="00987E13">
            <w:pPr>
              <w:spacing w:after="0" w:line="240" w:lineRule="auto"/>
              <w:jc w:val="center"/>
              <w:rPr>
                <w:rFonts w:cs="Arial"/>
                <w:color w:val="000000"/>
                <w:sz w:val="16"/>
                <w:szCs w:val="16"/>
              </w:rPr>
            </w:pPr>
            <w:r>
              <w:rPr>
                <w:rFonts w:cs="Arial"/>
                <w:sz w:val="16"/>
                <w:szCs w:val="16"/>
              </w:rPr>
              <w:t>73,7</w:t>
            </w:r>
          </w:p>
        </w:tc>
        <w:tc>
          <w:tcPr>
            <w:tcW w:w="705" w:type="dxa"/>
            <w:tcBorders>
              <w:top w:val="nil"/>
              <w:left w:val="nil"/>
              <w:bottom w:val="nil"/>
              <w:right w:val="nil"/>
            </w:tcBorders>
            <w:shd w:val="clear" w:color="auto" w:fill="auto"/>
            <w:vAlign w:val="center"/>
            <w:hideMark/>
          </w:tcPr>
          <w:p w14:paraId="21ABB2FC" w14:textId="2237A323" w:rsidR="00987E13" w:rsidRPr="00D92E20" w:rsidRDefault="00987E13" w:rsidP="00987E13">
            <w:pPr>
              <w:spacing w:after="0" w:line="240" w:lineRule="auto"/>
              <w:jc w:val="center"/>
              <w:rPr>
                <w:rFonts w:cs="Arial"/>
                <w:color w:val="000000"/>
                <w:sz w:val="16"/>
                <w:szCs w:val="16"/>
              </w:rPr>
            </w:pPr>
            <w:r>
              <w:rPr>
                <w:rFonts w:cs="Arial"/>
                <w:sz w:val="16"/>
                <w:szCs w:val="16"/>
              </w:rPr>
              <w:t>100,3</w:t>
            </w:r>
          </w:p>
        </w:tc>
        <w:tc>
          <w:tcPr>
            <w:tcW w:w="754" w:type="dxa"/>
            <w:tcBorders>
              <w:top w:val="nil"/>
              <w:left w:val="single" w:sz="4" w:space="0" w:color="auto"/>
              <w:bottom w:val="nil"/>
              <w:right w:val="nil"/>
            </w:tcBorders>
            <w:shd w:val="clear" w:color="auto" w:fill="auto"/>
            <w:vAlign w:val="center"/>
            <w:hideMark/>
          </w:tcPr>
          <w:p w14:paraId="52FE2884" w14:textId="2D425828" w:rsidR="00987E13" w:rsidRPr="00D92E20" w:rsidRDefault="00987E13" w:rsidP="00987E13">
            <w:pPr>
              <w:spacing w:after="0" w:line="240" w:lineRule="auto"/>
              <w:jc w:val="center"/>
              <w:rPr>
                <w:rFonts w:cs="Arial"/>
                <w:color w:val="000000"/>
                <w:sz w:val="16"/>
                <w:szCs w:val="16"/>
              </w:rPr>
            </w:pPr>
            <w:r>
              <w:rPr>
                <w:rFonts w:cs="Arial"/>
                <w:sz w:val="16"/>
                <w:szCs w:val="16"/>
              </w:rPr>
              <w:t>7,3</w:t>
            </w:r>
          </w:p>
        </w:tc>
        <w:tc>
          <w:tcPr>
            <w:tcW w:w="709" w:type="dxa"/>
            <w:tcBorders>
              <w:top w:val="nil"/>
              <w:left w:val="nil"/>
              <w:bottom w:val="nil"/>
              <w:right w:val="nil"/>
            </w:tcBorders>
            <w:shd w:val="clear" w:color="auto" w:fill="auto"/>
            <w:vAlign w:val="center"/>
            <w:hideMark/>
          </w:tcPr>
          <w:p w14:paraId="7B6527EA" w14:textId="6854E6B8" w:rsidR="00987E13" w:rsidRPr="00D92E20" w:rsidRDefault="00987E13" w:rsidP="00987E13">
            <w:pPr>
              <w:spacing w:after="0" w:line="240" w:lineRule="auto"/>
              <w:jc w:val="center"/>
              <w:rPr>
                <w:rFonts w:cs="Arial"/>
                <w:color w:val="000000"/>
                <w:sz w:val="16"/>
                <w:szCs w:val="16"/>
              </w:rPr>
            </w:pPr>
            <w:r>
              <w:rPr>
                <w:rFonts w:cs="Arial"/>
                <w:sz w:val="16"/>
                <w:szCs w:val="16"/>
              </w:rPr>
              <w:t>4,9</w:t>
            </w:r>
          </w:p>
        </w:tc>
        <w:tc>
          <w:tcPr>
            <w:tcW w:w="709" w:type="dxa"/>
            <w:tcBorders>
              <w:top w:val="nil"/>
              <w:left w:val="nil"/>
              <w:bottom w:val="nil"/>
              <w:right w:val="single" w:sz="4" w:space="0" w:color="auto"/>
            </w:tcBorders>
            <w:shd w:val="clear" w:color="auto" w:fill="auto"/>
            <w:vAlign w:val="center"/>
            <w:hideMark/>
          </w:tcPr>
          <w:p w14:paraId="72B945A6" w14:textId="2BC7D813" w:rsidR="00987E13" w:rsidRPr="00D92E20" w:rsidRDefault="00987E13" w:rsidP="00987E13">
            <w:pPr>
              <w:spacing w:after="0" w:line="240" w:lineRule="auto"/>
              <w:jc w:val="center"/>
              <w:rPr>
                <w:rFonts w:cs="Arial"/>
                <w:color w:val="000000"/>
                <w:sz w:val="16"/>
                <w:szCs w:val="16"/>
              </w:rPr>
            </w:pPr>
            <w:r>
              <w:rPr>
                <w:rFonts w:cs="Arial"/>
                <w:sz w:val="16"/>
                <w:szCs w:val="16"/>
              </w:rPr>
              <w:t>2,3</w:t>
            </w:r>
          </w:p>
        </w:tc>
        <w:tc>
          <w:tcPr>
            <w:tcW w:w="709" w:type="dxa"/>
            <w:tcBorders>
              <w:top w:val="nil"/>
              <w:left w:val="nil"/>
              <w:bottom w:val="nil"/>
              <w:right w:val="nil"/>
            </w:tcBorders>
            <w:shd w:val="clear" w:color="auto" w:fill="auto"/>
            <w:vAlign w:val="center"/>
            <w:hideMark/>
          </w:tcPr>
          <w:p w14:paraId="48B1E512" w14:textId="54E36121" w:rsidR="00987E13" w:rsidRPr="00D92E20" w:rsidRDefault="00987E13" w:rsidP="00987E13">
            <w:pPr>
              <w:spacing w:after="0" w:line="240" w:lineRule="auto"/>
              <w:jc w:val="center"/>
              <w:rPr>
                <w:rFonts w:cs="Arial"/>
                <w:color w:val="000000"/>
                <w:sz w:val="16"/>
                <w:szCs w:val="16"/>
              </w:rPr>
            </w:pPr>
            <w:r>
              <w:rPr>
                <w:rFonts w:cs="Arial"/>
                <w:sz w:val="16"/>
                <w:szCs w:val="16"/>
              </w:rPr>
              <w:t>20,9</w:t>
            </w:r>
          </w:p>
        </w:tc>
        <w:tc>
          <w:tcPr>
            <w:tcW w:w="709" w:type="dxa"/>
            <w:tcBorders>
              <w:top w:val="nil"/>
              <w:left w:val="nil"/>
              <w:bottom w:val="nil"/>
              <w:right w:val="nil"/>
            </w:tcBorders>
            <w:shd w:val="clear" w:color="auto" w:fill="auto"/>
            <w:vAlign w:val="center"/>
            <w:hideMark/>
          </w:tcPr>
          <w:p w14:paraId="6BADAF70" w14:textId="78B00145" w:rsidR="00987E13" w:rsidRPr="00D92E20" w:rsidRDefault="00987E13" w:rsidP="00987E13">
            <w:pPr>
              <w:spacing w:after="0" w:line="240" w:lineRule="auto"/>
              <w:jc w:val="center"/>
              <w:rPr>
                <w:rFonts w:cs="Arial"/>
                <w:color w:val="000000"/>
                <w:sz w:val="16"/>
                <w:szCs w:val="16"/>
              </w:rPr>
            </w:pPr>
            <w:r>
              <w:rPr>
                <w:rFonts w:cs="Arial"/>
                <w:sz w:val="16"/>
                <w:szCs w:val="16"/>
              </w:rPr>
              <w:t>12,9</w:t>
            </w:r>
          </w:p>
        </w:tc>
        <w:tc>
          <w:tcPr>
            <w:tcW w:w="709" w:type="dxa"/>
            <w:tcBorders>
              <w:top w:val="nil"/>
              <w:left w:val="nil"/>
              <w:bottom w:val="nil"/>
              <w:right w:val="nil"/>
            </w:tcBorders>
            <w:shd w:val="clear" w:color="auto" w:fill="auto"/>
            <w:vAlign w:val="center"/>
            <w:hideMark/>
          </w:tcPr>
          <w:p w14:paraId="01305BF8" w14:textId="5C32C3C2" w:rsidR="00987E13" w:rsidRPr="00D92E20" w:rsidRDefault="00987E13" w:rsidP="00987E13">
            <w:pPr>
              <w:spacing w:after="0" w:line="240" w:lineRule="auto"/>
              <w:jc w:val="center"/>
              <w:rPr>
                <w:rFonts w:cs="Arial"/>
                <w:color w:val="000000"/>
                <w:sz w:val="16"/>
                <w:szCs w:val="16"/>
              </w:rPr>
            </w:pPr>
            <w:r>
              <w:rPr>
                <w:rFonts w:cs="Arial"/>
                <w:sz w:val="16"/>
                <w:szCs w:val="16"/>
              </w:rPr>
              <w:t>8,0</w:t>
            </w:r>
          </w:p>
        </w:tc>
      </w:tr>
      <w:tr w:rsidR="00987E13" w:rsidRPr="00D92E20" w14:paraId="3BDD3B51" w14:textId="77777777" w:rsidTr="00350B58">
        <w:trPr>
          <w:trHeight w:val="296"/>
        </w:trPr>
        <w:tc>
          <w:tcPr>
            <w:tcW w:w="1009" w:type="dxa"/>
            <w:tcBorders>
              <w:top w:val="nil"/>
              <w:left w:val="nil"/>
              <w:bottom w:val="nil"/>
              <w:right w:val="nil"/>
            </w:tcBorders>
            <w:shd w:val="clear" w:color="auto" w:fill="auto"/>
            <w:vAlign w:val="center"/>
            <w:hideMark/>
          </w:tcPr>
          <w:p w14:paraId="6A0670C7" w14:textId="10EB0109" w:rsidR="00987E13" w:rsidRPr="00D92E20" w:rsidRDefault="00987E13" w:rsidP="00987E13">
            <w:pPr>
              <w:spacing w:after="0" w:line="240" w:lineRule="auto"/>
              <w:jc w:val="center"/>
              <w:rPr>
                <w:rFonts w:cs="Arial"/>
                <w:color w:val="000000"/>
                <w:sz w:val="16"/>
                <w:szCs w:val="16"/>
              </w:rPr>
            </w:pPr>
            <w:r>
              <w:rPr>
                <w:rFonts w:cs="Arial"/>
                <w:sz w:val="16"/>
                <w:szCs w:val="16"/>
              </w:rPr>
              <w:t>1. pol. 2017</w:t>
            </w:r>
          </w:p>
        </w:tc>
        <w:tc>
          <w:tcPr>
            <w:tcW w:w="710" w:type="dxa"/>
            <w:tcBorders>
              <w:top w:val="nil"/>
              <w:left w:val="single" w:sz="4" w:space="0" w:color="auto"/>
              <w:bottom w:val="nil"/>
              <w:right w:val="nil"/>
            </w:tcBorders>
            <w:shd w:val="clear" w:color="auto" w:fill="auto"/>
            <w:vAlign w:val="center"/>
            <w:hideMark/>
          </w:tcPr>
          <w:p w14:paraId="142182B9" w14:textId="0D8BA7B5" w:rsidR="00987E13" w:rsidRPr="00D92E20" w:rsidRDefault="00987E13" w:rsidP="00987E13">
            <w:pPr>
              <w:spacing w:after="0" w:line="240" w:lineRule="auto"/>
              <w:jc w:val="center"/>
              <w:rPr>
                <w:rFonts w:cs="Arial"/>
                <w:color w:val="000000"/>
                <w:sz w:val="16"/>
                <w:szCs w:val="16"/>
              </w:rPr>
            </w:pPr>
            <w:r>
              <w:rPr>
                <w:rFonts w:cs="Arial"/>
                <w:sz w:val="16"/>
                <w:szCs w:val="16"/>
              </w:rPr>
              <w:t>213,9</w:t>
            </w:r>
          </w:p>
        </w:tc>
        <w:tc>
          <w:tcPr>
            <w:tcW w:w="703" w:type="dxa"/>
            <w:tcBorders>
              <w:top w:val="nil"/>
              <w:left w:val="nil"/>
              <w:bottom w:val="nil"/>
              <w:right w:val="nil"/>
            </w:tcBorders>
            <w:shd w:val="clear" w:color="auto" w:fill="auto"/>
            <w:vAlign w:val="center"/>
            <w:hideMark/>
          </w:tcPr>
          <w:p w14:paraId="64A0B36B" w14:textId="382F4AD7" w:rsidR="00987E13" w:rsidRPr="00D92E20" w:rsidRDefault="00987E13" w:rsidP="00987E13">
            <w:pPr>
              <w:spacing w:after="0" w:line="240" w:lineRule="auto"/>
              <w:jc w:val="center"/>
              <w:rPr>
                <w:rFonts w:cs="Arial"/>
                <w:color w:val="000000"/>
                <w:sz w:val="16"/>
                <w:szCs w:val="16"/>
              </w:rPr>
            </w:pPr>
            <w:r>
              <w:rPr>
                <w:rFonts w:cs="Arial"/>
                <w:sz w:val="16"/>
                <w:szCs w:val="16"/>
              </w:rPr>
              <w:t>97,1</w:t>
            </w:r>
          </w:p>
        </w:tc>
        <w:tc>
          <w:tcPr>
            <w:tcW w:w="705" w:type="dxa"/>
            <w:tcBorders>
              <w:top w:val="nil"/>
              <w:left w:val="nil"/>
              <w:bottom w:val="nil"/>
              <w:right w:val="single" w:sz="4" w:space="0" w:color="auto"/>
            </w:tcBorders>
            <w:shd w:val="clear" w:color="auto" w:fill="auto"/>
            <w:vAlign w:val="center"/>
            <w:hideMark/>
          </w:tcPr>
          <w:p w14:paraId="04100344" w14:textId="64A62171" w:rsidR="00987E13" w:rsidRPr="00D92E20" w:rsidRDefault="00987E13" w:rsidP="00987E13">
            <w:pPr>
              <w:spacing w:after="0" w:line="240" w:lineRule="auto"/>
              <w:jc w:val="center"/>
              <w:rPr>
                <w:rFonts w:cs="Arial"/>
                <w:color w:val="000000"/>
                <w:sz w:val="16"/>
                <w:szCs w:val="16"/>
              </w:rPr>
            </w:pPr>
            <w:r>
              <w:rPr>
                <w:rFonts w:cs="Arial"/>
                <w:sz w:val="16"/>
                <w:szCs w:val="16"/>
              </w:rPr>
              <w:t>116,8</w:t>
            </w:r>
          </w:p>
        </w:tc>
        <w:tc>
          <w:tcPr>
            <w:tcW w:w="707" w:type="dxa"/>
            <w:tcBorders>
              <w:top w:val="nil"/>
              <w:left w:val="nil"/>
              <w:bottom w:val="nil"/>
              <w:right w:val="nil"/>
            </w:tcBorders>
            <w:shd w:val="clear" w:color="auto" w:fill="auto"/>
            <w:vAlign w:val="center"/>
            <w:hideMark/>
          </w:tcPr>
          <w:p w14:paraId="7559F0B0" w14:textId="2FF5C58A" w:rsidR="00987E13" w:rsidRPr="00D92E20" w:rsidRDefault="00987E13" w:rsidP="00987E13">
            <w:pPr>
              <w:spacing w:after="0" w:line="240" w:lineRule="auto"/>
              <w:jc w:val="center"/>
              <w:rPr>
                <w:rFonts w:cs="Arial"/>
                <w:color w:val="000000"/>
                <w:sz w:val="16"/>
                <w:szCs w:val="16"/>
              </w:rPr>
            </w:pPr>
            <w:r>
              <w:rPr>
                <w:rFonts w:cs="Arial"/>
                <w:sz w:val="16"/>
                <w:szCs w:val="16"/>
              </w:rPr>
              <w:t>183,8</w:t>
            </w:r>
          </w:p>
        </w:tc>
        <w:tc>
          <w:tcPr>
            <w:tcW w:w="704" w:type="dxa"/>
            <w:tcBorders>
              <w:top w:val="nil"/>
              <w:left w:val="nil"/>
              <w:bottom w:val="nil"/>
              <w:right w:val="nil"/>
            </w:tcBorders>
            <w:shd w:val="clear" w:color="auto" w:fill="auto"/>
            <w:vAlign w:val="center"/>
            <w:hideMark/>
          </w:tcPr>
          <w:p w14:paraId="1673777E" w14:textId="04A507B6" w:rsidR="00987E13" w:rsidRPr="00D92E20" w:rsidRDefault="00987E13" w:rsidP="00987E13">
            <w:pPr>
              <w:spacing w:after="0" w:line="240" w:lineRule="auto"/>
              <w:jc w:val="center"/>
              <w:rPr>
                <w:rFonts w:cs="Arial"/>
                <w:color w:val="000000"/>
                <w:sz w:val="16"/>
                <w:szCs w:val="16"/>
              </w:rPr>
            </w:pPr>
            <w:r>
              <w:rPr>
                <w:rFonts w:cs="Arial"/>
                <w:sz w:val="16"/>
                <w:szCs w:val="16"/>
              </w:rPr>
              <w:t>78,5</w:t>
            </w:r>
          </w:p>
        </w:tc>
        <w:tc>
          <w:tcPr>
            <w:tcW w:w="705" w:type="dxa"/>
            <w:tcBorders>
              <w:top w:val="nil"/>
              <w:left w:val="nil"/>
              <w:bottom w:val="nil"/>
              <w:right w:val="nil"/>
            </w:tcBorders>
            <w:shd w:val="clear" w:color="auto" w:fill="auto"/>
            <w:vAlign w:val="center"/>
            <w:hideMark/>
          </w:tcPr>
          <w:p w14:paraId="66BBD172" w14:textId="1DE6722B" w:rsidR="00987E13" w:rsidRPr="00D92E20" w:rsidRDefault="00987E13" w:rsidP="00987E13">
            <w:pPr>
              <w:spacing w:after="0" w:line="240" w:lineRule="auto"/>
              <w:jc w:val="center"/>
              <w:rPr>
                <w:rFonts w:cs="Arial"/>
                <w:color w:val="000000"/>
                <w:sz w:val="16"/>
                <w:szCs w:val="16"/>
              </w:rPr>
            </w:pPr>
            <w:r>
              <w:rPr>
                <w:rFonts w:cs="Arial"/>
                <w:sz w:val="16"/>
                <w:szCs w:val="16"/>
              </w:rPr>
              <w:t>105,2</w:t>
            </w:r>
          </w:p>
        </w:tc>
        <w:tc>
          <w:tcPr>
            <w:tcW w:w="754" w:type="dxa"/>
            <w:tcBorders>
              <w:top w:val="nil"/>
              <w:left w:val="single" w:sz="4" w:space="0" w:color="auto"/>
              <w:bottom w:val="nil"/>
              <w:right w:val="nil"/>
            </w:tcBorders>
            <w:shd w:val="clear" w:color="auto" w:fill="auto"/>
            <w:vAlign w:val="center"/>
            <w:hideMark/>
          </w:tcPr>
          <w:p w14:paraId="4E5EF6DA" w14:textId="76459997" w:rsidR="00987E13" w:rsidRPr="00D92E20" w:rsidRDefault="00987E13" w:rsidP="00987E13">
            <w:pPr>
              <w:spacing w:after="0" w:line="240" w:lineRule="auto"/>
              <w:jc w:val="center"/>
              <w:rPr>
                <w:rFonts w:cs="Arial"/>
                <w:color w:val="000000"/>
                <w:sz w:val="16"/>
                <w:szCs w:val="16"/>
              </w:rPr>
            </w:pPr>
            <w:r>
              <w:rPr>
                <w:rFonts w:cs="Arial"/>
                <w:sz w:val="16"/>
                <w:szCs w:val="16"/>
              </w:rPr>
              <w:t>7,4</w:t>
            </w:r>
          </w:p>
        </w:tc>
        <w:tc>
          <w:tcPr>
            <w:tcW w:w="709" w:type="dxa"/>
            <w:tcBorders>
              <w:top w:val="nil"/>
              <w:left w:val="nil"/>
              <w:bottom w:val="nil"/>
              <w:right w:val="nil"/>
            </w:tcBorders>
            <w:shd w:val="clear" w:color="auto" w:fill="auto"/>
            <w:vAlign w:val="center"/>
            <w:hideMark/>
          </w:tcPr>
          <w:p w14:paraId="2C30ED60" w14:textId="2652B144" w:rsidR="00987E13" w:rsidRPr="00D92E20" w:rsidRDefault="00987E13" w:rsidP="00987E13">
            <w:pPr>
              <w:spacing w:after="0" w:line="240" w:lineRule="auto"/>
              <w:jc w:val="center"/>
              <w:rPr>
                <w:rFonts w:cs="Arial"/>
                <w:color w:val="000000"/>
                <w:sz w:val="16"/>
                <w:szCs w:val="16"/>
              </w:rPr>
            </w:pPr>
            <w:r>
              <w:rPr>
                <w:rFonts w:cs="Arial"/>
                <w:sz w:val="16"/>
                <w:szCs w:val="16"/>
              </w:rPr>
              <w:t>5,1</w:t>
            </w:r>
          </w:p>
        </w:tc>
        <w:tc>
          <w:tcPr>
            <w:tcW w:w="709" w:type="dxa"/>
            <w:tcBorders>
              <w:top w:val="nil"/>
              <w:left w:val="nil"/>
              <w:bottom w:val="nil"/>
              <w:right w:val="single" w:sz="4" w:space="0" w:color="auto"/>
            </w:tcBorders>
            <w:shd w:val="clear" w:color="auto" w:fill="auto"/>
            <w:vAlign w:val="center"/>
            <w:hideMark/>
          </w:tcPr>
          <w:p w14:paraId="6C0F5018" w14:textId="0FF2688B" w:rsidR="00987E13" w:rsidRPr="00D92E20" w:rsidRDefault="00987E13" w:rsidP="00987E13">
            <w:pPr>
              <w:spacing w:after="0" w:line="240" w:lineRule="auto"/>
              <w:jc w:val="center"/>
              <w:rPr>
                <w:rFonts w:cs="Arial"/>
                <w:color w:val="000000"/>
                <w:sz w:val="16"/>
                <w:szCs w:val="16"/>
              </w:rPr>
            </w:pPr>
            <w:r>
              <w:rPr>
                <w:rFonts w:cs="Arial"/>
                <w:sz w:val="16"/>
                <w:szCs w:val="16"/>
              </w:rPr>
              <w:t>2,4</w:t>
            </w:r>
          </w:p>
        </w:tc>
        <w:tc>
          <w:tcPr>
            <w:tcW w:w="709" w:type="dxa"/>
            <w:tcBorders>
              <w:top w:val="nil"/>
              <w:left w:val="nil"/>
              <w:bottom w:val="nil"/>
              <w:right w:val="nil"/>
            </w:tcBorders>
            <w:shd w:val="clear" w:color="auto" w:fill="auto"/>
            <w:vAlign w:val="center"/>
            <w:hideMark/>
          </w:tcPr>
          <w:p w14:paraId="228088DB" w14:textId="0529ADC3" w:rsidR="00987E13" w:rsidRPr="00D92E20" w:rsidRDefault="00987E13" w:rsidP="00987E13">
            <w:pPr>
              <w:spacing w:after="0" w:line="240" w:lineRule="auto"/>
              <w:jc w:val="center"/>
              <w:rPr>
                <w:rFonts w:cs="Arial"/>
                <w:color w:val="000000"/>
                <w:sz w:val="16"/>
                <w:szCs w:val="16"/>
              </w:rPr>
            </w:pPr>
            <w:r>
              <w:rPr>
                <w:rFonts w:cs="Arial"/>
                <w:sz w:val="16"/>
                <w:szCs w:val="16"/>
              </w:rPr>
              <w:t>22,7</w:t>
            </w:r>
          </w:p>
        </w:tc>
        <w:tc>
          <w:tcPr>
            <w:tcW w:w="709" w:type="dxa"/>
            <w:tcBorders>
              <w:top w:val="nil"/>
              <w:left w:val="nil"/>
              <w:bottom w:val="nil"/>
              <w:right w:val="nil"/>
            </w:tcBorders>
            <w:shd w:val="clear" w:color="auto" w:fill="auto"/>
            <w:vAlign w:val="center"/>
            <w:hideMark/>
          </w:tcPr>
          <w:p w14:paraId="380EEED5" w14:textId="17072F06" w:rsidR="00987E13" w:rsidRPr="00D92E20" w:rsidRDefault="00987E13" w:rsidP="00987E13">
            <w:pPr>
              <w:spacing w:after="0" w:line="240" w:lineRule="auto"/>
              <w:jc w:val="center"/>
              <w:rPr>
                <w:rFonts w:cs="Arial"/>
                <w:color w:val="000000"/>
                <w:sz w:val="16"/>
                <w:szCs w:val="16"/>
              </w:rPr>
            </w:pPr>
            <w:r>
              <w:rPr>
                <w:rFonts w:cs="Arial"/>
                <w:sz w:val="16"/>
                <w:szCs w:val="16"/>
              </w:rPr>
              <w:t>13,5</w:t>
            </w:r>
          </w:p>
        </w:tc>
        <w:tc>
          <w:tcPr>
            <w:tcW w:w="709" w:type="dxa"/>
            <w:tcBorders>
              <w:top w:val="nil"/>
              <w:left w:val="nil"/>
              <w:bottom w:val="nil"/>
              <w:right w:val="nil"/>
            </w:tcBorders>
            <w:shd w:val="clear" w:color="auto" w:fill="auto"/>
            <w:vAlign w:val="center"/>
            <w:hideMark/>
          </w:tcPr>
          <w:p w14:paraId="2FED40D7" w14:textId="6970C030" w:rsidR="00987E13" w:rsidRPr="00D92E20" w:rsidRDefault="00987E13" w:rsidP="00987E13">
            <w:pPr>
              <w:spacing w:after="0" w:line="240" w:lineRule="auto"/>
              <w:jc w:val="center"/>
              <w:rPr>
                <w:rFonts w:cs="Arial"/>
                <w:color w:val="000000"/>
                <w:sz w:val="16"/>
                <w:szCs w:val="16"/>
              </w:rPr>
            </w:pPr>
            <w:r>
              <w:rPr>
                <w:rFonts w:cs="Arial"/>
                <w:sz w:val="16"/>
                <w:szCs w:val="16"/>
              </w:rPr>
              <w:t>9,2</w:t>
            </w:r>
          </w:p>
        </w:tc>
      </w:tr>
      <w:tr w:rsidR="00987E13" w:rsidRPr="00D92E20" w14:paraId="3C93E67D" w14:textId="77777777" w:rsidTr="00350B58">
        <w:trPr>
          <w:trHeight w:val="296"/>
        </w:trPr>
        <w:tc>
          <w:tcPr>
            <w:tcW w:w="1009" w:type="dxa"/>
            <w:tcBorders>
              <w:top w:val="nil"/>
              <w:left w:val="nil"/>
              <w:bottom w:val="nil"/>
              <w:right w:val="nil"/>
            </w:tcBorders>
            <w:shd w:val="clear" w:color="auto" w:fill="auto"/>
            <w:vAlign w:val="center"/>
            <w:hideMark/>
          </w:tcPr>
          <w:p w14:paraId="313969A5" w14:textId="37D71473" w:rsidR="00987E13" w:rsidRPr="00D92E20" w:rsidRDefault="00987E13" w:rsidP="00987E13">
            <w:pPr>
              <w:spacing w:after="0" w:line="240" w:lineRule="auto"/>
              <w:jc w:val="center"/>
              <w:rPr>
                <w:rFonts w:cs="Arial"/>
                <w:color w:val="000000"/>
                <w:sz w:val="16"/>
                <w:szCs w:val="16"/>
              </w:rPr>
            </w:pPr>
            <w:r>
              <w:rPr>
                <w:rFonts w:cs="Arial"/>
                <w:sz w:val="16"/>
                <w:szCs w:val="16"/>
              </w:rPr>
              <w:t>1. pol. 2018</w:t>
            </w:r>
          </w:p>
        </w:tc>
        <w:tc>
          <w:tcPr>
            <w:tcW w:w="710" w:type="dxa"/>
            <w:tcBorders>
              <w:top w:val="nil"/>
              <w:left w:val="single" w:sz="4" w:space="0" w:color="auto"/>
              <w:bottom w:val="nil"/>
              <w:right w:val="nil"/>
            </w:tcBorders>
            <w:shd w:val="clear" w:color="auto" w:fill="auto"/>
            <w:vAlign w:val="center"/>
            <w:hideMark/>
          </w:tcPr>
          <w:p w14:paraId="0296A2E8" w14:textId="78C1C05A" w:rsidR="00987E13" w:rsidRPr="00D92E20" w:rsidRDefault="00987E13" w:rsidP="00987E13">
            <w:pPr>
              <w:spacing w:after="0" w:line="240" w:lineRule="auto"/>
              <w:jc w:val="center"/>
              <w:rPr>
                <w:rFonts w:cs="Arial"/>
                <w:color w:val="000000"/>
                <w:sz w:val="16"/>
                <w:szCs w:val="16"/>
              </w:rPr>
            </w:pPr>
            <w:r>
              <w:rPr>
                <w:rFonts w:cs="Arial"/>
                <w:sz w:val="16"/>
                <w:szCs w:val="16"/>
              </w:rPr>
              <w:t>224,4</w:t>
            </w:r>
          </w:p>
        </w:tc>
        <w:tc>
          <w:tcPr>
            <w:tcW w:w="703" w:type="dxa"/>
            <w:tcBorders>
              <w:top w:val="nil"/>
              <w:left w:val="nil"/>
              <w:bottom w:val="nil"/>
              <w:right w:val="nil"/>
            </w:tcBorders>
            <w:shd w:val="clear" w:color="auto" w:fill="auto"/>
            <w:vAlign w:val="center"/>
            <w:hideMark/>
          </w:tcPr>
          <w:p w14:paraId="67F44817" w14:textId="7E32A892" w:rsidR="00987E13" w:rsidRPr="00D92E20" w:rsidRDefault="00987E13" w:rsidP="00987E13">
            <w:pPr>
              <w:spacing w:after="0" w:line="240" w:lineRule="auto"/>
              <w:jc w:val="center"/>
              <w:rPr>
                <w:rFonts w:cs="Arial"/>
                <w:color w:val="000000"/>
                <w:sz w:val="16"/>
                <w:szCs w:val="16"/>
              </w:rPr>
            </w:pPr>
            <w:r>
              <w:rPr>
                <w:rFonts w:cs="Arial"/>
                <w:sz w:val="16"/>
                <w:szCs w:val="16"/>
              </w:rPr>
              <w:t>101,9</w:t>
            </w:r>
          </w:p>
        </w:tc>
        <w:tc>
          <w:tcPr>
            <w:tcW w:w="705" w:type="dxa"/>
            <w:tcBorders>
              <w:top w:val="nil"/>
              <w:left w:val="nil"/>
              <w:bottom w:val="nil"/>
              <w:right w:val="single" w:sz="4" w:space="0" w:color="auto"/>
            </w:tcBorders>
            <w:shd w:val="clear" w:color="auto" w:fill="auto"/>
            <w:vAlign w:val="center"/>
            <w:hideMark/>
          </w:tcPr>
          <w:p w14:paraId="217E81D6" w14:textId="7654F418" w:rsidR="00987E13" w:rsidRPr="00D92E20" w:rsidRDefault="00987E13" w:rsidP="00987E13">
            <w:pPr>
              <w:spacing w:after="0" w:line="240" w:lineRule="auto"/>
              <w:jc w:val="center"/>
              <w:rPr>
                <w:rFonts w:cs="Arial"/>
                <w:color w:val="000000"/>
                <w:sz w:val="16"/>
                <w:szCs w:val="16"/>
              </w:rPr>
            </w:pPr>
            <w:r>
              <w:rPr>
                <w:rFonts w:cs="Arial"/>
                <w:sz w:val="16"/>
                <w:szCs w:val="16"/>
              </w:rPr>
              <w:t>122,6</w:t>
            </w:r>
          </w:p>
        </w:tc>
        <w:tc>
          <w:tcPr>
            <w:tcW w:w="707" w:type="dxa"/>
            <w:tcBorders>
              <w:top w:val="nil"/>
              <w:left w:val="nil"/>
              <w:bottom w:val="nil"/>
              <w:right w:val="nil"/>
            </w:tcBorders>
            <w:shd w:val="clear" w:color="auto" w:fill="auto"/>
            <w:vAlign w:val="center"/>
            <w:hideMark/>
          </w:tcPr>
          <w:p w14:paraId="0D47B34E" w14:textId="13378024" w:rsidR="00987E13" w:rsidRPr="00D92E20" w:rsidRDefault="00987E13" w:rsidP="00987E13">
            <w:pPr>
              <w:spacing w:after="0" w:line="240" w:lineRule="auto"/>
              <w:jc w:val="center"/>
              <w:rPr>
                <w:rFonts w:cs="Arial"/>
                <w:color w:val="000000"/>
                <w:sz w:val="16"/>
                <w:szCs w:val="16"/>
              </w:rPr>
            </w:pPr>
            <w:r>
              <w:rPr>
                <w:rFonts w:cs="Arial"/>
                <w:sz w:val="16"/>
                <w:szCs w:val="16"/>
              </w:rPr>
              <w:t>194,3</w:t>
            </w:r>
          </w:p>
        </w:tc>
        <w:tc>
          <w:tcPr>
            <w:tcW w:w="704" w:type="dxa"/>
            <w:tcBorders>
              <w:top w:val="nil"/>
              <w:left w:val="nil"/>
              <w:bottom w:val="nil"/>
              <w:right w:val="nil"/>
            </w:tcBorders>
            <w:shd w:val="clear" w:color="auto" w:fill="auto"/>
            <w:vAlign w:val="center"/>
            <w:hideMark/>
          </w:tcPr>
          <w:p w14:paraId="12B67288" w14:textId="308EEECD" w:rsidR="00987E13" w:rsidRPr="00D92E20" w:rsidRDefault="00987E13" w:rsidP="00987E13">
            <w:pPr>
              <w:spacing w:after="0" w:line="240" w:lineRule="auto"/>
              <w:jc w:val="center"/>
              <w:rPr>
                <w:rFonts w:cs="Arial"/>
                <w:color w:val="000000"/>
                <w:sz w:val="16"/>
                <w:szCs w:val="16"/>
              </w:rPr>
            </w:pPr>
            <w:r>
              <w:rPr>
                <w:rFonts w:cs="Arial"/>
                <w:sz w:val="16"/>
                <w:szCs w:val="16"/>
              </w:rPr>
              <w:t>83,3</w:t>
            </w:r>
          </w:p>
        </w:tc>
        <w:tc>
          <w:tcPr>
            <w:tcW w:w="705" w:type="dxa"/>
            <w:tcBorders>
              <w:top w:val="nil"/>
              <w:left w:val="nil"/>
              <w:bottom w:val="nil"/>
              <w:right w:val="nil"/>
            </w:tcBorders>
            <w:shd w:val="clear" w:color="auto" w:fill="auto"/>
            <w:vAlign w:val="center"/>
            <w:hideMark/>
          </w:tcPr>
          <w:p w14:paraId="7C5491E9" w14:textId="293A1A3A" w:rsidR="00987E13" w:rsidRPr="00D92E20" w:rsidRDefault="00987E13" w:rsidP="00987E13">
            <w:pPr>
              <w:spacing w:after="0" w:line="240" w:lineRule="auto"/>
              <w:jc w:val="center"/>
              <w:rPr>
                <w:rFonts w:cs="Arial"/>
                <w:color w:val="000000"/>
                <w:sz w:val="16"/>
                <w:szCs w:val="16"/>
              </w:rPr>
            </w:pPr>
            <w:r>
              <w:rPr>
                <w:rFonts w:cs="Arial"/>
                <w:sz w:val="16"/>
                <w:szCs w:val="16"/>
              </w:rPr>
              <w:t>111,0</w:t>
            </w:r>
          </w:p>
        </w:tc>
        <w:tc>
          <w:tcPr>
            <w:tcW w:w="754" w:type="dxa"/>
            <w:tcBorders>
              <w:top w:val="nil"/>
              <w:left w:val="single" w:sz="4" w:space="0" w:color="auto"/>
              <w:bottom w:val="nil"/>
              <w:right w:val="nil"/>
            </w:tcBorders>
            <w:shd w:val="clear" w:color="auto" w:fill="auto"/>
            <w:vAlign w:val="center"/>
            <w:hideMark/>
          </w:tcPr>
          <w:p w14:paraId="536E94EC" w14:textId="4DAE4F8F" w:rsidR="00987E13" w:rsidRPr="00D92E20" w:rsidRDefault="00987E13" w:rsidP="00987E13">
            <w:pPr>
              <w:spacing w:after="0" w:line="240" w:lineRule="auto"/>
              <w:jc w:val="center"/>
              <w:rPr>
                <w:rFonts w:cs="Arial"/>
                <w:color w:val="000000"/>
                <w:sz w:val="16"/>
                <w:szCs w:val="16"/>
              </w:rPr>
            </w:pPr>
            <w:r>
              <w:rPr>
                <w:rFonts w:cs="Arial"/>
                <w:sz w:val="16"/>
                <w:szCs w:val="16"/>
              </w:rPr>
              <w:t>7,3</w:t>
            </w:r>
          </w:p>
        </w:tc>
        <w:tc>
          <w:tcPr>
            <w:tcW w:w="709" w:type="dxa"/>
            <w:tcBorders>
              <w:top w:val="nil"/>
              <w:left w:val="nil"/>
              <w:bottom w:val="nil"/>
              <w:right w:val="nil"/>
            </w:tcBorders>
            <w:shd w:val="clear" w:color="auto" w:fill="auto"/>
            <w:vAlign w:val="center"/>
            <w:hideMark/>
          </w:tcPr>
          <w:p w14:paraId="5454168C" w14:textId="2C5DA8CC" w:rsidR="00987E13" w:rsidRPr="00D92E20" w:rsidRDefault="00987E13" w:rsidP="00987E13">
            <w:pPr>
              <w:spacing w:after="0" w:line="240" w:lineRule="auto"/>
              <w:jc w:val="center"/>
              <w:rPr>
                <w:rFonts w:cs="Arial"/>
                <w:color w:val="000000"/>
                <w:sz w:val="16"/>
                <w:szCs w:val="16"/>
              </w:rPr>
            </w:pPr>
            <w:r>
              <w:rPr>
                <w:rFonts w:cs="Arial"/>
                <w:sz w:val="16"/>
                <w:szCs w:val="16"/>
              </w:rPr>
              <w:t>4,9</w:t>
            </w:r>
          </w:p>
        </w:tc>
        <w:tc>
          <w:tcPr>
            <w:tcW w:w="709" w:type="dxa"/>
            <w:tcBorders>
              <w:top w:val="nil"/>
              <w:left w:val="nil"/>
              <w:bottom w:val="nil"/>
              <w:right w:val="single" w:sz="4" w:space="0" w:color="auto"/>
            </w:tcBorders>
            <w:shd w:val="clear" w:color="auto" w:fill="auto"/>
            <w:vAlign w:val="center"/>
            <w:hideMark/>
          </w:tcPr>
          <w:p w14:paraId="38F1D985" w14:textId="3D1C91F4" w:rsidR="00987E13" w:rsidRPr="00D92E20" w:rsidRDefault="00987E13" w:rsidP="00987E13">
            <w:pPr>
              <w:spacing w:after="0" w:line="240" w:lineRule="auto"/>
              <w:jc w:val="center"/>
              <w:rPr>
                <w:rFonts w:cs="Arial"/>
                <w:color w:val="000000"/>
                <w:sz w:val="16"/>
                <w:szCs w:val="16"/>
              </w:rPr>
            </w:pPr>
            <w:r>
              <w:rPr>
                <w:rFonts w:cs="Arial"/>
                <w:sz w:val="16"/>
                <w:szCs w:val="16"/>
              </w:rPr>
              <w:t>2,4</w:t>
            </w:r>
          </w:p>
        </w:tc>
        <w:tc>
          <w:tcPr>
            <w:tcW w:w="709" w:type="dxa"/>
            <w:tcBorders>
              <w:top w:val="nil"/>
              <w:left w:val="nil"/>
              <w:bottom w:val="nil"/>
              <w:right w:val="nil"/>
            </w:tcBorders>
            <w:shd w:val="clear" w:color="auto" w:fill="auto"/>
            <w:vAlign w:val="center"/>
            <w:hideMark/>
          </w:tcPr>
          <w:p w14:paraId="313282EF" w14:textId="101EFFD4" w:rsidR="00987E13" w:rsidRPr="00D92E20" w:rsidRDefault="00987E13" w:rsidP="00987E13">
            <w:pPr>
              <w:spacing w:after="0" w:line="240" w:lineRule="auto"/>
              <w:jc w:val="center"/>
              <w:rPr>
                <w:rFonts w:cs="Arial"/>
                <w:color w:val="000000"/>
                <w:sz w:val="16"/>
                <w:szCs w:val="16"/>
              </w:rPr>
            </w:pPr>
            <w:r>
              <w:rPr>
                <w:rFonts w:cs="Arial"/>
                <w:sz w:val="16"/>
                <w:szCs w:val="16"/>
              </w:rPr>
              <w:t>22,9</w:t>
            </w:r>
          </w:p>
        </w:tc>
        <w:tc>
          <w:tcPr>
            <w:tcW w:w="709" w:type="dxa"/>
            <w:tcBorders>
              <w:top w:val="nil"/>
              <w:left w:val="nil"/>
              <w:bottom w:val="nil"/>
              <w:right w:val="nil"/>
            </w:tcBorders>
            <w:shd w:val="clear" w:color="auto" w:fill="auto"/>
            <w:vAlign w:val="center"/>
            <w:hideMark/>
          </w:tcPr>
          <w:p w14:paraId="79D5C677" w14:textId="614E6FD2" w:rsidR="00987E13" w:rsidRPr="00D92E20" w:rsidRDefault="00987E13" w:rsidP="00987E13">
            <w:pPr>
              <w:spacing w:after="0" w:line="240" w:lineRule="auto"/>
              <w:jc w:val="center"/>
              <w:rPr>
                <w:rFonts w:cs="Arial"/>
                <w:color w:val="000000"/>
                <w:sz w:val="16"/>
                <w:szCs w:val="16"/>
              </w:rPr>
            </w:pPr>
            <w:r>
              <w:rPr>
                <w:rFonts w:cs="Arial"/>
                <w:sz w:val="16"/>
                <w:szCs w:val="16"/>
              </w:rPr>
              <w:t>13,7</w:t>
            </w:r>
          </w:p>
        </w:tc>
        <w:tc>
          <w:tcPr>
            <w:tcW w:w="709" w:type="dxa"/>
            <w:tcBorders>
              <w:top w:val="nil"/>
              <w:left w:val="nil"/>
              <w:bottom w:val="nil"/>
              <w:right w:val="nil"/>
            </w:tcBorders>
            <w:shd w:val="clear" w:color="auto" w:fill="auto"/>
            <w:vAlign w:val="center"/>
            <w:hideMark/>
          </w:tcPr>
          <w:p w14:paraId="192BB38D" w14:textId="30DC5243" w:rsidR="00987E13" w:rsidRPr="00D92E20" w:rsidRDefault="00987E13" w:rsidP="00987E13">
            <w:pPr>
              <w:spacing w:after="0" w:line="240" w:lineRule="auto"/>
              <w:jc w:val="center"/>
              <w:rPr>
                <w:rFonts w:cs="Arial"/>
                <w:color w:val="000000"/>
                <w:sz w:val="16"/>
                <w:szCs w:val="16"/>
              </w:rPr>
            </w:pPr>
            <w:r>
              <w:rPr>
                <w:rFonts w:cs="Arial"/>
                <w:sz w:val="16"/>
                <w:szCs w:val="16"/>
              </w:rPr>
              <w:t>9,2</w:t>
            </w:r>
          </w:p>
        </w:tc>
      </w:tr>
      <w:tr w:rsidR="00987E13" w:rsidRPr="00D92E20" w14:paraId="79727C70" w14:textId="77777777" w:rsidTr="00350B58">
        <w:trPr>
          <w:trHeight w:val="296"/>
        </w:trPr>
        <w:tc>
          <w:tcPr>
            <w:tcW w:w="1009" w:type="dxa"/>
            <w:tcBorders>
              <w:top w:val="nil"/>
              <w:left w:val="nil"/>
              <w:bottom w:val="nil"/>
              <w:right w:val="nil"/>
            </w:tcBorders>
            <w:shd w:val="clear" w:color="auto" w:fill="auto"/>
            <w:vAlign w:val="center"/>
            <w:hideMark/>
          </w:tcPr>
          <w:p w14:paraId="10FE2114" w14:textId="0864932F" w:rsidR="00987E13" w:rsidRPr="00D92E20" w:rsidRDefault="00987E13" w:rsidP="00987E13">
            <w:pPr>
              <w:spacing w:after="0" w:line="240" w:lineRule="auto"/>
              <w:jc w:val="center"/>
              <w:rPr>
                <w:rFonts w:cs="Arial"/>
                <w:color w:val="000000"/>
                <w:sz w:val="16"/>
                <w:szCs w:val="16"/>
              </w:rPr>
            </w:pPr>
            <w:r>
              <w:rPr>
                <w:rFonts w:cs="Arial"/>
                <w:sz w:val="16"/>
                <w:szCs w:val="16"/>
              </w:rPr>
              <w:t>1. pol. 2019</w:t>
            </w:r>
          </w:p>
        </w:tc>
        <w:tc>
          <w:tcPr>
            <w:tcW w:w="710" w:type="dxa"/>
            <w:tcBorders>
              <w:top w:val="nil"/>
              <w:left w:val="single" w:sz="4" w:space="0" w:color="auto"/>
              <w:bottom w:val="nil"/>
              <w:right w:val="nil"/>
            </w:tcBorders>
            <w:shd w:val="clear" w:color="auto" w:fill="auto"/>
            <w:vAlign w:val="center"/>
            <w:hideMark/>
          </w:tcPr>
          <w:p w14:paraId="0047C3AD" w14:textId="653C95AB" w:rsidR="00987E13" w:rsidRPr="00D92E20" w:rsidRDefault="00987E13" w:rsidP="00987E13">
            <w:pPr>
              <w:spacing w:after="0" w:line="240" w:lineRule="auto"/>
              <w:jc w:val="center"/>
              <w:rPr>
                <w:rFonts w:cs="Arial"/>
                <w:color w:val="000000"/>
                <w:sz w:val="16"/>
                <w:szCs w:val="16"/>
              </w:rPr>
            </w:pPr>
            <w:r>
              <w:rPr>
                <w:rFonts w:cs="Arial"/>
                <w:sz w:val="16"/>
                <w:szCs w:val="16"/>
              </w:rPr>
              <w:t>229,7</w:t>
            </w:r>
          </w:p>
        </w:tc>
        <w:tc>
          <w:tcPr>
            <w:tcW w:w="703" w:type="dxa"/>
            <w:tcBorders>
              <w:top w:val="nil"/>
              <w:left w:val="nil"/>
              <w:bottom w:val="nil"/>
              <w:right w:val="nil"/>
            </w:tcBorders>
            <w:shd w:val="clear" w:color="auto" w:fill="auto"/>
            <w:vAlign w:val="center"/>
            <w:hideMark/>
          </w:tcPr>
          <w:p w14:paraId="5C2A7B4B" w14:textId="10B095A9" w:rsidR="00987E13" w:rsidRPr="00D92E20" w:rsidRDefault="00987E13" w:rsidP="00987E13">
            <w:pPr>
              <w:spacing w:after="0" w:line="240" w:lineRule="auto"/>
              <w:jc w:val="center"/>
              <w:rPr>
                <w:rFonts w:cs="Arial"/>
                <w:color w:val="000000"/>
                <w:sz w:val="16"/>
                <w:szCs w:val="16"/>
              </w:rPr>
            </w:pPr>
            <w:r>
              <w:rPr>
                <w:rFonts w:cs="Arial"/>
                <w:sz w:val="16"/>
                <w:szCs w:val="16"/>
              </w:rPr>
              <w:t>104,0</w:t>
            </w:r>
          </w:p>
        </w:tc>
        <w:tc>
          <w:tcPr>
            <w:tcW w:w="705" w:type="dxa"/>
            <w:tcBorders>
              <w:top w:val="nil"/>
              <w:left w:val="nil"/>
              <w:bottom w:val="nil"/>
              <w:right w:val="single" w:sz="4" w:space="0" w:color="auto"/>
            </w:tcBorders>
            <w:shd w:val="clear" w:color="auto" w:fill="auto"/>
            <w:vAlign w:val="center"/>
            <w:hideMark/>
          </w:tcPr>
          <w:p w14:paraId="64C8D5F8" w14:textId="439C0440" w:rsidR="00987E13" w:rsidRPr="00D92E20" w:rsidRDefault="00987E13" w:rsidP="00987E13">
            <w:pPr>
              <w:spacing w:after="0" w:line="240" w:lineRule="auto"/>
              <w:jc w:val="center"/>
              <w:rPr>
                <w:rFonts w:cs="Arial"/>
                <w:color w:val="000000"/>
                <w:sz w:val="16"/>
                <w:szCs w:val="16"/>
              </w:rPr>
            </w:pPr>
            <w:r>
              <w:rPr>
                <w:rFonts w:cs="Arial"/>
                <w:sz w:val="16"/>
                <w:szCs w:val="16"/>
              </w:rPr>
              <w:t>125,7</w:t>
            </w:r>
          </w:p>
        </w:tc>
        <w:tc>
          <w:tcPr>
            <w:tcW w:w="707" w:type="dxa"/>
            <w:tcBorders>
              <w:top w:val="nil"/>
              <w:left w:val="nil"/>
              <w:bottom w:val="nil"/>
              <w:right w:val="nil"/>
            </w:tcBorders>
            <w:shd w:val="clear" w:color="auto" w:fill="auto"/>
            <w:vAlign w:val="center"/>
            <w:hideMark/>
          </w:tcPr>
          <w:p w14:paraId="07C57EA3" w14:textId="04E11284" w:rsidR="00987E13" w:rsidRPr="00D92E20" w:rsidRDefault="00987E13" w:rsidP="00987E13">
            <w:pPr>
              <w:spacing w:after="0" w:line="240" w:lineRule="auto"/>
              <w:jc w:val="center"/>
              <w:rPr>
                <w:rFonts w:cs="Arial"/>
                <w:color w:val="000000"/>
                <w:sz w:val="16"/>
                <w:szCs w:val="16"/>
              </w:rPr>
            </w:pPr>
            <w:r>
              <w:rPr>
                <w:rFonts w:cs="Arial"/>
                <w:sz w:val="16"/>
                <w:szCs w:val="16"/>
              </w:rPr>
              <w:t>198,1</w:t>
            </w:r>
          </w:p>
        </w:tc>
        <w:tc>
          <w:tcPr>
            <w:tcW w:w="704" w:type="dxa"/>
            <w:tcBorders>
              <w:top w:val="nil"/>
              <w:left w:val="nil"/>
              <w:bottom w:val="nil"/>
              <w:right w:val="nil"/>
            </w:tcBorders>
            <w:shd w:val="clear" w:color="auto" w:fill="auto"/>
            <w:vAlign w:val="center"/>
            <w:hideMark/>
          </w:tcPr>
          <w:p w14:paraId="3E97EA23" w14:textId="37F03ED2" w:rsidR="00987E13" w:rsidRPr="00D92E20" w:rsidRDefault="00987E13" w:rsidP="00987E13">
            <w:pPr>
              <w:spacing w:after="0" w:line="240" w:lineRule="auto"/>
              <w:jc w:val="center"/>
              <w:rPr>
                <w:rFonts w:cs="Arial"/>
                <w:color w:val="000000"/>
                <w:sz w:val="16"/>
                <w:szCs w:val="16"/>
              </w:rPr>
            </w:pPr>
            <w:r>
              <w:rPr>
                <w:rFonts w:cs="Arial"/>
                <w:sz w:val="16"/>
                <w:szCs w:val="16"/>
              </w:rPr>
              <w:t>84,7</w:t>
            </w:r>
          </w:p>
        </w:tc>
        <w:tc>
          <w:tcPr>
            <w:tcW w:w="705" w:type="dxa"/>
            <w:tcBorders>
              <w:top w:val="nil"/>
              <w:left w:val="nil"/>
              <w:bottom w:val="nil"/>
              <w:right w:val="nil"/>
            </w:tcBorders>
            <w:shd w:val="clear" w:color="auto" w:fill="auto"/>
            <w:vAlign w:val="center"/>
            <w:hideMark/>
          </w:tcPr>
          <w:p w14:paraId="64FE2006" w14:textId="173A58A2" w:rsidR="00987E13" w:rsidRPr="00D92E20" w:rsidRDefault="00987E13" w:rsidP="00987E13">
            <w:pPr>
              <w:spacing w:after="0" w:line="240" w:lineRule="auto"/>
              <w:jc w:val="center"/>
              <w:rPr>
                <w:rFonts w:cs="Arial"/>
                <w:color w:val="000000"/>
                <w:sz w:val="16"/>
                <w:szCs w:val="16"/>
              </w:rPr>
            </w:pPr>
            <w:r>
              <w:rPr>
                <w:rFonts w:cs="Arial"/>
                <w:sz w:val="16"/>
                <w:szCs w:val="16"/>
              </w:rPr>
              <w:t>113,5</w:t>
            </w:r>
          </w:p>
        </w:tc>
        <w:tc>
          <w:tcPr>
            <w:tcW w:w="754" w:type="dxa"/>
            <w:tcBorders>
              <w:top w:val="nil"/>
              <w:left w:val="single" w:sz="4" w:space="0" w:color="auto"/>
              <w:bottom w:val="nil"/>
              <w:right w:val="nil"/>
            </w:tcBorders>
            <w:shd w:val="clear" w:color="auto" w:fill="auto"/>
            <w:vAlign w:val="center"/>
            <w:hideMark/>
          </w:tcPr>
          <w:p w14:paraId="041F61D2" w14:textId="6CB60ED3" w:rsidR="00987E13" w:rsidRPr="00D92E20" w:rsidRDefault="00987E13" w:rsidP="00987E13">
            <w:pPr>
              <w:spacing w:after="0" w:line="240" w:lineRule="auto"/>
              <w:jc w:val="center"/>
              <w:rPr>
                <w:rFonts w:cs="Arial"/>
                <w:color w:val="000000"/>
                <w:sz w:val="16"/>
                <w:szCs w:val="16"/>
              </w:rPr>
            </w:pPr>
            <w:r>
              <w:rPr>
                <w:rFonts w:cs="Arial"/>
                <w:sz w:val="16"/>
                <w:szCs w:val="16"/>
              </w:rPr>
              <w:t>7,3</w:t>
            </w:r>
          </w:p>
        </w:tc>
        <w:tc>
          <w:tcPr>
            <w:tcW w:w="709" w:type="dxa"/>
            <w:tcBorders>
              <w:top w:val="nil"/>
              <w:left w:val="nil"/>
              <w:bottom w:val="nil"/>
              <w:right w:val="nil"/>
            </w:tcBorders>
            <w:shd w:val="clear" w:color="auto" w:fill="auto"/>
            <w:vAlign w:val="center"/>
            <w:hideMark/>
          </w:tcPr>
          <w:p w14:paraId="42F86E62" w14:textId="4A7DBC96" w:rsidR="00987E13" w:rsidRPr="00D92E20" w:rsidRDefault="00987E13" w:rsidP="00987E13">
            <w:pPr>
              <w:spacing w:after="0" w:line="240" w:lineRule="auto"/>
              <w:jc w:val="center"/>
              <w:rPr>
                <w:rFonts w:cs="Arial"/>
                <w:color w:val="000000"/>
                <w:sz w:val="16"/>
                <w:szCs w:val="16"/>
              </w:rPr>
            </w:pPr>
            <w:r>
              <w:rPr>
                <w:rFonts w:cs="Arial"/>
                <w:sz w:val="16"/>
                <w:szCs w:val="16"/>
              </w:rPr>
              <w:t>4,9</w:t>
            </w:r>
          </w:p>
        </w:tc>
        <w:tc>
          <w:tcPr>
            <w:tcW w:w="709" w:type="dxa"/>
            <w:tcBorders>
              <w:top w:val="nil"/>
              <w:left w:val="nil"/>
              <w:bottom w:val="nil"/>
              <w:right w:val="single" w:sz="4" w:space="0" w:color="auto"/>
            </w:tcBorders>
            <w:shd w:val="clear" w:color="auto" w:fill="auto"/>
            <w:vAlign w:val="center"/>
            <w:hideMark/>
          </w:tcPr>
          <w:p w14:paraId="4FAF8F2D" w14:textId="4C61323A" w:rsidR="00987E13" w:rsidRPr="00D92E20" w:rsidRDefault="00987E13" w:rsidP="00987E13">
            <w:pPr>
              <w:spacing w:after="0" w:line="240" w:lineRule="auto"/>
              <w:jc w:val="center"/>
              <w:rPr>
                <w:rFonts w:cs="Arial"/>
                <w:color w:val="000000"/>
                <w:sz w:val="16"/>
                <w:szCs w:val="16"/>
              </w:rPr>
            </w:pPr>
            <w:r>
              <w:rPr>
                <w:rFonts w:cs="Arial"/>
                <w:sz w:val="16"/>
                <w:szCs w:val="16"/>
              </w:rPr>
              <w:t>2,4</w:t>
            </w:r>
          </w:p>
        </w:tc>
        <w:tc>
          <w:tcPr>
            <w:tcW w:w="709" w:type="dxa"/>
            <w:tcBorders>
              <w:top w:val="nil"/>
              <w:left w:val="nil"/>
              <w:bottom w:val="nil"/>
              <w:right w:val="nil"/>
            </w:tcBorders>
            <w:shd w:val="clear" w:color="auto" w:fill="auto"/>
            <w:vAlign w:val="center"/>
            <w:hideMark/>
          </w:tcPr>
          <w:p w14:paraId="1D148891" w14:textId="2F6261AB" w:rsidR="00987E13" w:rsidRPr="00D92E20" w:rsidRDefault="00987E13" w:rsidP="00987E13">
            <w:pPr>
              <w:spacing w:after="0" w:line="240" w:lineRule="auto"/>
              <w:jc w:val="center"/>
              <w:rPr>
                <w:rFonts w:cs="Arial"/>
                <w:color w:val="000000"/>
                <w:sz w:val="16"/>
                <w:szCs w:val="16"/>
              </w:rPr>
            </w:pPr>
            <w:r>
              <w:rPr>
                <w:rFonts w:cs="Arial"/>
                <w:sz w:val="16"/>
                <w:szCs w:val="16"/>
              </w:rPr>
              <w:t>24,3</w:t>
            </w:r>
          </w:p>
        </w:tc>
        <w:tc>
          <w:tcPr>
            <w:tcW w:w="709" w:type="dxa"/>
            <w:tcBorders>
              <w:top w:val="nil"/>
              <w:left w:val="nil"/>
              <w:bottom w:val="nil"/>
              <w:right w:val="nil"/>
            </w:tcBorders>
            <w:shd w:val="clear" w:color="auto" w:fill="auto"/>
            <w:vAlign w:val="center"/>
            <w:hideMark/>
          </w:tcPr>
          <w:p w14:paraId="37C7E6A3" w14:textId="60480C34" w:rsidR="00987E13" w:rsidRPr="00D92E20" w:rsidRDefault="00987E13" w:rsidP="00987E13">
            <w:pPr>
              <w:spacing w:after="0" w:line="240" w:lineRule="auto"/>
              <w:jc w:val="center"/>
              <w:rPr>
                <w:rFonts w:cs="Arial"/>
                <w:color w:val="000000"/>
                <w:sz w:val="16"/>
                <w:szCs w:val="16"/>
              </w:rPr>
            </w:pPr>
            <w:r>
              <w:rPr>
                <w:rFonts w:cs="Arial"/>
                <w:sz w:val="16"/>
                <w:szCs w:val="16"/>
              </w:rPr>
              <w:t>14,4</w:t>
            </w:r>
          </w:p>
        </w:tc>
        <w:tc>
          <w:tcPr>
            <w:tcW w:w="709" w:type="dxa"/>
            <w:tcBorders>
              <w:top w:val="nil"/>
              <w:left w:val="nil"/>
              <w:bottom w:val="nil"/>
              <w:right w:val="nil"/>
            </w:tcBorders>
            <w:shd w:val="clear" w:color="auto" w:fill="auto"/>
            <w:vAlign w:val="center"/>
            <w:hideMark/>
          </w:tcPr>
          <w:p w14:paraId="0AE7CB64" w14:textId="447B5D69" w:rsidR="00987E13" w:rsidRPr="00D92E20" w:rsidRDefault="00987E13" w:rsidP="00987E13">
            <w:pPr>
              <w:spacing w:after="0" w:line="240" w:lineRule="auto"/>
              <w:jc w:val="center"/>
              <w:rPr>
                <w:rFonts w:cs="Arial"/>
                <w:color w:val="000000"/>
                <w:sz w:val="16"/>
                <w:szCs w:val="16"/>
              </w:rPr>
            </w:pPr>
            <w:r>
              <w:rPr>
                <w:rFonts w:cs="Arial"/>
                <w:sz w:val="16"/>
                <w:szCs w:val="16"/>
              </w:rPr>
              <w:t>9,8</w:t>
            </w:r>
          </w:p>
        </w:tc>
      </w:tr>
      <w:tr w:rsidR="00987E13" w:rsidRPr="00D92E20" w14:paraId="6D8E63D0" w14:textId="77777777" w:rsidTr="00350B58">
        <w:trPr>
          <w:trHeight w:val="296"/>
        </w:trPr>
        <w:tc>
          <w:tcPr>
            <w:tcW w:w="1009" w:type="dxa"/>
            <w:tcBorders>
              <w:top w:val="nil"/>
              <w:left w:val="nil"/>
              <w:bottom w:val="nil"/>
              <w:right w:val="nil"/>
            </w:tcBorders>
            <w:shd w:val="clear" w:color="auto" w:fill="auto"/>
            <w:vAlign w:val="center"/>
            <w:hideMark/>
          </w:tcPr>
          <w:p w14:paraId="381CCEF9" w14:textId="6C32527F" w:rsidR="00987E13" w:rsidRPr="00D92E20" w:rsidRDefault="00987E13" w:rsidP="00987E13">
            <w:pPr>
              <w:spacing w:after="0" w:line="240" w:lineRule="auto"/>
              <w:jc w:val="center"/>
              <w:rPr>
                <w:rFonts w:cs="Arial"/>
                <w:color w:val="000000"/>
                <w:sz w:val="16"/>
                <w:szCs w:val="16"/>
              </w:rPr>
            </w:pPr>
            <w:r>
              <w:rPr>
                <w:rFonts w:cs="Arial"/>
                <w:sz w:val="16"/>
                <w:szCs w:val="16"/>
              </w:rPr>
              <w:t>1. pol. 2020</w:t>
            </w:r>
          </w:p>
        </w:tc>
        <w:tc>
          <w:tcPr>
            <w:tcW w:w="710" w:type="dxa"/>
            <w:tcBorders>
              <w:top w:val="nil"/>
              <w:left w:val="single" w:sz="4" w:space="0" w:color="auto"/>
              <w:bottom w:val="nil"/>
              <w:right w:val="nil"/>
            </w:tcBorders>
            <w:shd w:val="clear" w:color="auto" w:fill="auto"/>
            <w:vAlign w:val="center"/>
            <w:hideMark/>
          </w:tcPr>
          <w:p w14:paraId="443CEAB7" w14:textId="7B169219" w:rsidR="00987E13" w:rsidRPr="00D92E20" w:rsidRDefault="00987E13" w:rsidP="00987E13">
            <w:pPr>
              <w:spacing w:after="0" w:line="240" w:lineRule="auto"/>
              <w:jc w:val="center"/>
              <w:rPr>
                <w:rFonts w:cs="Arial"/>
                <w:color w:val="000000"/>
                <w:sz w:val="16"/>
                <w:szCs w:val="16"/>
              </w:rPr>
            </w:pPr>
            <w:r>
              <w:rPr>
                <w:rFonts w:cs="Arial"/>
                <w:sz w:val="16"/>
                <w:szCs w:val="16"/>
              </w:rPr>
              <w:t>260,5</w:t>
            </w:r>
          </w:p>
        </w:tc>
        <w:tc>
          <w:tcPr>
            <w:tcW w:w="703" w:type="dxa"/>
            <w:tcBorders>
              <w:top w:val="nil"/>
              <w:left w:val="nil"/>
              <w:bottom w:val="nil"/>
              <w:right w:val="nil"/>
            </w:tcBorders>
            <w:shd w:val="clear" w:color="auto" w:fill="auto"/>
            <w:vAlign w:val="center"/>
            <w:hideMark/>
          </w:tcPr>
          <w:p w14:paraId="70055A86" w14:textId="253B5309" w:rsidR="00987E13" w:rsidRPr="00D92E20" w:rsidRDefault="00987E13" w:rsidP="00987E13">
            <w:pPr>
              <w:spacing w:after="0" w:line="240" w:lineRule="auto"/>
              <w:jc w:val="center"/>
              <w:rPr>
                <w:rFonts w:cs="Arial"/>
                <w:color w:val="000000"/>
                <w:sz w:val="16"/>
                <w:szCs w:val="16"/>
              </w:rPr>
            </w:pPr>
            <w:r>
              <w:rPr>
                <w:rFonts w:cs="Arial"/>
                <w:sz w:val="16"/>
                <w:szCs w:val="16"/>
              </w:rPr>
              <w:t>119,2</w:t>
            </w:r>
          </w:p>
        </w:tc>
        <w:tc>
          <w:tcPr>
            <w:tcW w:w="705" w:type="dxa"/>
            <w:tcBorders>
              <w:top w:val="nil"/>
              <w:left w:val="nil"/>
              <w:bottom w:val="nil"/>
              <w:right w:val="single" w:sz="4" w:space="0" w:color="auto"/>
            </w:tcBorders>
            <w:shd w:val="clear" w:color="auto" w:fill="auto"/>
            <w:vAlign w:val="center"/>
            <w:hideMark/>
          </w:tcPr>
          <w:p w14:paraId="186EC40A" w14:textId="7C39FD49" w:rsidR="00987E13" w:rsidRPr="00D92E20" w:rsidRDefault="00987E13" w:rsidP="00987E13">
            <w:pPr>
              <w:spacing w:after="0" w:line="240" w:lineRule="auto"/>
              <w:jc w:val="center"/>
              <w:rPr>
                <w:rFonts w:cs="Arial"/>
                <w:color w:val="000000"/>
                <w:sz w:val="16"/>
                <w:szCs w:val="16"/>
              </w:rPr>
            </w:pPr>
            <w:r>
              <w:rPr>
                <w:rFonts w:cs="Arial"/>
                <w:sz w:val="16"/>
                <w:szCs w:val="16"/>
              </w:rPr>
              <w:t>141,2</w:t>
            </w:r>
          </w:p>
        </w:tc>
        <w:tc>
          <w:tcPr>
            <w:tcW w:w="707" w:type="dxa"/>
            <w:tcBorders>
              <w:top w:val="nil"/>
              <w:left w:val="nil"/>
              <w:bottom w:val="nil"/>
              <w:right w:val="nil"/>
            </w:tcBorders>
            <w:shd w:val="clear" w:color="auto" w:fill="auto"/>
            <w:vAlign w:val="center"/>
            <w:hideMark/>
          </w:tcPr>
          <w:p w14:paraId="6C6362C3" w14:textId="1B613040" w:rsidR="00987E13" w:rsidRPr="00D92E20" w:rsidRDefault="00987E13" w:rsidP="00987E13">
            <w:pPr>
              <w:spacing w:after="0" w:line="240" w:lineRule="auto"/>
              <w:jc w:val="center"/>
              <w:rPr>
                <w:rFonts w:cs="Arial"/>
                <w:color w:val="000000"/>
                <w:sz w:val="16"/>
                <w:szCs w:val="16"/>
              </w:rPr>
            </w:pPr>
            <w:r>
              <w:rPr>
                <w:rFonts w:cs="Arial"/>
                <w:sz w:val="16"/>
                <w:szCs w:val="16"/>
              </w:rPr>
              <w:t>228,3</w:t>
            </w:r>
          </w:p>
        </w:tc>
        <w:tc>
          <w:tcPr>
            <w:tcW w:w="704" w:type="dxa"/>
            <w:tcBorders>
              <w:top w:val="nil"/>
              <w:left w:val="nil"/>
              <w:bottom w:val="nil"/>
              <w:right w:val="nil"/>
            </w:tcBorders>
            <w:shd w:val="clear" w:color="auto" w:fill="auto"/>
            <w:vAlign w:val="center"/>
            <w:hideMark/>
          </w:tcPr>
          <w:p w14:paraId="3BD0B658" w14:textId="5509F48E" w:rsidR="00987E13" w:rsidRPr="00D92E20" w:rsidRDefault="00987E13" w:rsidP="00987E13">
            <w:pPr>
              <w:spacing w:after="0" w:line="240" w:lineRule="auto"/>
              <w:jc w:val="center"/>
              <w:rPr>
                <w:rFonts w:cs="Arial"/>
                <w:color w:val="000000"/>
                <w:sz w:val="16"/>
                <w:szCs w:val="16"/>
              </w:rPr>
            </w:pPr>
            <w:r>
              <w:rPr>
                <w:rFonts w:cs="Arial"/>
                <w:sz w:val="16"/>
                <w:szCs w:val="16"/>
              </w:rPr>
              <w:t>99,4</w:t>
            </w:r>
          </w:p>
        </w:tc>
        <w:tc>
          <w:tcPr>
            <w:tcW w:w="705" w:type="dxa"/>
            <w:tcBorders>
              <w:top w:val="nil"/>
              <w:left w:val="nil"/>
              <w:bottom w:val="nil"/>
              <w:right w:val="nil"/>
            </w:tcBorders>
            <w:shd w:val="clear" w:color="auto" w:fill="auto"/>
            <w:vAlign w:val="center"/>
            <w:hideMark/>
          </w:tcPr>
          <w:p w14:paraId="50F03033" w14:textId="32942A4E" w:rsidR="00987E13" w:rsidRPr="00D92E20" w:rsidRDefault="00987E13" w:rsidP="00987E13">
            <w:pPr>
              <w:spacing w:after="0" w:line="240" w:lineRule="auto"/>
              <w:jc w:val="center"/>
              <w:rPr>
                <w:rFonts w:cs="Arial"/>
                <w:color w:val="000000"/>
                <w:sz w:val="16"/>
                <w:szCs w:val="16"/>
              </w:rPr>
            </w:pPr>
            <w:r>
              <w:rPr>
                <w:rFonts w:cs="Arial"/>
                <w:sz w:val="16"/>
                <w:szCs w:val="16"/>
              </w:rPr>
              <w:t>128,9</w:t>
            </w:r>
          </w:p>
        </w:tc>
        <w:tc>
          <w:tcPr>
            <w:tcW w:w="754" w:type="dxa"/>
            <w:tcBorders>
              <w:top w:val="nil"/>
              <w:left w:val="single" w:sz="4" w:space="0" w:color="auto"/>
              <w:bottom w:val="nil"/>
              <w:right w:val="nil"/>
            </w:tcBorders>
            <w:shd w:val="clear" w:color="auto" w:fill="auto"/>
            <w:vAlign w:val="center"/>
            <w:hideMark/>
          </w:tcPr>
          <w:p w14:paraId="2975F363" w14:textId="034FD460" w:rsidR="00987E13" w:rsidRPr="00D92E20" w:rsidRDefault="00987E13" w:rsidP="00987E13">
            <w:pPr>
              <w:spacing w:after="0" w:line="240" w:lineRule="auto"/>
              <w:jc w:val="center"/>
              <w:rPr>
                <w:rFonts w:cs="Arial"/>
                <w:color w:val="000000"/>
                <w:sz w:val="16"/>
                <w:szCs w:val="16"/>
              </w:rPr>
            </w:pPr>
            <w:r>
              <w:rPr>
                <w:rFonts w:cs="Arial"/>
                <w:sz w:val="16"/>
                <w:szCs w:val="16"/>
              </w:rPr>
              <w:t>7,1</w:t>
            </w:r>
          </w:p>
        </w:tc>
        <w:tc>
          <w:tcPr>
            <w:tcW w:w="709" w:type="dxa"/>
            <w:tcBorders>
              <w:top w:val="nil"/>
              <w:left w:val="nil"/>
              <w:bottom w:val="nil"/>
              <w:right w:val="nil"/>
            </w:tcBorders>
            <w:shd w:val="clear" w:color="auto" w:fill="auto"/>
            <w:vAlign w:val="center"/>
            <w:hideMark/>
          </w:tcPr>
          <w:p w14:paraId="2D06F528" w14:textId="2B9260F6" w:rsidR="00987E13" w:rsidRPr="00D92E20" w:rsidRDefault="00987E13" w:rsidP="00987E13">
            <w:pPr>
              <w:spacing w:after="0" w:line="240" w:lineRule="auto"/>
              <w:jc w:val="center"/>
              <w:rPr>
                <w:rFonts w:cs="Arial"/>
                <w:color w:val="000000"/>
                <w:sz w:val="16"/>
                <w:szCs w:val="16"/>
              </w:rPr>
            </w:pPr>
            <w:r>
              <w:rPr>
                <w:rFonts w:cs="Arial"/>
                <w:sz w:val="16"/>
                <w:szCs w:val="16"/>
              </w:rPr>
              <w:t>4,8</w:t>
            </w:r>
          </w:p>
        </w:tc>
        <w:tc>
          <w:tcPr>
            <w:tcW w:w="709" w:type="dxa"/>
            <w:tcBorders>
              <w:top w:val="nil"/>
              <w:left w:val="nil"/>
              <w:bottom w:val="nil"/>
              <w:right w:val="single" w:sz="4" w:space="0" w:color="auto"/>
            </w:tcBorders>
            <w:shd w:val="clear" w:color="auto" w:fill="auto"/>
            <w:vAlign w:val="center"/>
            <w:hideMark/>
          </w:tcPr>
          <w:p w14:paraId="7EF7D159" w14:textId="4224948F" w:rsidR="00987E13" w:rsidRPr="00D92E20" w:rsidRDefault="00987E13" w:rsidP="00987E13">
            <w:pPr>
              <w:spacing w:after="0" w:line="240" w:lineRule="auto"/>
              <w:jc w:val="center"/>
              <w:rPr>
                <w:rFonts w:cs="Arial"/>
                <w:color w:val="000000"/>
                <w:sz w:val="16"/>
                <w:szCs w:val="16"/>
              </w:rPr>
            </w:pPr>
            <w:r>
              <w:rPr>
                <w:rFonts w:cs="Arial"/>
                <w:sz w:val="16"/>
                <w:szCs w:val="16"/>
              </w:rPr>
              <w:t>2,2</w:t>
            </w:r>
          </w:p>
        </w:tc>
        <w:tc>
          <w:tcPr>
            <w:tcW w:w="709" w:type="dxa"/>
            <w:tcBorders>
              <w:top w:val="nil"/>
              <w:left w:val="nil"/>
              <w:bottom w:val="nil"/>
              <w:right w:val="nil"/>
            </w:tcBorders>
            <w:shd w:val="clear" w:color="auto" w:fill="auto"/>
            <w:vAlign w:val="center"/>
            <w:hideMark/>
          </w:tcPr>
          <w:p w14:paraId="04275107" w14:textId="67EBC426" w:rsidR="00987E13" w:rsidRPr="00D92E20" w:rsidRDefault="00987E13" w:rsidP="00987E13">
            <w:pPr>
              <w:spacing w:after="0" w:line="240" w:lineRule="auto"/>
              <w:jc w:val="center"/>
              <w:rPr>
                <w:rFonts w:cs="Arial"/>
                <w:color w:val="000000"/>
                <w:sz w:val="16"/>
                <w:szCs w:val="16"/>
              </w:rPr>
            </w:pPr>
            <w:r>
              <w:rPr>
                <w:rFonts w:cs="Arial"/>
                <w:sz w:val="16"/>
                <w:szCs w:val="16"/>
              </w:rPr>
              <w:t>25,1</w:t>
            </w:r>
          </w:p>
        </w:tc>
        <w:tc>
          <w:tcPr>
            <w:tcW w:w="709" w:type="dxa"/>
            <w:tcBorders>
              <w:top w:val="nil"/>
              <w:left w:val="nil"/>
              <w:bottom w:val="nil"/>
              <w:right w:val="nil"/>
            </w:tcBorders>
            <w:shd w:val="clear" w:color="auto" w:fill="auto"/>
            <w:vAlign w:val="center"/>
            <w:hideMark/>
          </w:tcPr>
          <w:p w14:paraId="735C193C" w14:textId="19572072" w:rsidR="00987E13" w:rsidRPr="00D92E20" w:rsidRDefault="00987E13" w:rsidP="00987E13">
            <w:pPr>
              <w:spacing w:after="0" w:line="240" w:lineRule="auto"/>
              <w:jc w:val="center"/>
              <w:rPr>
                <w:rFonts w:cs="Arial"/>
                <w:color w:val="000000"/>
                <w:sz w:val="16"/>
                <w:szCs w:val="16"/>
              </w:rPr>
            </w:pPr>
            <w:r>
              <w:rPr>
                <w:rFonts w:cs="Arial"/>
                <w:sz w:val="16"/>
                <w:szCs w:val="16"/>
              </w:rPr>
              <w:t>15,0</w:t>
            </w:r>
          </w:p>
        </w:tc>
        <w:tc>
          <w:tcPr>
            <w:tcW w:w="709" w:type="dxa"/>
            <w:tcBorders>
              <w:top w:val="nil"/>
              <w:left w:val="nil"/>
              <w:bottom w:val="nil"/>
              <w:right w:val="nil"/>
            </w:tcBorders>
            <w:shd w:val="clear" w:color="auto" w:fill="auto"/>
            <w:vAlign w:val="center"/>
            <w:hideMark/>
          </w:tcPr>
          <w:p w14:paraId="2F410CA2" w14:textId="7C64BA35" w:rsidR="00987E13" w:rsidRPr="00D92E20" w:rsidRDefault="00987E13" w:rsidP="00987E13">
            <w:pPr>
              <w:spacing w:after="0" w:line="240" w:lineRule="auto"/>
              <w:jc w:val="center"/>
              <w:rPr>
                <w:rFonts w:cs="Arial"/>
                <w:color w:val="000000"/>
                <w:sz w:val="16"/>
                <w:szCs w:val="16"/>
              </w:rPr>
            </w:pPr>
            <w:r>
              <w:rPr>
                <w:rFonts w:cs="Arial"/>
                <w:sz w:val="16"/>
                <w:szCs w:val="16"/>
              </w:rPr>
              <w:t>10,1</w:t>
            </w:r>
          </w:p>
        </w:tc>
      </w:tr>
      <w:tr w:rsidR="00987E13" w:rsidRPr="00D92E20" w14:paraId="794D943E" w14:textId="77777777" w:rsidTr="00350B58">
        <w:trPr>
          <w:trHeight w:val="296"/>
        </w:trPr>
        <w:tc>
          <w:tcPr>
            <w:tcW w:w="1009" w:type="dxa"/>
            <w:tcBorders>
              <w:top w:val="nil"/>
              <w:left w:val="nil"/>
              <w:bottom w:val="nil"/>
              <w:right w:val="nil"/>
            </w:tcBorders>
            <w:shd w:val="clear" w:color="auto" w:fill="auto"/>
            <w:vAlign w:val="center"/>
            <w:hideMark/>
          </w:tcPr>
          <w:p w14:paraId="0A980EEA" w14:textId="5B1BDA5B" w:rsidR="00987E13" w:rsidRPr="00D92E20" w:rsidRDefault="00987E13" w:rsidP="00987E13">
            <w:pPr>
              <w:spacing w:after="0" w:line="240" w:lineRule="auto"/>
              <w:jc w:val="center"/>
              <w:rPr>
                <w:rFonts w:cs="Arial"/>
                <w:color w:val="000000"/>
                <w:sz w:val="16"/>
                <w:szCs w:val="16"/>
              </w:rPr>
            </w:pPr>
            <w:r>
              <w:rPr>
                <w:rFonts w:cs="Arial"/>
                <w:sz w:val="16"/>
                <w:szCs w:val="16"/>
              </w:rPr>
              <w:t>1. pol. 2021</w:t>
            </w:r>
          </w:p>
        </w:tc>
        <w:tc>
          <w:tcPr>
            <w:tcW w:w="710" w:type="dxa"/>
            <w:tcBorders>
              <w:top w:val="nil"/>
              <w:left w:val="single" w:sz="4" w:space="0" w:color="auto"/>
              <w:bottom w:val="nil"/>
              <w:right w:val="nil"/>
            </w:tcBorders>
            <w:shd w:val="clear" w:color="auto" w:fill="auto"/>
            <w:vAlign w:val="center"/>
            <w:hideMark/>
          </w:tcPr>
          <w:p w14:paraId="0680CD4D" w14:textId="248FF67E" w:rsidR="00987E13" w:rsidRPr="00D92E20" w:rsidRDefault="00987E13" w:rsidP="00987E13">
            <w:pPr>
              <w:spacing w:after="0" w:line="240" w:lineRule="auto"/>
              <w:jc w:val="center"/>
              <w:rPr>
                <w:rFonts w:cs="Arial"/>
                <w:color w:val="000000"/>
                <w:sz w:val="16"/>
                <w:szCs w:val="16"/>
              </w:rPr>
            </w:pPr>
            <w:r>
              <w:rPr>
                <w:rFonts w:cs="Arial"/>
                <w:sz w:val="16"/>
                <w:szCs w:val="16"/>
              </w:rPr>
              <w:t>281,0</w:t>
            </w:r>
          </w:p>
        </w:tc>
        <w:tc>
          <w:tcPr>
            <w:tcW w:w="703" w:type="dxa"/>
            <w:tcBorders>
              <w:top w:val="nil"/>
              <w:left w:val="nil"/>
              <w:bottom w:val="nil"/>
              <w:right w:val="nil"/>
            </w:tcBorders>
            <w:shd w:val="clear" w:color="auto" w:fill="auto"/>
            <w:vAlign w:val="center"/>
            <w:hideMark/>
          </w:tcPr>
          <w:p w14:paraId="1650AF7C" w14:textId="2E3105F7" w:rsidR="00987E13" w:rsidRPr="00D92E20" w:rsidRDefault="00987E13" w:rsidP="00987E13">
            <w:pPr>
              <w:spacing w:after="0" w:line="240" w:lineRule="auto"/>
              <w:jc w:val="center"/>
              <w:rPr>
                <w:rFonts w:cs="Arial"/>
                <w:color w:val="000000"/>
                <w:sz w:val="16"/>
                <w:szCs w:val="16"/>
              </w:rPr>
            </w:pPr>
            <w:r>
              <w:rPr>
                <w:rFonts w:cs="Arial"/>
                <w:sz w:val="16"/>
                <w:szCs w:val="16"/>
              </w:rPr>
              <w:t>132,1</w:t>
            </w:r>
          </w:p>
        </w:tc>
        <w:tc>
          <w:tcPr>
            <w:tcW w:w="705" w:type="dxa"/>
            <w:tcBorders>
              <w:top w:val="nil"/>
              <w:left w:val="nil"/>
              <w:bottom w:val="nil"/>
              <w:right w:val="single" w:sz="4" w:space="0" w:color="auto"/>
            </w:tcBorders>
            <w:shd w:val="clear" w:color="auto" w:fill="auto"/>
            <w:vAlign w:val="center"/>
            <w:hideMark/>
          </w:tcPr>
          <w:p w14:paraId="3068D77A" w14:textId="119B1B77" w:rsidR="00987E13" w:rsidRPr="00D92E20" w:rsidRDefault="00987E13" w:rsidP="00987E13">
            <w:pPr>
              <w:spacing w:after="0" w:line="240" w:lineRule="auto"/>
              <w:jc w:val="center"/>
              <w:rPr>
                <w:rFonts w:cs="Arial"/>
                <w:color w:val="000000"/>
                <w:sz w:val="16"/>
                <w:szCs w:val="16"/>
              </w:rPr>
            </w:pPr>
            <w:r>
              <w:rPr>
                <w:rFonts w:cs="Arial"/>
                <w:sz w:val="16"/>
                <w:szCs w:val="16"/>
              </w:rPr>
              <w:t>148,9</w:t>
            </w:r>
          </w:p>
        </w:tc>
        <w:tc>
          <w:tcPr>
            <w:tcW w:w="707" w:type="dxa"/>
            <w:tcBorders>
              <w:top w:val="nil"/>
              <w:left w:val="nil"/>
              <w:bottom w:val="nil"/>
              <w:right w:val="nil"/>
            </w:tcBorders>
            <w:shd w:val="clear" w:color="auto" w:fill="auto"/>
            <w:vAlign w:val="center"/>
            <w:hideMark/>
          </w:tcPr>
          <w:p w14:paraId="411F3C56" w14:textId="7B65470C" w:rsidR="00987E13" w:rsidRPr="00D92E20" w:rsidRDefault="00987E13" w:rsidP="00987E13">
            <w:pPr>
              <w:spacing w:after="0" w:line="240" w:lineRule="auto"/>
              <w:jc w:val="center"/>
              <w:rPr>
                <w:rFonts w:cs="Arial"/>
                <w:color w:val="000000"/>
                <w:sz w:val="16"/>
                <w:szCs w:val="16"/>
              </w:rPr>
            </w:pPr>
            <w:r>
              <w:rPr>
                <w:rFonts w:cs="Arial"/>
                <w:sz w:val="16"/>
                <w:szCs w:val="16"/>
              </w:rPr>
              <w:t>249,8</w:t>
            </w:r>
          </w:p>
        </w:tc>
        <w:tc>
          <w:tcPr>
            <w:tcW w:w="704" w:type="dxa"/>
            <w:tcBorders>
              <w:top w:val="nil"/>
              <w:left w:val="nil"/>
              <w:bottom w:val="nil"/>
              <w:right w:val="nil"/>
            </w:tcBorders>
            <w:shd w:val="clear" w:color="auto" w:fill="auto"/>
            <w:vAlign w:val="center"/>
            <w:hideMark/>
          </w:tcPr>
          <w:p w14:paraId="665A80FD" w14:textId="4266E4E3" w:rsidR="00987E13" w:rsidRPr="00D92E20" w:rsidRDefault="00987E13" w:rsidP="00987E13">
            <w:pPr>
              <w:spacing w:after="0" w:line="240" w:lineRule="auto"/>
              <w:jc w:val="center"/>
              <w:rPr>
                <w:rFonts w:cs="Arial"/>
                <w:color w:val="000000"/>
                <w:sz w:val="16"/>
                <w:szCs w:val="16"/>
              </w:rPr>
            </w:pPr>
            <w:r>
              <w:rPr>
                <w:rFonts w:cs="Arial"/>
                <w:sz w:val="16"/>
                <w:szCs w:val="16"/>
              </w:rPr>
              <w:t>113,3</w:t>
            </w:r>
          </w:p>
        </w:tc>
        <w:tc>
          <w:tcPr>
            <w:tcW w:w="705" w:type="dxa"/>
            <w:tcBorders>
              <w:top w:val="nil"/>
              <w:left w:val="nil"/>
              <w:bottom w:val="nil"/>
              <w:right w:val="nil"/>
            </w:tcBorders>
            <w:shd w:val="clear" w:color="auto" w:fill="auto"/>
            <w:vAlign w:val="center"/>
            <w:hideMark/>
          </w:tcPr>
          <w:p w14:paraId="39134A45" w14:textId="22224F30" w:rsidR="00987E13" w:rsidRPr="00D92E20" w:rsidRDefault="00987E13" w:rsidP="00987E13">
            <w:pPr>
              <w:spacing w:after="0" w:line="240" w:lineRule="auto"/>
              <w:jc w:val="center"/>
              <w:rPr>
                <w:rFonts w:cs="Arial"/>
                <w:color w:val="000000"/>
                <w:sz w:val="16"/>
                <w:szCs w:val="16"/>
              </w:rPr>
            </w:pPr>
            <w:r>
              <w:rPr>
                <w:rFonts w:cs="Arial"/>
                <w:sz w:val="16"/>
                <w:szCs w:val="16"/>
              </w:rPr>
              <w:t>136,4</w:t>
            </w:r>
          </w:p>
        </w:tc>
        <w:tc>
          <w:tcPr>
            <w:tcW w:w="754" w:type="dxa"/>
            <w:tcBorders>
              <w:top w:val="nil"/>
              <w:left w:val="single" w:sz="4" w:space="0" w:color="auto"/>
              <w:bottom w:val="nil"/>
              <w:right w:val="nil"/>
            </w:tcBorders>
            <w:shd w:val="clear" w:color="auto" w:fill="auto"/>
            <w:vAlign w:val="center"/>
            <w:hideMark/>
          </w:tcPr>
          <w:p w14:paraId="3415032C" w14:textId="78B57E5B" w:rsidR="00987E13" w:rsidRPr="00D92E20" w:rsidRDefault="00987E13" w:rsidP="00987E13">
            <w:pPr>
              <w:spacing w:after="0" w:line="240" w:lineRule="auto"/>
              <w:jc w:val="center"/>
              <w:rPr>
                <w:rFonts w:cs="Arial"/>
                <w:color w:val="000000"/>
                <w:sz w:val="16"/>
                <w:szCs w:val="16"/>
              </w:rPr>
            </w:pPr>
            <w:r>
              <w:rPr>
                <w:rFonts w:cs="Arial"/>
                <w:sz w:val="16"/>
                <w:szCs w:val="16"/>
              </w:rPr>
              <w:t>7,4</w:t>
            </w:r>
          </w:p>
        </w:tc>
        <w:tc>
          <w:tcPr>
            <w:tcW w:w="709" w:type="dxa"/>
            <w:tcBorders>
              <w:top w:val="nil"/>
              <w:left w:val="nil"/>
              <w:bottom w:val="nil"/>
              <w:right w:val="nil"/>
            </w:tcBorders>
            <w:shd w:val="clear" w:color="auto" w:fill="auto"/>
            <w:vAlign w:val="center"/>
            <w:hideMark/>
          </w:tcPr>
          <w:p w14:paraId="25277B1D" w14:textId="2B79A3BF" w:rsidR="00987E13" w:rsidRPr="00D92E20" w:rsidRDefault="00987E13" w:rsidP="00987E13">
            <w:pPr>
              <w:spacing w:after="0" w:line="240" w:lineRule="auto"/>
              <w:jc w:val="center"/>
              <w:rPr>
                <w:rFonts w:cs="Arial"/>
                <w:color w:val="000000"/>
                <w:sz w:val="16"/>
                <w:szCs w:val="16"/>
              </w:rPr>
            </w:pPr>
            <w:r>
              <w:rPr>
                <w:rFonts w:cs="Arial"/>
                <w:sz w:val="16"/>
                <w:szCs w:val="16"/>
              </w:rPr>
              <w:t>5,1</w:t>
            </w:r>
          </w:p>
        </w:tc>
        <w:tc>
          <w:tcPr>
            <w:tcW w:w="709" w:type="dxa"/>
            <w:tcBorders>
              <w:top w:val="nil"/>
              <w:left w:val="nil"/>
              <w:bottom w:val="nil"/>
              <w:right w:val="single" w:sz="4" w:space="0" w:color="auto"/>
            </w:tcBorders>
            <w:shd w:val="clear" w:color="auto" w:fill="auto"/>
            <w:vAlign w:val="center"/>
            <w:hideMark/>
          </w:tcPr>
          <w:p w14:paraId="76AACFFD" w14:textId="2DB81576" w:rsidR="00987E13" w:rsidRPr="00D92E20" w:rsidRDefault="00987E13" w:rsidP="00987E13">
            <w:pPr>
              <w:spacing w:after="0" w:line="240" w:lineRule="auto"/>
              <w:jc w:val="center"/>
              <w:rPr>
                <w:rFonts w:cs="Arial"/>
                <w:color w:val="000000"/>
                <w:sz w:val="16"/>
                <w:szCs w:val="16"/>
              </w:rPr>
            </w:pPr>
            <w:r>
              <w:rPr>
                <w:rFonts w:cs="Arial"/>
                <w:sz w:val="16"/>
                <w:szCs w:val="16"/>
              </w:rPr>
              <w:t>2,3</w:t>
            </w:r>
          </w:p>
        </w:tc>
        <w:tc>
          <w:tcPr>
            <w:tcW w:w="709" w:type="dxa"/>
            <w:tcBorders>
              <w:top w:val="nil"/>
              <w:left w:val="nil"/>
              <w:bottom w:val="nil"/>
              <w:right w:val="nil"/>
            </w:tcBorders>
            <w:shd w:val="clear" w:color="auto" w:fill="auto"/>
            <w:vAlign w:val="center"/>
            <w:hideMark/>
          </w:tcPr>
          <w:p w14:paraId="11FA0F8E" w14:textId="71234858" w:rsidR="00987E13" w:rsidRPr="00D92E20" w:rsidRDefault="00987E13" w:rsidP="00987E13">
            <w:pPr>
              <w:spacing w:after="0" w:line="240" w:lineRule="auto"/>
              <w:jc w:val="center"/>
              <w:rPr>
                <w:rFonts w:cs="Arial"/>
                <w:color w:val="000000"/>
                <w:sz w:val="16"/>
                <w:szCs w:val="16"/>
              </w:rPr>
            </w:pPr>
            <w:r>
              <w:rPr>
                <w:rFonts w:cs="Arial"/>
                <w:sz w:val="16"/>
                <w:szCs w:val="16"/>
              </w:rPr>
              <w:t>23,8</w:t>
            </w:r>
          </w:p>
        </w:tc>
        <w:tc>
          <w:tcPr>
            <w:tcW w:w="709" w:type="dxa"/>
            <w:tcBorders>
              <w:top w:val="nil"/>
              <w:left w:val="nil"/>
              <w:bottom w:val="nil"/>
              <w:right w:val="nil"/>
            </w:tcBorders>
            <w:shd w:val="clear" w:color="auto" w:fill="auto"/>
            <w:vAlign w:val="center"/>
            <w:hideMark/>
          </w:tcPr>
          <w:p w14:paraId="41336AC4" w14:textId="6C6D85F1" w:rsidR="00987E13" w:rsidRPr="00D92E20" w:rsidRDefault="00987E13" w:rsidP="00987E13">
            <w:pPr>
              <w:spacing w:after="0" w:line="240" w:lineRule="auto"/>
              <w:jc w:val="center"/>
              <w:rPr>
                <w:rFonts w:cs="Arial"/>
                <w:color w:val="000000"/>
                <w:sz w:val="16"/>
                <w:szCs w:val="16"/>
              </w:rPr>
            </w:pPr>
            <w:r>
              <w:rPr>
                <w:rFonts w:cs="Arial"/>
                <w:sz w:val="16"/>
                <w:szCs w:val="16"/>
              </w:rPr>
              <w:t>13,7</w:t>
            </w:r>
          </w:p>
        </w:tc>
        <w:tc>
          <w:tcPr>
            <w:tcW w:w="709" w:type="dxa"/>
            <w:tcBorders>
              <w:top w:val="nil"/>
              <w:left w:val="nil"/>
              <w:bottom w:val="nil"/>
              <w:right w:val="nil"/>
            </w:tcBorders>
            <w:shd w:val="clear" w:color="auto" w:fill="auto"/>
            <w:vAlign w:val="center"/>
            <w:hideMark/>
          </w:tcPr>
          <w:p w14:paraId="6C93B32C" w14:textId="7A2DE585" w:rsidR="00987E13" w:rsidRPr="00D92E20" w:rsidRDefault="00987E13" w:rsidP="00987E13">
            <w:pPr>
              <w:spacing w:after="0" w:line="240" w:lineRule="auto"/>
              <w:jc w:val="center"/>
              <w:rPr>
                <w:rFonts w:cs="Arial"/>
                <w:color w:val="000000"/>
                <w:sz w:val="16"/>
                <w:szCs w:val="16"/>
              </w:rPr>
            </w:pPr>
            <w:r>
              <w:rPr>
                <w:rFonts w:cs="Arial"/>
                <w:sz w:val="16"/>
                <w:szCs w:val="16"/>
              </w:rPr>
              <w:t>10,2</w:t>
            </w:r>
          </w:p>
        </w:tc>
      </w:tr>
      <w:tr w:rsidR="00987E13" w:rsidRPr="00D92E20" w14:paraId="09337FA5" w14:textId="77777777" w:rsidTr="00350B58">
        <w:trPr>
          <w:trHeight w:val="296"/>
        </w:trPr>
        <w:tc>
          <w:tcPr>
            <w:tcW w:w="1009" w:type="dxa"/>
            <w:tcBorders>
              <w:top w:val="nil"/>
              <w:left w:val="nil"/>
              <w:bottom w:val="nil"/>
              <w:right w:val="single" w:sz="4" w:space="0" w:color="auto"/>
            </w:tcBorders>
            <w:shd w:val="clear" w:color="auto" w:fill="auto"/>
            <w:vAlign w:val="center"/>
            <w:hideMark/>
          </w:tcPr>
          <w:p w14:paraId="303D1911" w14:textId="012F498D" w:rsidR="00987E13" w:rsidRPr="00D92E20" w:rsidRDefault="00987E13" w:rsidP="00987E13">
            <w:pPr>
              <w:spacing w:after="0" w:line="240" w:lineRule="auto"/>
              <w:jc w:val="center"/>
              <w:rPr>
                <w:rFonts w:cs="Arial"/>
                <w:color w:val="000000"/>
                <w:sz w:val="16"/>
                <w:szCs w:val="16"/>
              </w:rPr>
            </w:pPr>
            <w:r>
              <w:rPr>
                <w:rFonts w:cs="Arial"/>
                <w:sz w:val="16"/>
                <w:szCs w:val="16"/>
              </w:rPr>
              <w:t>1. pol. 2022</w:t>
            </w:r>
          </w:p>
        </w:tc>
        <w:tc>
          <w:tcPr>
            <w:tcW w:w="710" w:type="dxa"/>
            <w:tcBorders>
              <w:top w:val="nil"/>
              <w:left w:val="nil"/>
              <w:bottom w:val="nil"/>
              <w:right w:val="nil"/>
            </w:tcBorders>
            <w:shd w:val="clear" w:color="auto" w:fill="auto"/>
            <w:vAlign w:val="center"/>
            <w:hideMark/>
          </w:tcPr>
          <w:p w14:paraId="32F77579" w14:textId="4B6788C2" w:rsidR="00987E13" w:rsidRPr="00D92E20" w:rsidRDefault="00987E13" w:rsidP="00987E13">
            <w:pPr>
              <w:spacing w:after="0" w:line="240" w:lineRule="auto"/>
              <w:jc w:val="center"/>
              <w:rPr>
                <w:rFonts w:cs="Arial"/>
                <w:color w:val="000000"/>
                <w:sz w:val="16"/>
                <w:szCs w:val="16"/>
              </w:rPr>
            </w:pPr>
            <w:r>
              <w:rPr>
                <w:rFonts w:cs="Arial"/>
                <w:sz w:val="16"/>
                <w:szCs w:val="16"/>
              </w:rPr>
              <w:t>278,4</w:t>
            </w:r>
          </w:p>
        </w:tc>
        <w:tc>
          <w:tcPr>
            <w:tcW w:w="703" w:type="dxa"/>
            <w:tcBorders>
              <w:top w:val="nil"/>
              <w:left w:val="nil"/>
              <w:bottom w:val="nil"/>
              <w:right w:val="nil"/>
            </w:tcBorders>
            <w:shd w:val="clear" w:color="auto" w:fill="auto"/>
            <w:vAlign w:val="center"/>
            <w:hideMark/>
          </w:tcPr>
          <w:p w14:paraId="5A6263B2" w14:textId="4F4B1AC5" w:rsidR="00987E13" w:rsidRPr="00D92E20" w:rsidRDefault="00987E13" w:rsidP="00987E13">
            <w:pPr>
              <w:spacing w:after="0" w:line="240" w:lineRule="auto"/>
              <w:jc w:val="center"/>
              <w:rPr>
                <w:rFonts w:cs="Arial"/>
                <w:color w:val="000000"/>
                <w:sz w:val="16"/>
                <w:szCs w:val="16"/>
              </w:rPr>
            </w:pPr>
            <w:r>
              <w:rPr>
                <w:rFonts w:cs="Arial"/>
                <w:sz w:val="16"/>
                <w:szCs w:val="16"/>
              </w:rPr>
              <w:t>126,2</w:t>
            </w:r>
          </w:p>
        </w:tc>
        <w:tc>
          <w:tcPr>
            <w:tcW w:w="705" w:type="dxa"/>
            <w:tcBorders>
              <w:top w:val="nil"/>
              <w:left w:val="nil"/>
              <w:bottom w:val="nil"/>
              <w:right w:val="single" w:sz="4" w:space="0" w:color="auto"/>
            </w:tcBorders>
            <w:shd w:val="clear" w:color="auto" w:fill="auto"/>
            <w:vAlign w:val="center"/>
            <w:hideMark/>
          </w:tcPr>
          <w:p w14:paraId="0B977B1C" w14:textId="5DEC92A4" w:rsidR="00987E13" w:rsidRPr="00D92E20" w:rsidRDefault="00987E13" w:rsidP="00987E13">
            <w:pPr>
              <w:spacing w:after="0" w:line="240" w:lineRule="auto"/>
              <w:jc w:val="center"/>
              <w:rPr>
                <w:rFonts w:cs="Arial"/>
                <w:color w:val="000000"/>
                <w:sz w:val="16"/>
                <w:szCs w:val="16"/>
              </w:rPr>
            </w:pPr>
            <w:r>
              <w:rPr>
                <w:rFonts w:cs="Arial"/>
                <w:sz w:val="16"/>
                <w:szCs w:val="16"/>
              </w:rPr>
              <w:t>152,2</w:t>
            </w:r>
          </w:p>
        </w:tc>
        <w:tc>
          <w:tcPr>
            <w:tcW w:w="707" w:type="dxa"/>
            <w:tcBorders>
              <w:top w:val="nil"/>
              <w:left w:val="nil"/>
              <w:bottom w:val="nil"/>
              <w:right w:val="nil"/>
            </w:tcBorders>
            <w:shd w:val="clear" w:color="auto" w:fill="auto"/>
            <w:vAlign w:val="center"/>
            <w:hideMark/>
          </w:tcPr>
          <w:p w14:paraId="4D5A93AC" w14:textId="5D34F578" w:rsidR="00987E13" w:rsidRPr="00D92E20" w:rsidRDefault="00987E13" w:rsidP="00987E13">
            <w:pPr>
              <w:spacing w:after="0" w:line="240" w:lineRule="auto"/>
              <w:jc w:val="center"/>
              <w:rPr>
                <w:rFonts w:cs="Arial"/>
                <w:color w:val="000000"/>
                <w:sz w:val="16"/>
                <w:szCs w:val="16"/>
              </w:rPr>
            </w:pPr>
            <w:r>
              <w:rPr>
                <w:rFonts w:cs="Arial"/>
                <w:sz w:val="16"/>
                <w:szCs w:val="16"/>
              </w:rPr>
              <w:t>245,2</w:t>
            </w:r>
          </w:p>
        </w:tc>
        <w:tc>
          <w:tcPr>
            <w:tcW w:w="704" w:type="dxa"/>
            <w:tcBorders>
              <w:top w:val="nil"/>
              <w:left w:val="nil"/>
              <w:bottom w:val="nil"/>
              <w:right w:val="nil"/>
            </w:tcBorders>
            <w:shd w:val="clear" w:color="auto" w:fill="auto"/>
            <w:vAlign w:val="center"/>
            <w:hideMark/>
          </w:tcPr>
          <w:p w14:paraId="26E017A9" w14:textId="1D63DAFA" w:rsidR="00987E13" w:rsidRPr="00D92E20" w:rsidRDefault="00987E13" w:rsidP="00987E13">
            <w:pPr>
              <w:spacing w:after="0" w:line="240" w:lineRule="auto"/>
              <w:jc w:val="center"/>
              <w:rPr>
                <w:rFonts w:cs="Arial"/>
                <w:color w:val="000000"/>
                <w:sz w:val="16"/>
                <w:szCs w:val="16"/>
              </w:rPr>
            </w:pPr>
            <w:r>
              <w:rPr>
                <w:rFonts w:cs="Arial"/>
                <w:sz w:val="16"/>
                <w:szCs w:val="16"/>
              </w:rPr>
              <w:t>106,3</w:t>
            </w:r>
          </w:p>
        </w:tc>
        <w:tc>
          <w:tcPr>
            <w:tcW w:w="705" w:type="dxa"/>
            <w:tcBorders>
              <w:top w:val="nil"/>
              <w:left w:val="nil"/>
              <w:bottom w:val="nil"/>
              <w:right w:val="nil"/>
            </w:tcBorders>
            <w:shd w:val="clear" w:color="auto" w:fill="auto"/>
            <w:vAlign w:val="center"/>
            <w:hideMark/>
          </w:tcPr>
          <w:p w14:paraId="7DF870A1" w14:textId="64E1E7DC" w:rsidR="00987E13" w:rsidRPr="00D92E20" w:rsidRDefault="00987E13" w:rsidP="00987E13">
            <w:pPr>
              <w:spacing w:after="0" w:line="240" w:lineRule="auto"/>
              <w:jc w:val="center"/>
              <w:rPr>
                <w:rFonts w:cs="Arial"/>
                <w:color w:val="000000"/>
                <w:sz w:val="16"/>
                <w:szCs w:val="16"/>
              </w:rPr>
            </w:pPr>
            <w:r>
              <w:rPr>
                <w:rFonts w:cs="Arial"/>
                <w:sz w:val="16"/>
                <w:szCs w:val="16"/>
              </w:rPr>
              <w:t>138,8</w:t>
            </w:r>
          </w:p>
        </w:tc>
        <w:tc>
          <w:tcPr>
            <w:tcW w:w="754" w:type="dxa"/>
            <w:tcBorders>
              <w:top w:val="nil"/>
              <w:left w:val="single" w:sz="4" w:space="0" w:color="auto"/>
              <w:bottom w:val="nil"/>
              <w:right w:val="nil"/>
            </w:tcBorders>
            <w:shd w:val="clear" w:color="auto" w:fill="auto"/>
            <w:vAlign w:val="center"/>
            <w:hideMark/>
          </w:tcPr>
          <w:p w14:paraId="3F05C035" w14:textId="1F6D831D" w:rsidR="00987E13" w:rsidRPr="00D92E20" w:rsidRDefault="00987E13" w:rsidP="00987E13">
            <w:pPr>
              <w:spacing w:after="0" w:line="240" w:lineRule="auto"/>
              <w:jc w:val="center"/>
              <w:rPr>
                <w:rFonts w:cs="Arial"/>
                <w:color w:val="000000"/>
                <w:sz w:val="16"/>
                <w:szCs w:val="16"/>
              </w:rPr>
            </w:pPr>
            <w:r>
              <w:rPr>
                <w:rFonts w:cs="Arial"/>
                <w:sz w:val="16"/>
                <w:szCs w:val="16"/>
              </w:rPr>
              <w:t>7,2</w:t>
            </w:r>
          </w:p>
        </w:tc>
        <w:tc>
          <w:tcPr>
            <w:tcW w:w="709" w:type="dxa"/>
            <w:tcBorders>
              <w:top w:val="nil"/>
              <w:left w:val="nil"/>
              <w:bottom w:val="nil"/>
              <w:right w:val="nil"/>
            </w:tcBorders>
            <w:shd w:val="clear" w:color="auto" w:fill="auto"/>
            <w:vAlign w:val="center"/>
            <w:hideMark/>
          </w:tcPr>
          <w:p w14:paraId="5AAB847F" w14:textId="40C141D3" w:rsidR="00987E13" w:rsidRPr="00D92E20" w:rsidRDefault="00987E13" w:rsidP="00987E13">
            <w:pPr>
              <w:spacing w:after="0" w:line="240" w:lineRule="auto"/>
              <w:jc w:val="center"/>
              <w:rPr>
                <w:rFonts w:cs="Arial"/>
                <w:color w:val="000000"/>
                <w:sz w:val="16"/>
                <w:szCs w:val="16"/>
              </w:rPr>
            </w:pPr>
            <w:r>
              <w:rPr>
                <w:rFonts w:cs="Arial"/>
                <w:sz w:val="16"/>
                <w:szCs w:val="16"/>
              </w:rPr>
              <w:t>4,8</w:t>
            </w:r>
          </w:p>
        </w:tc>
        <w:tc>
          <w:tcPr>
            <w:tcW w:w="709" w:type="dxa"/>
            <w:tcBorders>
              <w:top w:val="nil"/>
              <w:left w:val="nil"/>
              <w:bottom w:val="nil"/>
              <w:right w:val="single" w:sz="4" w:space="0" w:color="auto"/>
            </w:tcBorders>
            <w:shd w:val="clear" w:color="auto" w:fill="auto"/>
            <w:vAlign w:val="center"/>
            <w:hideMark/>
          </w:tcPr>
          <w:p w14:paraId="0106F4C7" w14:textId="17071D80" w:rsidR="00987E13" w:rsidRPr="00D92E20" w:rsidRDefault="00987E13" w:rsidP="00987E13">
            <w:pPr>
              <w:spacing w:after="0" w:line="240" w:lineRule="auto"/>
              <w:jc w:val="center"/>
              <w:rPr>
                <w:rFonts w:cs="Arial"/>
                <w:color w:val="000000"/>
                <w:sz w:val="16"/>
                <w:szCs w:val="16"/>
              </w:rPr>
            </w:pPr>
            <w:r>
              <w:rPr>
                <w:rFonts w:cs="Arial"/>
                <w:sz w:val="16"/>
                <w:szCs w:val="16"/>
              </w:rPr>
              <w:t>2,3</w:t>
            </w:r>
          </w:p>
        </w:tc>
        <w:tc>
          <w:tcPr>
            <w:tcW w:w="709" w:type="dxa"/>
            <w:tcBorders>
              <w:top w:val="nil"/>
              <w:left w:val="nil"/>
              <w:bottom w:val="nil"/>
              <w:right w:val="nil"/>
            </w:tcBorders>
            <w:shd w:val="clear" w:color="auto" w:fill="auto"/>
            <w:vAlign w:val="center"/>
            <w:hideMark/>
          </w:tcPr>
          <w:p w14:paraId="02E91458" w14:textId="2C1728DE" w:rsidR="00987E13" w:rsidRPr="00D92E20" w:rsidRDefault="00987E13" w:rsidP="00987E13">
            <w:pPr>
              <w:spacing w:after="0" w:line="240" w:lineRule="auto"/>
              <w:jc w:val="center"/>
              <w:rPr>
                <w:rFonts w:cs="Arial"/>
                <w:color w:val="000000"/>
                <w:sz w:val="16"/>
                <w:szCs w:val="16"/>
              </w:rPr>
            </w:pPr>
            <w:r>
              <w:rPr>
                <w:rFonts w:cs="Arial"/>
                <w:sz w:val="16"/>
                <w:szCs w:val="16"/>
              </w:rPr>
              <w:t>26,0</w:t>
            </w:r>
          </w:p>
        </w:tc>
        <w:tc>
          <w:tcPr>
            <w:tcW w:w="709" w:type="dxa"/>
            <w:tcBorders>
              <w:top w:val="nil"/>
              <w:left w:val="nil"/>
              <w:bottom w:val="nil"/>
              <w:right w:val="nil"/>
            </w:tcBorders>
            <w:shd w:val="clear" w:color="auto" w:fill="auto"/>
            <w:vAlign w:val="center"/>
            <w:hideMark/>
          </w:tcPr>
          <w:p w14:paraId="42BE213A" w14:textId="62611733" w:rsidR="00987E13" w:rsidRPr="00D92E20" w:rsidRDefault="00987E13" w:rsidP="00987E13">
            <w:pPr>
              <w:spacing w:after="0" w:line="240" w:lineRule="auto"/>
              <w:jc w:val="center"/>
              <w:rPr>
                <w:rFonts w:cs="Arial"/>
                <w:color w:val="000000"/>
                <w:sz w:val="16"/>
                <w:szCs w:val="16"/>
              </w:rPr>
            </w:pPr>
            <w:r>
              <w:rPr>
                <w:rFonts w:cs="Arial"/>
                <w:sz w:val="16"/>
                <w:szCs w:val="16"/>
              </w:rPr>
              <w:t>15,0</w:t>
            </w:r>
          </w:p>
        </w:tc>
        <w:tc>
          <w:tcPr>
            <w:tcW w:w="709" w:type="dxa"/>
            <w:tcBorders>
              <w:top w:val="nil"/>
              <w:left w:val="nil"/>
              <w:bottom w:val="nil"/>
              <w:right w:val="nil"/>
            </w:tcBorders>
            <w:shd w:val="clear" w:color="auto" w:fill="auto"/>
            <w:vAlign w:val="center"/>
            <w:hideMark/>
          </w:tcPr>
          <w:p w14:paraId="130D8852" w14:textId="15DD8A21" w:rsidR="00987E13" w:rsidRPr="00D92E20" w:rsidRDefault="00987E13" w:rsidP="00987E13">
            <w:pPr>
              <w:spacing w:after="0" w:line="240" w:lineRule="auto"/>
              <w:jc w:val="center"/>
              <w:rPr>
                <w:rFonts w:cs="Arial"/>
                <w:color w:val="000000"/>
                <w:sz w:val="16"/>
                <w:szCs w:val="16"/>
              </w:rPr>
            </w:pPr>
            <w:r>
              <w:rPr>
                <w:rFonts w:cs="Arial"/>
                <w:sz w:val="16"/>
                <w:szCs w:val="16"/>
              </w:rPr>
              <w:t>11,0</w:t>
            </w:r>
          </w:p>
        </w:tc>
      </w:tr>
    </w:tbl>
    <w:p w14:paraId="17B485DB" w14:textId="3D3E827A" w:rsidR="00537BCC" w:rsidRDefault="00537BCC" w:rsidP="00000A90">
      <w:pPr>
        <w:spacing w:before="60" w:after="120"/>
        <w:rPr>
          <w:sz w:val="16"/>
        </w:rPr>
      </w:pPr>
      <w:r w:rsidRPr="00D92E20">
        <w:rPr>
          <w:sz w:val="16"/>
        </w:rPr>
        <w:t>Zdroj: ČSÚ</w:t>
      </w:r>
    </w:p>
    <w:p w14:paraId="22206647" w14:textId="7BBC5F6C" w:rsidR="00CD63E8" w:rsidRPr="00D92E20" w:rsidRDefault="00CD63E8" w:rsidP="00CD63E8">
      <w:pPr>
        <w:spacing w:before="120" w:after="120"/>
        <w:jc w:val="both"/>
        <w:rPr>
          <w:sz w:val="16"/>
        </w:rPr>
      </w:pPr>
      <w:r w:rsidRPr="00987E13">
        <w:rPr>
          <w:rFonts w:cs="Arial"/>
          <w:color w:val="000000"/>
          <w:szCs w:val="16"/>
        </w:rPr>
        <w:t>Pro nemoc bylo v 1. pol. 202</w:t>
      </w:r>
      <w:r w:rsidR="00987E13" w:rsidRPr="00987E13">
        <w:rPr>
          <w:rFonts w:cs="Arial"/>
          <w:color w:val="000000"/>
          <w:szCs w:val="16"/>
        </w:rPr>
        <w:t>2</w:t>
      </w:r>
      <w:r w:rsidRPr="00987E13">
        <w:rPr>
          <w:rFonts w:cs="Arial"/>
          <w:color w:val="000000"/>
          <w:szCs w:val="16"/>
        </w:rPr>
        <w:t xml:space="preserve"> průměrně denně v neschopnosti 24</w:t>
      </w:r>
      <w:r w:rsidR="00987E13" w:rsidRPr="00987E13">
        <w:rPr>
          <w:rFonts w:cs="Arial"/>
          <w:color w:val="000000"/>
          <w:szCs w:val="16"/>
        </w:rPr>
        <w:t>5 169</w:t>
      </w:r>
      <w:r w:rsidRPr="00987E13">
        <w:rPr>
          <w:rFonts w:cs="Arial"/>
          <w:color w:val="000000"/>
          <w:szCs w:val="16"/>
        </w:rPr>
        <w:t xml:space="preserve"> pojištěnců, v důsledku pracovního úrazu </w:t>
      </w:r>
      <w:r w:rsidR="00987E13" w:rsidRPr="00987E13">
        <w:rPr>
          <w:rFonts w:cs="Arial"/>
          <w:color w:val="000000"/>
          <w:szCs w:val="16"/>
        </w:rPr>
        <w:t>7 185</w:t>
      </w:r>
      <w:r w:rsidRPr="00987E13">
        <w:rPr>
          <w:rFonts w:cs="Arial"/>
          <w:color w:val="000000"/>
          <w:szCs w:val="16"/>
        </w:rPr>
        <w:t xml:space="preserve"> osob a následkem ostatních úrazů </w:t>
      </w:r>
      <w:r w:rsidR="00987E13" w:rsidRPr="00987E13">
        <w:rPr>
          <w:rFonts w:cs="Arial"/>
          <w:color w:val="000000"/>
          <w:szCs w:val="16"/>
        </w:rPr>
        <w:t>26 027</w:t>
      </w:r>
      <w:r w:rsidRPr="00987E13">
        <w:rPr>
          <w:rFonts w:cs="Arial"/>
          <w:color w:val="000000"/>
          <w:szCs w:val="16"/>
        </w:rPr>
        <w:t xml:space="preserve"> nemocensky pojištěných. Ve Zpracovatelském průmyslu chybělo denně pro pracovní neschopnost 9</w:t>
      </w:r>
      <w:r w:rsidR="00987E13" w:rsidRPr="00987E13">
        <w:rPr>
          <w:rFonts w:cs="Arial"/>
          <w:color w:val="000000"/>
          <w:szCs w:val="16"/>
        </w:rPr>
        <w:t>1</w:t>
      </w:r>
      <w:r w:rsidRPr="00987E13">
        <w:rPr>
          <w:rFonts w:cs="Arial"/>
          <w:color w:val="000000"/>
          <w:szCs w:val="16"/>
        </w:rPr>
        <w:t> tis. pojištěnců, v odvětví Velkoobchod a maloobchod, opravy a údržba motorových vozidel 39 tis. osob. Tyto hodnoty jsou značně ovlivněné velikostí odvětví.</w:t>
      </w:r>
    </w:p>
    <w:p w14:paraId="037FDCC8" w14:textId="77777777" w:rsidR="002F607D" w:rsidRPr="00D92E20" w:rsidRDefault="002F607D" w:rsidP="005A63A4">
      <w:pPr>
        <w:pStyle w:val="Nadpis3"/>
        <w:numPr>
          <w:ilvl w:val="1"/>
          <w:numId w:val="5"/>
        </w:numPr>
        <w:spacing w:after="120"/>
        <w:ind w:left="425" w:hanging="425"/>
      </w:pPr>
      <w:bookmarkStart w:id="22" w:name="_Toc54262803"/>
      <w:bookmarkStart w:id="23" w:name="_Toc117774431"/>
      <w:r w:rsidRPr="00D92E20">
        <w:lastRenderedPageBreak/>
        <w:t>Ukončené případy dočasné pracovní neschopnosti</w:t>
      </w:r>
      <w:bookmarkEnd w:id="22"/>
      <w:bookmarkEnd w:id="23"/>
    </w:p>
    <w:p w14:paraId="5B459D4D" w14:textId="77777777" w:rsidR="002F607D" w:rsidRPr="00D92E20" w:rsidRDefault="002F607D" w:rsidP="00000A90">
      <w:pPr>
        <w:spacing w:before="120" w:after="120"/>
        <w:jc w:val="both"/>
      </w:pPr>
      <w:r w:rsidRPr="00D92E20">
        <w:t xml:space="preserve">Zatímco doposud se analýza týkala nově hlášených případů dočasné pracovní neschopnosti (kapitola 4.2), </w:t>
      </w:r>
      <w:r w:rsidR="00C24683" w:rsidRPr="00D92E20">
        <w:t>které</w:t>
      </w:r>
      <w:r w:rsidRPr="00D92E20">
        <w:t xml:space="preserve"> ČSÚ </w:t>
      </w:r>
      <w:r w:rsidR="00C24683" w:rsidRPr="00D92E20">
        <w:t xml:space="preserve">zpracovává </w:t>
      </w:r>
      <w:r w:rsidRPr="00D92E20">
        <w:t xml:space="preserve">z evidence ČSSZ, jiný pohled nabízí data o </w:t>
      </w:r>
      <w:r w:rsidRPr="00D92E20">
        <w:rPr>
          <w:b/>
        </w:rPr>
        <w:t>ukončených případech pracovní neschopnosti</w:t>
      </w:r>
      <w:r w:rsidRPr="00D92E20">
        <w:t xml:space="preserve"> přímo publikovaná ČSSZ. Rozdíly v počtech nově hlášených a ukončených případů dočasné pracovní neschopnosti jsou dány odlišnou metodikou sběru dat. Trendy vývoje těchto ukazatelů jsou však konzistentní.</w:t>
      </w:r>
    </w:p>
    <w:p w14:paraId="18B0791A" w14:textId="6F7D69F6" w:rsidR="002F607D" w:rsidRPr="00D92E20" w:rsidRDefault="002F607D" w:rsidP="00000A90">
      <w:pPr>
        <w:spacing w:before="120" w:after="120"/>
        <w:jc w:val="both"/>
      </w:pPr>
      <w:r w:rsidRPr="00D92E20">
        <w:t xml:space="preserve">Na rozdíl od statistik nově hlášených případů, ČSSZ publikuje údaje z hlediska </w:t>
      </w:r>
      <w:r w:rsidRPr="00D92E20">
        <w:rPr>
          <w:b/>
        </w:rPr>
        <w:t>případů ukončených ve</w:t>
      </w:r>
      <w:r w:rsidR="00CD63E8">
        <w:rPr>
          <w:b/>
        </w:rPr>
        <w:t> </w:t>
      </w:r>
      <w:r w:rsidRPr="00D92E20">
        <w:rPr>
          <w:b/>
        </w:rPr>
        <w:t>sledovaném roce</w:t>
      </w:r>
      <w:r w:rsidRPr="00D92E20">
        <w:t xml:space="preserve">. Případy vzniklé na konci roku přesahující do roku dalšího jsou evidovány až ve zpracování dat roku následujícího. Pro </w:t>
      </w:r>
      <w:r w:rsidR="00C24683" w:rsidRPr="00D92E20">
        <w:t>dokreslení</w:t>
      </w:r>
      <w:r w:rsidRPr="00D92E20">
        <w:t xml:space="preserve"> pohledu na statistiku nemocnosti byla vybraná data z tohoto zdroje využita v této kapitole. Data o ukončených případech jsou k dispozici v třídění z pohledu pojištěnce, nikoliv zaměstnavatele, jak </w:t>
      </w:r>
      <w:r w:rsidR="00C7753B" w:rsidRPr="00D92E20">
        <w:t xml:space="preserve">tomu </w:t>
      </w:r>
      <w:r w:rsidRPr="00D92E20">
        <w:t xml:space="preserve">bylo </w:t>
      </w:r>
      <w:r w:rsidR="00795664">
        <w:t>u nově hlášených případů</w:t>
      </w:r>
      <w:r w:rsidR="00C7753B" w:rsidRPr="00D92E20">
        <w:t>.</w:t>
      </w:r>
      <w:r w:rsidRPr="00D92E20">
        <w:t xml:space="preserve"> ČSSZ třídí data např. podle věku dočasně práce neschopných, </w:t>
      </w:r>
      <w:r w:rsidR="00CA3130" w:rsidRPr="00D92E20">
        <w:t>krajů</w:t>
      </w:r>
      <w:r w:rsidRPr="00D92E20">
        <w:t xml:space="preserve"> či skupin diagnóz.</w:t>
      </w:r>
    </w:p>
    <w:p w14:paraId="4522A406" w14:textId="027D66E4" w:rsidR="002F607D" w:rsidRPr="00D92E20" w:rsidRDefault="002F607D" w:rsidP="00000A90">
      <w:pPr>
        <w:pStyle w:val="Box1"/>
        <w:spacing w:before="120" w:after="120"/>
        <w:ind w:left="0"/>
        <w:contextualSpacing w:val="0"/>
        <w:jc w:val="both"/>
        <w:rPr>
          <w:i/>
        </w:rPr>
      </w:pPr>
      <w:r w:rsidRPr="00D92E20">
        <w:rPr>
          <w:b/>
          <w:i/>
        </w:rPr>
        <w:t xml:space="preserve">Ukončené případy pracovní neschopnosti </w:t>
      </w:r>
      <w:r w:rsidRPr="00D92E20">
        <w:rPr>
          <w:i/>
        </w:rPr>
        <w:t>– zahrnují veškerá onemocnění a úrazy, které zapříčinily alespoň jednodenní pracovní neschopnost u nemocensky pojištěných osob ukončenou v daném roce</w:t>
      </w:r>
      <w:r w:rsidR="00E863E8">
        <w:rPr>
          <w:i/>
        </w:rPr>
        <w:t>, resp. stav k určitému datu</w:t>
      </w:r>
      <w:r w:rsidRPr="00D92E20">
        <w:rPr>
          <w:i/>
        </w:rPr>
        <w:t>. Nezahrnuje tedy onemocnění a úrazy, u nichž pracovní neschopnost přesahovala do dalšího roku</w:t>
      </w:r>
      <w:r w:rsidR="00E863E8">
        <w:rPr>
          <w:i/>
        </w:rPr>
        <w:t>/období</w:t>
      </w:r>
      <w:r w:rsidRPr="00D92E20">
        <w:rPr>
          <w:i/>
        </w:rPr>
        <w:t>, ani ty případy, kdy nebylo vystaveno „Rozhodnutí o dočasné pracovní neschopnosti“.</w:t>
      </w:r>
      <w:r w:rsidR="00E863E8">
        <w:rPr>
          <w:i/>
        </w:rPr>
        <w:t xml:space="preserve"> Při zpracování pololetních dat se jedná o stav k 30. 6.</w:t>
      </w:r>
    </w:p>
    <w:p w14:paraId="5CFB6241" w14:textId="7B124031" w:rsidR="00B9122C" w:rsidRPr="00D92E20" w:rsidRDefault="00B9122C" w:rsidP="00000A90">
      <w:pPr>
        <w:spacing w:before="120" w:after="120"/>
        <w:jc w:val="both"/>
      </w:pPr>
      <w:r w:rsidRPr="00D92E20">
        <w:t xml:space="preserve">ČSSZ za </w:t>
      </w:r>
      <w:r w:rsidR="00E863E8">
        <w:t>1. pol. 202</w:t>
      </w:r>
      <w:r w:rsidR="00E57135">
        <w:t>2</w:t>
      </w:r>
      <w:r w:rsidRPr="00D92E20">
        <w:t xml:space="preserve"> evidovala </w:t>
      </w:r>
      <w:r w:rsidR="00E57135">
        <w:t>2 082</w:t>
      </w:r>
      <w:r w:rsidR="00646128">
        <w:t xml:space="preserve"> tis. </w:t>
      </w:r>
      <w:r w:rsidRPr="00D92E20">
        <w:t>ukončených případů dočasné pracovní neschopnosti, což je o </w:t>
      </w:r>
      <w:r w:rsidR="00E57135">
        <w:t>46</w:t>
      </w:r>
      <w:r w:rsidR="00646128">
        <w:t xml:space="preserve"> %</w:t>
      </w:r>
      <w:r w:rsidRPr="00D92E20">
        <w:t xml:space="preserve"> více než v</w:t>
      </w:r>
      <w:r w:rsidR="00646128">
        <w:t> 1. pol. 202</w:t>
      </w:r>
      <w:r w:rsidR="00E57135">
        <w:t>1</w:t>
      </w:r>
      <w:r w:rsidRPr="00D92E20">
        <w:t>.</w:t>
      </w:r>
      <w:r w:rsidR="00790B93">
        <w:t xml:space="preserve"> I zde je však nutné mít na paměti možnou duplicitu ve vydávání karanténních neschopenek v lednu a únoru, kterou však nelze v datech identifikovat ani kvantifikovat</w:t>
      </w:r>
      <w:r w:rsidR="00226A0F">
        <w:t xml:space="preserve"> (viz str. </w:t>
      </w:r>
      <w:r w:rsidR="00550835">
        <w:t>18</w:t>
      </w:r>
      <w:r w:rsidR="00226A0F">
        <w:t>)</w:t>
      </w:r>
      <w:r w:rsidR="00790B93">
        <w:t>.</w:t>
      </w:r>
    </w:p>
    <w:p w14:paraId="32F53CEB" w14:textId="04DEC449" w:rsidR="00391FBE" w:rsidRPr="00D92E20" w:rsidRDefault="00646128" w:rsidP="00000A90">
      <w:pPr>
        <w:spacing w:before="120" w:after="0"/>
        <w:jc w:val="both"/>
        <w:rPr>
          <w:b/>
        </w:rPr>
      </w:pPr>
      <w:r w:rsidRPr="00646128">
        <w:rPr>
          <w:b/>
        </w:rPr>
        <w:t>Tab. 3.1: Ukončené přípa</w:t>
      </w:r>
      <w:r w:rsidR="007B36AD">
        <w:rPr>
          <w:b/>
        </w:rPr>
        <w:t>dy dočasné pracovní neschopnosti</w:t>
      </w:r>
      <w:r w:rsidRPr="00646128">
        <w:rPr>
          <w:b/>
        </w:rPr>
        <w:t xml:space="preserve"> podle krajů ČR, 1. pol. 202</w:t>
      </w:r>
      <w:r w:rsidR="00E57135">
        <w:rPr>
          <w:b/>
        </w:rPr>
        <w:t>1, 2022</w:t>
      </w:r>
    </w:p>
    <w:tbl>
      <w:tblPr>
        <w:tblW w:w="9584" w:type="dxa"/>
        <w:tblCellMar>
          <w:left w:w="70" w:type="dxa"/>
          <w:right w:w="70" w:type="dxa"/>
        </w:tblCellMar>
        <w:tblLook w:val="04A0" w:firstRow="1" w:lastRow="0" w:firstColumn="1" w:lastColumn="0" w:noHBand="0" w:noVBand="1"/>
      </w:tblPr>
      <w:tblGrid>
        <w:gridCol w:w="2438"/>
        <w:gridCol w:w="1191"/>
        <w:gridCol w:w="1191"/>
        <w:gridCol w:w="1191"/>
        <w:gridCol w:w="1191"/>
        <w:gridCol w:w="1191"/>
        <w:gridCol w:w="1191"/>
      </w:tblGrid>
      <w:tr w:rsidR="00330CDD" w:rsidRPr="00D92E20" w14:paraId="70A4C9F3" w14:textId="77777777" w:rsidTr="00330CDD">
        <w:trPr>
          <w:trHeight w:val="1071"/>
        </w:trPr>
        <w:tc>
          <w:tcPr>
            <w:tcW w:w="2438" w:type="dxa"/>
            <w:vMerge w:val="restart"/>
            <w:tcBorders>
              <w:top w:val="single" w:sz="4" w:space="0" w:color="auto"/>
              <w:left w:val="nil"/>
              <w:right w:val="single" w:sz="4" w:space="0" w:color="auto"/>
            </w:tcBorders>
            <w:shd w:val="clear" w:color="000000" w:fill="F2DCDB"/>
            <w:vAlign w:val="center"/>
            <w:hideMark/>
          </w:tcPr>
          <w:p w14:paraId="052ECD08" w14:textId="77777777" w:rsidR="00330CDD" w:rsidRPr="00D92E20" w:rsidRDefault="00330CDD" w:rsidP="00391FBE">
            <w:pPr>
              <w:spacing w:after="0" w:line="240" w:lineRule="auto"/>
              <w:jc w:val="center"/>
              <w:rPr>
                <w:rFonts w:cs="Arial"/>
                <w:color w:val="000000"/>
                <w:sz w:val="16"/>
                <w:szCs w:val="16"/>
              </w:rPr>
            </w:pPr>
            <w:r w:rsidRPr="00D92E20">
              <w:rPr>
                <w:rFonts w:cs="Arial"/>
                <w:color w:val="000000"/>
                <w:sz w:val="16"/>
                <w:szCs w:val="16"/>
              </w:rPr>
              <w:t>Kraj ČR</w:t>
            </w:r>
          </w:p>
        </w:tc>
        <w:tc>
          <w:tcPr>
            <w:tcW w:w="2382" w:type="dxa"/>
            <w:gridSpan w:val="2"/>
            <w:tcBorders>
              <w:top w:val="single" w:sz="4" w:space="0" w:color="auto"/>
              <w:left w:val="nil"/>
              <w:bottom w:val="single" w:sz="4" w:space="0" w:color="auto"/>
              <w:right w:val="single" w:sz="4" w:space="0" w:color="auto"/>
            </w:tcBorders>
            <w:shd w:val="clear" w:color="000000" w:fill="F2DCDB"/>
            <w:vAlign w:val="center"/>
            <w:hideMark/>
          </w:tcPr>
          <w:p w14:paraId="6F7C4E39" w14:textId="5FBA17EE" w:rsidR="00330CDD" w:rsidRPr="00D92E20" w:rsidRDefault="00330CDD" w:rsidP="007B36AD">
            <w:pPr>
              <w:spacing w:after="0" w:line="240" w:lineRule="auto"/>
              <w:jc w:val="center"/>
              <w:rPr>
                <w:rFonts w:cs="Arial"/>
                <w:color w:val="000000"/>
                <w:sz w:val="16"/>
                <w:szCs w:val="16"/>
              </w:rPr>
            </w:pPr>
            <w:r w:rsidRPr="00D92E20">
              <w:rPr>
                <w:rFonts w:cs="Arial"/>
                <w:color w:val="000000"/>
                <w:sz w:val="16"/>
                <w:szCs w:val="16"/>
              </w:rPr>
              <w:t>Počet případů DPN (tis.)</w:t>
            </w:r>
          </w:p>
        </w:tc>
        <w:tc>
          <w:tcPr>
            <w:tcW w:w="2382" w:type="dxa"/>
            <w:gridSpan w:val="2"/>
            <w:tcBorders>
              <w:top w:val="single" w:sz="4" w:space="0" w:color="auto"/>
              <w:left w:val="nil"/>
              <w:bottom w:val="single" w:sz="4" w:space="0" w:color="auto"/>
              <w:right w:val="single" w:sz="4" w:space="0" w:color="auto"/>
            </w:tcBorders>
            <w:shd w:val="clear" w:color="000000" w:fill="F2DCDB"/>
            <w:vAlign w:val="center"/>
            <w:hideMark/>
          </w:tcPr>
          <w:p w14:paraId="0ED1C1E4" w14:textId="06832E07" w:rsidR="00330CDD" w:rsidRPr="00D92E20" w:rsidRDefault="00330CDD" w:rsidP="00391FBE">
            <w:pPr>
              <w:spacing w:after="0" w:line="240" w:lineRule="auto"/>
              <w:jc w:val="center"/>
              <w:rPr>
                <w:rFonts w:cs="Arial"/>
                <w:color w:val="000000"/>
                <w:sz w:val="16"/>
                <w:szCs w:val="16"/>
              </w:rPr>
            </w:pPr>
            <w:r w:rsidRPr="00D92E20">
              <w:rPr>
                <w:rFonts w:cs="Arial"/>
                <w:color w:val="000000"/>
                <w:sz w:val="16"/>
                <w:szCs w:val="16"/>
              </w:rPr>
              <w:t>Počet prostonaných dnů (tis.)</w:t>
            </w:r>
          </w:p>
        </w:tc>
        <w:tc>
          <w:tcPr>
            <w:tcW w:w="2382" w:type="dxa"/>
            <w:gridSpan w:val="2"/>
            <w:tcBorders>
              <w:top w:val="single" w:sz="4" w:space="0" w:color="auto"/>
              <w:left w:val="nil"/>
              <w:bottom w:val="single" w:sz="4" w:space="0" w:color="auto"/>
              <w:right w:val="nil"/>
            </w:tcBorders>
            <w:shd w:val="clear" w:color="000000" w:fill="F2DCDB"/>
            <w:vAlign w:val="center"/>
            <w:hideMark/>
          </w:tcPr>
          <w:p w14:paraId="200811EF" w14:textId="77777777" w:rsidR="00330CDD" w:rsidRPr="00D92E20" w:rsidRDefault="00330CDD" w:rsidP="00391FBE">
            <w:pPr>
              <w:spacing w:after="0" w:line="240" w:lineRule="auto"/>
              <w:jc w:val="center"/>
              <w:rPr>
                <w:rFonts w:cs="Arial"/>
                <w:color w:val="000000"/>
                <w:sz w:val="16"/>
                <w:szCs w:val="16"/>
              </w:rPr>
            </w:pPr>
            <w:r w:rsidRPr="00D92E20">
              <w:rPr>
                <w:rFonts w:cs="Arial"/>
                <w:color w:val="000000"/>
                <w:sz w:val="16"/>
                <w:szCs w:val="16"/>
              </w:rPr>
              <w:t>Průměrná délka trvání případu DPN ve dnech</w:t>
            </w:r>
          </w:p>
        </w:tc>
      </w:tr>
      <w:tr w:rsidR="00E57135" w:rsidRPr="00D92E20" w14:paraId="31C9C814" w14:textId="77777777" w:rsidTr="00795664">
        <w:trPr>
          <w:trHeight w:val="389"/>
        </w:trPr>
        <w:tc>
          <w:tcPr>
            <w:tcW w:w="2438" w:type="dxa"/>
            <w:vMerge/>
            <w:tcBorders>
              <w:left w:val="nil"/>
              <w:bottom w:val="single" w:sz="4" w:space="0" w:color="auto"/>
              <w:right w:val="single" w:sz="4" w:space="0" w:color="auto"/>
            </w:tcBorders>
            <w:shd w:val="clear" w:color="000000" w:fill="F2DCDB"/>
            <w:vAlign w:val="center"/>
          </w:tcPr>
          <w:p w14:paraId="584FDB66" w14:textId="77777777" w:rsidR="00E57135" w:rsidRPr="00D92E20" w:rsidRDefault="00E57135" w:rsidP="00E57135">
            <w:pPr>
              <w:spacing w:after="0" w:line="240" w:lineRule="auto"/>
              <w:jc w:val="center"/>
              <w:rPr>
                <w:rFonts w:cs="Arial"/>
                <w:color w:val="000000"/>
                <w:sz w:val="16"/>
                <w:szCs w:val="16"/>
              </w:rPr>
            </w:pPr>
          </w:p>
        </w:tc>
        <w:tc>
          <w:tcPr>
            <w:tcW w:w="1191" w:type="dxa"/>
            <w:tcBorders>
              <w:top w:val="single" w:sz="4" w:space="0" w:color="auto"/>
              <w:left w:val="nil"/>
              <w:bottom w:val="single" w:sz="4" w:space="0" w:color="auto"/>
              <w:right w:val="single" w:sz="4" w:space="0" w:color="auto"/>
            </w:tcBorders>
            <w:shd w:val="clear" w:color="000000" w:fill="F2DCDB"/>
            <w:vAlign w:val="center"/>
          </w:tcPr>
          <w:p w14:paraId="393A2A23" w14:textId="54FBDDAA" w:rsidR="00E57135" w:rsidRPr="00D92E20" w:rsidRDefault="00E57135" w:rsidP="00E57135">
            <w:pPr>
              <w:spacing w:after="0" w:line="240" w:lineRule="auto"/>
              <w:jc w:val="center"/>
              <w:rPr>
                <w:rFonts w:cs="Arial"/>
                <w:color w:val="000000"/>
                <w:sz w:val="16"/>
                <w:szCs w:val="16"/>
              </w:rPr>
            </w:pPr>
            <w:r>
              <w:rPr>
                <w:rFonts w:cs="Arial"/>
                <w:sz w:val="16"/>
                <w:szCs w:val="16"/>
              </w:rPr>
              <w:t>1. pol. 2021</w:t>
            </w:r>
          </w:p>
        </w:tc>
        <w:tc>
          <w:tcPr>
            <w:tcW w:w="1191" w:type="dxa"/>
            <w:tcBorders>
              <w:top w:val="single" w:sz="4" w:space="0" w:color="auto"/>
              <w:left w:val="nil"/>
              <w:bottom w:val="single" w:sz="4" w:space="0" w:color="auto"/>
              <w:right w:val="single" w:sz="4" w:space="0" w:color="auto"/>
            </w:tcBorders>
            <w:shd w:val="clear" w:color="000000" w:fill="F2DCDB"/>
            <w:vAlign w:val="center"/>
          </w:tcPr>
          <w:p w14:paraId="0AA0C7B4" w14:textId="37768951" w:rsidR="00E57135" w:rsidRPr="00D92E20" w:rsidRDefault="00E57135" w:rsidP="00E57135">
            <w:pPr>
              <w:spacing w:after="0" w:line="240" w:lineRule="auto"/>
              <w:jc w:val="center"/>
              <w:rPr>
                <w:rFonts w:cs="Arial"/>
                <w:color w:val="000000"/>
                <w:sz w:val="16"/>
                <w:szCs w:val="16"/>
              </w:rPr>
            </w:pPr>
            <w:r>
              <w:rPr>
                <w:rFonts w:cs="Arial"/>
                <w:sz w:val="16"/>
                <w:szCs w:val="16"/>
              </w:rPr>
              <w:t>1. pol. 2022</w:t>
            </w:r>
          </w:p>
        </w:tc>
        <w:tc>
          <w:tcPr>
            <w:tcW w:w="1191" w:type="dxa"/>
            <w:tcBorders>
              <w:top w:val="single" w:sz="4" w:space="0" w:color="auto"/>
              <w:left w:val="nil"/>
              <w:bottom w:val="single" w:sz="4" w:space="0" w:color="auto"/>
              <w:right w:val="single" w:sz="4" w:space="0" w:color="auto"/>
            </w:tcBorders>
            <w:shd w:val="clear" w:color="000000" w:fill="F2DCDB"/>
            <w:vAlign w:val="center"/>
          </w:tcPr>
          <w:p w14:paraId="32E00378" w14:textId="6B5A85A1" w:rsidR="00E57135" w:rsidRPr="00D92E20" w:rsidRDefault="00E57135" w:rsidP="00E57135">
            <w:pPr>
              <w:spacing w:after="0" w:line="240" w:lineRule="auto"/>
              <w:jc w:val="center"/>
              <w:rPr>
                <w:rFonts w:cs="Arial"/>
                <w:color w:val="000000"/>
                <w:sz w:val="16"/>
                <w:szCs w:val="16"/>
              </w:rPr>
            </w:pPr>
            <w:r>
              <w:rPr>
                <w:rFonts w:cs="Arial"/>
                <w:sz w:val="16"/>
                <w:szCs w:val="16"/>
              </w:rPr>
              <w:t>1. pol. 2021</w:t>
            </w:r>
          </w:p>
        </w:tc>
        <w:tc>
          <w:tcPr>
            <w:tcW w:w="1191" w:type="dxa"/>
            <w:tcBorders>
              <w:top w:val="single" w:sz="4" w:space="0" w:color="auto"/>
              <w:left w:val="nil"/>
              <w:bottom w:val="single" w:sz="4" w:space="0" w:color="auto"/>
              <w:right w:val="single" w:sz="4" w:space="0" w:color="auto"/>
            </w:tcBorders>
            <w:shd w:val="clear" w:color="000000" w:fill="F2DCDB"/>
            <w:vAlign w:val="center"/>
          </w:tcPr>
          <w:p w14:paraId="5519EA3A" w14:textId="4F603665" w:rsidR="00E57135" w:rsidRPr="00D92E20" w:rsidRDefault="00E57135" w:rsidP="00E57135">
            <w:pPr>
              <w:spacing w:after="0" w:line="240" w:lineRule="auto"/>
              <w:jc w:val="center"/>
              <w:rPr>
                <w:rFonts w:cs="Arial"/>
                <w:color w:val="000000"/>
                <w:sz w:val="16"/>
                <w:szCs w:val="16"/>
              </w:rPr>
            </w:pPr>
            <w:r>
              <w:rPr>
                <w:rFonts w:cs="Arial"/>
                <w:sz w:val="16"/>
                <w:szCs w:val="16"/>
              </w:rPr>
              <w:t>1. pol. 2022</w:t>
            </w:r>
          </w:p>
        </w:tc>
        <w:tc>
          <w:tcPr>
            <w:tcW w:w="1191" w:type="dxa"/>
            <w:tcBorders>
              <w:top w:val="single" w:sz="4" w:space="0" w:color="auto"/>
              <w:left w:val="nil"/>
              <w:bottom w:val="single" w:sz="4" w:space="0" w:color="auto"/>
              <w:right w:val="single" w:sz="4" w:space="0" w:color="auto"/>
            </w:tcBorders>
            <w:shd w:val="clear" w:color="000000" w:fill="F2DCDB"/>
            <w:vAlign w:val="center"/>
          </w:tcPr>
          <w:p w14:paraId="36307EDB" w14:textId="41B73296" w:rsidR="00E57135" w:rsidRPr="00D92E20" w:rsidRDefault="00E57135" w:rsidP="00E57135">
            <w:pPr>
              <w:spacing w:after="0" w:line="240" w:lineRule="auto"/>
              <w:jc w:val="center"/>
              <w:rPr>
                <w:rFonts w:cs="Arial"/>
                <w:color w:val="000000"/>
                <w:sz w:val="16"/>
                <w:szCs w:val="16"/>
              </w:rPr>
            </w:pPr>
            <w:r>
              <w:rPr>
                <w:rFonts w:cs="Arial"/>
                <w:sz w:val="16"/>
                <w:szCs w:val="16"/>
              </w:rPr>
              <w:t>1. pol. 2021</w:t>
            </w:r>
          </w:p>
        </w:tc>
        <w:tc>
          <w:tcPr>
            <w:tcW w:w="1191" w:type="dxa"/>
            <w:tcBorders>
              <w:top w:val="single" w:sz="4" w:space="0" w:color="auto"/>
              <w:left w:val="single" w:sz="4" w:space="0" w:color="auto"/>
              <w:bottom w:val="single" w:sz="4" w:space="0" w:color="auto"/>
              <w:right w:val="nil"/>
            </w:tcBorders>
            <w:shd w:val="clear" w:color="000000" w:fill="F2DCDB"/>
            <w:vAlign w:val="center"/>
          </w:tcPr>
          <w:p w14:paraId="5E3BA8DB" w14:textId="5A024D40" w:rsidR="00E57135" w:rsidRPr="00D92E20" w:rsidRDefault="00E57135" w:rsidP="00E57135">
            <w:pPr>
              <w:spacing w:after="0" w:line="240" w:lineRule="auto"/>
              <w:jc w:val="center"/>
              <w:rPr>
                <w:rFonts w:cs="Arial"/>
                <w:color w:val="000000"/>
                <w:sz w:val="16"/>
                <w:szCs w:val="16"/>
              </w:rPr>
            </w:pPr>
            <w:r>
              <w:rPr>
                <w:rFonts w:cs="Arial"/>
                <w:sz w:val="16"/>
                <w:szCs w:val="16"/>
              </w:rPr>
              <w:t>1. pol. 2022</w:t>
            </w:r>
          </w:p>
        </w:tc>
      </w:tr>
      <w:tr w:rsidR="00E57135" w:rsidRPr="00D92E20" w14:paraId="245D5B9B" w14:textId="77777777" w:rsidTr="00736595">
        <w:trPr>
          <w:trHeight w:val="285"/>
        </w:trPr>
        <w:tc>
          <w:tcPr>
            <w:tcW w:w="2438" w:type="dxa"/>
            <w:tcBorders>
              <w:top w:val="single" w:sz="4" w:space="0" w:color="auto"/>
              <w:bottom w:val="nil"/>
              <w:right w:val="single" w:sz="4" w:space="0" w:color="auto"/>
            </w:tcBorders>
            <w:shd w:val="clear" w:color="auto" w:fill="auto"/>
            <w:noWrap/>
            <w:vAlign w:val="center"/>
            <w:hideMark/>
          </w:tcPr>
          <w:p w14:paraId="7CE45E18" w14:textId="77777777" w:rsidR="00E57135" w:rsidRPr="00D92E20" w:rsidRDefault="00E57135" w:rsidP="00E57135">
            <w:pPr>
              <w:spacing w:after="0" w:line="240" w:lineRule="auto"/>
              <w:rPr>
                <w:rFonts w:cs="Arial"/>
                <w:b/>
                <w:bCs/>
                <w:color w:val="000000"/>
                <w:sz w:val="16"/>
                <w:szCs w:val="16"/>
              </w:rPr>
            </w:pPr>
            <w:r w:rsidRPr="00D92E20">
              <w:rPr>
                <w:rFonts w:cs="Arial"/>
                <w:b/>
                <w:bCs/>
                <w:color w:val="000000"/>
                <w:sz w:val="16"/>
                <w:szCs w:val="16"/>
              </w:rPr>
              <w:t>ČR celkem</w:t>
            </w:r>
          </w:p>
        </w:tc>
        <w:tc>
          <w:tcPr>
            <w:tcW w:w="1191" w:type="dxa"/>
            <w:tcBorders>
              <w:top w:val="nil"/>
              <w:left w:val="single" w:sz="4" w:space="0" w:color="auto"/>
              <w:bottom w:val="nil"/>
              <w:right w:val="nil"/>
            </w:tcBorders>
            <w:shd w:val="clear" w:color="auto" w:fill="auto"/>
            <w:noWrap/>
            <w:vAlign w:val="bottom"/>
          </w:tcPr>
          <w:p w14:paraId="3D2992EB" w14:textId="1B8D4489" w:rsidR="00E57135" w:rsidRPr="00D92E20" w:rsidRDefault="00E57135" w:rsidP="00E57135">
            <w:pPr>
              <w:spacing w:after="0" w:line="240" w:lineRule="auto"/>
              <w:jc w:val="right"/>
              <w:rPr>
                <w:rFonts w:cs="Arial"/>
                <w:b/>
                <w:bCs/>
                <w:color w:val="000000"/>
                <w:sz w:val="16"/>
                <w:szCs w:val="16"/>
              </w:rPr>
            </w:pPr>
            <w:r>
              <w:rPr>
                <w:rFonts w:cs="Arial"/>
                <w:b/>
                <w:bCs/>
                <w:color w:val="000000"/>
                <w:sz w:val="16"/>
                <w:szCs w:val="16"/>
              </w:rPr>
              <w:t>1 423,1</w:t>
            </w:r>
          </w:p>
        </w:tc>
        <w:tc>
          <w:tcPr>
            <w:tcW w:w="1191" w:type="dxa"/>
            <w:tcBorders>
              <w:top w:val="nil"/>
              <w:left w:val="single" w:sz="4" w:space="0" w:color="auto"/>
              <w:bottom w:val="nil"/>
              <w:right w:val="nil"/>
            </w:tcBorders>
            <w:shd w:val="clear" w:color="auto" w:fill="auto"/>
            <w:vAlign w:val="bottom"/>
          </w:tcPr>
          <w:p w14:paraId="5FFAB16F" w14:textId="0EFD6A92" w:rsidR="00E57135" w:rsidRPr="00D92E20" w:rsidRDefault="00E57135" w:rsidP="00E57135">
            <w:pPr>
              <w:spacing w:after="0" w:line="240" w:lineRule="auto"/>
              <w:jc w:val="right"/>
              <w:rPr>
                <w:rFonts w:cs="Arial"/>
                <w:b/>
                <w:bCs/>
                <w:color w:val="000000"/>
                <w:sz w:val="16"/>
                <w:szCs w:val="16"/>
              </w:rPr>
            </w:pPr>
            <w:r>
              <w:rPr>
                <w:rFonts w:cs="Arial"/>
                <w:b/>
                <w:bCs/>
                <w:color w:val="000000"/>
                <w:sz w:val="16"/>
                <w:szCs w:val="16"/>
              </w:rPr>
              <w:t>2 082,3</w:t>
            </w:r>
          </w:p>
        </w:tc>
        <w:tc>
          <w:tcPr>
            <w:tcW w:w="1191" w:type="dxa"/>
            <w:tcBorders>
              <w:top w:val="nil"/>
              <w:left w:val="single" w:sz="4" w:space="0" w:color="auto"/>
              <w:bottom w:val="nil"/>
              <w:right w:val="single" w:sz="4" w:space="0" w:color="auto"/>
            </w:tcBorders>
            <w:shd w:val="clear" w:color="auto" w:fill="auto"/>
            <w:noWrap/>
            <w:vAlign w:val="bottom"/>
          </w:tcPr>
          <w:p w14:paraId="0194022D" w14:textId="0A10C112" w:rsidR="00E57135" w:rsidRPr="00D92E20" w:rsidRDefault="00E57135" w:rsidP="00E57135">
            <w:pPr>
              <w:spacing w:after="0" w:line="240" w:lineRule="auto"/>
              <w:jc w:val="right"/>
              <w:rPr>
                <w:rFonts w:cs="Arial"/>
                <w:b/>
                <w:bCs/>
                <w:color w:val="000000"/>
                <w:sz w:val="16"/>
                <w:szCs w:val="16"/>
              </w:rPr>
            </w:pPr>
            <w:r>
              <w:rPr>
                <w:rFonts w:cs="Arial"/>
                <w:b/>
                <w:bCs/>
                <w:color w:val="000000"/>
                <w:sz w:val="16"/>
                <w:szCs w:val="16"/>
              </w:rPr>
              <w:t>51 409,2</w:t>
            </w:r>
          </w:p>
        </w:tc>
        <w:tc>
          <w:tcPr>
            <w:tcW w:w="1191" w:type="dxa"/>
            <w:tcBorders>
              <w:top w:val="nil"/>
              <w:left w:val="single" w:sz="4" w:space="0" w:color="auto"/>
              <w:bottom w:val="nil"/>
              <w:right w:val="single" w:sz="4" w:space="0" w:color="auto"/>
            </w:tcBorders>
            <w:shd w:val="clear" w:color="auto" w:fill="auto"/>
            <w:vAlign w:val="bottom"/>
          </w:tcPr>
          <w:p w14:paraId="2F75CCC3" w14:textId="7C73ED5F" w:rsidR="00E57135" w:rsidRPr="00D92E20" w:rsidRDefault="00E57135" w:rsidP="00E57135">
            <w:pPr>
              <w:spacing w:after="0" w:line="240" w:lineRule="auto"/>
              <w:jc w:val="right"/>
              <w:rPr>
                <w:rFonts w:cs="Arial"/>
                <w:b/>
                <w:bCs/>
                <w:color w:val="000000"/>
                <w:sz w:val="16"/>
                <w:szCs w:val="16"/>
              </w:rPr>
            </w:pPr>
            <w:r>
              <w:rPr>
                <w:rFonts w:cs="Arial"/>
                <w:b/>
                <w:bCs/>
                <w:color w:val="000000"/>
                <w:sz w:val="16"/>
                <w:szCs w:val="16"/>
              </w:rPr>
              <w:t>51 550,7</w:t>
            </w:r>
          </w:p>
        </w:tc>
        <w:tc>
          <w:tcPr>
            <w:tcW w:w="1191" w:type="dxa"/>
            <w:tcBorders>
              <w:top w:val="single" w:sz="4" w:space="0" w:color="auto"/>
              <w:left w:val="nil"/>
              <w:bottom w:val="nil"/>
              <w:right w:val="single" w:sz="4" w:space="0" w:color="auto"/>
            </w:tcBorders>
            <w:shd w:val="clear" w:color="auto" w:fill="auto"/>
            <w:noWrap/>
            <w:vAlign w:val="bottom"/>
          </w:tcPr>
          <w:p w14:paraId="034FAD61" w14:textId="20DEA931" w:rsidR="00E57135" w:rsidRPr="00D92E20" w:rsidRDefault="00E57135" w:rsidP="00E57135">
            <w:pPr>
              <w:spacing w:after="0" w:line="240" w:lineRule="auto"/>
              <w:jc w:val="right"/>
              <w:rPr>
                <w:rFonts w:cs="Arial"/>
                <w:b/>
                <w:bCs/>
                <w:color w:val="000000"/>
                <w:sz w:val="16"/>
                <w:szCs w:val="16"/>
              </w:rPr>
            </w:pPr>
            <w:r>
              <w:rPr>
                <w:rFonts w:cs="Arial"/>
                <w:b/>
                <w:bCs/>
                <w:color w:val="000000"/>
                <w:sz w:val="16"/>
                <w:szCs w:val="16"/>
              </w:rPr>
              <w:t>36,1</w:t>
            </w:r>
          </w:p>
        </w:tc>
        <w:tc>
          <w:tcPr>
            <w:tcW w:w="1191" w:type="dxa"/>
            <w:tcBorders>
              <w:top w:val="nil"/>
              <w:left w:val="single" w:sz="4" w:space="0" w:color="auto"/>
              <w:bottom w:val="nil"/>
              <w:right w:val="nil"/>
            </w:tcBorders>
            <w:shd w:val="clear" w:color="auto" w:fill="auto"/>
            <w:vAlign w:val="bottom"/>
          </w:tcPr>
          <w:p w14:paraId="553D1BB9" w14:textId="337F46A1" w:rsidR="00E57135" w:rsidRPr="00D92E20" w:rsidRDefault="00E57135" w:rsidP="00E57135">
            <w:pPr>
              <w:spacing w:after="0" w:line="240" w:lineRule="auto"/>
              <w:jc w:val="right"/>
              <w:rPr>
                <w:rFonts w:cs="Arial"/>
                <w:b/>
                <w:bCs/>
                <w:color w:val="000000"/>
                <w:sz w:val="16"/>
                <w:szCs w:val="16"/>
              </w:rPr>
            </w:pPr>
            <w:r>
              <w:rPr>
                <w:rFonts w:cs="Arial"/>
                <w:b/>
                <w:bCs/>
                <w:color w:val="000000"/>
                <w:sz w:val="16"/>
                <w:szCs w:val="16"/>
              </w:rPr>
              <w:t>24,8</w:t>
            </w:r>
          </w:p>
        </w:tc>
      </w:tr>
      <w:tr w:rsidR="00E57135" w:rsidRPr="00D92E20" w14:paraId="799E1028" w14:textId="77777777" w:rsidTr="00736595">
        <w:trPr>
          <w:trHeight w:val="285"/>
        </w:trPr>
        <w:tc>
          <w:tcPr>
            <w:tcW w:w="2438" w:type="dxa"/>
            <w:tcBorders>
              <w:top w:val="nil"/>
              <w:bottom w:val="nil"/>
              <w:right w:val="single" w:sz="4" w:space="0" w:color="auto"/>
            </w:tcBorders>
            <w:shd w:val="clear" w:color="auto" w:fill="auto"/>
            <w:noWrap/>
            <w:vAlign w:val="center"/>
            <w:hideMark/>
          </w:tcPr>
          <w:p w14:paraId="2C900328" w14:textId="77777777" w:rsidR="00E57135" w:rsidRPr="00D92E20" w:rsidRDefault="00E57135" w:rsidP="00E57135">
            <w:pPr>
              <w:spacing w:after="0" w:line="240" w:lineRule="auto"/>
              <w:ind w:firstLineChars="100" w:firstLine="160"/>
              <w:rPr>
                <w:rFonts w:cs="Arial"/>
                <w:color w:val="000000"/>
                <w:sz w:val="16"/>
                <w:szCs w:val="16"/>
              </w:rPr>
            </w:pPr>
            <w:r w:rsidRPr="00D92E20">
              <w:rPr>
                <w:rFonts w:cs="Arial"/>
                <w:color w:val="000000"/>
                <w:sz w:val="16"/>
                <w:szCs w:val="16"/>
              </w:rPr>
              <w:t>Hl. m. Praha</w:t>
            </w:r>
          </w:p>
        </w:tc>
        <w:tc>
          <w:tcPr>
            <w:tcW w:w="1191" w:type="dxa"/>
            <w:tcBorders>
              <w:top w:val="nil"/>
              <w:left w:val="single" w:sz="4" w:space="0" w:color="auto"/>
              <w:bottom w:val="nil"/>
              <w:right w:val="nil"/>
            </w:tcBorders>
            <w:shd w:val="clear" w:color="auto" w:fill="auto"/>
            <w:noWrap/>
            <w:vAlign w:val="bottom"/>
          </w:tcPr>
          <w:p w14:paraId="532E92C5" w14:textId="13FE132A" w:rsidR="00E57135" w:rsidRPr="00D92E20" w:rsidRDefault="00E57135" w:rsidP="00E57135">
            <w:pPr>
              <w:spacing w:after="0" w:line="240" w:lineRule="auto"/>
              <w:jc w:val="right"/>
              <w:rPr>
                <w:rFonts w:cs="Arial"/>
                <w:color w:val="000000"/>
                <w:sz w:val="16"/>
                <w:szCs w:val="16"/>
              </w:rPr>
            </w:pPr>
            <w:r>
              <w:rPr>
                <w:rFonts w:cs="Arial"/>
                <w:color w:val="000000"/>
                <w:sz w:val="16"/>
                <w:szCs w:val="16"/>
              </w:rPr>
              <w:t>146,7</w:t>
            </w:r>
          </w:p>
        </w:tc>
        <w:tc>
          <w:tcPr>
            <w:tcW w:w="1191" w:type="dxa"/>
            <w:tcBorders>
              <w:top w:val="nil"/>
              <w:left w:val="single" w:sz="4" w:space="0" w:color="auto"/>
              <w:bottom w:val="nil"/>
              <w:right w:val="nil"/>
            </w:tcBorders>
            <w:shd w:val="clear" w:color="auto" w:fill="auto"/>
            <w:vAlign w:val="bottom"/>
          </w:tcPr>
          <w:p w14:paraId="2BD5D1B3" w14:textId="38EAB094" w:rsidR="00E57135" w:rsidRPr="00D92E20" w:rsidRDefault="00E57135" w:rsidP="00E57135">
            <w:pPr>
              <w:spacing w:after="0" w:line="240" w:lineRule="auto"/>
              <w:jc w:val="right"/>
              <w:rPr>
                <w:rFonts w:cs="Arial"/>
                <w:color w:val="000000"/>
                <w:sz w:val="16"/>
                <w:szCs w:val="16"/>
              </w:rPr>
            </w:pPr>
            <w:r>
              <w:rPr>
                <w:rFonts w:cs="Arial"/>
                <w:color w:val="000000"/>
                <w:sz w:val="16"/>
                <w:szCs w:val="16"/>
              </w:rPr>
              <w:t>275,5</w:t>
            </w:r>
          </w:p>
        </w:tc>
        <w:tc>
          <w:tcPr>
            <w:tcW w:w="1191" w:type="dxa"/>
            <w:tcBorders>
              <w:top w:val="nil"/>
              <w:left w:val="single" w:sz="4" w:space="0" w:color="auto"/>
              <w:bottom w:val="nil"/>
              <w:right w:val="single" w:sz="4" w:space="0" w:color="auto"/>
            </w:tcBorders>
            <w:shd w:val="clear" w:color="auto" w:fill="auto"/>
            <w:noWrap/>
            <w:vAlign w:val="bottom"/>
          </w:tcPr>
          <w:p w14:paraId="422660F4" w14:textId="6CA337EB" w:rsidR="00E57135" w:rsidRPr="00D92E20" w:rsidRDefault="00E57135" w:rsidP="00E57135">
            <w:pPr>
              <w:spacing w:after="0" w:line="240" w:lineRule="auto"/>
              <w:jc w:val="right"/>
              <w:rPr>
                <w:rFonts w:cs="Arial"/>
                <w:color w:val="000000"/>
                <w:sz w:val="16"/>
                <w:szCs w:val="16"/>
              </w:rPr>
            </w:pPr>
            <w:r>
              <w:rPr>
                <w:rFonts w:cs="Arial"/>
                <w:color w:val="000000"/>
                <w:sz w:val="16"/>
                <w:szCs w:val="16"/>
              </w:rPr>
              <w:t>4 611,3</w:t>
            </w:r>
          </w:p>
        </w:tc>
        <w:tc>
          <w:tcPr>
            <w:tcW w:w="1191" w:type="dxa"/>
            <w:tcBorders>
              <w:top w:val="nil"/>
              <w:left w:val="single" w:sz="4" w:space="0" w:color="auto"/>
              <w:bottom w:val="nil"/>
              <w:right w:val="single" w:sz="4" w:space="0" w:color="auto"/>
            </w:tcBorders>
            <w:shd w:val="clear" w:color="auto" w:fill="auto"/>
            <w:vAlign w:val="bottom"/>
          </w:tcPr>
          <w:p w14:paraId="44DA9466" w14:textId="78EB1F36" w:rsidR="00E57135" w:rsidRPr="00D92E20" w:rsidRDefault="00E57135" w:rsidP="00E57135">
            <w:pPr>
              <w:spacing w:after="0" w:line="240" w:lineRule="auto"/>
              <w:jc w:val="right"/>
              <w:rPr>
                <w:rFonts w:cs="Arial"/>
                <w:color w:val="000000"/>
                <w:sz w:val="16"/>
                <w:szCs w:val="16"/>
              </w:rPr>
            </w:pPr>
            <w:r>
              <w:rPr>
                <w:rFonts w:cs="Arial"/>
                <w:color w:val="000000"/>
                <w:sz w:val="16"/>
                <w:szCs w:val="16"/>
              </w:rPr>
              <w:t>5 093,4</w:t>
            </w:r>
          </w:p>
        </w:tc>
        <w:tc>
          <w:tcPr>
            <w:tcW w:w="1191" w:type="dxa"/>
            <w:tcBorders>
              <w:top w:val="nil"/>
              <w:left w:val="nil"/>
              <w:bottom w:val="nil"/>
              <w:right w:val="single" w:sz="4" w:space="0" w:color="auto"/>
            </w:tcBorders>
            <w:shd w:val="clear" w:color="auto" w:fill="auto"/>
            <w:noWrap/>
            <w:vAlign w:val="bottom"/>
          </w:tcPr>
          <w:p w14:paraId="74672533" w14:textId="3ADD9AB0" w:rsidR="00E57135" w:rsidRPr="00D92E20" w:rsidRDefault="00E57135" w:rsidP="00E57135">
            <w:pPr>
              <w:spacing w:after="0" w:line="240" w:lineRule="auto"/>
              <w:jc w:val="right"/>
              <w:rPr>
                <w:rFonts w:cs="Arial"/>
                <w:color w:val="000000"/>
                <w:sz w:val="16"/>
                <w:szCs w:val="16"/>
              </w:rPr>
            </w:pPr>
            <w:r>
              <w:rPr>
                <w:rFonts w:cs="Arial"/>
                <w:color w:val="000000"/>
                <w:sz w:val="16"/>
                <w:szCs w:val="16"/>
              </w:rPr>
              <w:t>31,4</w:t>
            </w:r>
          </w:p>
        </w:tc>
        <w:tc>
          <w:tcPr>
            <w:tcW w:w="1191" w:type="dxa"/>
            <w:tcBorders>
              <w:top w:val="nil"/>
              <w:left w:val="single" w:sz="4" w:space="0" w:color="auto"/>
              <w:bottom w:val="nil"/>
              <w:right w:val="nil"/>
            </w:tcBorders>
            <w:shd w:val="clear" w:color="auto" w:fill="auto"/>
            <w:vAlign w:val="bottom"/>
          </w:tcPr>
          <w:p w14:paraId="107BD4C4" w14:textId="048D3797" w:rsidR="00E57135" w:rsidRPr="00D92E20" w:rsidRDefault="00E57135" w:rsidP="00E57135">
            <w:pPr>
              <w:spacing w:after="0" w:line="240" w:lineRule="auto"/>
              <w:jc w:val="right"/>
              <w:rPr>
                <w:rFonts w:cs="Arial"/>
                <w:color w:val="000000"/>
                <w:sz w:val="16"/>
                <w:szCs w:val="16"/>
              </w:rPr>
            </w:pPr>
            <w:r>
              <w:rPr>
                <w:rFonts w:cs="Arial"/>
                <w:color w:val="000000"/>
                <w:sz w:val="16"/>
                <w:szCs w:val="16"/>
              </w:rPr>
              <w:t>18,5</w:t>
            </w:r>
          </w:p>
        </w:tc>
      </w:tr>
      <w:tr w:rsidR="00E57135" w:rsidRPr="00D92E20" w14:paraId="0E2E4F83" w14:textId="77777777" w:rsidTr="00736595">
        <w:trPr>
          <w:trHeight w:val="285"/>
        </w:trPr>
        <w:tc>
          <w:tcPr>
            <w:tcW w:w="2438" w:type="dxa"/>
            <w:tcBorders>
              <w:top w:val="nil"/>
              <w:bottom w:val="nil"/>
              <w:right w:val="single" w:sz="4" w:space="0" w:color="auto"/>
            </w:tcBorders>
            <w:shd w:val="clear" w:color="auto" w:fill="auto"/>
            <w:noWrap/>
            <w:vAlign w:val="center"/>
            <w:hideMark/>
          </w:tcPr>
          <w:p w14:paraId="3FDECE22" w14:textId="77777777" w:rsidR="00E57135" w:rsidRPr="00D92E20" w:rsidRDefault="00E57135" w:rsidP="00E57135">
            <w:pPr>
              <w:spacing w:after="0" w:line="240" w:lineRule="auto"/>
              <w:ind w:firstLineChars="100" w:firstLine="160"/>
              <w:rPr>
                <w:rFonts w:cs="Arial"/>
                <w:color w:val="000000"/>
                <w:sz w:val="16"/>
                <w:szCs w:val="16"/>
              </w:rPr>
            </w:pPr>
            <w:r w:rsidRPr="00D92E20">
              <w:rPr>
                <w:rFonts w:cs="Arial"/>
                <w:color w:val="000000"/>
                <w:sz w:val="16"/>
                <w:szCs w:val="16"/>
              </w:rPr>
              <w:t>Středočeský kraj</w:t>
            </w:r>
          </w:p>
        </w:tc>
        <w:tc>
          <w:tcPr>
            <w:tcW w:w="1191" w:type="dxa"/>
            <w:tcBorders>
              <w:top w:val="nil"/>
              <w:left w:val="single" w:sz="4" w:space="0" w:color="auto"/>
              <w:bottom w:val="nil"/>
              <w:right w:val="nil"/>
            </w:tcBorders>
            <w:shd w:val="clear" w:color="auto" w:fill="auto"/>
            <w:noWrap/>
            <w:vAlign w:val="bottom"/>
          </w:tcPr>
          <w:p w14:paraId="0DF1A2B0" w14:textId="10362055" w:rsidR="00E57135" w:rsidRPr="00D92E20" w:rsidRDefault="00E57135" w:rsidP="00E57135">
            <w:pPr>
              <w:spacing w:after="0" w:line="240" w:lineRule="auto"/>
              <w:jc w:val="right"/>
              <w:rPr>
                <w:rFonts w:cs="Arial"/>
                <w:color w:val="000000"/>
                <w:sz w:val="16"/>
                <w:szCs w:val="16"/>
              </w:rPr>
            </w:pPr>
            <w:r>
              <w:rPr>
                <w:rFonts w:cs="Arial"/>
                <w:color w:val="000000"/>
                <w:sz w:val="16"/>
                <w:szCs w:val="16"/>
              </w:rPr>
              <w:t>166,2</w:t>
            </w:r>
          </w:p>
        </w:tc>
        <w:tc>
          <w:tcPr>
            <w:tcW w:w="1191" w:type="dxa"/>
            <w:tcBorders>
              <w:top w:val="nil"/>
              <w:left w:val="single" w:sz="4" w:space="0" w:color="auto"/>
              <w:bottom w:val="nil"/>
              <w:right w:val="nil"/>
            </w:tcBorders>
            <w:shd w:val="clear" w:color="auto" w:fill="auto"/>
            <w:vAlign w:val="bottom"/>
          </w:tcPr>
          <w:p w14:paraId="6196D514" w14:textId="4D47A000" w:rsidR="00E57135" w:rsidRPr="00D92E20" w:rsidRDefault="00E57135" w:rsidP="00E57135">
            <w:pPr>
              <w:spacing w:after="0" w:line="240" w:lineRule="auto"/>
              <w:jc w:val="right"/>
              <w:rPr>
                <w:rFonts w:cs="Arial"/>
                <w:color w:val="000000"/>
                <w:sz w:val="16"/>
                <w:szCs w:val="16"/>
              </w:rPr>
            </w:pPr>
            <w:r>
              <w:rPr>
                <w:rFonts w:cs="Arial"/>
                <w:color w:val="000000"/>
                <w:sz w:val="16"/>
                <w:szCs w:val="16"/>
              </w:rPr>
              <w:t>204,5</w:t>
            </w:r>
          </w:p>
        </w:tc>
        <w:tc>
          <w:tcPr>
            <w:tcW w:w="1191" w:type="dxa"/>
            <w:tcBorders>
              <w:top w:val="nil"/>
              <w:left w:val="single" w:sz="4" w:space="0" w:color="auto"/>
              <w:bottom w:val="nil"/>
              <w:right w:val="single" w:sz="4" w:space="0" w:color="auto"/>
            </w:tcBorders>
            <w:shd w:val="clear" w:color="auto" w:fill="auto"/>
            <w:noWrap/>
            <w:vAlign w:val="bottom"/>
          </w:tcPr>
          <w:p w14:paraId="3C7205A2" w14:textId="482D9EF7" w:rsidR="00E57135" w:rsidRPr="00D92E20" w:rsidRDefault="00E57135" w:rsidP="00E57135">
            <w:pPr>
              <w:spacing w:after="0" w:line="240" w:lineRule="auto"/>
              <w:jc w:val="right"/>
              <w:rPr>
                <w:rFonts w:cs="Arial"/>
                <w:color w:val="000000"/>
                <w:sz w:val="16"/>
                <w:szCs w:val="16"/>
              </w:rPr>
            </w:pPr>
            <w:r>
              <w:rPr>
                <w:rFonts w:cs="Arial"/>
                <w:color w:val="000000"/>
                <w:sz w:val="16"/>
                <w:szCs w:val="16"/>
              </w:rPr>
              <w:t>5 318,7</w:t>
            </w:r>
          </w:p>
        </w:tc>
        <w:tc>
          <w:tcPr>
            <w:tcW w:w="1191" w:type="dxa"/>
            <w:tcBorders>
              <w:top w:val="nil"/>
              <w:left w:val="single" w:sz="4" w:space="0" w:color="auto"/>
              <w:bottom w:val="nil"/>
              <w:right w:val="single" w:sz="4" w:space="0" w:color="auto"/>
            </w:tcBorders>
            <w:shd w:val="clear" w:color="auto" w:fill="auto"/>
            <w:vAlign w:val="bottom"/>
          </w:tcPr>
          <w:p w14:paraId="72793B3A" w14:textId="1C0126AF" w:rsidR="00E57135" w:rsidRPr="00D92E20" w:rsidRDefault="00E57135" w:rsidP="00E57135">
            <w:pPr>
              <w:spacing w:after="0" w:line="240" w:lineRule="auto"/>
              <w:jc w:val="right"/>
              <w:rPr>
                <w:rFonts w:cs="Arial"/>
                <w:color w:val="000000"/>
                <w:sz w:val="16"/>
                <w:szCs w:val="16"/>
              </w:rPr>
            </w:pPr>
            <w:r>
              <w:rPr>
                <w:rFonts w:cs="Arial"/>
                <w:color w:val="000000"/>
                <w:sz w:val="16"/>
                <w:szCs w:val="16"/>
              </w:rPr>
              <w:t>5 063,3</w:t>
            </w:r>
          </w:p>
        </w:tc>
        <w:tc>
          <w:tcPr>
            <w:tcW w:w="1191" w:type="dxa"/>
            <w:tcBorders>
              <w:top w:val="nil"/>
              <w:left w:val="nil"/>
              <w:bottom w:val="nil"/>
              <w:right w:val="single" w:sz="4" w:space="0" w:color="auto"/>
            </w:tcBorders>
            <w:shd w:val="clear" w:color="auto" w:fill="auto"/>
            <w:noWrap/>
            <w:vAlign w:val="bottom"/>
          </w:tcPr>
          <w:p w14:paraId="56485892" w14:textId="6FA07008" w:rsidR="00E57135" w:rsidRPr="00D92E20" w:rsidRDefault="00E57135" w:rsidP="00E57135">
            <w:pPr>
              <w:spacing w:after="0" w:line="240" w:lineRule="auto"/>
              <w:jc w:val="right"/>
              <w:rPr>
                <w:rFonts w:cs="Arial"/>
                <w:color w:val="000000"/>
                <w:sz w:val="16"/>
                <w:szCs w:val="16"/>
              </w:rPr>
            </w:pPr>
            <w:r>
              <w:rPr>
                <w:rFonts w:cs="Arial"/>
                <w:color w:val="000000"/>
                <w:sz w:val="16"/>
                <w:szCs w:val="16"/>
              </w:rPr>
              <w:t>32,0</w:t>
            </w:r>
          </w:p>
        </w:tc>
        <w:tc>
          <w:tcPr>
            <w:tcW w:w="1191" w:type="dxa"/>
            <w:tcBorders>
              <w:top w:val="nil"/>
              <w:left w:val="single" w:sz="4" w:space="0" w:color="auto"/>
              <w:bottom w:val="nil"/>
              <w:right w:val="nil"/>
            </w:tcBorders>
            <w:shd w:val="clear" w:color="auto" w:fill="auto"/>
            <w:vAlign w:val="bottom"/>
          </w:tcPr>
          <w:p w14:paraId="2FE20D8B" w14:textId="2DD33034" w:rsidR="00E57135" w:rsidRPr="00D92E20" w:rsidRDefault="00E57135" w:rsidP="00E57135">
            <w:pPr>
              <w:spacing w:after="0" w:line="240" w:lineRule="auto"/>
              <w:jc w:val="right"/>
              <w:rPr>
                <w:rFonts w:cs="Arial"/>
                <w:color w:val="000000"/>
                <w:sz w:val="16"/>
                <w:szCs w:val="16"/>
              </w:rPr>
            </w:pPr>
            <w:r>
              <w:rPr>
                <w:rFonts w:cs="Arial"/>
                <w:color w:val="000000"/>
                <w:sz w:val="16"/>
                <w:szCs w:val="16"/>
              </w:rPr>
              <w:t>24,8</w:t>
            </w:r>
          </w:p>
        </w:tc>
      </w:tr>
      <w:tr w:rsidR="00E57135" w:rsidRPr="00D92E20" w14:paraId="35A1AB73" w14:textId="77777777" w:rsidTr="00736595">
        <w:trPr>
          <w:trHeight w:val="285"/>
        </w:trPr>
        <w:tc>
          <w:tcPr>
            <w:tcW w:w="2438" w:type="dxa"/>
            <w:tcBorders>
              <w:top w:val="nil"/>
              <w:bottom w:val="nil"/>
              <w:right w:val="single" w:sz="4" w:space="0" w:color="auto"/>
            </w:tcBorders>
            <w:shd w:val="clear" w:color="auto" w:fill="auto"/>
            <w:noWrap/>
            <w:vAlign w:val="center"/>
            <w:hideMark/>
          </w:tcPr>
          <w:p w14:paraId="21AD090B" w14:textId="77777777" w:rsidR="00E57135" w:rsidRPr="00D92E20" w:rsidRDefault="00E57135" w:rsidP="00E57135">
            <w:pPr>
              <w:spacing w:after="0" w:line="240" w:lineRule="auto"/>
              <w:ind w:firstLineChars="100" w:firstLine="160"/>
              <w:rPr>
                <w:rFonts w:cs="Arial"/>
                <w:color w:val="000000"/>
                <w:sz w:val="16"/>
                <w:szCs w:val="16"/>
              </w:rPr>
            </w:pPr>
            <w:r w:rsidRPr="00D92E20">
              <w:rPr>
                <w:rFonts w:cs="Arial"/>
                <w:color w:val="000000"/>
                <w:sz w:val="16"/>
                <w:szCs w:val="16"/>
              </w:rPr>
              <w:t>Jihočeský kraj</w:t>
            </w:r>
          </w:p>
        </w:tc>
        <w:tc>
          <w:tcPr>
            <w:tcW w:w="1191" w:type="dxa"/>
            <w:tcBorders>
              <w:top w:val="nil"/>
              <w:left w:val="single" w:sz="4" w:space="0" w:color="auto"/>
              <w:bottom w:val="nil"/>
              <w:right w:val="nil"/>
            </w:tcBorders>
            <w:shd w:val="clear" w:color="auto" w:fill="auto"/>
            <w:noWrap/>
            <w:vAlign w:val="bottom"/>
          </w:tcPr>
          <w:p w14:paraId="6DD84B18" w14:textId="33F9C15F" w:rsidR="00E57135" w:rsidRPr="00D92E20" w:rsidRDefault="00E57135" w:rsidP="00E57135">
            <w:pPr>
              <w:spacing w:after="0" w:line="240" w:lineRule="auto"/>
              <w:jc w:val="right"/>
              <w:rPr>
                <w:rFonts w:cs="Arial"/>
                <w:color w:val="000000"/>
                <w:sz w:val="16"/>
                <w:szCs w:val="16"/>
              </w:rPr>
            </w:pPr>
            <w:r>
              <w:rPr>
                <w:rFonts w:cs="Arial"/>
                <w:color w:val="000000"/>
                <w:sz w:val="16"/>
                <w:szCs w:val="16"/>
              </w:rPr>
              <w:t>88,5</w:t>
            </w:r>
          </w:p>
        </w:tc>
        <w:tc>
          <w:tcPr>
            <w:tcW w:w="1191" w:type="dxa"/>
            <w:tcBorders>
              <w:top w:val="nil"/>
              <w:left w:val="single" w:sz="4" w:space="0" w:color="auto"/>
              <w:bottom w:val="nil"/>
              <w:right w:val="nil"/>
            </w:tcBorders>
            <w:shd w:val="clear" w:color="auto" w:fill="auto"/>
            <w:vAlign w:val="bottom"/>
          </w:tcPr>
          <w:p w14:paraId="0640A42C" w14:textId="2716400C" w:rsidR="00E57135" w:rsidRPr="00D92E20" w:rsidRDefault="00E57135" w:rsidP="00E57135">
            <w:pPr>
              <w:spacing w:after="0" w:line="240" w:lineRule="auto"/>
              <w:jc w:val="right"/>
              <w:rPr>
                <w:rFonts w:cs="Arial"/>
                <w:color w:val="000000"/>
                <w:sz w:val="16"/>
                <w:szCs w:val="16"/>
              </w:rPr>
            </w:pPr>
            <w:r>
              <w:rPr>
                <w:rFonts w:cs="Arial"/>
                <w:color w:val="000000"/>
                <w:sz w:val="16"/>
                <w:szCs w:val="16"/>
              </w:rPr>
              <w:t>126,3</w:t>
            </w:r>
          </w:p>
        </w:tc>
        <w:tc>
          <w:tcPr>
            <w:tcW w:w="1191" w:type="dxa"/>
            <w:tcBorders>
              <w:top w:val="nil"/>
              <w:left w:val="single" w:sz="4" w:space="0" w:color="auto"/>
              <w:bottom w:val="nil"/>
              <w:right w:val="single" w:sz="4" w:space="0" w:color="auto"/>
            </w:tcBorders>
            <w:shd w:val="clear" w:color="auto" w:fill="auto"/>
            <w:noWrap/>
            <w:vAlign w:val="bottom"/>
          </w:tcPr>
          <w:p w14:paraId="10062453" w14:textId="76872971" w:rsidR="00E57135" w:rsidRPr="00D92E20" w:rsidRDefault="00E57135" w:rsidP="00E57135">
            <w:pPr>
              <w:spacing w:after="0" w:line="240" w:lineRule="auto"/>
              <w:jc w:val="right"/>
              <w:rPr>
                <w:rFonts w:cs="Arial"/>
                <w:color w:val="000000"/>
                <w:sz w:val="16"/>
                <w:szCs w:val="16"/>
              </w:rPr>
            </w:pPr>
            <w:r>
              <w:rPr>
                <w:rFonts w:cs="Arial"/>
                <w:color w:val="000000"/>
                <w:sz w:val="16"/>
                <w:szCs w:val="16"/>
              </w:rPr>
              <w:t>3 311,9</w:t>
            </w:r>
          </w:p>
        </w:tc>
        <w:tc>
          <w:tcPr>
            <w:tcW w:w="1191" w:type="dxa"/>
            <w:tcBorders>
              <w:top w:val="nil"/>
              <w:left w:val="single" w:sz="4" w:space="0" w:color="auto"/>
              <w:bottom w:val="nil"/>
              <w:right w:val="single" w:sz="4" w:space="0" w:color="auto"/>
            </w:tcBorders>
            <w:shd w:val="clear" w:color="auto" w:fill="auto"/>
            <w:vAlign w:val="bottom"/>
          </w:tcPr>
          <w:p w14:paraId="78E6CFCC" w14:textId="56675846" w:rsidR="00E57135" w:rsidRPr="00D92E20" w:rsidRDefault="00E57135" w:rsidP="00E57135">
            <w:pPr>
              <w:spacing w:after="0" w:line="240" w:lineRule="auto"/>
              <w:jc w:val="right"/>
              <w:rPr>
                <w:rFonts w:cs="Arial"/>
                <w:color w:val="000000"/>
                <w:sz w:val="16"/>
                <w:szCs w:val="16"/>
              </w:rPr>
            </w:pPr>
            <w:r>
              <w:rPr>
                <w:rFonts w:cs="Arial"/>
                <w:color w:val="000000"/>
                <w:sz w:val="16"/>
                <w:szCs w:val="16"/>
              </w:rPr>
              <w:t>3 281,1</w:t>
            </w:r>
          </w:p>
        </w:tc>
        <w:tc>
          <w:tcPr>
            <w:tcW w:w="1191" w:type="dxa"/>
            <w:tcBorders>
              <w:top w:val="nil"/>
              <w:left w:val="nil"/>
              <w:bottom w:val="nil"/>
              <w:right w:val="single" w:sz="4" w:space="0" w:color="auto"/>
            </w:tcBorders>
            <w:shd w:val="clear" w:color="auto" w:fill="auto"/>
            <w:noWrap/>
            <w:vAlign w:val="bottom"/>
          </w:tcPr>
          <w:p w14:paraId="4D621D60" w14:textId="360AAB0E" w:rsidR="00E57135" w:rsidRPr="00D92E20" w:rsidRDefault="00E57135" w:rsidP="00E57135">
            <w:pPr>
              <w:spacing w:after="0" w:line="240" w:lineRule="auto"/>
              <w:jc w:val="right"/>
              <w:rPr>
                <w:rFonts w:cs="Arial"/>
                <w:color w:val="000000"/>
                <w:sz w:val="16"/>
                <w:szCs w:val="16"/>
              </w:rPr>
            </w:pPr>
            <w:r>
              <w:rPr>
                <w:rFonts w:cs="Arial"/>
                <w:color w:val="000000"/>
                <w:sz w:val="16"/>
                <w:szCs w:val="16"/>
              </w:rPr>
              <w:t>37,4</w:t>
            </w:r>
          </w:p>
        </w:tc>
        <w:tc>
          <w:tcPr>
            <w:tcW w:w="1191" w:type="dxa"/>
            <w:tcBorders>
              <w:top w:val="nil"/>
              <w:left w:val="single" w:sz="4" w:space="0" w:color="auto"/>
              <w:bottom w:val="nil"/>
              <w:right w:val="nil"/>
            </w:tcBorders>
            <w:shd w:val="clear" w:color="auto" w:fill="auto"/>
            <w:vAlign w:val="bottom"/>
          </w:tcPr>
          <w:p w14:paraId="49BEBE91" w14:textId="0BEA1A1C" w:rsidR="00E57135" w:rsidRPr="00D92E20" w:rsidRDefault="00E57135" w:rsidP="00E57135">
            <w:pPr>
              <w:spacing w:after="0" w:line="240" w:lineRule="auto"/>
              <w:jc w:val="right"/>
              <w:rPr>
                <w:rFonts w:cs="Arial"/>
                <w:color w:val="000000"/>
                <w:sz w:val="16"/>
                <w:szCs w:val="16"/>
              </w:rPr>
            </w:pPr>
            <w:r>
              <w:rPr>
                <w:rFonts w:cs="Arial"/>
                <w:color w:val="000000"/>
                <w:sz w:val="16"/>
                <w:szCs w:val="16"/>
              </w:rPr>
              <w:t>26,0</w:t>
            </w:r>
          </w:p>
        </w:tc>
      </w:tr>
      <w:tr w:rsidR="00E57135" w:rsidRPr="00D92E20" w14:paraId="2575C1CF" w14:textId="77777777" w:rsidTr="00736595">
        <w:trPr>
          <w:trHeight w:val="285"/>
        </w:trPr>
        <w:tc>
          <w:tcPr>
            <w:tcW w:w="2438" w:type="dxa"/>
            <w:tcBorders>
              <w:top w:val="nil"/>
              <w:bottom w:val="nil"/>
              <w:right w:val="single" w:sz="4" w:space="0" w:color="auto"/>
            </w:tcBorders>
            <w:shd w:val="clear" w:color="auto" w:fill="auto"/>
            <w:noWrap/>
            <w:vAlign w:val="center"/>
            <w:hideMark/>
          </w:tcPr>
          <w:p w14:paraId="163B2E66" w14:textId="77777777" w:rsidR="00E57135" w:rsidRPr="00D92E20" w:rsidRDefault="00E57135" w:rsidP="00E57135">
            <w:pPr>
              <w:spacing w:after="0" w:line="240" w:lineRule="auto"/>
              <w:ind w:firstLineChars="100" w:firstLine="160"/>
              <w:rPr>
                <w:rFonts w:cs="Arial"/>
                <w:color w:val="000000"/>
                <w:sz w:val="16"/>
                <w:szCs w:val="16"/>
              </w:rPr>
            </w:pPr>
            <w:r w:rsidRPr="00D92E20">
              <w:rPr>
                <w:rFonts w:cs="Arial"/>
                <w:color w:val="000000"/>
                <w:sz w:val="16"/>
                <w:szCs w:val="16"/>
              </w:rPr>
              <w:t>Plzeňský kraj</w:t>
            </w:r>
          </w:p>
        </w:tc>
        <w:tc>
          <w:tcPr>
            <w:tcW w:w="1191" w:type="dxa"/>
            <w:tcBorders>
              <w:top w:val="nil"/>
              <w:left w:val="single" w:sz="4" w:space="0" w:color="auto"/>
              <w:bottom w:val="nil"/>
              <w:right w:val="nil"/>
            </w:tcBorders>
            <w:shd w:val="clear" w:color="auto" w:fill="auto"/>
            <w:noWrap/>
            <w:vAlign w:val="bottom"/>
          </w:tcPr>
          <w:p w14:paraId="247E25BB" w14:textId="0713BAD1" w:rsidR="00E57135" w:rsidRPr="00D92E20" w:rsidRDefault="00E57135" w:rsidP="00E57135">
            <w:pPr>
              <w:spacing w:after="0" w:line="240" w:lineRule="auto"/>
              <w:jc w:val="right"/>
              <w:rPr>
                <w:rFonts w:cs="Arial"/>
                <w:color w:val="000000"/>
                <w:sz w:val="16"/>
                <w:szCs w:val="16"/>
              </w:rPr>
            </w:pPr>
            <w:r>
              <w:rPr>
                <w:rFonts w:cs="Arial"/>
                <w:color w:val="000000"/>
                <w:sz w:val="16"/>
                <w:szCs w:val="16"/>
              </w:rPr>
              <w:t>94,4</w:t>
            </w:r>
          </w:p>
        </w:tc>
        <w:tc>
          <w:tcPr>
            <w:tcW w:w="1191" w:type="dxa"/>
            <w:tcBorders>
              <w:top w:val="nil"/>
              <w:left w:val="single" w:sz="4" w:space="0" w:color="auto"/>
              <w:bottom w:val="nil"/>
              <w:right w:val="nil"/>
            </w:tcBorders>
            <w:shd w:val="clear" w:color="auto" w:fill="auto"/>
            <w:vAlign w:val="bottom"/>
          </w:tcPr>
          <w:p w14:paraId="776FCDCD" w14:textId="6A6D1C25" w:rsidR="00E57135" w:rsidRPr="00D92E20" w:rsidRDefault="00E57135" w:rsidP="00E57135">
            <w:pPr>
              <w:spacing w:after="0" w:line="240" w:lineRule="auto"/>
              <w:jc w:val="right"/>
              <w:rPr>
                <w:rFonts w:cs="Arial"/>
                <w:color w:val="000000"/>
                <w:sz w:val="16"/>
                <w:szCs w:val="16"/>
              </w:rPr>
            </w:pPr>
            <w:r>
              <w:rPr>
                <w:rFonts w:cs="Arial"/>
                <w:color w:val="000000"/>
                <w:sz w:val="16"/>
                <w:szCs w:val="16"/>
              </w:rPr>
              <w:t>128,5</w:t>
            </w:r>
          </w:p>
        </w:tc>
        <w:tc>
          <w:tcPr>
            <w:tcW w:w="1191" w:type="dxa"/>
            <w:tcBorders>
              <w:top w:val="nil"/>
              <w:left w:val="single" w:sz="4" w:space="0" w:color="auto"/>
              <w:bottom w:val="nil"/>
              <w:right w:val="single" w:sz="4" w:space="0" w:color="auto"/>
            </w:tcBorders>
            <w:shd w:val="clear" w:color="auto" w:fill="auto"/>
            <w:noWrap/>
            <w:vAlign w:val="bottom"/>
          </w:tcPr>
          <w:p w14:paraId="53977D90" w14:textId="2FB90AB2" w:rsidR="00E57135" w:rsidRPr="00D92E20" w:rsidRDefault="00E57135" w:rsidP="00E57135">
            <w:pPr>
              <w:spacing w:after="0" w:line="240" w:lineRule="auto"/>
              <w:jc w:val="right"/>
              <w:rPr>
                <w:rFonts w:cs="Arial"/>
                <w:color w:val="000000"/>
                <w:sz w:val="16"/>
                <w:szCs w:val="16"/>
              </w:rPr>
            </w:pPr>
            <w:r>
              <w:rPr>
                <w:rFonts w:cs="Arial"/>
                <w:color w:val="000000"/>
                <w:sz w:val="16"/>
                <w:szCs w:val="16"/>
              </w:rPr>
              <w:t>3 260,1</w:t>
            </w:r>
          </w:p>
        </w:tc>
        <w:tc>
          <w:tcPr>
            <w:tcW w:w="1191" w:type="dxa"/>
            <w:tcBorders>
              <w:top w:val="nil"/>
              <w:left w:val="single" w:sz="4" w:space="0" w:color="auto"/>
              <w:bottom w:val="nil"/>
              <w:right w:val="single" w:sz="4" w:space="0" w:color="auto"/>
            </w:tcBorders>
            <w:shd w:val="clear" w:color="auto" w:fill="auto"/>
            <w:vAlign w:val="bottom"/>
          </w:tcPr>
          <w:p w14:paraId="17372E02" w14:textId="60D1311F" w:rsidR="00E57135" w:rsidRPr="00D92E20" w:rsidRDefault="00E57135" w:rsidP="00E57135">
            <w:pPr>
              <w:spacing w:after="0" w:line="240" w:lineRule="auto"/>
              <w:jc w:val="right"/>
              <w:rPr>
                <w:rFonts w:cs="Arial"/>
                <w:color w:val="000000"/>
                <w:sz w:val="16"/>
                <w:szCs w:val="16"/>
              </w:rPr>
            </w:pPr>
            <w:r>
              <w:rPr>
                <w:rFonts w:cs="Arial"/>
                <w:color w:val="000000"/>
                <w:sz w:val="16"/>
                <w:szCs w:val="16"/>
              </w:rPr>
              <w:t>3 081,7</w:t>
            </w:r>
          </w:p>
        </w:tc>
        <w:tc>
          <w:tcPr>
            <w:tcW w:w="1191" w:type="dxa"/>
            <w:tcBorders>
              <w:top w:val="nil"/>
              <w:left w:val="nil"/>
              <w:bottom w:val="nil"/>
              <w:right w:val="single" w:sz="4" w:space="0" w:color="auto"/>
            </w:tcBorders>
            <w:shd w:val="clear" w:color="auto" w:fill="auto"/>
            <w:noWrap/>
            <w:vAlign w:val="bottom"/>
          </w:tcPr>
          <w:p w14:paraId="6C5EFCAF" w14:textId="0E7B8A11" w:rsidR="00E57135" w:rsidRPr="00D92E20" w:rsidRDefault="00E57135" w:rsidP="00E57135">
            <w:pPr>
              <w:spacing w:after="0" w:line="240" w:lineRule="auto"/>
              <w:jc w:val="right"/>
              <w:rPr>
                <w:rFonts w:cs="Arial"/>
                <w:color w:val="000000"/>
                <w:sz w:val="16"/>
                <w:szCs w:val="16"/>
              </w:rPr>
            </w:pPr>
            <w:r>
              <w:rPr>
                <w:rFonts w:cs="Arial"/>
                <w:color w:val="000000"/>
                <w:sz w:val="16"/>
                <w:szCs w:val="16"/>
              </w:rPr>
              <w:t>34,5</w:t>
            </w:r>
          </w:p>
        </w:tc>
        <w:tc>
          <w:tcPr>
            <w:tcW w:w="1191" w:type="dxa"/>
            <w:tcBorders>
              <w:top w:val="nil"/>
              <w:left w:val="single" w:sz="4" w:space="0" w:color="auto"/>
              <w:bottom w:val="nil"/>
              <w:right w:val="nil"/>
            </w:tcBorders>
            <w:shd w:val="clear" w:color="auto" w:fill="auto"/>
            <w:vAlign w:val="bottom"/>
          </w:tcPr>
          <w:p w14:paraId="3AECB202" w14:textId="3F9CF64D" w:rsidR="00E57135" w:rsidRPr="00D92E20" w:rsidRDefault="00E57135" w:rsidP="00E57135">
            <w:pPr>
              <w:spacing w:after="0" w:line="240" w:lineRule="auto"/>
              <w:jc w:val="right"/>
              <w:rPr>
                <w:rFonts w:cs="Arial"/>
                <w:color w:val="000000"/>
                <w:sz w:val="16"/>
                <w:szCs w:val="16"/>
              </w:rPr>
            </w:pPr>
            <w:r>
              <w:rPr>
                <w:rFonts w:cs="Arial"/>
                <w:color w:val="000000"/>
                <w:sz w:val="16"/>
                <w:szCs w:val="16"/>
              </w:rPr>
              <w:t>24,0</w:t>
            </w:r>
          </w:p>
        </w:tc>
      </w:tr>
      <w:tr w:rsidR="00E57135" w:rsidRPr="00D92E20" w14:paraId="6D750AAC" w14:textId="77777777" w:rsidTr="00736595">
        <w:trPr>
          <w:trHeight w:val="285"/>
        </w:trPr>
        <w:tc>
          <w:tcPr>
            <w:tcW w:w="2438" w:type="dxa"/>
            <w:tcBorders>
              <w:top w:val="nil"/>
              <w:bottom w:val="nil"/>
              <w:right w:val="single" w:sz="4" w:space="0" w:color="auto"/>
            </w:tcBorders>
            <w:shd w:val="clear" w:color="auto" w:fill="auto"/>
            <w:noWrap/>
            <w:vAlign w:val="center"/>
            <w:hideMark/>
          </w:tcPr>
          <w:p w14:paraId="3198D5D3" w14:textId="77777777" w:rsidR="00E57135" w:rsidRPr="00D92E20" w:rsidRDefault="00E57135" w:rsidP="00E57135">
            <w:pPr>
              <w:spacing w:after="0" w:line="240" w:lineRule="auto"/>
              <w:ind w:firstLineChars="100" w:firstLine="160"/>
              <w:rPr>
                <w:rFonts w:cs="Arial"/>
                <w:color w:val="000000"/>
                <w:sz w:val="16"/>
                <w:szCs w:val="16"/>
              </w:rPr>
            </w:pPr>
            <w:r w:rsidRPr="00D92E20">
              <w:rPr>
                <w:rFonts w:cs="Arial"/>
                <w:color w:val="000000"/>
                <w:sz w:val="16"/>
                <w:szCs w:val="16"/>
              </w:rPr>
              <w:t>Karlovarský kraj</w:t>
            </w:r>
          </w:p>
        </w:tc>
        <w:tc>
          <w:tcPr>
            <w:tcW w:w="1191" w:type="dxa"/>
            <w:tcBorders>
              <w:top w:val="nil"/>
              <w:left w:val="single" w:sz="4" w:space="0" w:color="auto"/>
              <w:bottom w:val="nil"/>
              <w:right w:val="nil"/>
            </w:tcBorders>
            <w:shd w:val="clear" w:color="auto" w:fill="auto"/>
            <w:noWrap/>
            <w:vAlign w:val="bottom"/>
          </w:tcPr>
          <w:p w14:paraId="2C4FB532" w14:textId="70C5CC86" w:rsidR="00E57135" w:rsidRPr="00D92E20" w:rsidRDefault="00E57135" w:rsidP="00E57135">
            <w:pPr>
              <w:spacing w:after="0" w:line="240" w:lineRule="auto"/>
              <w:jc w:val="right"/>
              <w:rPr>
                <w:rFonts w:cs="Arial"/>
                <w:color w:val="000000"/>
                <w:sz w:val="16"/>
                <w:szCs w:val="16"/>
              </w:rPr>
            </w:pPr>
            <w:r>
              <w:rPr>
                <w:rFonts w:cs="Arial"/>
                <w:color w:val="000000"/>
                <w:sz w:val="16"/>
                <w:szCs w:val="16"/>
              </w:rPr>
              <w:t>36,5</w:t>
            </w:r>
          </w:p>
        </w:tc>
        <w:tc>
          <w:tcPr>
            <w:tcW w:w="1191" w:type="dxa"/>
            <w:tcBorders>
              <w:top w:val="nil"/>
              <w:left w:val="single" w:sz="4" w:space="0" w:color="auto"/>
              <w:bottom w:val="nil"/>
              <w:right w:val="nil"/>
            </w:tcBorders>
            <w:shd w:val="clear" w:color="auto" w:fill="auto"/>
            <w:vAlign w:val="bottom"/>
          </w:tcPr>
          <w:p w14:paraId="4F4FDF43" w14:textId="23C9BA3C" w:rsidR="00E57135" w:rsidRPr="00D92E20" w:rsidRDefault="00E57135" w:rsidP="00E57135">
            <w:pPr>
              <w:spacing w:after="0" w:line="240" w:lineRule="auto"/>
              <w:jc w:val="right"/>
              <w:rPr>
                <w:rFonts w:cs="Arial"/>
                <w:color w:val="000000"/>
                <w:sz w:val="16"/>
                <w:szCs w:val="16"/>
              </w:rPr>
            </w:pPr>
            <w:r>
              <w:rPr>
                <w:rFonts w:cs="Arial"/>
                <w:color w:val="000000"/>
                <w:sz w:val="16"/>
                <w:szCs w:val="16"/>
              </w:rPr>
              <w:t>47,4</w:t>
            </w:r>
          </w:p>
        </w:tc>
        <w:tc>
          <w:tcPr>
            <w:tcW w:w="1191" w:type="dxa"/>
            <w:tcBorders>
              <w:top w:val="nil"/>
              <w:left w:val="single" w:sz="4" w:space="0" w:color="auto"/>
              <w:bottom w:val="nil"/>
              <w:right w:val="single" w:sz="4" w:space="0" w:color="auto"/>
            </w:tcBorders>
            <w:shd w:val="clear" w:color="auto" w:fill="auto"/>
            <w:noWrap/>
            <w:vAlign w:val="bottom"/>
          </w:tcPr>
          <w:p w14:paraId="1315E43C" w14:textId="78722068" w:rsidR="00E57135" w:rsidRPr="00D92E20" w:rsidRDefault="00E57135" w:rsidP="00E57135">
            <w:pPr>
              <w:spacing w:after="0" w:line="240" w:lineRule="auto"/>
              <w:jc w:val="right"/>
              <w:rPr>
                <w:rFonts w:cs="Arial"/>
                <w:color w:val="000000"/>
                <w:sz w:val="16"/>
                <w:szCs w:val="16"/>
              </w:rPr>
            </w:pPr>
            <w:r>
              <w:rPr>
                <w:rFonts w:cs="Arial"/>
                <w:color w:val="000000"/>
                <w:sz w:val="16"/>
                <w:szCs w:val="16"/>
              </w:rPr>
              <w:t>1 259,4</w:t>
            </w:r>
          </w:p>
        </w:tc>
        <w:tc>
          <w:tcPr>
            <w:tcW w:w="1191" w:type="dxa"/>
            <w:tcBorders>
              <w:top w:val="nil"/>
              <w:left w:val="single" w:sz="4" w:space="0" w:color="auto"/>
              <w:bottom w:val="nil"/>
              <w:right w:val="single" w:sz="4" w:space="0" w:color="auto"/>
            </w:tcBorders>
            <w:shd w:val="clear" w:color="auto" w:fill="auto"/>
            <w:vAlign w:val="bottom"/>
          </w:tcPr>
          <w:p w14:paraId="4634DE7D" w14:textId="676F04F6" w:rsidR="00E57135" w:rsidRPr="00D92E20" w:rsidRDefault="00E57135" w:rsidP="00E57135">
            <w:pPr>
              <w:spacing w:after="0" w:line="240" w:lineRule="auto"/>
              <w:jc w:val="right"/>
              <w:rPr>
                <w:rFonts w:cs="Arial"/>
                <w:color w:val="000000"/>
                <w:sz w:val="16"/>
                <w:szCs w:val="16"/>
              </w:rPr>
            </w:pPr>
            <w:r>
              <w:rPr>
                <w:rFonts w:cs="Arial"/>
                <w:color w:val="000000"/>
                <w:sz w:val="16"/>
                <w:szCs w:val="16"/>
              </w:rPr>
              <w:t>1 217,6</w:t>
            </w:r>
          </w:p>
        </w:tc>
        <w:tc>
          <w:tcPr>
            <w:tcW w:w="1191" w:type="dxa"/>
            <w:tcBorders>
              <w:top w:val="nil"/>
              <w:left w:val="nil"/>
              <w:bottom w:val="nil"/>
              <w:right w:val="single" w:sz="4" w:space="0" w:color="auto"/>
            </w:tcBorders>
            <w:shd w:val="clear" w:color="auto" w:fill="auto"/>
            <w:noWrap/>
            <w:vAlign w:val="bottom"/>
          </w:tcPr>
          <w:p w14:paraId="423EF97C" w14:textId="09E18E96" w:rsidR="00E57135" w:rsidRPr="00D92E20" w:rsidRDefault="00E57135" w:rsidP="00E57135">
            <w:pPr>
              <w:spacing w:after="0" w:line="240" w:lineRule="auto"/>
              <w:jc w:val="right"/>
              <w:rPr>
                <w:rFonts w:cs="Arial"/>
                <w:color w:val="000000"/>
                <w:sz w:val="16"/>
                <w:szCs w:val="16"/>
              </w:rPr>
            </w:pPr>
            <w:r>
              <w:rPr>
                <w:rFonts w:cs="Arial"/>
                <w:color w:val="000000"/>
                <w:sz w:val="16"/>
                <w:szCs w:val="16"/>
              </w:rPr>
              <w:t>34,5</w:t>
            </w:r>
          </w:p>
        </w:tc>
        <w:tc>
          <w:tcPr>
            <w:tcW w:w="1191" w:type="dxa"/>
            <w:tcBorders>
              <w:top w:val="nil"/>
              <w:left w:val="single" w:sz="4" w:space="0" w:color="auto"/>
              <w:bottom w:val="nil"/>
              <w:right w:val="nil"/>
            </w:tcBorders>
            <w:shd w:val="clear" w:color="auto" w:fill="auto"/>
            <w:vAlign w:val="bottom"/>
          </w:tcPr>
          <w:p w14:paraId="75483062" w14:textId="6B8CDC22" w:rsidR="00E57135" w:rsidRPr="00D92E20" w:rsidRDefault="00E57135" w:rsidP="00E57135">
            <w:pPr>
              <w:spacing w:after="0" w:line="240" w:lineRule="auto"/>
              <w:jc w:val="right"/>
              <w:rPr>
                <w:rFonts w:cs="Arial"/>
                <w:color w:val="000000"/>
                <w:sz w:val="16"/>
                <w:szCs w:val="16"/>
              </w:rPr>
            </w:pPr>
            <w:r>
              <w:rPr>
                <w:rFonts w:cs="Arial"/>
                <w:color w:val="000000"/>
                <w:sz w:val="16"/>
                <w:szCs w:val="16"/>
              </w:rPr>
              <w:t>25,7</w:t>
            </w:r>
          </w:p>
        </w:tc>
      </w:tr>
      <w:tr w:rsidR="00E57135" w:rsidRPr="00D92E20" w14:paraId="6B7122AB" w14:textId="77777777" w:rsidTr="00736595">
        <w:trPr>
          <w:trHeight w:val="285"/>
        </w:trPr>
        <w:tc>
          <w:tcPr>
            <w:tcW w:w="2438" w:type="dxa"/>
            <w:tcBorders>
              <w:top w:val="nil"/>
              <w:bottom w:val="nil"/>
              <w:right w:val="single" w:sz="4" w:space="0" w:color="auto"/>
            </w:tcBorders>
            <w:shd w:val="clear" w:color="auto" w:fill="auto"/>
            <w:noWrap/>
            <w:vAlign w:val="center"/>
            <w:hideMark/>
          </w:tcPr>
          <w:p w14:paraId="3E27580E" w14:textId="77777777" w:rsidR="00E57135" w:rsidRPr="00D92E20" w:rsidRDefault="00E57135" w:rsidP="00E57135">
            <w:pPr>
              <w:spacing w:after="0" w:line="240" w:lineRule="auto"/>
              <w:ind w:firstLineChars="100" w:firstLine="160"/>
              <w:rPr>
                <w:rFonts w:cs="Arial"/>
                <w:color w:val="000000"/>
                <w:sz w:val="16"/>
                <w:szCs w:val="16"/>
              </w:rPr>
            </w:pPr>
            <w:r w:rsidRPr="00D92E20">
              <w:rPr>
                <w:rFonts w:cs="Arial"/>
                <w:color w:val="000000"/>
                <w:sz w:val="16"/>
                <w:szCs w:val="16"/>
              </w:rPr>
              <w:t>Ústecký kraj</w:t>
            </w:r>
          </w:p>
        </w:tc>
        <w:tc>
          <w:tcPr>
            <w:tcW w:w="1191" w:type="dxa"/>
            <w:tcBorders>
              <w:top w:val="nil"/>
              <w:left w:val="single" w:sz="4" w:space="0" w:color="auto"/>
              <w:bottom w:val="nil"/>
              <w:right w:val="nil"/>
            </w:tcBorders>
            <w:shd w:val="clear" w:color="auto" w:fill="auto"/>
            <w:noWrap/>
            <w:vAlign w:val="bottom"/>
          </w:tcPr>
          <w:p w14:paraId="6D1EF149" w14:textId="2FA0A2EE" w:rsidR="00E57135" w:rsidRPr="00D92E20" w:rsidRDefault="00E57135" w:rsidP="00E57135">
            <w:pPr>
              <w:spacing w:after="0" w:line="240" w:lineRule="auto"/>
              <w:jc w:val="right"/>
              <w:rPr>
                <w:rFonts w:cs="Arial"/>
                <w:color w:val="000000"/>
                <w:sz w:val="16"/>
                <w:szCs w:val="16"/>
              </w:rPr>
            </w:pPr>
            <w:r>
              <w:rPr>
                <w:rFonts w:cs="Arial"/>
                <w:color w:val="000000"/>
                <w:sz w:val="16"/>
                <w:szCs w:val="16"/>
              </w:rPr>
              <w:t>113,1</w:t>
            </w:r>
          </w:p>
        </w:tc>
        <w:tc>
          <w:tcPr>
            <w:tcW w:w="1191" w:type="dxa"/>
            <w:tcBorders>
              <w:top w:val="nil"/>
              <w:left w:val="single" w:sz="4" w:space="0" w:color="auto"/>
              <w:bottom w:val="nil"/>
              <w:right w:val="nil"/>
            </w:tcBorders>
            <w:shd w:val="clear" w:color="auto" w:fill="auto"/>
            <w:vAlign w:val="bottom"/>
          </w:tcPr>
          <w:p w14:paraId="0669D666" w14:textId="078E3E3B" w:rsidR="00E57135" w:rsidRPr="00D92E20" w:rsidRDefault="00E57135" w:rsidP="00E57135">
            <w:pPr>
              <w:spacing w:after="0" w:line="240" w:lineRule="auto"/>
              <w:jc w:val="right"/>
              <w:rPr>
                <w:rFonts w:cs="Arial"/>
                <w:color w:val="000000"/>
                <w:sz w:val="16"/>
                <w:szCs w:val="16"/>
              </w:rPr>
            </w:pPr>
            <w:r>
              <w:rPr>
                <w:rFonts w:cs="Arial"/>
                <w:color w:val="000000"/>
                <w:sz w:val="16"/>
                <w:szCs w:val="16"/>
              </w:rPr>
              <w:t>154,4</w:t>
            </w:r>
          </w:p>
        </w:tc>
        <w:tc>
          <w:tcPr>
            <w:tcW w:w="1191" w:type="dxa"/>
            <w:tcBorders>
              <w:top w:val="nil"/>
              <w:left w:val="single" w:sz="4" w:space="0" w:color="auto"/>
              <w:bottom w:val="nil"/>
              <w:right w:val="single" w:sz="4" w:space="0" w:color="auto"/>
            </w:tcBorders>
            <w:shd w:val="clear" w:color="auto" w:fill="auto"/>
            <w:noWrap/>
            <w:vAlign w:val="bottom"/>
          </w:tcPr>
          <w:p w14:paraId="4A038CC0" w14:textId="5763FE4B" w:rsidR="00E57135" w:rsidRPr="00D92E20" w:rsidRDefault="00E57135" w:rsidP="00E57135">
            <w:pPr>
              <w:spacing w:after="0" w:line="240" w:lineRule="auto"/>
              <w:jc w:val="right"/>
              <w:rPr>
                <w:rFonts w:cs="Arial"/>
                <w:color w:val="000000"/>
                <w:sz w:val="16"/>
                <w:szCs w:val="16"/>
              </w:rPr>
            </w:pPr>
            <w:r>
              <w:rPr>
                <w:rFonts w:cs="Arial"/>
                <w:color w:val="000000"/>
                <w:sz w:val="16"/>
                <w:szCs w:val="16"/>
              </w:rPr>
              <w:t>3 877,3</w:t>
            </w:r>
          </w:p>
        </w:tc>
        <w:tc>
          <w:tcPr>
            <w:tcW w:w="1191" w:type="dxa"/>
            <w:tcBorders>
              <w:top w:val="nil"/>
              <w:left w:val="single" w:sz="4" w:space="0" w:color="auto"/>
              <w:bottom w:val="nil"/>
              <w:right w:val="single" w:sz="4" w:space="0" w:color="auto"/>
            </w:tcBorders>
            <w:shd w:val="clear" w:color="auto" w:fill="auto"/>
            <w:vAlign w:val="bottom"/>
          </w:tcPr>
          <w:p w14:paraId="2552BB35" w14:textId="77CFEBD5" w:rsidR="00E57135" w:rsidRPr="00D92E20" w:rsidRDefault="00E57135" w:rsidP="00E57135">
            <w:pPr>
              <w:spacing w:after="0" w:line="240" w:lineRule="auto"/>
              <w:jc w:val="right"/>
              <w:rPr>
                <w:rFonts w:cs="Arial"/>
                <w:color w:val="000000"/>
                <w:sz w:val="16"/>
                <w:szCs w:val="16"/>
              </w:rPr>
            </w:pPr>
            <w:r>
              <w:rPr>
                <w:rFonts w:cs="Arial"/>
                <w:color w:val="000000"/>
                <w:sz w:val="16"/>
                <w:szCs w:val="16"/>
              </w:rPr>
              <w:t>3 783,5</w:t>
            </w:r>
          </w:p>
        </w:tc>
        <w:tc>
          <w:tcPr>
            <w:tcW w:w="1191" w:type="dxa"/>
            <w:tcBorders>
              <w:top w:val="nil"/>
              <w:left w:val="nil"/>
              <w:bottom w:val="nil"/>
              <w:right w:val="single" w:sz="4" w:space="0" w:color="auto"/>
            </w:tcBorders>
            <w:shd w:val="clear" w:color="auto" w:fill="auto"/>
            <w:noWrap/>
            <w:vAlign w:val="bottom"/>
          </w:tcPr>
          <w:p w14:paraId="34F485B2" w14:textId="0EB8B4FF" w:rsidR="00E57135" w:rsidRPr="00D92E20" w:rsidRDefault="00E57135" w:rsidP="00E57135">
            <w:pPr>
              <w:spacing w:after="0" w:line="240" w:lineRule="auto"/>
              <w:jc w:val="right"/>
              <w:rPr>
                <w:rFonts w:cs="Arial"/>
                <w:color w:val="000000"/>
                <w:sz w:val="16"/>
                <w:szCs w:val="16"/>
              </w:rPr>
            </w:pPr>
            <w:r>
              <w:rPr>
                <w:rFonts w:cs="Arial"/>
                <w:color w:val="000000"/>
                <w:sz w:val="16"/>
                <w:szCs w:val="16"/>
              </w:rPr>
              <w:t>34,3</w:t>
            </w:r>
          </w:p>
        </w:tc>
        <w:tc>
          <w:tcPr>
            <w:tcW w:w="1191" w:type="dxa"/>
            <w:tcBorders>
              <w:top w:val="nil"/>
              <w:left w:val="single" w:sz="4" w:space="0" w:color="auto"/>
              <w:bottom w:val="nil"/>
              <w:right w:val="nil"/>
            </w:tcBorders>
            <w:shd w:val="clear" w:color="auto" w:fill="auto"/>
            <w:vAlign w:val="bottom"/>
          </w:tcPr>
          <w:p w14:paraId="71E4A3E9" w14:textId="46041FE0" w:rsidR="00E57135" w:rsidRPr="00D92E20" w:rsidRDefault="00E57135" w:rsidP="00E57135">
            <w:pPr>
              <w:spacing w:after="0" w:line="240" w:lineRule="auto"/>
              <w:jc w:val="right"/>
              <w:rPr>
                <w:rFonts w:cs="Arial"/>
                <w:color w:val="000000"/>
                <w:sz w:val="16"/>
                <w:szCs w:val="16"/>
              </w:rPr>
            </w:pPr>
            <w:r>
              <w:rPr>
                <w:rFonts w:cs="Arial"/>
                <w:color w:val="000000"/>
                <w:sz w:val="16"/>
                <w:szCs w:val="16"/>
              </w:rPr>
              <w:t>24,5</w:t>
            </w:r>
          </w:p>
        </w:tc>
      </w:tr>
      <w:tr w:rsidR="00E57135" w:rsidRPr="00D92E20" w14:paraId="1FADCF93" w14:textId="77777777" w:rsidTr="00736595">
        <w:trPr>
          <w:trHeight w:val="285"/>
        </w:trPr>
        <w:tc>
          <w:tcPr>
            <w:tcW w:w="2438" w:type="dxa"/>
            <w:tcBorders>
              <w:top w:val="nil"/>
              <w:bottom w:val="nil"/>
              <w:right w:val="single" w:sz="4" w:space="0" w:color="auto"/>
            </w:tcBorders>
            <w:shd w:val="clear" w:color="auto" w:fill="auto"/>
            <w:noWrap/>
            <w:vAlign w:val="center"/>
            <w:hideMark/>
          </w:tcPr>
          <w:p w14:paraId="6E4BF23B" w14:textId="77777777" w:rsidR="00E57135" w:rsidRPr="00D92E20" w:rsidRDefault="00E57135" w:rsidP="00E57135">
            <w:pPr>
              <w:spacing w:after="0" w:line="240" w:lineRule="auto"/>
              <w:ind w:firstLineChars="100" w:firstLine="160"/>
              <w:rPr>
                <w:rFonts w:cs="Arial"/>
                <w:color w:val="000000"/>
                <w:sz w:val="16"/>
                <w:szCs w:val="16"/>
              </w:rPr>
            </w:pPr>
            <w:r w:rsidRPr="00D92E20">
              <w:rPr>
                <w:rFonts w:cs="Arial"/>
                <w:color w:val="000000"/>
                <w:sz w:val="16"/>
                <w:szCs w:val="16"/>
              </w:rPr>
              <w:t>Liberecký kraj</w:t>
            </w:r>
          </w:p>
        </w:tc>
        <w:tc>
          <w:tcPr>
            <w:tcW w:w="1191" w:type="dxa"/>
            <w:tcBorders>
              <w:top w:val="nil"/>
              <w:left w:val="single" w:sz="4" w:space="0" w:color="auto"/>
              <w:bottom w:val="nil"/>
              <w:right w:val="nil"/>
            </w:tcBorders>
            <w:shd w:val="clear" w:color="auto" w:fill="auto"/>
            <w:noWrap/>
            <w:vAlign w:val="bottom"/>
          </w:tcPr>
          <w:p w14:paraId="48760506" w14:textId="04B6BCDD" w:rsidR="00E57135" w:rsidRPr="00D92E20" w:rsidRDefault="00E57135" w:rsidP="00E57135">
            <w:pPr>
              <w:spacing w:after="0" w:line="240" w:lineRule="auto"/>
              <w:jc w:val="right"/>
              <w:rPr>
                <w:rFonts w:cs="Arial"/>
                <w:color w:val="000000"/>
                <w:sz w:val="16"/>
                <w:szCs w:val="16"/>
              </w:rPr>
            </w:pPr>
            <w:r>
              <w:rPr>
                <w:rFonts w:cs="Arial"/>
                <w:color w:val="000000"/>
                <w:sz w:val="16"/>
                <w:szCs w:val="16"/>
              </w:rPr>
              <w:t>71,3</w:t>
            </w:r>
          </w:p>
        </w:tc>
        <w:tc>
          <w:tcPr>
            <w:tcW w:w="1191" w:type="dxa"/>
            <w:tcBorders>
              <w:top w:val="nil"/>
              <w:left w:val="single" w:sz="4" w:space="0" w:color="auto"/>
              <w:bottom w:val="nil"/>
              <w:right w:val="nil"/>
            </w:tcBorders>
            <w:shd w:val="clear" w:color="auto" w:fill="auto"/>
            <w:vAlign w:val="bottom"/>
          </w:tcPr>
          <w:p w14:paraId="7298A1DD" w14:textId="2648E877" w:rsidR="00E57135" w:rsidRPr="00D92E20" w:rsidRDefault="00E57135" w:rsidP="00E57135">
            <w:pPr>
              <w:spacing w:after="0" w:line="240" w:lineRule="auto"/>
              <w:jc w:val="right"/>
              <w:rPr>
                <w:rFonts w:cs="Arial"/>
                <w:color w:val="000000"/>
                <w:sz w:val="16"/>
                <w:szCs w:val="16"/>
              </w:rPr>
            </w:pPr>
            <w:r>
              <w:rPr>
                <w:rFonts w:cs="Arial"/>
                <w:color w:val="000000"/>
                <w:sz w:val="16"/>
                <w:szCs w:val="16"/>
              </w:rPr>
              <w:t>98,9</w:t>
            </w:r>
          </w:p>
        </w:tc>
        <w:tc>
          <w:tcPr>
            <w:tcW w:w="1191" w:type="dxa"/>
            <w:tcBorders>
              <w:top w:val="nil"/>
              <w:left w:val="single" w:sz="4" w:space="0" w:color="auto"/>
              <w:bottom w:val="nil"/>
              <w:right w:val="single" w:sz="4" w:space="0" w:color="auto"/>
            </w:tcBorders>
            <w:shd w:val="clear" w:color="auto" w:fill="auto"/>
            <w:noWrap/>
            <w:vAlign w:val="bottom"/>
          </w:tcPr>
          <w:p w14:paraId="0AF492E2" w14:textId="7A34678F" w:rsidR="00E57135" w:rsidRPr="00D92E20" w:rsidRDefault="00E57135" w:rsidP="00E57135">
            <w:pPr>
              <w:spacing w:after="0" w:line="240" w:lineRule="auto"/>
              <w:jc w:val="right"/>
              <w:rPr>
                <w:rFonts w:cs="Arial"/>
                <w:color w:val="000000"/>
                <w:sz w:val="16"/>
                <w:szCs w:val="16"/>
              </w:rPr>
            </w:pPr>
            <w:r>
              <w:rPr>
                <w:rFonts w:cs="Arial"/>
                <w:color w:val="000000"/>
                <w:sz w:val="16"/>
                <w:szCs w:val="16"/>
              </w:rPr>
              <w:t>2 396,0</w:t>
            </w:r>
          </w:p>
        </w:tc>
        <w:tc>
          <w:tcPr>
            <w:tcW w:w="1191" w:type="dxa"/>
            <w:tcBorders>
              <w:top w:val="nil"/>
              <w:left w:val="single" w:sz="4" w:space="0" w:color="auto"/>
              <w:bottom w:val="nil"/>
              <w:right w:val="single" w:sz="4" w:space="0" w:color="auto"/>
            </w:tcBorders>
            <w:shd w:val="clear" w:color="auto" w:fill="auto"/>
            <w:vAlign w:val="bottom"/>
          </w:tcPr>
          <w:p w14:paraId="648692CB" w14:textId="0C3E5FC4" w:rsidR="00E57135" w:rsidRPr="00D92E20" w:rsidRDefault="00E57135" w:rsidP="00E57135">
            <w:pPr>
              <w:spacing w:after="0" w:line="240" w:lineRule="auto"/>
              <w:jc w:val="right"/>
              <w:rPr>
                <w:rFonts w:cs="Arial"/>
                <w:color w:val="000000"/>
                <w:sz w:val="16"/>
                <w:szCs w:val="16"/>
              </w:rPr>
            </w:pPr>
            <w:r>
              <w:rPr>
                <w:rFonts w:cs="Arial"/>
                <w:color w:val="000000"/>
                <w:sz w:val="16"/>
                <w:szCs w:val="16"/>
              </w:rPr>
              <w:t>2 378,0</w:t>
            </w:r>
          </w:p>
        </w:tc>
        <w:tc>
          <w:tcPr>
            <w:tcW w:w="1191" w:type="dxa"/>
            <w:tcBorders>
              <w:top w:val="nil"/>
              <w:left w:val="nil"/>
              <w:bottom w:val="nil"/>
              <w:right w:val="single" w:sz="4" w:space="0" w:color="auto"/>
            </w:tcBorders>
            <w:shd w:val="clear" w:color="auto" w:fill="auto"/>
            <w:noWrap/>
            <w:vAlign w:val="bottom"/>
          </w:tcPr>
          <w:p w14:paraId="0E12CE94" w14:textId="44D4C7C0" w:rsidR="00E57135" w:rsidRPr="00D92E20" w:rsidRDefault="00E57135" w:rsidP="00E57135">
            <w:pPr>
              <w:spacing w:after="0" w:line="240" w:lineRule="auto"/>
              <w:jc w:val="right"/>
              <w:rPr>
                <w:rFonts w:cs="Arial"/>
                <w:color w:val="000000"/>
                <w:sz w:val="16"/>
                <w:szCs w:val="16"/>
              </w:rPr>
            </w:pPr>
            <w:r>
              <w:rPr>
                <w:rFonts w:cs="Arial"/>
                <w:color w:val="000000"/>
                <w:sz w:val="16"/>
                <w:szCs w:val="16"/>
              </w:rPr>
              <w:t>33,6</w:t>
            </w:r>
          </w:p>
        </w:tc>
        <w:tc>
          <w:tcPr>
            <w:tcW w:w="1191" w:type="dxa"/>
            <w:tcBorders>
              <w:top w:val="nil"/>
              <w:left w:val="single" w:sz="4" w:space="0" w:color="auto"/>
              <w:bottom w:val="nil"/>
              <w:right w:val="nil"/>
            </w:tcBorders>
            <w:shd w:val="clear" w:color="auto" w:fill="auto"/>
            <w:vAlign w:val="bottom"/>
          </w:tcPr>
          <w:p w14:paraId="19BA6B29" w14:textId="419B173E" w:rsidR="00E57135" w:rsidRPr="00D92E20" w:rsidRDefault="00E57135" w:rsidP="00E57135">
            <w:pPr>
              <w:spacing w:after="0" w:line="240" w:lineRule="auto"/>
              <w:jc w:val="right"/>
              <w:rPr>
                <w:rFonts w:cs="Arial"/>
                <w:color w:val="000000"/>
                <w:sz w:val="16"/>
                <w:szCs w:val="16"/>
              </w:rPr>
            </w:pPr>
            <w:r>
              <w:rPr>
                <w:rFonts w:cs="Arial"/>
                <w:color w:val="000000"/>
                <w:sz w:val="16"/>
                <w:szCs w:val="16"/>
              </w:rPr>
              <w:t>24,0</w:t>
            </w:r>
          </w:p>
        </w:tc>
      </w:tr>
      <w:tr w:rsidR="00E57135" w:rsidRPr="00D92E20" w14:paraId="5E70E6E2" w14:textId="77777777" w:rsidTr="00736595">
        <w:trPr>
          <w:trHeight w:val="285"/>
        </w:trPr>
        <w:tc>
          <w:tcPr>
            <w:tcW w:w="2438" w:type="dxa"/>
            <w:tcBorders>
              <w:top w:val="nil"/>
              <w:bottom w:val="nil"/>
              <w:right w:val="single" w:sz="4" w:space="0" w:color="auto"/>
            </w:tcBorders>
            <w:shd w:val="clear" w:color="auto" w:fill="auto"/>
            <w:noWrap/>
            <w:vAlign w:val="center"/>
            <w:hideMark/>
          </w:tcPr>
          <w:p w14:paraId="6A00FF69" w14:textId="77777777" w:rsidR="00E57135" w:rsidRPr="00D92E20" w:rsidRDefault="00E57135" w:rsidP="00E57135">
            <w:pPr>
              <w:spacing w:after="0" w:line="240" w:lineRule="auto"/>
              <w:ind w:firstLineChars="100" w:firstLine="160"/>
              <w:rPr>
                <w:rFonts w:cs="Arial"/>
                <w:color w:val="000000"/>
                <w:sz w:val="16"/>
                <w:szCs w:val="16"/>
              </w:rPr>
            </w:pPr>
            <w:r w:rsidRPr="00D92E20">
              <w:rPr>
                <w:rFonts w:cs="Arial"/>
                <w:color w:val="000000"/>
                <w:sz w:val="16"/>
                <w:szCs w:val="16"/>
              </w:rPr>
              <w:t>Královéhradecký kraj</w:t>
            </w:r>
          </w:p>
        </w:tc>
        <w:tc>
          <w:tcPr>
            <w:tcW w:w="1191" w:type="dxa"/>
            <w:tcBorders>
              <w:top w:val="nil"/>
              <w:left w:val="single" w:sz="4" w:space="0" w:color="auto"/>
              <w:bottom w:val="nil"/>
              <w:right w:val="nil"/>
            </w:tcBorders>
            <w:shd w:val="clear" w:color="auto" w:fill="auto"/>
            <w:noWrap/>
            <w:vAlign w:val="bottom"/>
          </w:tcPr>
          <w:p w14:paraId="043AD8D3" w14:textId="68A5344A" w:rsidR="00E57135" w:rsidRPr="00D92E20" w:rsidRDefault="00E57135" w:rsidP="00E57135">
            <w:pPr>
              <w:spacing w:after="0" w:line="240" w:lineRule="auto"/>
              <w:jc w:val="right"/>
              <w:rPr>
                <w:rFonts w:cs="Arial"/>
                <w:color w:val="000000"/>
                <w:sz w:val="16"/>
                <w:szCs w:val="16"/>
              </w:rPr>
            </w:pPr>
            <w:r>
              <w:rPr>
                <w:rFonts w:cs="Arial"/>
                <w:color w:val="000000"/>
                <w:sz w:val="16"/>
                <w:szCs w:val="16"/>
              </w:rPr>
              <w:t>89,4</w:t>
            </w:r>
          </w:p>
        </w:tc>
        <w:tc>
          <w:tcPr>
            <w:tcW w:w="1191" w:type="dxa"/>
            <w:tcBorders>
              <w:top w:val="nil"/>
              <w:left w:val="single" w:sz="4" w:space="0" w:color="auto"/>
              <w:bottom w:val="nil"/>
              <w:right w:val="nil"/>
            </w:tcBorders>
            <w:shd w:val="clear" w:color="auto" w:fill="auto"/>
            <w:vAlign w:val="bottom"/>
          </w:tcPr>
          <w:p w14:paraId="43534426" w14:textId="70D069A1" w:rsidR="00E57135" w:rsidRPr="00D92E20" w:rsidRDefault="00E57135" w:rsidP="00E57135">
            <w:pPr>
              <w:spacing w:after="0" w:line="240" w:lineRule="auto"/>
              <w:jc w:val="right"/>
              <w:rPr>
                <w:rFonts w:cs="Arial"/>
                <w:color w:val="000000"/>
                <w:sz w:val="16"/>
                <w:szCs w:val="16"/>
              </w:rPr>
            </w:pPr>
            <w:r>
              <w:rPr>
                <w:rFonts w:cs="Arial"/>
                <w:color w:val="000000"/>
                <w:sz w:val="16"/>
                <w:szCs w:val="16"/>
              </w:rPr>
              <w:t>120,8</w:t>
            </w:r>
          </w:p>
        </w:tc>
        <w:tc>
          <w:tcPr>
            <w:tcW w:w="1191" w:type="dxa"/>
            <w:tcBorders>
              <w:top w:val="nil"/>
              <w:left w:val="single" w:sz="4" w:space="0" w:color="auto"/>
              <w:bottom w:val="nil"/>
              <w:right w:val="single" w:sz="4" w:space="0" w:color="auto"/>
            </w:tcBorders>
            <w:shd w:val="clear" w:color="auto" w:fill="auto"/>
            <w:noWrap/>
            <w:vAlign w:val="bottom"/>
          </w:tcPr>
          <w:p w14:paraId="0C338273" w14:textId="42D625AF" w:rsidR="00E57135" w:rsidRPr="00D92E20" w:rsidRDefault="00E57135" w:rsidP="00E57135">
            <w:pPr>
              <w:spacing w:after="0" w:line="240" w:lineRule="auto"/>
              <w:jc w:val="right"/>
              <w:rPr>
                <w:rFonts w:cs="Arial"/>
                <w:color w:val="000000"/>
                <w:sz w:val="16"/>
                <w:szCs w:val="16"/>
              </w:rPr>
            </w:pPr>
            <w:r>
              <w:rPr>
                <w:rFonts w:cs="Arial"/>
                <w:color w:val="000000"/>
                <w:sz w:val="16"/>
                <w:szCs w:val="16"/>
              </w:rPr>
              <w:t>2 978,0</w:t>
            </w:r>
          </w:p>
        </w:tc>
        <w:tc>
          <w:tcPr>
            <w:tcW w:w="1191" w:type="dxa"/>
            <w:tcBorders>
              <w:top w:val="nil"/>
              <w:left w:val="single" w:sz="4" w:space="0" w:color="auto"/>
              <w:bottom w:val="nil"/>
              <w:right w:val="single" w:sz="4" w:space="0" w:color="auto"/>
            </w:tcBorders>
            <w:shd w:val="clear" w:color="auto" w:fill="auto"/>
            <w:vAlign w:val="bottom"/>
          </w:tcPr>
          <w:p w14:paraId="6C6A39F2" w14:textId="75BF6F38" w:rsidR="00E57135" w:rsidRPr="00D92E20" w:rsidRDefault="00E57135" w:rsidP="00E57135">
            <w:pPr>
              <w:spacing w:after="0" w:line="240" w:lineRule="auto"/>
              <w:jc w:val="right"/>
              <w:rPr>
                <w:rFonts w:cs="Arial"/>
                <w:color w:val="000000"/>
                <w:sz w:val="16"/>
                <w:szCs w:val="16"/>
              </w:rPr>
            </w:pPr>
            <w:r>
              <w:rPr>
                <w:rFonts w:cs="Arial"/>
                <w:color w:val="000000"/>
                <w:sz w:val="16"/>
                <w:szCs w:val="16"/>
              </w:rPr>
              <w:t>2 800,5</w:t>
            </w:r>
          </w:p>
        </w:tc>
        <w:tc>
          <w:tcPr>
            <w:tcW w:w="1191" w:type="dxa"/>
            <w:tcBorders>
              <w:top w:val="nil"/>
              <w:left w:val="nil"/>
              <w:bottom w:val="nil"/>
              <w:right w:val="single" w:sz="4" w:space="0" w:color="auto"/>
            </w:tcBorders>
            <w:shd w:val="clear" w:color="auto" w:fill="auto"/>
            <w:noWrap/>
            <w:vAlign w:val="bottom"/>
          </w:tcPr>
          <w:p w14:paraId="391730C0" w14:textId="33B918F5" w:rsidR="00E57135" w:rsidRPr="00D92E20" w:rsidRDefault="00E57135" w:rsidP="00E57135">
            <w:pPr>
              <w:spacing w:after="0" w:line="240" w:lineRule="auto"/>
              <w:jc w:val="right"/>
              <w:rPr>
                <w:rFonts w:cs="Arial"/>
                <w:color w:val="000000"/>
                <w:sz w:val="16"/>
                <w:szCs w:val="16"/>
              </w:rPr>
            </w:pPr>
            <w:r>
              <w:rPr>
                <w:rFonts w:cs="Arial"/>
                <w:color w:val="000000"/>
                <w:sz w:val="16"/>
                <w:szCs w:val="16"/>
              </w:rPr>
              <w:t>33,3</w:t>
            </w:r>
          </w:p>
        </w:tc>
        <w:tc>
          <w:tcPr>
            <w:tcW w:w="1191" w:type="dxa"/>
            <w:tcBorders>
              <w:top w:val="nil"/>
              <w:left w:val="single" w:sz="4" w:space="0" w:color="auto"/>
              <w:bottom w:val="nil"/>
              <w:right w:val="nil"/>
            </w:tcBorders>
            <w:shd w:val="clear" w:color="auto" w:fill="auto"/>
            <w:vAlign w:val="bottom"/>
          </w:tcPr>
          <w:p w14:paraId="423DF871" w14:textId="7E75A7DC" w:rsidR="00E57135" w:rsidRPr="00D92E20" w:rsidRDefault="00E57135" w:rsidP="00E57135">
            <w:pPr>
              <w:spacing w:after="0" w:line="240" w:lineRule="auto"/>
              <w:jc w:val="right"/>
              <w:rPr>
                <w:rFonts w:cs="Arial"/>
                <w:color w:val="000000"/>
                <w:sz w:val="16"/>
                <w:szCs w:val="16"/>
              </w:rPr>
            </w:pPr>
            <w:r>
              <w:rPr>
                <w:rFonts w:cs="Arial"/>
                <w:color w:val="000000"/>
                <w:sz w:val="16"/>
                <w:szCs w:val="16"/>
              </w:rPr>
              <w:t>23,2</w:t>
            </w:r>
          </w:p>
        </w:tc>
      </w:tr>
      <w:tr w:rsidR="00E57135" w:rsidRPr="00D92E20" w14:paraId="0FF080AD" w14:textId="77777777" w:rsidTr="00736595">
        <w:trPr>
          <w:trHeight w:val="285"/>
        </w:trPr>
        <w:tc>
          <w:tcPr>
            <w:tcW w:w="2438" w:type="dxa"/>
            <w:tcBorders>
              <w:top w:val="nil"/>
              <w:bottom w:val="nil"/>
              <w:right w:val="single" w:sz="4" w:space="0" w:color="auto"/>
            </w:tcBorders>
            <w:shd w:val="clear" w:color="auto" w:fill="auto"/>
            <w:noWrap/>
            <w:vAlign w:val="center"/>
            <w:hideMark/>
          </w:tcPr>
          <w:p w14:paraId="2C565228" w14:textId="77777777" w:rsidR="00E57135" w:rsidRPr="00D92E20" w:rsidRDefault="00E57135" w:rsidP="00E57135">
            <w:pPr>
              <w:spacing w:after="0" w:line="240" w:lineRule="auto"/>
              <w:ind w:firstLineChars="100" w:firstLine="160"/>
              <w:rPr>
                <w:rFonts w:cs="Arial"/>
                <w:color w:val="000000"/>
                <w:sz w:val="16"/>
                <w:szCs w:val="16"/>
              </w:rPr>
            </w:pPr>
            <w:r w:rsidRPr="00D92E20">
              <w:rPr>
                <w:rFonts w:cs="Arial"/>
                <w:color w:val="000000"/>
                <w:sz w:val="16"/>
                <w:szCs w:val="16"/>
              </w:rPr>
              <w:t>Pardubický kraj</w:t>
            </w:r>
          </w:p>
        </w:tc>
        <w:tc>
          <w:tcPr>
            <w:tcW w:w="1191" w:type="dxa"/>
            <w:tcBorders>
              <w:top w:val="nil"/>
              <w:left w:val="single" w:sz="4" w:space="0" w:color="auto"/>
              <w:bottom w:val="nil"/>
              <w:right w:val="nil"/>
            </w:tcBorders>
            <w:shd w:val="clear" w:color="auto" w:fill="auto"/>
            <w:noWrap/>
            <w:vAlign w:val="bottom"/>
          </w:tcPr>
          <w:p w14:paraId="525EB89F" w14:textId="0B1ACD00" w:rsidR="00E57135" w:rsidRPr="00D92E20" w:rsidRDefault="00E57135" w:rsidP="00E57135">
            <w:pPr>
              <w:spacing w:after="0" w:line="240" w:lineRule="auto"/>
              <w:jc w:val="right"/>
              <w:rPr>
                <w:rFonts w:cs="Arial"/>
                <w:color w:val="000000"/>
                <w:sz w:val="16"/>
                <w:szCs w:val="16"/>
              </w:rPr>
            </w:pPr>
            <w:r>
              <w:rPr>
                <w:rFonts w:cs="Arial"/>
                <w:color w:val="000000"/>
                <w:sz w:val="16"/>
                <w:szCs w:val="16"/>
              </w:rPr>
              <w:t>79,3</w:t>
            </w:r>
          </w:p>
        </w:tc>
        <w:tc>
          <w:tcPr>
            <w:tcW w:w="1191" w:type="dxa"/>
            <w:tcBorders>
              <w:top w:val="nil"/>
              <w:left w:val="single" w:sz="4" w:space="0" w:color="auto"/>
              <w:bottom w:val="nil"/>
              <w:right w:val="nil"/>
            </w:tcBorders>
            <w:shd w:val="clear" w:color="auto" w:fill="auto"/>
            <w:vAlign w:val="bottom"/>
          </w:tcPr>
          <w:p w14:paraId="069A8B25" w14:textId="489AAB7D" w:rsidR="00E57135" w:rsidRPr="00D92E20" w:rsidRDefault="00E57135" w:rsidP="00E57135">
            <w:pPr>
              <w:spacing w:after="0" w:line="240" w:lineRule="auto"/>
              <w:jc w:val="right"/>
              <w:rPr>
                <w:rFonts w:cs="Arial"/>
                <w:color w:val="000000"/>
                <w:sz w:val="16"/>
                <w:szCs w:val="16"/>
              </w:rPr>
            </w:pPr>
            <w:r>
              <w:rPr>
                <w:rFonts w:cs="Arial"/>
                <w:color w:val="000000"/>
                <w:sz w:val="16"/>
                <w:szCs w:val="16"/>
              </w:rPr>
              <w:t>110,1</w:t>
            </w:r>
          </w:p>
        </w:tc>
        <w:tc>
          <w:tcPr>
            <w:tcW w:w="1191" w:type="dxa"/>
            <w:tcBorders>
              <w:top w:val="nil"/>
              <w:left w:val="single" w:sz="4" w:space="0" w:color="auto"/>
              <w:bottom w:val="nil"/>
              <w:right w:val="single" w:sz="4" w:space="0" w:color="auto"/>
            </w:tcBorders>
            <w:shd w:val="clear" w:color="auto" w:fill="auto"/>
            <w:noWrap/>
            <w:vAlign w:val="bottom"/>
          </w:tcPr>
          <w:p w14:paraId="48A9A672" w14:textId="6F6C19A4" w:rsidR="00E57135" w:rsidRPr="00D92E20" w:rsidRDefault="00E57135" w:rsidP="00E57135">
            <w:pPr>
              <w:spacing w:after="0" w:line="240" w:lineRule="auto"/>
              <w:jc w:val="right"/>
              <w:rPr>
                <w:rFonts w:cs="Arial"/>
                <w:color w:val="000000"/>
                <w:sz w:val="16"/>
                <w:szCs w:val="16"/>
              </w:rPr>
            </w:pPr>
            <w:r>
              <w:rPr>
                <w:rFonts w:cs="Arial"/>
                <w:color w:val="000000"/>
                <w:sz w:val="16"/>
                <w:szCs w:val="16"/>
              </w:rPr>
              <w:t>2 655,0</w:t>
            </w:r>
          </w:p>
        </w:tc>
        <w:tc>
          <w:tcPr>
            <w:tcW w:w="1191" w:type="dxa"/>
            <w:tcBorders>
              <w:top w:val="nil"/>
              <w:left w:val="single" w:sz="4" w:space="0" w:color="auto"/>
              <w:bottom w:val="nil"/>
              <w:right w:val="single" w:sz="4" w:space="0" w:color="auto"/>
            </w:tcBorders>
            <w:shd w:val="clear" w:color="auto" w:fill="auto"/>
            <w:vAlign w:val="bottom"/>
          </w:tcPr>
          <w:p w14:paraId="71D8D046" w14:textId="7ACFEB3B" w:rsidR="00E57135" w:rsidRPr="00D92E20" w:rsidRDefault="00E57135" w:rsidP="00E57135">
            <w:pPr>
              <w:spacing w:after="0" w:line="240" w:lineRule="auto"/>
              <w:jc w:val="right"/>
              <w:rPr>
                <w:rFonts w:cs="Arial"/>
                <w:color w:val="000000"/>
                <w:sz w:val="16"/>
                <w:szCs w:val="16"/>
              </w:rPr>
            </w:pPr>
            <w:r>
              <w:rPr>
                <w:rFonts w:cs="Arial"/>
                <w:color w:val="000000"/>
                <w:sz w:val="16"/>
                <w:szCs w:val="16"/>
              </w:rPr>
              <w:t>2 632,6</w:t>
            </w:r>
          </w:p>
        </w:tc>
        <w:tc>
          <w:tcPr>
            <w:tcW w:w="1191" w:type="dxa"/>
            <w:tcBorders>
              <w:top w:val="nil"/>
              <w:left w:val="nil"/>
              <w:bottom w:val="nil"/>
              <w:right w:val="single" w:sz="4" w:space="0" w:color="auto"/>
            </w:tcBorders>
            <w:shd w:val="clear" w:color="auto" w:fill="auto"/>
            <w:noWrap/>
            <w:vAlign w:val="bottom"/>
          </w:tcPr>
          <w:p w14:paraId="0C57E791" w14:textId="718F0A9D" w:rsidR="00E57135" w:rsidRPr="00D92E20" w:rsidRDefault="00E57135" w:rsidP="00E57135">
            <w:pPr>
              <w:spacing w:after="0" w:line="240" w:lineRule="auto"/>
              <w:jc w:val="right"/>
              <w:rPr>
                <w:rFonts w:cs="Arial"/>
                <w:color w:val="000000"/>
                <w:sz w:val="16"/>
                <w:szCs w:val="16"/>
              </w:rPr>
            </w:pPr>
            <w:r>
              <w:rPr>
                <w:rFonts w:cs="Arial"/>
                <w:color w:val="000000"/>
                <w:sz w:val="16"/>
                <w:szCs w:val="16"/>
              </w:rPr>
              <w:t>33,5</w:t>
            </w:r>
          </w:p>
        </w:tc>
        <w:tc>
          <w:tcPr>
            <w:tcW w:w="1191" w:type="dxa"/>
            <w:tcBorders>
              <w:top w:val="nil"/>
              <w:left w:val="single" w:sz="4" w:space="0" w:color="auto"/>
              <w:bottom w:val="nil"/>
              <w:right w:val="nil"/>
            </w:tcBorders>
            <w:shd w:val="clear" w:color="auto" w:fill="auto"/>
            <w:vAlign w:val="bottom"/>
          </w:tcPr>
          <w:p w14:paraId="25BAF25C" w14:textId="1AF6936D" w:rsidR="00E57135" w:rsidRPr="00D92E20" w:rsidRDefault="00E57135" w:rsidP="00E57135">
            <w:pPr>
              <w:spacing w:after="0" w:line="240" w:lineRule="auto"/>
              <w:jc w:val="right"/>
              <w:rPr>
                <w:rFonts w:cs="Arial"/>
                <w:color w:val="000000"/>
                <w:sz w:val="16"/>
                <w:szCs w:val="16"/>
              </w:rPr>
            </w:pPr>
            <w:r>
              <w:rPr>
                <w:rFonts w:cs="Arial"/>
                <w:color w:val="000000"/>
                <w:sz w:val="16"/>
                <w:szCs w:val="16"/>
              </w:rPr>
              <w:t>23,9</w:t>
            </w:r>
          </w:p>
        </w:tc>
      </w:tr>
      <w:tr w:rsidR="00E57135" w:rsidRPr="00D92E20" w14:paraId="4A3A07D3" w14:textId="77777777" w:rsidTr="00736595">
        <w:trPr>
          <w:trHeight w:val="285"/>
        </w:trPr>
        <w:tc>
          <w:tcPr>
            <w:tcW w:w="2438" w:type="dxa"/>
            <w:tcBorders>
              <w:top w:val="nil"/>
              <w:bottom w:val="nil"/>
              <w:right w:val="single" w:sz="4" w:space="0" w:color="auto"/>
            </w:tcBorders>
            <w:shd w:val="clear" w:color="auto" w:fill="auto"/>
            <w:noWrap/>
            <w:vAlign w:val="center"/>
            <w:hideMark/>
          </w:tcPr>
          <w:p w14:paraId="18852ABE" w14:textId="77777777" w:rsidR="00E57135" w:rsidRPr="00D92E20" w:rsidRDefault="00E57135" w:rsidP="00E57135">
            <w:pPr>
              <w:spacing w:after="0" w:line="240" w:lineRule="auto"/>
              <w:ind w:firstLineChars="100" w:firstLine="160"/>
              <w:rPr>
                <w:rFonts w:cs="Arial"/>
                <w:color w:val="000000"/>
                <w:sz w:val="16"/>
                <w:szCs w:val="16"/>
              </w:rPr>
            </w:pPr>
            <w:r w:rsidRPr="00D92E20">
              <w:rPr>
                <w:rFonts w:cs="Arial"/>
                <w:color w:val="000000"/>
                <w:sz w:val="16"/>
                <w:szCs w:val="16"/>
              </w:rPr>
              <w:t>Kraj Vysočina</w:t>
            </w:r>
          </w:p>
        </w:tc>
        <w:tc>
          <w:tcPr>
            <w:tcW w:w="1191" w:type="dxa"/>
            <w:tcBorders>
              <w:top w:val="nil"/>
              <w:left w:val="single" w:sz="4" w:space="0" w:color="auto"/>
              <w:bottom w:val="nil"/>
              <w:right w:val="nil"/>
            </w:tcBorders>
            <w:shd w:val="clear" w:color="auto" w:fill="auto"/>
            <w:noWrap/>
            <w:vAlign w:val="bottom"/>
          </w:tcPr>
          <w:p w14:paraId="7B16540B" w14:textId="2AD54F40" w:rsidR="00E57135" w:rsidRPr="00D92E20" w:rsidRDefault="00E57135" w:rsidP="00E57135">
            <w:pPr>
              <w:spacing w:after="0" w:line="240" w:lineRule="auto"/>
              <w:jc w:val="right"/>
              <w:rPr>
                <w:rFonts w:cs="Arial"/>
                <w:color w:val="000000"/>
                <w:sz w:val="16"/>
                <w:szCs w:val="16"/>
              </w:rPr>
            </w:pPr>
            <w:r>
              <w:rPr>
                <w:rFonts w:cs="Arial"/>
                <w:color w:val="000000"/>
                <w:sz w:val="16"/>
                <w:szCs w:val="16"/>
              </w:rPr>
              <w:t>65,5</w:t>
            </w:r>
          </w:p>
        </w:tc>
        <w:tc>
          <w:tcPr>
            <w:tcW w:w="1191" w:type="dxa"/>
            <w:tcBorders>
              <w:top w:val="nil"/>
              <w:left w:val="single" w:sz="4" w:space="0" w:color="auto"/>
              <w:bottom w:val="nil"/>
              <w:right w:val="nil"/>
            </w:tcBorders>
            <w:shd w:val="clear" w:color="auto" w:fill="auto"/>
            <w:vAlign w:val="bottom"/>
          </w:tcPr>
          <w:p w14:paraId="47C56FD9" w14:textId="54CE4366" w:rsidR="00E57135" w:rsidRPr="00D92E20" w:rsidRDefault="00E57135" w:rsidP="00E57135">
            <w:pPr>
              <w:spacing w:after="0" w:line="240" w:lineRule="auto"/>
              <w:jc w:val="right"/>
              <w:rPr>
                <w:rFonts w:cs="Arial"/>
                <w:color w:val="000000"/>
                <w:sz w:val="16"/>
                <w:szCs w:val="16"/>
              </w:rPr>
            </w:pPr>
            <w:r>
              <w:rPr>
                <w:rFonts w:cs="Arial"/>
                <w:color w:val="000000"/>
                <w:sz w:val="16"/>
                <w:szCs w:val="16"/>
              </w:rPr>
              <w:t>101,1</w:t>
            </w:r>
          </w:p>
        </w:tc>
        <w:tc>
          <w:tcPr>
            <w:tcW w:w="1191" w:type="dxa"/>
            <w:tcBorders>
              <w:top w:val="nil"/>
              <w:left w:val="single" w:sz="4" w:space="0" w:color="auto"/>
              <w:bottom w:val="nil"/>
              <w:right w:val="single" w:sz="4" w:space="0" w:color="auto"/>
            </w:tcBorders>
            <w:shd w:val="clear" w:color="auto" w:fill="auto"/>
            <w:noWrap/>
            <w:vAlign w:val="bottom"/>
          </w:tcPr>
          <w:p w14:paraId="4D3C4118" w14:textId="7D612667" w:rsidR="00E57135" w:rsidRPr="00D92E20" w:rsidRDefault="00E57135" w:rsidP="00E57135">
            <w:pPr>
              <w:spacing w:after="0" w:line="240" w:lineRule="auto"/>
              <w:jc w:val="right"/>
              <w:rPr>
                <w:rFonts w:cs="Arial"/>
                <w:color w:val="000000"/>
                <w:sz w:val="16"/>
                <w:szCs w:val="16"/>
              </w:rPr>
            </w:pPr>
            <w:r>
              <w:rPr>
                <w:rFonts w:cs="Arial"/>
                <w:color w:val="000000"/>
                <w:sz w:val="16"/>
                <w:szCs w:val="16"/>
              </w:rPr>
              <w:t>2 577,6</w:t>
            </w:r>
          </w:p>
        </w:tc>
        <w:tc>
          <w:tcPr>
            <w:tcW w:w="1191" w:type="dxa"/>
            <w:tcBorders>
              <w:top w:val="nil"/>
              <w:left w:val="single" w:sz="4" w:space="0" w:color="auto"/>
              <w:bottom w:val="nil"/>
              <w:right w:val="single" w:sz="4" w:space="0" w:color="auto"/>
            </w:tcBorders>
            <w:shd w:val="clear" w:color="auto" w:fill="auto"/>
            <w:vAlign w:val="bottom"/>
          </w:tcPr>
          <w:p w14:paraId="7C60B3D7" w14:textId="2E53D073" w:rsidR="00E57135" w:rsidRPr="00D92E20" w:rsidRDefault="00E57135" w:rsidP="00E57135">
            <w:pPr>
              <w:spacing w:after="0" w:line="240" w:lineRule="auto"/>
              <w:jc w:val="right"/>
              <w:rPr>
                <w:rFonts w:cs="Arial"/>
                <w:color w:val="000000"/>
                <w:sz w:val="16"/>
                <w:szCs w:val="16"/>
              </w:rPr>
            </w:pPr>
            <w:r>
              <w:rPr>
                <w:rFonts w:cs="Arial"/>
                <w:color w:val="000000"/>
                <w:sz w:val="16"/>
                <w:szCs w:val="16"/>
              </w:rPr>
              <w:t>2 625,0</w:t>
            </w:r>
          </w:p>
        </w:tc>
        <w:tc>
          <w:tcPr>
            <w:tcW w:w="1191" w:type="dxa"/>
            <w:tcBorders>
              <w:top w:val="nil"/>
              <w:left w:val="nil"/>
              <w:bottom w:val="nil"/>
              <w:right w:val="single" w:sz="4" w:space="0" w:color="auto"/>
            </w:tcBorders>
            <w:shd w:val="clear" w:color="auto" w:fill="auto"/>
            <w:noWrap/>
            <w:vAlign w:val="bottom"/>
          </w:tcPr>
          <w:p w14:paraId="21582949" w14:textId="58304260" w:rsidR="00E57135" w:rsidRPr="00D92E20" w:rsidRDefault="00E57135" w:rsidP="00E57135">
            <w:pPr>
              <w:spacing w:after="0" w:line="240" w:lineRule="auto"/>
              <w:jc w:val="right"/>
              <w:rPr>
                <w:rFonts w:cs="Arial"/>
                <w:color w:val="000000"/>
                <w:sz w:val="16"/>
                <w:szCs w:val="16"/>
              </w:rPr>
            </w:pPr>
            <w:r>
              <w:rPr>
                <w:rFonts w:cs="Arial"/>
                <w:color w:val="000000"/>
                <w:sz w:val="16"/>
                <w:szCs w:val="16"/>
              </w:rPr>
              <w:t>39,4</w:t>
            </w:r>
          </w:p>
        </w:tc>
        <w:tc>
          <w:tcPr>
            <w:tcW w:w="1191" w:type="dxa"/>
            <w:tcBorders>
              <w:top w:val="nil"/>
              <w:left w:val="single" w:sz="4" w:space="0" w:color="auto"/>
              <w:bottom w:val="nil"/>
              <w:right w:val="nil"/>
            </w:tcBorders>
            <w:shd w:val="clear" w:color="auto" w:fill="auto"/>
            <w:vAlign w:val="bottom"/>
          </w:tcPr>
          <w:p w14:paraId="24E04168" w14:textId="200808D0" w:rsidR="00E57135" w:rsidRPr="00D92E20" w:rsidRDefault="00E57135" w:rsidP="00E57135">
            <w:pPr>
              <w:spacing w:after="0" w:line="240" w:lineRule="auto"/>
              <w:jc w:val="right"/>
              <w:rPr>
                <w:rFonts w:cs="Arial"/>
                <w:color w:val="000000"/>
                <w:sz w:val="16"/>
                <w:szCs w:val="16"/>
              </w:rPr>
            </w:pPr>
            <w:r>
              <w:rPr>
                <w:rFonts w:cs="Arial"/>
                <w:color w:val="000000"/>
                <w:sz w:val="16"/>
                <w:szCs w:val="16"/>
              </w:rPr>
              <w:t>26,0</w:t>
            </w:r>
          </w:p>
        </w:tc>
      </w:tr>
      <w:tr w:rsidR="00E57135" w:rsidRPr="00D92E20" w14:paraId="0FDFAE32" w14:textId="77777777" w:rsidTr="00736595">
        <w:trPr>
          <w:trHeight w:val="285"/>
        </w:trPr>
        <w:tc>
          <w:tcPr>
            <w:tcW w:w="2438" w:type="dxa"/>
            <w:tcBorders>
              <w:top w:val="nil"/>
              <w:bottom w:val="nil"/>
              <w:right w:val="single" w:sz="4" w:space="0" w:color="auto"/>
            </w:tcBorders>
            <w:shd w:val="clear" w:color="auto" w:fill="auto"/>
            <w:noWrap/>
            <w:vAlign w:val="center"/>
            <w:hideMark/>
          </w:tcPr>
          <w:p w14:paraId="2F4B09B6" w14:textId="77777777" w:rsidR="00E57135" w:rsidRPr="00D92E20" w:rsidRDefault="00E57135" w:rsidP="00E57135">
            <w:pPr>
              <w:spacing w:after="0" w:line="240" w:lineRule="auto"/>
              <w:ind w:firstLineChars="100" w:firstLine="160"/>
              <w:rPr>
                <w:rFonts w:cs="Arial"/>
                <w:color w:val="000000"/>
                <w:sz w:val="16"/>
                <w:szCs w:val="16"/>
              </w:rPr>
            </w:pPr>
            <w:r w:rsidRPr="00D92E20">
              <w:rPr>
                <w:rFonts w:cs="Arial"/>
                <w:color w:val="000000"/>
                <w:sz w:val="16"/>
                <w:szCs w:val="16"/>
              </w:rPr>
              <w:t>Jihomoravský kraj</w:t>
            </w:r>
          </w:p>
        </w:tc>
        <w:tc>
          <w:tcPr>
            <w:tcW w:w="1191" w:type="dxa"/>
            <w:tcBorders>
              <w:top w:val="nil"/>
              <w:left w:val="single" w:sz="4" w:space="0" w:color="auto"/>
              <w:bottom w:val="nil"/>
              <w:right w:val="nil"/>
            </w:tcBorders>
            <w:shd w:val="clear" w:color="auto" w:fill="auto"/>
            <w:noWrap/>
            <w:vAlign w:val="bottom"/>
          </w:tcPr>
          <w:p w14:paraId="1EE4B7A6" w14:textId="0B45A5AD" w:rsidR="00E57135" w:rsidRPr="00D92E20" w:rsidRDefault="00E57135" w:rsidP="00E57135">
            <w:pPr>
              <w:spacing w:after="0" w:line="240" w:lineRule="auto"/>
              <w:jc w:val="right"/>
              <w:rPr>
                <w:rFonts w:cs="Arial"/>
                <w:color w:val="000000"/>
                <w:sz w:val="16"/>
                <w:szCs w:val="16"/>
              </w:rPr>
            </w:pPr>
            <w:r>
              <w:rPr>
                <w:rFonts w:cs="Arial"/>
                <w:color w:val="000000"/>
                <w:sz w:val="16"/>
                <w:szCs w:val="16"/>
              </w:rPr>
              <w:t>146,5</w:t>
            </w:r>
          </w:p>
        </w:tc>
        <w:tc>
          <w:tcPr>
            <w:tcW w:w="1191" w:type="dxa"/>
            <w:tcBorders>
              <w:top w:val="nil"/>
              <w:left w:val="single" w:sz="4" w:space="0" w:color="auto"/>
              <w:bottom w:val="nil"/>
              <w:right w:val="nil"/>
            </w:tcBorders>
            <w:shd w:val="clear" w:color="auto" w:fill="auto"/>
            <w:vAlign w:val="bottom"/>
          </w:tcPr>
          <w:p w14:paraId="6CC05FB5" w14:textId="147AA227" w:rsidR="00E57135" w:rsidRPr="00D92E20" w:rsidRDefault="00E57135" w:rsidP="00E57135">
            <w:pPr>
              <w:spacing w:after="0" w:line="240" w:lineRule="auto"/>
              <w:jc w:val="right"/>
              <w:rPr>
                <w:rFonts w:cs="Arial"/>
                <w:color w:val="000000"/>
                <w:sz w:val="16"/>
                <w:szCs w:val="16"/>
              </w:rPr>
            </w:pPr>
            <w:r>
              <w:rPr>
                <w:rFonts w:cs="Arial"/>
                <w:color w:val="000000"/>
                <w:sz w:val="16"/>
                <w:szCs w:val="16"/>
              </w:rPr>
              <w:t>230,0</w:t>
            </w:r>
          </w:p>
        </w:tc>
        <w:tc>
          <w:tcPr>
            <w:tcW w:w="1191" w:type="dxa"/>
            <w:tcBorders>
              <w:top w:val="nil"/>
              <w:left w:val="single" w:sz="4" w:space="0" w:color="auto"/>
              <w:bottom w:val="nil"/>
              <w:right w:val="single" w:sz="4" w:space="0" w:color="auto"/>
            </w:tcBorders>
            <w:shd w:val="clear" w:color="auto" w:fill="auto"/>
            <w:noWrap/>
            <w:vAlign w:val="bottom"/>
          </w:tcPr>
          <w:p w14:paraId="01BD46D3" w14:textId="300D9E18" w:rsidR="00E57135" w:rsidRPr="00D92E20" w:rsidRDefault="00E57135" w:rsidP="00E57135">
            <w:pPr>
              <w:spacing w:after="0" w:line="240" w:lineRule="auto"/>
              <w:jc w:val="right"/>
              <w:rPr>
                <w:rFonts w:cs="Arial"/>
                <w:color w:val="000000"/>
                <w:sz w:val="16"/>
                <w:szCs w:val="16"/>
              </w:rPr>
            </w:pPr>
            <w:r>
              <w:rPr>
                <w:rFonts w:cs="Arial"/>
                <w:color w:val="000000"/>
                <w:sz w:val="16"/>
                <w:szCs w:val="16"/>
              </w:rPr>
              <w:t>5 702,6</w:t>
            </w:r>
          </w:p>
        </w:tc>
        <w:tc>
          <w:tcPr>
            <w:tcW w:w="1191" w:type="dxa"/>
            <w:tcBorders>
              <w:top w:val="nil"/>
              <w:left w:val="single" w:sz="4" w:space="0" w:color="auto"/>
              <w:bottom w:val="nil"/>
              <w:right w:val="single" w:sz="4" w:space="0" w:color="auto"/>
            </w:tcBorders>
            <w:shd w:val="clear" w:color="auto" w:fill="auto"/>
            <w:vAlign w:val="bottom"/>
          </w:tcPr>
          <w:p w14:paraId="2B24A5BB" w14:textId="09480FAE" w:rsidR="00E57135" w:rsidRPr="00D92E20" w:rsidRDefault="00E57135" w:rsidP="00E57135">
            <w:pPr>
              <w:spacing w:after="0" w:line="240" w:lineRule="auto"/>
              <w:jc w:val="right"/>
              <w:rPr>
                <w:rFonts w:cs="Arial"/>
                <w:color w:val="000000"/>
                <w:sz w:val="16"/>
                <w:szCs w:val="16"/>
              </w:rPr>
            </w:pPr>
            <w:r>
              <w:rPr>
                <w:rFonts w:cs="Arial"/>
                <w:color w:val="000000"/>
                <w:sz w:val="16"/>
                <w:szCs w:val="16"/>
              </w:rPr>
              <w:t>5 940,7</w:t>
            </w:r>
          </w:p>
        </w:tc>
        <w:tc>
          <w:tcPr>
            <w:tcW w:w="1191" w:type="dxa"/>
            <w:tcBorders>
              <w:top w:val="nil"/>
              <w:left w:val="nil"/>
              <w:bottom w:val="nil"/>
              <w:right w:val="single" w:sz="4" w:space="0" w:color="auto"/>
            </w:tcBorders>
            <w:shd w:val="clear" w:color="auto" w:fill="auto"/>
            <w:noWrap/>
            <w:vAlign w:val="bottom"/>
          </w:tcPr>
          <w:p w14:paraId="590DBFEF" w14:textId="6719E8AD" w:rsidR="00E57135" w:rsidRPr="00D92E20" w:rsidRDefault="00E57135" w:rsidP="00E57135">
            <w:pPr>
              <w:spacing w:after="0" w:line="240" w:lineRule="auto"/>
              <w:jc w:val="right"/>
              <w:rPr>
                <w:rFonts w:cs="Arial"/>
                <w:color w:val="000000"/>
                <w:sz w:val="16"/>
                <w:szCs w:val="16"/>
              </w:rPr>
            </w:pPr>
            <w:r>
              <w:rPr>
                <w:rFonts w:cs="Arial"/>
                <w:color w:val="000000"/>
                <w:sz w:val="16"/>
                <w:szCs w:val="16"/>
              </w:rPr>
              <w:t>38,9</w:t>
            </w:r>
          </w:p>
        </w:tc>
        <w:tc>
          <w:tcPr>
            <w:tcW w:w="1191" w:type="dxa"/>
            <w:tcBorders>
              <w:top w:val="nil"/>
              <w:left w:val="single" w:sz="4" w:space="0" w:color="auto"/>
              <w:bottom w:val="nil"/>
              <w:right w:val="nil"/>
            </w:tcBorders>
            <w:shd w:val="clear" w:color="auto" w:fill="auto"/>
            <w:vAlign w:val="bottom"/>
          </w:tcPr>
          <w:p w14:paraId="37F6BDE4" w14:textId="6950D8CB" w:rsidR="00E57135" w:rsidRPr="00D92E20" w:rsidRDefault="00E57135" w:rsidP="00E57135">
            <w:pPr>
              <w:spacing w:after="0" w:line="240" w:lineRule="auto"/>
              <w:jc w:val="right"/>
              <w:rPr>
                <w:rFonts w:cs="Arial"/>
                <w:color w:val="000000"/>
                <w:sz w:val="16"/>
                <w:szCs w:val="16"/>
              </w:rPr>
            </w:pPr>
            <w:r>
              <w:rPr>
                <w:rFonts w:cs="Arial"/>
                <w:color w:val="000000"/>
                <w:sz w:val="16"/>
                <w:szCs w:val="16"/>
              </w:rPr>
              <w:t>25,8</w:t>
            </w:r>
          </w:p>
        </w:tc>
      </w:tr>
      <w:tr w:rsidR="00E57135" w:rsidRPr="00D92E20" w14:paraId="42FF24A9" w14:textId="77777777" w:rsidTr="00736595">
        <w:trPr>
          <w:trHeight w:val="285"/>
        </w:trPr>
        <w:tc>
          <w:tcPr>
            <w:tcW w:w="2438" w:type="dxa"/>
            <w:tcBorders>
              <w:top w:val="nil"/>
              <w:bottom w:val="nil"/>
              <w:right w:val="single" w:sz="4" w:space="0" w:color="auto"/>
            </w:tcBorders>
            <w:shd w:val="clear" w:color="auto" w:fill="auto"/>
            <w:noWrap/>
            <w:vAlign w:val="center"/>
            <w:hideMark/>
          </w:tcPr>
          <w:p w14:paraId="132A69E4" w14:textId="77777777" w:rsidR="00E57135" w:rsidRPr="00D92E20" w:rsidRDefault="00E57135" w:rsidP="00E57135">
            <w:pPr>
              <w:spacing w:after="0" w:line="240" w:lineRule="auto"/>
              <w:ind w:firstLineChars="100" w:firstLine="160"/>
              <w:rPr>
                <w:rFonts w:cs="Arial"/>
                <w:color w:val="000000"/>
                <w:sz w:val="16"/>
                <w:szCs w:val="16"/>
              </w:rPr>
            </w:pPr>
            <w:r w:rsidRPr="00D92E20">
              <w:rPr>
                <w:rFonts w:cs="Arial"/>
                <w:color w:val="000000"/>
                <w:sz w:val="16"/>
                <w:szCs w:val="16"/>
              </w:rPr>
              <w:t>Olomoucký kraj</w:t>
            </w:r>
          </w:p>
        </w:tc>
        <w:tc>
          <w:tcPr>
            <w:tcW w:w="1191" w:type="dxa"/>
            <w:tcBorders>
              <w:top w:val="nil"/>
              <w:left w:val="single" w:sz="4" w:space="0" w:color="auto"/>
              <w:bottom w:val="nil"/>
              <w:right w:val="nil"/>
            </w:tcBorders>
            <w:shd w:val="clear" w:color="auto" w:fill="auto"/>
            <w:noWrap/>
            <w:vAlign w:val="bottom"/>
          </w:tcPr>
          <w:p w14:paraId="337F1D08" w14:textId="6EA06E70" w:rsidR="00E57135" w:rsidRPr="00D92E20" w:rsidRDefault="00E57135" w:rsidP="00E57135">
            <w:pPr>
              <w:spacing w:after="0" w:line="240" w:lineRule="auto"/>
              <w:jc w:val="right"/>
              <w:rPr>
                <w:rFonts w:cs="Arial"/>
                <w:color w:val="000000"/>
                <w:sz w:val="16"/>
                <w:szCs w:val="16"/>
              </w:rPr>
            </w:pPr>
            <w:r>
              <w:rPr>
                <w:rFonts w:cs="Arial"/>
                <w:color w:val="000000"/>
                <w:sz w:val="16"/>
                <w:szCs w:val="16"/>
              </w:rPr>
              <w:t>87,9</w:t>
            </w:r>
          </w:p>
        </w:tc>
        <w:tc>
          <w:tcPr>
            <w:tcW w:w="1191" w:type="dxa"/>
            <w:tcBorders>
              <w:top w:val="nil"/>
              <w:left w:val="single" w:sz="4" w:space="0" w:color="auto"/>
              <w:bottom w:val="nil"/>
              <w:right w:val="nil"/>
            </w:tcBorders>
            <w:shd w:val="clear" w:color="auto" w:fill="auto"/>
            <w:vAlign w:val="bottom"/>
          </w:tcPr>
          <w:p w14:paraId="5D2D0C5E" w14:textId="3C6D6A26" w:rsidR="00E57135" w:rsidRPr="00D92E20" w:rsidRDefault="00E57135" w:rsidP="00E57135">
            <w:pPr>
              <w:spacing w:after="0" w:line="240" w:lineRule="auto"/>
              <w:jc w:val="right"/>
              <w:rPr>
                <w:rFonts w:cs="Arial"/>
                <w:color w:val="000000"/>
                <w:sz w:val="16"/>
                <w:szCs w:val="16"/>
              </w:rPr>
            </w:pPr>
            <w:r>
              <w:rPr>
                <w:rFonts w:cs="Arial"/>
                <w:color w:val="000000"/>
                <w:sz w:val="16"/>
                <w:szCs w:val="16"/>
              </w:rPr>
              <w:t>129,6</w:t>
            </w:r>
          </w:p>
        </w:tc>
        <w:tc>
          <w:tcPr>
            <w:tcW w:w="1191" w:type="dxa"/>
            <w:tcBorders>
              <w:top w:val="nil"/>
              <w:left w:val="single" w:sz="4" w:space="0" w:color="auto"/>
              <w:bottom w:val="nil"/>
              <w:right w:val="single" w:sz="4" w:space="0" w:color="auto"/>
            </w:tcBorders>
            <w:shd w:val="clear" w:color="auto" w:fill="auto"/>
            <w:noWrap/>
            <w:vAlign w:val="bottom"/>
          </w:tcPr>
          <w:p w14:paraId="3AAA2D38" w14:textId="00EAA1E7" w:rsidR="00E57135" w:rsidRPr="00D92E20" w:rsidRDefault="00E57135" w:rsidP="00E57135">
            <w:pPr>
              <w:spacing w:after="0" w:line="240" w:lineRule="auto"/>
              <w:jc w:val="right"/>
              <w:rPr>
                <w:rFonts w:cs="Arial"/>
                <w:color w:val="000000"/>
                <w:sz w:val="16"/>
                <w:szCs w:val="16"/>
              </w:rPr>
            </w:pPr>
            <w:r>
              <w:rPr>
                <w:rFonts w:cs="Arial"/>
                <w:color w:val="000000"/>
                <w:sz w:val="16"/>
                <w:szCs w:val="16"/>
              </w:rPr>
              <w:t>3 349,6</w:t>
            </w:r>
          </w:p>
        </w:tc>
        <w:tc>
          <w:tcPr>
            <w:tcW w:w="1191" w:type="dxa"/>
            <w:tcBorders>
              <w:top w:val="nil"/>
              <w:left w:val="single" w:sz="4" w:space="0" w:color="auto"/>
              <w:bottom w:val="nil"/>
              <w:right w:val="single" w:sz="4" w:space="0" w:color="auto"/>
            </w:tcBorders>
            <w:shd w:val="clear" w:color="auto" w:fill="auto"/>
            <w:vAlign w:val="bottom"/>
          </w:tcPr>
          <w:p w14:paraId="2440695D" w14:textId="0FDDFC16" w:rsidR="00E57135" w:rsidRPr="00D92E20" w:rsidRDefault="00E57135" w:rsidP="00E57135">
            <w:pPr>
              <w:spacing w:after="0" w:line="240" w:lineRule="auto"/>
              <w:jc w:val="right"/>
              <w:rPr>
                <w:rFonts w:cs="Arial"/>
                <w:color w:val="000000"/>
                <w:sz w:val="16"/>
                <w:szCs w:val="16"/>
              </w:rPr>
            </w:pPr>
            <w:r>
              <w:rPr>
                <w:rFonts w:cs="Arial"/>
                <w:color w:val="000000"/>
                <w:sz w:val="16"/>
                <w:szCs w:val="16"/>
              </w:rPr>
              <w:t>3 414,6</w:t>
            </w:r>
          </w:p>
        </w:tc>
        <w:tc>
          <w:tcPr>
            <w:tcW w:w="1191" w:type="dxa"/>
            <w:tcBorders>
              <w:top w:val="nil"/>
              <w:left w:val="nil"/>
              <w:bottom w:val="nil"/>
              <w:right w:val="single" w:sz="4" w:space="0" w:color="auto"/>
            </w:tcBorders>
            <w:shd w:val="clear" w:color="auto" w:fill="auto"/>
            <w:noWrap/>
            <w:vAlign w:val="bottom"/>
          </w:tcPr>
          <w:p w14:paraId="16B745B8" w14:textId="2C250C02" w:rsidR="00E57135" w:rsidRPr="00D92E20" w:rsidRDefault="00E57135" w:rsidP="00E57135">
            <w:pPr>
              <w:spacing w:after="0" w:line="240" w:lineRule="auto"/>
              <w:jc w:val="right"/>
              <w:rPr>
                <w:rFonts w:cs="Arial"/>
                <w:color w:val="000000"/>
                <w:sz w:val="16"/>
                <w:szCs w:val="16"/>
              </w:rPr>
            </w:pPr>
            <w:r>
              <w:rPr>
                <w:rFonts w:cs="Arial"/>
                <w:color w:val="000000"/>
                <w:sz w:val="16"/>
                <w:szCs w:val="16"/>
              </w:rPr>
              <w:t>38,1</w:t>
            </w:r>
          </w:p>
        </w:tc>
        <w:tc>
          <w:tcPr>
            <w:tcW w:w="1191" w:type="dxa"/>
            <w:tcBorders>
              <w:top w:val="nil"/>
              <w:left w:val="single" w:sz="4" w:space="0" w:color="auto"/>
              <w:bottom w:val="nil"/>
              <w:right w:val="nil"/>
            </w:tcBorders>
            <w:shd w:val="clear" w:color="auto" w:fill="auto"/>
            <w:vAlign w:val="bottom"/>
          </w:tcPr>
          <w:p w14:paraId="5616C7E3" w14:textId="58325559" w:rsidR="00E57135" w:rsidRPr="00D92E20" w:rsidRDefault="00E57135" w:rsidP="00E57135">
            <w:pPr>
              <w:spacing w:after="0" w:line="240" w:lineRule="auto"/>
              <w:jc w:val="right"/>
              <w:rPr>
                <w:rFonts w:cs="Arial"/>
                <w:color w:val="000000"/>
                <w:sz w:val="16"/>
                <w:szCs w:val="16"/>
              </w:rPr>
            </w:pPr>
            <w:r>
              <w:rPr>
                <w:rFonts w:cs="Arial"/>
                <w:color w:val="000000"/>
                <w:sz w:val="16"/>
                <w:szCs w:val="16"/>
              </w:rPr>
              <w:t>26,3</w:t>
            </w:r>
          </w:p>
        </w:tc>
      </w:tr>
      <w:tr w:rsidR="00E57135" w:rsidRPr="00D92E20" w14:paraId="1E3005C3" w14:textId="77777777" w:rsidTr="00736595">
        <w:trPr>
          <w:trHeight w:val="285"/>
        </w:trPr>
        <w:tc>
          <w:tcPr>
            <w:tcW w:w="2438" w:type="dxa"/>
            <w:tcBorders>
              <w:top w:val="nil"/>
              <w:bottom w:val="nil"/>
              <w:right w:val="single" w:sz="4" w:space="0" w:color="auto"/>
            </w:tcBorders>
            <w:shd w:val="clear" w:color="auto" w:fill="auto"/>
            <w:noWrap/>
            <w:vAlign w:val="center"/>
            <w:hideMark/>
          </w:tcPr>
          <w:p w14:paraId="512E2F06" w14:textId="77777777" w:rsidR="00E57135" w:rsidRPr="00D92E20" w:rsidRDefault="00E57135" w:rsidP="00E57135">
            <w:pPr>
              <w:spacing w:after="0" w:line="240" w:lineRule="auto"/>
              <w:ind w:firstLineChars="100" w:firstLine="160"/>
              <w:rPr>
                <w:rFonts w:cs="Arial"/>
                <w:color w:val="000000"/>
                <w:sz w:val="16"/>
                <w:szCs w:val="16"/>
              </w:rPr>
            </w:pPr>
            <w:r w:rsidRPr="00D92E20">
              <w:rPr>
                <w:rFonts w:cs="Arial"/>
                <w:color w:val="000000"/>
                <w:sz w:val="16"/>
                <w:szCs w:val="16"/>
              </w:rPr>
              <w:t>Zlínský kraj</w:t>
            </w:r>
          </w:p>
        </w:tc>
        <w:tc>
          <w:tcPr>
            <w:tcW w:w="1191" w:type="dxa"/>
            <w:tcBorders>
              <w:top w:val="nil"/>
              <w:left w:val="single" w:sz="4" w:space="0" w:color="auto"/>
              <w:bottom w:val="nil"/>
              <w:right w:val="nil"/>
            </w:tcBorders>
            <w:shd w:val="clear" w:color="auto" w:fill="auto"/>
            <w:noWrap/>
            <w:vAlign w:val="bottom"/>
          </w:tcPr>
          <w:p w14:paraId="5853F82F" w14:textId="2C91B8EA" w:rsidR="00E57135" w:rsidRPr="00D92E20" w:rsidRDefault="00E57135" w:rsidP="00E57135">
            <w:pPr>
              <w:spacing w:after="0" w:line="240" w:lineRule="auto"/>
              <w:jc w:val="right"/>
              <w:rPr>
                <w:rFonts w:cs="Arial"/>
                <w:color w:val="000000"/>
                <w:sz w:val="16"/>
                <w:szCs w:val="16"/>
              </w:rPr>
            </w:pPr>
            <w:r>
              <w:rPr>
                <w:rFonts w:cs="Arial"/>
                <w:color w:val="000000"/>
                <w:sz w:val="16"/>
                <w:szCs w:val="16"/>
              </w:rPr>
              <w:t>75,3</w:t>
            </w:r>
          </w:p>
        </w:tc>
        <w:tc>
          <w:tcPr>
            <w:tcW w:w="1191" w:type="dxa"/>
            <w:tcBorders>
              <w:top w:val="nil"/>
              <w:left w:val="single" w:sz="4" w:space="0" w:color="auto"/>
              <w:bottom w:val="nil"/>
              <w:right w:val="nil"/>
            </w:tcBorders>
            <w:shd w:val="clear" w:color="auto" w:fill="auto"/>
            <w:vAlign w:val="bottom"/>
          </w:tcPr>
          <w:p w14:paraId="73CEEBE4" w14:textId="6F710018" w:rsidR="00E57135" w:rsidRPr="00D92E20" w:rsidRDefault="00E57135" w:rsidP="00E57135">
            <w:pPr>
              <w:spacing w:after="0" w:line="240" w:lineRule="auto"/>
              <w:jc w:val="right"/>
              <w:rPr>
                <w:rFonts w:cs="Arial"/>
                <w:color w:val="000000"/>
                <w:sz w:val="16"/>
                <w:szCs w:val="16"/>
              </w:rPr>
            </w:pPr>
            <w:r>
              <w:rPr>
                <w:rFonts w:cs="Arial"/>
                <w:color w:val="000000"/>
                <w:sz w:val="16"/>
                <w:szCs w:val="16"/>
              </w:rPr>
              <w:t>121,0</w:t>
            </w:r>
          </w:p>
        </w:tc>
        <w:tc>
          <w:tcPr>
            <w:tcW w:w="1191" w:type="dxa"/>
            <w:tcBorders>
              <w:top w:val="nil"/>
              <w:left w:val="single" w:sz="4" w:space="0" w:color="auto"/>
              <w:bottom w:val="nil"/>
              <w:right w:val="single" w:sz="4" w:space="0" w:color="auto"/>
            </w:tcBorders>
            <w:shd w:val="clear" w:color="auto" w:fill="auto"/>
            <w:noWrap/>
            <w:vAlign w:val="bottom"/>
          </w:tcPr>
          <w:p w14:paraId="1DEC9E90" w14:textId="50C30709" w:rsidR="00E57135" w:rsidRPr="00D92E20" w:rsidRDefault="00E57135" w:rsidP="00E57135">
            <w:pPr>
              <w:spacing w:after="0" w:line="240" w:lineRule="auto"/>
              <w:jc w:val="right"/>
              <w:rPr>
                <w:rFonts w:cs="Arial"/>
                <w:color w:val="000000"/>
                <w:sz w:val="16"/>
                <w:szCs w:val="16"/>
              </w:rPr>
            </w:pPr>
            <w:r>
              <w:rPr>
                <w:rFonts w:cs="Arial"/>
                <w:color w:val="000000"/>
                <w:sz w:val="16"/>
                <w:szCs w:val="16"/>
              </w:rPr>
              <w:t>3 340,2</w:t>
            </w:r>
          </w:p>
        </w:tc>
        <w:tc>
          <w:tcPr>
            <w:tcW w:w="1191" w:type="dxa"/>
            <w:tcBorders>
              <w:top w:val="nil"/>
              <w:left w:val="single" w:sz="4" w:space="0" w:color="auto"/>
              <w:bottom w:val="nil"/>
              <w:right w:val="single" w:sz="4" w:space="0" w:color="auto"/>
            </w:tcBorders>
            <w:shd w:val="clear" w:color="auto" w:fill="auto"/>
            <w:vAlign w:val="bottom"/>
          </w:tcPr>
          <w:p w14:paraId="643C8D8D" w14:textId="2B4790A0" w:rsidR="00E57135" w:rsidRPr="00D92E20" w:rsidRDefault="00E57135" w:rsidP="00E57135">
            <w:pPr>
              <w:spacing w:after="0" w:line="240" w:lineRule="auto"/>
              <w:jc w:val="right"/>
              <w:rPr>
                <w:rFonts w:cs="Arial"/>
                <w:color w:val="000000"/>
                <w:sz w:val="16"/>
                <w:szCs w:val="16"/>
              </w:rPr>
            </w:pPr>
            <w:r>
              <w:rPr>
                <w:rFonts w:cs="Arial"/>
                <w:color w:val="000000"/>
                <w:sz w:val="16"/>
                <w:szCs w:val="16"/>
              </w:rPr>
              <w:t>3 362,4</w:t>
            </w:r>
          </w:p>
        </w:tc>
        <w:tc>
          <w:tcPr>
            <w:tcW w:w="1191" w:type="dxa"/>
            <w:tcBorders>
              <w:top w:val="nil"/>
              <w:left w:val="nil"/>
              <w:bottom w:val="nil"/>
              <w:right w:val="single" w:sz="4" w:space="0" w:color="auto"/>
            </w:tcBorders>
            <w:shd w:val="clear" w:color="auto" w:fill="auto"/>
            <w:noWrap/>
            <w:vAlign w:val="bottom"/>
          </w:tcPr>
          <w:p w14:paraId="0A008656" w14:textId="2FA0E9B0" w:rsidR="00E57135" w:rsidRPr="00D92E20" w:rsidRDefault="00E57135" w:rsidP="00E57135">
            <w:pPr>
              <w:spacing w:after="0" w:line="240" w:lineRule="auto"/>
              <w:jc w:val="right"/>
              <w:rPr>
                <w:rFonts w:cs="Arial"/>
                <w:color w:val="000000"/>
                <w:sz w:val="16"/>
                <w:szCs w:val="16"/>
              </w:rPr>
            </w:pPr>
            <w:r>
              <w:rPr>
                <w:rFonts w:cs="Arial"/>
                <w:color w:val="000000"/>
                <w:sz w:val="16"/>
                <w:szCs w:val="16"/>
              </w:rPr>
              <w:t>44,4</w:t>
            </w:r>
          </w:p>
        </w:tc>
        <w:tc>
          <w:tcPr>
            <w:tcW w:w="1191" w:type="dxa"/>
            <w:tcBorders>
              <w:top w:val="nil"/>
              <w:left w:val="single" w:sz="4" w:space="0" w:color="auto"/>
              <w:bottom w:val="nil"/>
              <w:right w:val="nil"/>
            </w:tcBorders>
            <w:shd w:val="clear" w:color="auto" w:fill="auto"/>
            <w:vAlign w:val="bottom"/>
          </w:tcPr>
          <w:p w14:paraId="020F40A7" w14:textId="51B55B8D" w:rsidR="00E57135" w:rsidRPr="00D92E20" w:rsidRDefault="00E57135" w:rsidP="00E57135">
            <w:pPr>
              <w:spacing w:after="0" w:line="240" w:lineRule="auto"/>
              <w:jc w:val="right"/>
              <w:rPr>
                <w:rFonts w:cs="Arial"/>
                <w:color w:val="000000"/>
                <w:sz w:val="16"/>
                <w:szCs w:val="16"/>
              </w:rPr>
            </w:pPr>
            <w:r>
              <w:rPr>
                <w:rFonts w:cs="Arial"/>
                <w:color w:val="000000"/>
                <w:sz w:val="16"/>
                <w:szCs w:val="16"/>
              </w:rPr>
              <w:t>27,8</w:t>
            </w:r>
          </w:p>
        </w:tc>
      </w:tr>
      <w:tr w:rsidR="00E57135" w:rsidRPr="00D92E20" w14:paraId="400E6602" w14:textId="77777777" w:rsidTr="00736595">
        <w:trPr>
          <w:trHeight w:val="285"/>
        </w:trPr>
        <w:tc>
          <w:tcPr>
            <w:tcW w:w="2438" w:type="dxa"/>
            <w:tcBorders>
              <w:top w:val="nil"/>
              <w:bottom w:val="nil"/>
              <w:right w:val="single" w:sz="4" w:space="0" w:color="auto"/>
            </w:tcBorders>
            <w:shd w:val="clear" w:color="auto" w:fill="auto"/>
            <w:noWrap/>
            <w:vAlign w:val="center"/>
            <w:hideMark/>
          </w:tcPr>
          <w:p w14:paraId="3359BB12" w14:textId="77777777" w:rsidR="00E57135" w:rsidRPr="00D92E20" w:rsidRDefault="00E57135" w:rsidP="00E57135">
            <w:pPr>
              <w:spacing w:after="0" w:line="240" w:lineRule="auto"/>
              <w:ind w:firstLineChars="100" w:firstLine="160"/>
              <w:rPr>
                <w:rFonts w:cs="Arial"/>
                <w:color w:val="000000"/>
                <w:sz w:val="16"/>
                <w:szCs w:val="16"/>
              </w:rPr>
            </w:pPr>
            <w:r w:rsidRPr="00D92E20">
              <w:rPr>
                <w:rFonts w:cs="Arial"/>
                <w:color w:val="000000"/>
                <w:sz w:val="16"/>
                <w:szCs w:val="16"/>
              </w:rPr>
              <w:t>Moravskoslezský kraj</w:t>
            </w:r>
          </w:p>
        </w:tc>
        <w:tc>
          <w:tcPr>
            <w:tcW w:w="1191" w:type="dxa"/>
            <w:tcBorders>
              <w:top w:val="nil"/>
              <w:left w:val="single" w:sz="4" w:space="0" w:color="auto"/>
              <w:bottom w:val="nil"/>
              <w:right w:val="nil"/>
            </w:tcBorders>
            <w:shd w:val="clear" w:color="auto" w:fill="auto"/>
            <w:noWrap/>
            <w:vAlign w:val="bottom"/>
          </w:tcPr>
          <w:p w14:paraId="68B9C209" w14:textId="75AC71E8" w:rsidR="00E57135" w:rsidRPr="00D92E20" w:rsidRDefault="00E57135" w:rsidP="00E57135">
            <w:pPr>
              <w:spacing w:after="0" w:line="240" w:lineRule="auto"/>
              <w:jc w:val="right"/>
              <w:rPr>
                <w:rFonts w:cs="Arial"/>
                <w:color w:val="000000"/>
                <w:sz w:val="16"/>
                <w:szCs w:val="16"/>
              </w:rPr>
            </w:pPr>
            <w:r>
              <w:rPr>
                <w:rFonts w:cs="Arial"/>
                <w:color w:val="000000"/>
                <w:sz w:val="16"/>
                <w:szCs w:val="16"/>
              </w:rPr>
              <w:t>162,5</w:t>
            </w:r>
          </w:p>
        </w:tc>
        <w:tc>
          <w:tcPr>
            <w:tcW w:w="1191" w:type="dxa"/>
            <w:tcBorders>
              <w:top w:val="nil"/>
              <w:left w:val="single" w:sz="4" w:space="0" w:color="auto"/>
              <w:bottom w:val="nil"/>
              <w:right w:val="nil"/>
            </w:tcBorders>
            <w:shd w:val="clear" w:color="auto" w:fill="auto"/>
            <w:vAlign w:val="bottom"/>
          </w:tcPr>
          <w:p w14:paraId="146A78FC" w14:textId="160FCC09" w:rsidR="00E57135" w:rsidRPr="00D92E20" w:rsidRDefault="00E57135" w:rsidP="00E57135">
            <w:pPr>
              <w:spacing w:after="0" w:line="240" w:lineRule="auto"/>
              <w:jc w:val="right"/>
              <w:rPr>
                <w:rFonts w:cs="Arial"/>
                <w:color w:val="000000"/>
                <w:sz w:val="16"/>
                <w:szCs w:val="16"/>
              </w:rPr>
            </w:pPr>
            <w:r>
              <w:rPr>
                <w:rFonts w:cs="Arial"/>
                <w:color w:val="000000"/>
                <w:sz w:val="16"/>
                <w:szCs w:val="16"/>
              </w:rPr>
              <w:t>234,1</w:t>
            </w:r>
          </w:p>
        </w:tc>
        <w:tc>
          <w:tcPr>
            <w:tcW w:w="1191" w:type="dxa"/>
            <w:tcBorders>
              <w:top w:val="nil"/>
              <w:left w:val="single" w:sz="4" w:space="0" w:color="auto"/>
              <w:bottom w:val="nil"/>
              <w:right w:val="single" w:sz="4" w:space="0" w:color="auto"/>
            </w:tcBorders>
            <w:shd w:val="clear" w:color="auto" w:fill="auto"/>
            <w:noWrap/>
            <w:vAlign w:val="bottom"/>
          </w:tcPr>
          <w:p w14:paraId="78077ADB" w14:textId="393C48F3" w:rsidR="00E57135" w:rsidRPr="00D92E20" w:rsidRDefault="00E57135" w:rsidP="00E57135">
            <w:pPr>
              <w:spacing w:after="0" w:line="240" w:lineRule="auto"/>
              <w:jc w:val="right"/>
              <w:rPr>
                <w:rFonts w:cs="Arial"/>
                <w:color w:val="000000"/>
                <w:sz w:val="16"/>
                <w:szCs w:val="16"/>
              </w:rPr>
            </w:pPr>
            <w:r>
              <w:rPr>
                <w:rFonts w:cs="Arial"/>
                <w:color w:val="000000"/>
                <w:sz w:val="16"/>
                <w:szCs w:val="16"/>
              </w:rPr>
              <w:t>6 771,5</w:t>
            </w:r>
          </w:p>
        </w:tc>
        <w:tc>
          <w:tcPr>
            <w:tcW w:w="1191" w:type="dxa"/>
            <w:tcBorders>
              <w:top w:val="nil"/>
              <w:left w:val="single" w:sz="4" w:space="0" w:color="auto"/>
              <w:bottom w:val="nil"/>
              <w:right w:val="single" w:sz="4" w:space="0" w:color="auto"/>
            </w:tcBorders>
            <w:shd w:val="clear" w:color="auto" w:fill="auto"/>
            <w:vAlign w:val="bottom"/>
          </w:tcPr>
          <w:p w14:paraId="53B00E0C" w14:textId="75B98A80" w:rsidR="00E57135" w:rsidRPr="00D92E20" w:rsidRDefault="00E57135" w:rsidP="00E57135">
            <w:pPr>
              <w:spacing w:after="0" w:line="240" w:lineRule="auto"/>
              <w:jc w:val="right"/>
              <w:rPr>
                <w:rFonts w:cs="Arial"/>
                <w:color w:val="000000"/>
                <w:sz w:val="16"/>
                <w:szCs w:val="16"/>
              </w:rPr>
            </w:pPr>
            <w:r>
              <w:rPr>
                <w:rFonts w:cs="Arial"/>
                <w:color w:val="000000"/>
                <w:sz w:val="16"/>
                <w:szCs w:val="16"/>
              </w:rPr>
              <w:t>6 876,5</w:t>
            </w:r>
          </w:p>
        </w:tc>
        <w:tc>
          <w:tcPr>
            <w:tcW w:w="1191" w:type="dxa"/>
            <w:tcBorders>
              <w:top w:val="nil"/>
              <w:left w:val="nil"/>
              <w:bottom w:val="nil"/>
              <w:right w:val="single" w:sz="4" w:space="0" w:color="auto"/>
            </w:tcBorders>
            <w:shd w:val="clear" w:color="auto" w:fill="auto"/>
            <w:noWrap/>
            <w:vAlign w:val="bottom"/>
          </w:tcPr>
          <w:p w14:paraId="5BBC090B" w14:textId="1808CB82" w:rsidR="00E57135" w:rsidRPr="00D92E20" w:rsidRDefault="00E57135" w:rsidP="00E57135">
            <w:pPr>
              <w:spacing w:after="0" w:line="240" w:lineRule="auto"/>
              <w:jc w:val="right"/>
              <w:rPr>
                <w:rFonts w:cs="Arial"/>
                <w:color w:val="000000"/>
                <w:sz w:val="16"/>
                <w:szCs w:val="16"/>
              </w:rPr>
            </w:pPr>
            <w:r>
              <w:rPr>
                <w:rFonts w:cs="Arial"/>
                <w:color w:val="000000"/>
                <w:sz w:val="16"/>
                <w:szCs w:val="16"/>
              </w:rPr>
              <w:t>41,7</w:t>
            </w:r>
          </w:p>
        </w:tc>
        <w:tc>
          <w:tcPr>
            <w:tcW w:w="1191" w:type="dxa"/>
            <w:tcBorders>
              <w:top w:val="nil"/>
              <w:left w:val="single" w:sz="4" w:space="0" w:color="auto"/>
              <w:bottom w:val="nil"/>
              <w:right w:val="nil"/>
            </w:tcBorders>
            <w:shd w:val="clear" w:color="auto" w:fill="auto"/>
            <w:vAlign w:val="bottom"/>
          </w:tcPr>
          <w:p w14:paraId="2417CC89" w14:textId="106FAD2D" w:rsidR="00E57135" w:rsidRPr="00D92E20" w:rsidRDefault="00E57135" w:rsidP="00E57135">
            <w:pPr>
              <w:spacing w:after="0" w:line="240" w:lineRule="auto"/>
              <w:jc w:val="right"/>
              <w:rPr>
                <w:rFonts w:cs="Arial"/>
                <w:color w:val="000000"/>
                <w:sz w:val="16"/>
                <w:szCs w:val="16"/>
              </w:rPr>
            </w:pPr>
            <w:r>
              <w:rPr>
                <w:rFonts w:cs="Arial"/>
                <w:color w:val="000000"/>
                <w:sz w:val="16"/>
                <w:szCs w:val="16"/>
              </w:rPr>
              <w:t>29,4</w:t>
            </w:r>
          </w:p>
        </w:tc>
      </w:tr>
    </w:tbl>
    <w:p w14:paraId="036C2416" w14:textId="77777777" w:rsidR="00391FBE" w:rsidRPr="00D92E20" w:rsidRDefault="00391FBE" w:rsidP="00391FBE">
      <w:pPr>
        <w:spacing w:before="120"/>
        <w:rPr>
          <w:sz w:val="16"/>
        </w:rPr>
      </w:pPr>
      <w:r w:rsidRPr="00D92E20">
        <w:rPr>
          <w:sz w:val="16"/>
        </w:rPr>
        <w:t>Zdroj: ČSSZ</w:t>
      </w:r>
    </w:p>
    <w:p w14:paraId="79A545F2" w14:textId="61FC65D8" w:rsidR="007B36AD" w:rsidRDefault="00391FBE" w:rsidP="00CD63E8">
      <w:pPr>
        <w:spacing w:before="120" w:after="120"/>
        <w:jc w:val="both"/>
      </w:pPr>
      <w:r w:rsidRPr="00D92E20">
        <w:t xml:space="preserve">Celková </w:t>
      </w:r>
      <w:r w:rsidRPr="00D92E20">
        <w:rPr>
          <w:b/>
        </w:rPr>
        <w:t>prostonaná doba</w:t>
      </w:r>
      <w:r w:rsidRPr="00D92E20">
        <w:t xml:space="preserve"> v</w:t>
      </w:r>
      <w:r w:rsidR="00646128">
        <w:t> 1. pol. 202</w:t>
      </w:r>
      <w:r w:rsidR="00790B93">
        <w:t>2</w:t>
      </w:r>
      <w:r w:rsidRPr="00D92E20">
        <w:t xml:space="preserve"> činila </w:t>
      </w:r>
      <w:r w:rsidR="00646128">
        <w:t xml:space="preserve">51 </w:t>
      </w:r>
      <w:r w:rsidR="00E57135">
        <w:t>551</w:t>
      </w:r>
      <w:r w:rsidRPr="00D92E20">
        <w:t xml:space="preserve"> </w:t>
      </w:r>
      <w:r w:rsidR="00CA3130" w:rsidRPr="00D92E20">
        <w:t>tis.</w:t>
      </w:r>
      <w:r w:rsidRPr="00D92E20">
        <w:t xml:space="preserve"> dnů, což je o </w:t>
      </w:r>
      <w:r w:rsidR="00E57135">
        <w:t>142</w:t>
      </w:r>
      <w:r w:rsidRPr="00D92E20">
        <w:t xml:space="preserve"> </w:t>
      </w:r>
      <w:r w:rsidR="00E57135">
        <w:t>tis</w:t>
      </w:r>
      <w:r w:rsidRPr="00D92E20">
        <w:t xml:space="preserve">. dnů více než </w:t>
      </w:r>
      <w:r w:rsidR="00CA3130" w:rsidRPr="00D92E20">
        <w:t>v</w:t>
      </w:r>
      <w:r w:rsidR="00646128">
        <w:t> 1.</w:t>
      </w:r>
      <w:r w:rsidR="00CD63E8">
        <w:t> p</w:t>
      </w:r>
      <w:r w:rsidR="00646128">
        <w:t>ol.</w:t>
      </w:r>
      <w:r w:rsidR="00CD63E8">
        <w:t> </w:t>
      </w:r>
      <w:r w:rsidR="00CA3130" w:rsidRPr="00D92E20">
        <w:t>předchozí</w:t>
      </w:r>
      <w:r w:rsidR="00646128">
        <w:t>ho roku</w:t>
      </w:r>
      <w:r w:rsidRPr="00D92E20">
        <w:t xml:space="preserve">. Jeden případ dočasné pracovní neschopnosti trval </w:t>
      </w:r>
      <w:r w:rsidR="00CA3130" w:rsidRPr="00D92E20">
        <w:t>průměrně</w:t>
      </w:r>
      <w:r w:rsidRPr="00D92E20">
        <w:t xml:space="preserve"> </w:t>
      </w:r>
      <w:r w:rsidR="00E57135">
        <w:t>necelých 25</w:t>
      </w:r>
      <w:r w:rsidRPr="00D92E20">
        <w:t xml:space="preserve"> dn</w:t>
      </w:r>
      <w:r w:rsidR="00E57135">
        <w:t>í</w:t>
      </w:r>
      <w:r w:rsidRPr="00D92E20">
        <w:t xml:space="preserve">. </w:t>
      </w:r>
      <w:r w:rsidR="00C7753B" w:rsidRPr="00D92E20">
        <w:t>V průměru n</w:t>
      </w:r>
      <w:r w:rsidRPr="00D92E20">
        <w:t xml:space="preserve">ejdelší </w:t>
      </w:r>
      <w:r w:rsidR="00B527E8" w:rsidRPr="00D92E20">
        <w:t>pracovní neschopnost</w:t>
      </w:r>
      <w:r w:rsidRPr="00D92E20">
        <w:t xml:space="preserve"> </w:t>
      </w:r>
      <w:r w:rsidR="00396FAF" w:rsidRPr="00D92E20">
        <w:t>si vyžádaly nemoci a úrazy v</w:t>
      </w:r>
      <w:r w:rsidR="00646128">
        <w:t xml:space="preserve"> Moravskoslezském </w:t>
      </w:r>
      <w:r w:rsidR="00E57135">
        <w:t xml:space="preserve">a </w:t>
      </w:r>
      <w:r w:rsidR="00E57135" w:rsidRPr="00D92E20">
        <w:t xml:space="preserve">Zlínském </w:t>
      </w:r>
      <w:r w:rsidRPr="00D92E20">
        <w:t xml:space="preserve">kraji, a sice </w:t>
      </w:r>
      <w:r w:rsidR="00E57135">
        <w:t>29</w:t>
      </w:r>
      <w:r w:rsidRPr="00D92E20">
        <w:t xml:space="preserve"> resp. </w:t>
      </w:r>
      <w:r w:rsidR="00E57135">
        <w:t>28</w:t>
      </w:r>
      <w:r w:rsidR="00C02C40" w:rsidRPr="00D92E20">
        <w:t> </w:t>
      </w:r>
      <w:r w:rsidR="00646128">
        <w:t>dnů na jed</w:t>
      </w:r>
      <w:r w:rsidR="00B527E8" w:rsidRPr="00D92E20">
        <w:t>n</w:t>
      </w:r>
      <w:r w:rsidR="00646128">
        <w:t>u</w:t>
      </w:r>
      <w:r w:rsidR="00B527E8" w:rsidRPr="00D92E20">
        <w:t xml:space="preserve"> </w:t>
      </w:r>
      <w:r w:rsidR="00646128">
        <w:t>pracovní neschopnost.</w:t>
      </w:r>
      <w:r w:rsidR="007B36AD">
        <w:br w:type="page"/>
      </w:r>
    </w:p>
    <w:p w14:paraId="3A499DD3" w14:textId="1EBDB1EC" w:rsidR="000E0772" w:rsidRPr="00D92E20" w:rsidRDefault="00646128" w:rsidP="00000A90">
      <w:pPr>
        <w:spacing w:after="0"/>
        <w:jc w:val="both"/>
        <w:rPr>
          <w:b/>
        </w:rPr>
      </w:pPr>
      <w:r w:rsidRPr="00646128">
        <w:rPr>
          <w:b/>
        </w:rPr>
        <w:lastRenderedPageBreak/>
        <w:t>Tab. 3.2: Ukončené případy</w:t>
      </w:r>
      <w:r w:rsidR="007B36AD">
        <w:rPr>
          <w:b/>
        </w:rPr>
        <w:t xml:space="preserve"> dočasné pracovní neschopnosti </w:t>
      </w:r>
      <w:r w:rsidRPr="00646128">
        <w:rPr>
          <w:b/>
        </w:rPr>
        <w:t>podle věku a pohlaví, 1. pol. 202</w:t>
      </w:r>
      <w:r w:rsidR="00E57135">
        <w:rPr>
          <w:b/>
        </w:rPr>
        <w:t>2</w:t>
      </w:r>
      <w:r w:rsidRPr="00646128">
        <w:rPr>
          <w:b/>
        </w:rPr>
        <w:t>, 202</w:t>
      </w:r>
      <w:r w:rsidR="00E57135">
        <w:rPr>
          <w:b/>
        </w:rPr>
        <w:t>1</w:t>
      </w:r>
    </w:p>
    <w:tbl>
      <w:tblPr>
        <w:tblW w:w="9776" w:type="dxa"/>
        <w:tblCellMar>
          <w:left w:w="70" w:type="dxa"/>
          <w:right w:w="70" w:type="dxa"/>
        </w:tblCellMar>
        <w:tblLook w:val="04A0" w:firstRow="1" w:lastRow="0" w:firstColumn="1" w:lastColumn="0" w:noHBand="0" w:noVBand="1"/>
      </w:tblPr>
      <w:tblGrid>
        <w:gridCol w:w="1271"/>
        <w:gridCol w:w="907"/>
        <w:gridCol w:w="907"/>
        <w:gridCol w:w="907"/>
        <w:gridCol w:w="1021"/>
        <w:gridCol w:w="1020"/>
        <w:gridCol w:w="1021"/>
        <w:gridCol w:w="907"/>
        <w:gridCol w:w="907"/>
        <w:gridCol w:w="908"/>
      </w:tblGrid>
      <w:tr w:rsidR="002E0A24" w:rsidRPr="00D92E20" w14:paraId="0610A139" w14:textId="77777777" w:rsidTr="002E0A24">
        <w:trPr>
          <w:trHeight w:val="505"/>
        </w:trPr>
        <w:tc>
          <w:tcPr>
            <w:tcW w:w="1271" w:type="dxa"/>
            <w:vMerge w:val="restart"/>
            <w:tcBorders>
              <w:top w:val="single" w:sz="4" w:space="0" w:color="auto"/>
              <w:left w:val="nil"/>
              <w:bottom w:val="single" w:sz="4" w:space="0" w:color="000000"/>
              <w:right w:val="single" w:sz="4" w:space="0" w:color="auto"/>
            </w:tcBorders>
            <w:shd w:val="clear" w:color="000000" w:fill="F5DADD"/>
            <w:vAlign w:val="center"/>
            <w:hideMark/>
          </w:tcPr>
          <w:p w14:paraId="35387AE6" w14:textId="77777777" w:rsidR="00E57135" w:rsidRPr="00D92E20" w:rsidRDefault="00E57135" w:rsidP="00B9122C">
            <w:pPr>
              <w:spacing w:after="0" w:line="240" w:lineRule="auto"/>
              <w:jc w:val="center"/>
              <w:rPr>
                <w:rFonts w:cs="Arial"/>
                <w:color w:val="000000"/>
                <w:sz w:val="16"/>
                <w:szCs w:val="16"/>
              </w:rPr>
            </w:pPr>
            <w:r w:rsidRPr="00D92E20">
              <w:rPr>
                <w:rFonts w:cs="Arial"/>
                <w:color w:val="000000"/>
                <w:sz w:val="16"/>
                <w:szCs w:val="16"/>
              </w:rPr>
              <w:t>Věková skupina</w:t>
            </w:r>
          </w:p>
        </w:tc>
        <w:tc>
          <w:tcPr>
            <w:tcW w:w="2721" w:type="dxa"/>
            <w:gridSpan w:val="3"/>
            <w:tcBorders>
              <w:top w:val="single" w:sz="4" w:space="0" w:color="auto"/>
              <w:left w:val="nil"/>
              <w:bottom w:val="single" w:sz="4" w:space="0" w:color="auto"/>
              <w:right w:val="single" w:sz="4" w:space="0" w:color="000000"/>
            </w:tcBorders>
            <w:shd w:val="clear" w:color="000000" w:fill="F2DBDB"/>
            <w:vAlign w:val="center"/>
            <w:hideMark/>
          </w:tcPr>
          <w:p w14:paraId="52CF9BD3" w14:textId="284CF704" w:rsidR="00E57135" w:rsidRPr="00D92E20" w:rsidRDefault="00E57135" w:rsidP="007B36AD">
            <w:pPr>
              <w:spacing w:after="0" w:line="240" w:lineRule="auto"/>
              <w:jc w:val="center"/>
              <w:rPr>
                <w:rFonts w:cs="Arial"/>
                <w:color w:val="000000"/>
                <w:sz w:val="16"/>
                <w:szCs w:val="16"/>
              </w:rPr>
            </w:pPr>
            <w:r w:rsidRPr="00D92E20">
              <w:rPr>
                <w:rFonts w:cs="Arial"/>
                <w:color w:val="000000"/>
                <w:sz w:val="16"/>
                <w:szCs w:val="16"/>
              </w:rPr>
              <w:t>Počet případů DPN (tis.)</w:t>
            </w:r>
          </w:p>
        </w:tc>
        <w:tc>
          <w:tcPr>
            <w:tcW w:w="3062" w:type="dxa"/>
            <w:gridSpan w:val="3"/>
            <w:tcBorders>
              <w:top w:val="single" w:sz="4" w:space="0" w:color="auto"/>
              <w:left w:val="nil"/>
              <w:bottom w:val="single" w:sz="4" w:space="0" w:color="auto"/>
              <w:right w:val="single" w:sz="4" w:space="0" w:color="auto"/>
            </w:tcBorders>
            <w:shd w:val="clear" w:color="000000" w:fill="F2DBDB"/>
            <w:vAlign w:val="center"/>
          </w:tcPr>
          <w:p w14:paraId="0C8906C4" w14:textId="6D84B57F" w:rsidR="00E57135" w:rsidRPr="00E57135" w:rsidRDefault="00E57135" w:rsidP="00B34EC0">
            <w:pPr>
              <w:spacing w:after="0" w:line="240" w:lineRule="auto"/>
              <w:jc w:val="center"/>
              <w:rPr>
                <w:rFonts w:cs="Arial"/>
                <w:sz w:val="16"/>
                <w:szCs w:val="16"/>
              </w:rPr>
            </w:pPr>
            <w:r>
              <w:rPr>
                <w:rFonts w:cs="Arial"/>
                <w:sz w:val="16"/>
                <w:szCs w:val="16"/>
              </w:rPr>
              <w:t>Počet kalendářních dnů DPN (tis.)</w:t>
            </w:r>
          </w:p>
        </w:tc>
        <w:tc>
          <w:tcPr>
            <w:tcW w:w="2722" w:type="dxa"/>
            <w:gridSpan w:val="3"/>
            <w:tcBorders>
              <w:top w:val="single" w:sz="4" w:space="0" w:color="auto"/>
              <w:left w:val="single" w:sz="4" w:space="0" w:color="auto"/>
              <w:bottom w:val="single" w:sz="4" w:space="0" w:color="auto"/>
              <w:right w:val="nil"/>
            </w:tcBorders>
            <w:shd w:val="clear" w:color="000000" w:fill="F2DBDB"/>
            <w:vAlign w:val="center"/>
            <w:hideMark/>
          </w:tcPr>
          <w:p w14:paraId="0199D86E" w14:textId="1133D542" w:rsidR="00E57135" w:rsidRPr="00D92E20" w:rsidRDefault="00E57135" w:rsidP="009F67D0">
            <w:pPr>
              <w:spacing w:after="0" w:line="240" w:lineRule="auto"/>
              <w:jc w:val="center"/>
              <w:rPr>
                <w:rFonts w:cs="Arial"/>
                <w:color w:val="000000"/>
                <w:sz w:val="16"/>
                <w:szCs w:val="16"/>
              </w:rPr>
            </w:pPr>
            <w:r w:rsidRPr="00D92E20">
              <w:rPr>
                <w:rFonts w:cs="Arial"/>
                <w:color w:val="000000"/>
                <w:sz w:val="16"/>
                <w:szCs w:val="16"/>
              </w:rPr>
              <w:t>Průměrná délka trvání případu DPN ve dnech</w:t>
            </w:r>
          </w:p>
        </w:tc>
      </w:tr>
      <w:tr w:rsidR="002E0A24" w:rsidRPr="00D92E20" w14:paraId="7303041B" w14:textId="77777777" w:rsidTr="002E0A24">
        <w:trPr>
          <w:trHeight w:val="288"/>
        </w:trPr>
        <w:tc>
          <w:tcPr>
            <w:tcW w:w="1271" w:type="dxa"/>
            <w:vMerge/>
            <w:tcBorders>
              <w:top w:val="single" w:sz="4" w:space="0" w:color="auto"/>
              <w:left w:val="nil"/>
              <w:bottom w:val="single" w:sz="4" w:space="0" w:color="000000"/>
              <w:right w:val="single" w:sz="4" w:space="0" w:color="auto"/>
            </w:tcBorders>
            <w:vAlign w:val="center"/>
            <w:hideMark/>
          </w:tcPr>
          <w:p w14:paraId="4705B018" w14:textId="77777777" w:rsidR="002E0A24" w:rsidRPr="00D92E20" w:rsidRDefault="002E0A24" w:rsidP="00E57135">
            <w:pPr>
              <w:spacing w:after="0" w:line="240" w:lineRule="auto"/>
              <w:rPr>
                <w:rFonts w:cs="Arial"/>
                <w:color w:val="000000"/>
                <w:sz w:val="16"/>
                <w:szCs w:val="16"/>
              </w:rPr>
            </w:pPr>
          </w:p>
        </w:tc>
        <w:tc>
          <w:tcPr>
            <w:tcW w:w="907" w:type="dxa"/>
            <w:vMerge w:val="restart"/>
            <w:tcBorders>
              <w:top w:val="nil"/>
              <w:left w:val="single" w:sz="4" w:space="0" w:color="auto"/>
              <w:right w:val="nil"/>
            </w:tcBorders>
            <w:shd w:val="clear" w:color="000000" w:fill="F2DBDB"/>
            <w:vAlign w:val="center"/>
            <w:hideMark/>
          </w:tcPr>
          <w:p w14:paraId="40416A62" w14:textId="77777777" w:rsidR="002E0A24" w:rsidRPr="00D92E20" w:rsidRDefault="002E0A24" w:rsidP="00E57135">
            <w:pPr>
              <w:spacing w:after="0" w:line="240" w:lineRule="auto"/>
              <w:jc w:val="center"/>
              <w:rPr>
                <w:rFonts w:cs="Arial"/>
                <w:b/>
                <w:bCs/>
                <w:color w:val="000000"/>
                <w:sz w:val="16"/>
                <w:szCs w:val="16"/>
              </w:rPr>
            </w:pPr>
            <w:r w:rsidRPr="00D92E20">
              <w:rPr>
                <w:rFonts w:cs="Arial"/>
                <w:b/>
                <w:bCs/>
                <w:color w:val="000000"/>
                <w:sz w:val="16"/>
                <w:szCs w:val="16"/>
              </w:rPr>
              <w:t>Celkem</w:t>
            </w:r>
          </w:p>
        </w:tc>
        <w:tc>
          <w:tcPr>
            <w:tcW w:w="1814" w:type="dxa"/>
            <w:gridSpan w:val="2"/>
            <w:tcBorders>
              <w:top w:val="single" w:sz="4" w:space="0" w:color="auto"/>
              <w:left w:val="single" w:sz="4" w:space="0" w:color="auto"/>
              <w:bottom w:val="single" w:sz="4" w:space="0" w:color="auto"/>
              <w:right w:val="single" w:sz="4" w:space="0" w:color="auto"/>
            </w:tcBorders>
            <w:shd w:val="clear" w:color="000000" w:fill="F2DBDB"/>
            <w:vAlign w:val="center"/>
            <w:hideMark/>
          </w:tcPr>
          <w:p w14:paraId="289B0E24" w14:textId="77777777" w:rsidR="002E0A24" w:rsidRPr="00D92E20" w:rsidRDefault="002E0A24" w:rsidP="00E57135">
            <w:pPr>
              <w:spacing w:after="0" w:line="240" w:lineRule="auto"/>
              <w:jc w:val="center"/>
              <w:rPr>
                <w:rFonts w:cs="Arial"/>
                <w:color w:val="000000"/>
                <w:sz w:val="16"/>
                <w:szCs w:val="16"/>
              </w:rPr>
            </w:pPr>
            <w:r w:rsidRPr="00D92E20">
              <w:rPr>
                <w:rFonts w:cs="Arial"/>
                <w:color w:val="000000"/>
                <w:sz w:val="16"/>
                <w:szCs w:val="16"/>
              </w:rPr>
              <w:t>podle pohlaví</w:t>
            </w:r>
          </w:p>
        </w:tc>
        <w:tc>
          <w:tcPr>
            <w:tcW w:w="1021" w:type="dxa"/>
            <w:vMerge w:val="restart"/>
            <w:tcBorders>
              <w:top w:val="nil"/>
              <w:left w:val="single" w:sz="4" w:space="0" w:color="auto"/>
              <w:right w:val="single" w:sz="4" w:space="0" w:color="auto"/>
            </w:tcBorders>
            <w:shd w:val="clear" w:color="000000" w:fill="F2DBDB"/>
            <w:vAlign w:val="center"/>
          </w:tcPr>
          <w:p w14:paraId="29592BD9" w14:textId="57AE47F8" w:rsidR="002E0A24" w:rsidRPr="00D92E20" w:rsidRDefault="002E0A24" w:rsidP="00E57135">
            <w:pPr>
              <w:spacing w:after="0" w:line="240" w:lineRule="auto"/>
              <w:jc w:val="center"/>
              <w:rPr>
                <w:rFonts w:cs="Arial"/>
                <w:b/>
                <w:bCs/>
                <w:color w:val="000000"/>
                <w:sz w:val="16"/>
                <w:szCs w:val="16"/>
              </w:rPr>
            </w:pPr>
            <w:r w:rsidRPr="00D92E20">
              <w:rPr>
                <w:rFonts w:cs="Arial"/>
                <w:b/>
                <w:bCs/>
                <w:color w:val="000000"/>
                <w:sz w:val="16"/>
                <w:szCs w:val="16"/>
              </w:rPr>
              <w:t>Celkem</w:t>
            </w:r>
          </w:p>
        </w:tc>
        <w:tc>
          <w:tcPr>
            <w:tcW w:w="2041" w:type="dxa"/>
            <w:gridSpan w:val="2"/>
            <w:tcBorders>
              <w:top w:val="nil"/>
              <w:left w:val="single" w:sz="4" w:space="0" w:color="auto"/>
              <w:bottom w:val="single" w:sz="4" w:space="0" w:color="000000"/>
              <w:right w:val="single" w:sz="4" w:space="0" w:color="auto"/>
            </w:tcBorders>
            <w:shd w:val="clear" w:color="000000" w:fill="F2DBDB"/>
            <w:vAlign w:val="center"/>
          </w:tcPr>
          <w:p w14:paraId="35E24512" w14:textId="60BC24F0" w:rsidR="002E0A24" w:rsidRPr="00D92E20" w:rsidRDefault="002E0A24" w:rsidP="00E57135">
            <w:pPr>
              <w:spacing w:after="0" w:line="240" w:lineRule="auto"/>
              <w:jc w:val="center"/>
              <w:rPr>
                <w:rFonts w:cs="Arial"/>
                <w:b/>
                <w:bCs/>
                <w:color w:val="000000"/>
                <w:sz w:val="16"/>
                <w:szCs w:val="16"/>
              </w:rPr>
            </w:pPr>
            <w:r w:rsidRPr="00D92E20">
              <w:rPr>
                <w:rFonts w:cs="Arial"/>
                <w:color w:val="000000"/>
                <w:sz w:val="16"/>
                <w:szCs w:val="16"/>
              </w:rPr>
              <w:t>podle pohlaví</w:t>
            </w:r>
          </w:p>
        </w:tc>
        <w:tc>
          <w:tcPr>
            <w:tcW w:w="907" w:type="dxa"/>
            <w:vMerge w:val="restart"/>
            <w:tcBorders>
              <w:top w:val="nil"/>
              <w:left w:val="single" w:sz="4" w:space="0" w:color="auto"/>
              <w:right w:val="nil"/>
            </w:tcBorders>
            <w:shd w:val="clear" w:color="000000" w:fill="F2DBDB"/>
            <w:vAlign w:val="center"/>
            <w:hideMark/>
          </w:tcPr>
          <w:p w14:paraId="5F7A3B11" w14:textId="7FD5531C" w:rsidR="002E0A24" w:rsidRPr="00D92E20" w:rsidRDefault="002E0A24" w:rsidP="00E57135">
            <w:pPr>
              <w:spacing w:after="0" w:line="240" w:lineRule="auto"/>
              <w:jc w:val="center"/>
              <w:rPr>
                <w:rFonts w:cs="Arial"/>
                <w:b/>
                <w:bCs/>
                <w:color w:val="000000"/>
                <w:sz w:val="16"/>
                <w:szCs w:val="16"/>
              </w:rPr>
            </w:pPr>
            <w:r w:rsidRPr="00D92E20">
              <w:rPr>
                <w:rFonts w:cs="Arial"/>
                <w:b/>
                <w:bCs/>
                <w:color w:val="000000"/>
                <w:sz w:val="16"/>
                <w:szCs w:val="16"/>
              </w:rPr>
              <w:t>Celkem</w:t>
            </w:r>
          </w:p>
        </w:tc>
        <w:tc>
          <w:tcPr>
            <w:tcW w:w="1815" w:type="dxa"/>
            <w:gridSpan w:val="2"/>
            <w:tcBorders>
              <w:top w:val="single" w:sz="4" w:space="0" w:color="auto"/>
              <w:left w:val="single" w:sz="4" w:space="0" w:color="auto"/>
              <w:bottom w:val="single" w:sz="4" w:space="0" w:color="auto"/>
            </w:tcBorders>
            <w:shd w:val="clear" w:color="000000" w:fill="F2DBDB"/>
            <w:vAlign w:val="center"/>
            <w:hideMark/>
          </w:tcPr>
          <w:p w14:paraId="6F38D9A8" w14:textId="77777777" w:rsidR="002E0A24" w:rsidRPr="00D92E20" w:rsidRDefault="002E0A24" w:rsidP="00E57135">
            <w:pPr>
              <w:spacing w:after="0" w:line="240" w:lineRule="auto"/>
              <w:jc w:val="center"/>
              <w:rPr>
                <w:rFonts w:cs="Arial"/>
                <w:color w:val="000000"/>
                <w:sz w:val="16"/>
                <w:szCs w:val="16"/>
              </w:rPr>
            </w:pPr>
            <w:r w:rsidRPr="00D92E20">
              <w:rPr>
                <w:rFonts w:cs="Arial"/>
                <w:color w:val="000000"/>
                <w:sz w:val="16"/>
                <w:szCs w:val="16"/>
              </w:rPr>
              <w:t>podle pohlaví</w:t>
            </w:r>
          </w:p>
        </w:tc>
      </w:tr>
      <w:tr w:rsidR="002E0A24" w:rsidRPr="00D92E20" w14:paraId="4116ABFF" w14:textId="77777777" w:rsidTr="002E0A24">
        <w:trPr>
          <w:trHeight w:val="288"/>
        </w:trPr>
        <w:tc>
          <w:tcPr>
            <w:tcW w:w="1271" w:type="dxa"/>
            <w:vMerge/>
            <w:tcBorders>
              <w:top w:val="single" w:sz="4" w:space="0" w:color="auto"/>
              <w:left w:val="nil"/>
              <w:bottom w:val="single" w:sz="4" w:space="0" w:color="000000"/>
              <w:right w:val="single" w:sz="4" w:space="0" w:color="auto"/>
            </w:tcBorders>
            <w:vAlign w:val="center"/>
            <w:hideMark/>
          </w:tcPr>
          <w:p w14:paraId="55C1663C" w14:textId="77777777" w:rsidR="002E0A24" w:rsidRPr="00D92E20" w:rsidRDefault="002E0A24" w:rsidP="00E57135">
            <w:pPr>
              <w:spacing w:after="0" w:line="240" w:lineRule="auto"/>
              <w:rPr>
                <w:rFonts w:cs="Arial"/>
                <w:color w:val="000000"/>
                <w:sz w:val="16"/>
                <w:szCs w:val="16"/>
              </w:rPr>
            </w:pPr>
          </w:p>
        </w:tc>
        <w:tc>
          <w:tcPr>
            <w:tcW w:w="907" w:type="dxa"/>
            <w:vMerge/>
            <w:tcBorders>
              <w:left w:val="single" w:sz="4" w:space="0" w:color="auto"/>
              <w:bottom w:val="single" w:sz="4" w:space="0" w:color="000000"/>
              <w:right w:val="nil"/>
            </w:tcBorders>
            <w:vAlign w:val="center"/>
            <w:hideMark/>
          </w:tcPr>
          <w:p w14:paraId="777BF152" w14:textId="77777777" w:rsidR="002E0A24" w:rsidRPr="00D92E20" w:rsidRDefault="002E0A24" w:rsidP="00E57135">
            <w:pPr>
              <w:spacing w:after="0" w:line="240" w:lineRule="auto"/>
              <w:rPr>
                <w:rFonts w:cs="Arial"/>
                <w:b/>
                <w:bCs/>
                <w:color w:val="000000"/>
                <w:sz w:val="16"/>
                <w:szCs w:val="16"/>
              </w:rPr>
            </w:pPr>
          </w:p>
        </w:tc>
        <w:tc>
          <w:tcPr>
            <w:tcW w:w="907" w:type="dxa"/>
            <w:tcBorders>
              <w:top w:val="nil"/>
              <w:left w:val="single" w:sz="4" w:space="0" w:color="auto"/>
              <w:bottom w:val="single" w:sz="4" w:space="0" w:color="auto"/>
              <w:right w:val="single" w:sz="4" w:space="0" w:color="auto"/>
            </w:tcBorders>
            <w:shd w:val="clear" w:color="000000" w:fill="F2DBDB"/>
            <w:vAlign w:val="center"/>
            <w:hideMark/>
          </w:tcPr>
          <w:p w14:paraId="68E5DBB6" w14:textId="77777777" w:rsidR="002E0A24" w:rsidRPr="00D92E20" w:rsidRDefault="002E0A24" w:rsidP="00E57135">
            <w:pPr>
              <w:spacing w:after="0" w:line="240" w:lineRule="auto"/>
              <w:jc w:val="center"/>
              <w:rPr>
                <w:rFonts w:cs="Arial"/>
                <w:color w:val="000000"/>
                <w:sz w:val="16"/>
                <w:szCs w:val="16"/>
              </w:rPr>
            </w:pPr>
            <w:r w:rsidRPr="00D92E20">
              <w:rPr>
                <w:rFonts w:cs="Arial"/>
                <w:color w:val="000000"/>
                <w:sz w:val="16"/>
                <w:szCs w:val="16"/>
              </w:rPr>
              <w:t>muži</w:t>
            </w:r>
          </w:p>
        </w:tc>
        <w:tc>
          <w:tcPr>
            <w:tcW w:w="907" w:type="dxa"/>
            <w:tcBorders>
              <w:top w:val="nil"/>
              <w:left w:val="nil"/>
              <w:bottom w:val="single" w:sz="4" w:space="0" w:color="auto"/>
              <w:right w:val="single" w:sz="4" w:space="0" w:color="auto"/>
            </w:tcBorders>
            <w:shd w:val="clear" w:color="000000" w:fill="F2DBDB"/>
            <w:vAlign w:val="center"/>
            <w:hideMark/>
          </w:tcPr>
          <w:p w14:paraId="552AB7F2" w14:textId="77777777" w:rsidR="002E0A24" w:rsidRPr="00D92E20" w:rsidRDefault="002E0A24" w:rsidP="00E57135">
            <w:pPr>
              <w:spacing w:after="0" w:line="240" w:lineRule="auto"/>
              <w:jc w:val="center"/>
              <w:rPr>
                <w:rFonts w:cs="Arial"/>
                <w:color w:val="000000"/>
                <w:sz w:val="16"/>
                <w:szCs w:val="16"/>
              </w:rPr>
            </w:pPr>
            <w:r w:rsidRPr="00D92E20">
              <w:rPr>
                <w:rFonts w:cs="Arial"/>
                <w:color w:val="000000"/>
                <w:sz w:val="16"/>
                <w:szCs w:val="16"/>
              </w:rPr>
              <w:t>ženy</w:t>
            </w:r>
          </w:p>
        </w:tc>
        <w:tc>
          <w:tcPr>
            <w:tcW w:w="1021" w:type="dxa"/>
            <w:vMerge/>
            <w:tcBorders>
              <w:left w:val="single" w:sz="4" w:space="0" w:color="auto"/>
              <w:bottom w:val="single" w:sz="4" w:space="0" w:color="000000"/>
              <w:right w:val="single" w:sz="4" w:space="0" w:color="auto"/>
            </w:tcBorders>
            <w:vAlign w:val="center"/>
          </w:tcPr>
          <w:p w14:paraId="0A964EF7" w14:textId="77777777" w:rsidR="002E0A24" w:rsidRPr="00D92E20" w:rsidRDefault="002E0A24" w:rsidP="00E57135">
            <w:pPr>
              <w:spacing w:after="0" w:line="240" w:lineRule="auto"/>
              <w:rPr>
                <w:rFonts w:cs="Arial"/>
                <w:b/>
                <w:bCs/>
                <w:color w:val="000000"/>
                <w:sz w:val="16"/>
                <w:szCs w:val="16"/>
              </w:rPr>
            </w:pPr>
          </w:p>
        </w:tc>
        <w:tc>
          <w:tcPr>
            <w:tcW w:w="1020" w:type="dxa"/>
            <w:tcBorders>
              <w:top w:val="nil"/>
              <w:left w:val="single" w:sz="4" w:space="0" w:color="auto"/>
              <w:bottom w:val="single" w:sz="4" w:space="0" w:color="000000"/>
              <w:right w:val="single" w:sz="4" w:space="0" w:color="auto"/>
            </w:tcBorders>
            <w:shd w:val="clear" w:color="auto" w:fill="F2DBDB"/>
            <w:vAlign w:val="center"/>
          </w:tcPr>
          <w:p w14:paraId="4360160C" w14:textId="2FC5D744" w:rsidR="002E0A24" w:rsidRPr="00E57135" w:rsidRDefault="002E0A24" w:rsidP="00E57135">
            <w:pPr>
              <w:spacing w:after="0" w:line="240" w:lineRule="auto"/>
              <w:jc w:val="center"/>
              <w:rPr>
                <w:rFonts w:cs="Arial"/>
                <w:color w:val="000000"/>
                <w:sz w:val="16"/>
                <w:szCs w:val="16"/>
              </w:rPr>
            </w:pPr>
            <w:r w:rsidRPr="00D92E20">
              <w:rPr>
                <w:rFonts w:cs="Arial"/>
                <w:color w:val="000000"/>
                <w:sz w:val="16"/>
                <w:szCs w:val="16"/>
              </w:rPr>
              <w:t>muži</w:t>
            </w:r>
          </w:p>
        </w:tc>
        <w:tc>
          <w:tcPr>
            <w:tcW w:w="1021" w:type="dxa"/>
            <w:tcBorders>
              <w:top w:val="nil"/>
              <w:left w:val="single" w:sz="4" w:space="0" w:color="auto"/>
              <w:bottom w:val="single" w:sz="4" w:space="0" w:color="000000"/>
              <w:right w:val="single" w:sz="4" w:space="0" w:color="auto"/>
            </w:tcBorders>
            <w:shd w:val="clear" w:color="auto" w:fill="F2DBDB"/>
            <w:vAlign w:val="center"/>
          </w:tcPr>
          <w:p w14:paraId="129E80E2" w14:textId="4F4F43E6" w:rsidR="002E0A24" w:rsidRPr="00E57135" w:rsidRDefault="002E0A24" w:rsidP="00E57135">
            <w:pPr>
              <w:spacing w:after="0" w:line="240" w:lineRule="auto"/>
              <w:jc w:val="center"/>
              <w:rPr>
                <w:rFonts w:cs="Arial"/>
                <w:color w:val="000000"/>
                <w:sz w:val="16"/>
                <w:szCs w:val="16"/>
              </w:rPr>
            </w:pPr>
            <w:r w:rsidRPr="00D92E20">
              <w:rPr>
                <w:rFonts w:cs="Arial"/>
                <w:color w:val="000000"/>
                <w:sz w:val="16"/>
                <w:szCs w:val="16"/>
              </w:rPr>
              <w:t>ženy</w:t>
            </w:r>
          </w:p>
        </w:tc>
        <w:tc>
          <w:tcPr>
            <w:tcW w:w="907" w:type="dxa"/>
            <w:vMerge/>
            <w:tcBorders>
              <w:left w:val="single" w:sz="4" w:space="0" w:color="auto"/>
              <w:bottom w:val="single" w:sz="4" w:space="0" w:color="000000"/>
              <w:right w:val="nil"/>
            </w:tcBorders>
            <w:vAlign w:val="center"/>
            <w:hideMark/>
          </w:tcPr>
          <w:p w14:paraId="62DFAF28" w14:textId="44808C98" w:rsidR="002E0A24" w:rsidRPr="00D92E20" w:rsidRDefault="002E0A24" w:rsidP="00E57135">
            <w:pPr>
              <w:spacing w:after="0" w:line="240" w:lineRule="auto"/>
              <w:rPr>
                <w:rFonts w:cs="Arial"/>
                <w:b/>
                <w:bCs/>
                <w:color w:val="000000"/>
                <w:sz w:val="16"/>
                <w:szCs w:val="16"/>
              </w:rPr>
            </w:pPr>
          </w:p>
        </w:tc>
        <w:tc>
          <w:tcPr>
            <w:tcW w:w="907" w:type="dxa"/>
            <w:tcBorders>
              <w:top w:val="nil"/>
              <w:left w:val="single" w:sz="4" w:space="0" w:color="auto"/>
              <w:bottom w:val="single" w:sz="4" w:space="0" w:color="auto"/>
              <w:right w:val="single" w:sz="4" w:space="0" w:color="auto"/>
            </w:tcBorders>
            <w:shd w:val="clear" w:color="000000" w:fill="F2DBDB"/>
            <w:vAlign w:val="center"/>
            <w:hideMark/>
          </w:tcPr>
          <w:p w14:paraId="3A4F6F1E" w14:textId="77777777" w:rsidR="002E0A24" w:rsidRPr="00D92E20" w:rsidRDefault="002E0A24" w:rsidP="00E57135">
            <w:pPr>
              <w:spacing w:after="0" w:line="240" w:lineRule="auto"/>
              <w:jc w:val="center"/>
              <w:rPr>
                <w:rFonts w:cs="Arial"/>
                <w:color w:val="000000"/>
                <w:sz w:val="16"/>
                <w:szCs w:val="16"/>
              </w:rPr>
            </w:pPr>
            <w:r w:rsidRPr="00D92E20">
              <w:rPr>
                <w:rFonts w:cs="Arial"/>
                <w:color w:val="000000"/>
                <w:sz w:val="16"/>
                <w:szCs w:val="16"/>
              </w:rPr>
              <w:t>muži</w:t>
            </w:r>
          </w:p>
        </w:tc>
        <w:tc>
          <w:tcPr>
            <w:tcW w:w="908" w:type="dxa"/>
            <w:tcBorders>
              <w:top w:val="nil"/>
              <w:left w:val="nil"/>
              <w:bottom w:val="single" w:sz="4" w:space="0" w:color="auto"/>
              <w:right w:val="nil"/>
            </w:tcBorders>
            <w:shd w:val="clear" w:color="000000" w:fill="F2DBDB"/>
            <w:vAlign w:val="center"/>
            <w:hideMark/>
          </w:tcPr>
          <w:p w14:paraId="1466A6B8" w14:textId="77777777" w:rsidR="002E0A24" w:rsidRPr="00D92E20" w:rsidRDefault="002E0A24" w:rsidP="00E57135">
            <w:pPr>
              <w:spacing w:after="0" w:line="240" w:lineRule="auto"/>
              <w:jc w:val="center"/>
              <w:rPr>
                <w:rFonts w:cs="Arial"/>
                <w:color w:val="000000"/>
                <w:sz w:val="16"/>
                <w:szCs w:val="16"/>
              </w:rPr>
            </w:pPr>
            <w:r w:rsidRPr="00D92E20">
              <w:rPr>
                <w:rFonts w:cs="Arial"/>
                <w:color w:val="000000"/>
                <w:sz w:val="16"/>
                <w:szCs w:val="16"/>
              </w:rPr>
              <w:t>ženy</w:t>
            </w:r>
          </w:p>
        </w:tc>
      </w:tr>
      <w:tr w:rsidR="002E0A24" w:rsidRPr="00D92E20" w14:paraId="69473146" w14:textId="77777777" w:rsidTr="002E0A24">
        <w:trPr>
          <w:trHeight w:val="288"/>
        </w:trPr>
        <w:tc>
          <w:tcPr>
            <w:tcW w:w="1271" w:type="dxa"/>
            <w:vMerge/>
            <w:tcBorders>
              <w:top w:val="single" w:sz="4" w:space="0" w:color="auto"/>
              <w:left w:val="nil"/>
              <w:bottom w:val="single" w:sz="4" w:space="0" w:color="000000"/>
              <w:right w:val="single" w:sz="4" w:space="0" w:color="auto"/>
            </w:tcBorders>
            <w:vAlign w:val="center"/>
            <w:hideMark/>
          </w:tcPr>
          <w:p w14:paraId="1DD13699" w14:textId="77777777" w:rsidR="00E57135" w:rsidRPr="00D92E20" w:rsidRDefault="00E57135" w:rsidP="00E57135">
            <w:pPr>
              <w:spacing w:after="0" w:line="240" w:lineRule="auto"/>
              <w:rPr>
                <w:rFonts w:cs="Arial"/>
                <w:color w:val="000000"/>
                <w:sz w:val="16"/>
                <w:szCs w:val="16"/>
              </w:rPr>
            </w:pPr>
          </w:p>
        </w:tc>
        <w:tc>
          <w:tcPr>
            <w:tcW w:w="8505" w:type="dxa"/>
            <w:gridSpan w:val="9"/>
            <w:tcBorders>
              <w:top w:val="single" w:sz="4" w:space="0" w:color="auto"/>
              <w:left w:val="nil"/>
              <w:bottom w:val="single" w:sz="4" w:space="0" w:color="auto"/>
              <w:right w:val="nil"/>
            </w:tcBorders>
            <w:shd w:val="clear" w:color="000000" w:fill="F2DBDB"/>
            <w:vAlign w:val="center"/>
          </w:tcPr>
          <w:p w14:paraId="7E2840B4" w14:textId="65C31386" w:rsidR="00E57135" w:rsidRPr="00646128" w:rsidRDefault="00E57135" w:rsidP="00E57135">
            <w:pPr>
              <w:spacing w:after="0" w:line="240" w:lineRule="auto"/>
              <w:jc w:val="center"/>
              <w:rPr>
                <w:rFonts w:ascii="Arial CE" w:hAnsi="Arial CE" w:cs="Arial CE"/>
                <w:b/>
                <w:sz w:val="16"/>
                <w:szCs w:val="16"/>
              </w:rPr>
            </w:pPr>
            <w:r>
              <w:rPr>
                <w:rFonts w:ascii="Arial CE" w:hAnsi="Arial CE" w:cs="Arial CE"/>
                <w:b/>
                <w:sz w:val="16"/>
                <w:szCs w:val="16"/>
              </w:rPr>
              <w:t>1. pol. 2022</w:t>
            </w:r>
          </w:p>
        </w:tc>
      </w:tr>
      <w:tr w:rsidR="00B34EC0" w:rsidRPr="00D92E20" w14:paraId="2ACB1F46" w14:textId="77777777" w:rsidTr="00257662">
        <w:trPr>
          <w:trHeight w:val="288"/>
        </w:trPr>
        <w:tc>
          <w:tcPr>
            <w:tcW w:w="1271" w:type="dxa"/>
            <w:tcBorders>
              <w:top w:val="nil"/>
              <w:left w:val="nil"/>
              <w:bottom w:val="nil"/>
              <w:right w:val="single" w:sz="4" w:space="0" w:color="auto"/>
            </w:tcBorders>
            <w:shd w:val="clear" w:color="auto" w:fill="auto"/>
            <w:vAlign w:val="center"/>
            <w:hideMark/>
          </w:tcPr>
          <w:p w14:paraId="6B3A3C3E" w14:textId="77777777" w:rsidR="0038133B" w:rsidRPr="00D92E20" w:rsidRDefault="0038133B" w:rsidP="0038133B">
            <w:pPr>
              <w:spacing w:after="0" w:line="240" w:lineRule="auto"/>
              <w:rPr>
                <w:rFonts w:cs="Arial"/>
                <w:b/>
                <w:bCs/>
                <w:color w:val="000000"/>
                <w:sz w:val="16"/>
                <w:szCs w:val="16"/>
              </w:rPr>
            </w:pPr>
            <w:r w:rsidRPr="00D92E20">
              <w:rPr>
                <w:rFonts w:cs="Arial"/>
                <w:b/>
                <w:bCs/>
                <w:color w:val="000000"/>
                <w:sz w:val="16"/>
                <w:szCs w:val="16"/>
              </w:rPr>
              <w:t>Celkem</w:t>
            </w:r>
          </w:p>
        </w:tc>
        <w:tc>
          <w:tcPr>
            <w:tcW w:w="907" w:type="dxa"/>
            <w:tcBorders>
              <w:top w:val="nil"/>
              <w:left w:val="nil"/>
              <w:bottom w:val="nil"/>
              <w:right w:val="nil"/>
            </w:tcBorders>
            <w:shd w:val="clear" w:color="auto" w:fill="auto"/>
            <w:vAlign w:val="center"/>
            <w:hideMark/>
          </w:tcPr>
          <w:p w14:paraId="3426135B" w14:textId="5BE01963" w:rsidR="0038133B" w:rsidRPr="00D92E20" w:rsidRDefault="0038133B" w:rsidP="0038133B">
            <w:pPr>
              <w:spacing w:after="0" w:line="240" w:lineRule="auto"/>
              <w:jc w:val="right"/>
              <w:rPr>
                <w:rFonts w:cs="Arial"/>
                <w:b/>
                <w:bCs/>
                <w:color w:val="000000"/>
                <w:sz w:val="16"/>
                <w:szCs w:val="16"/>
              </w:rPr>
            </w:pPr>
            <w:r>
              <w:rPr>
                <w:rFonts w:cs="Arial"/>
                <w:b/>
                <w:bCs/>
                <w:sz w:val="16"/>
                <w:szCs w:val="16"/>
              </w:rPr>
              <w:t>2 082,3</w:t>
            </w:r>
          </w:p>
        </w:tc>
        <w:tc>
          <w:tcPr>
            <w:tcW w:w="907" w:type="dxa"/>
            <w:tcBorders>
              <w:top w:val="nil"/>
              <w:left w:val="nil"/>
              <w:bottom w:val="nil"/>
              <w:right w:val="nil"/>
            </w:tcBorders>
            <w:shd w:val="clear" w:color="auto" w:fill="auto"/>
            <w:vAlign w:val="center"/>
            <w:hideMark/>
          </w:tcPr>
          <w:p w14:paraId="33C15536" w14:textId="4DB0D818" w:rsidR="0038133B" w:rsidRPr="00D92E20" w:rsidRDefault="0038133B" w:rsidP="0038133B">
            <w:pPr>
              <w:spacing w:after="0" w:line="240" w:lineRule="auto"/>
              <w:jc w:val="right"/>
              <w:rPr>
                <w:rFonts w:cs="Arial"/>
                <w:b/>
                <w:bCs/>
                <w:color w:val="000000"/>
                <w:sz w:val="16"/>
                <w:szCs w:val="16"/>
              </w:rPr>
            </w:pPr>
            <w:r>
              <w:rPr>
                <w:rFonts w:cs="Arial"/>
                <w:b/>
                <w:bCs/>
                <w:sz w:val="16"/>
                <w:szCs w:val="16"/>
              </w:rPr>
              <w:t>959,6</w:t>
            </w:r>
          </w:p>
        </w:tc>
        <w:tc>
          <w:tcPr>
            <w:tcW w:w="907" w:type="dxa"/>
            <w:tcBorders>
              <w:top w:val="nil"/>
              <w:left w:val="nil"/>
              <w:bottom w:val="nil"/>
              <w:right w:val="single" w:sz="4" w:space="0" w:color="auto"/>
            </w:tcBorders>
            <w:shd w:val="clear" w:color="auto" w:fill="auto"/>
            <w:vAlign w:val="center"/>
            <w:hideMark/>
          </w:tcPr>
          <w:p w14:paraId="1AEED994" w14:textId="167C1718" w:rsidR="0038133B" w:rsidRPr="00D92E20" w:rsidRDefault="0038133B" w:rsidP="0038133B">
            <w:pPr>
              <w:spacing w:after="0" w:line="240" w:lineRule="auto"/>
              <w:jc w:val="right"/>
              <w:rPr>
                <w:rFonts w:cs="Arial"/>
                <w:b/>
                <w:bCs/>
                <w:color w:val="000000"/>
                <w:sz w:val="16"/>
                <w:szCs w:val="16"/>
              </w:rPr>
            </w:pPr>
            <w:r>
              <w:rPr>
                <w:rFonts w:cs="Arial"/>
                <w:b/>
                <w:bCs/>
                <w:sz w:val="16"/>
                <w:szCs w:val="16"/>
              </w:rPr>
              <w:t>1 122,8</w:t>
            </w:r>
          </w:p>
        </w:tc>
        <w:tc>
          <w:tcPr>
            <w:tcW w:w="1021" w:type="dxa"/>
            <w:tcBorders>
              <w:top w:val="nil"/>
              <w:left w:val="single" w:sz="4" w:space="0" w:color="auto"/>
              <w:bottom w:val="nil"/>
              <w:right w:val="nil"/>
            </w:tcBorders>
            <w:shd w:val="clear" w:color="000000" w:fill="FFFFFF"/>
            <w:vAlign w:val="center"/>
          </w:tcPr>
          <w:p w14:paraId="53EE47AF" w14:textId="73E7F2BD" w:rsidR="0038133B" w:rsidRDefault="0038133B" w:rsidP="00257662">
            <w:pPr>
              <w:spacing w:after="0" w:line="240" w:lineRule="auto"/>
              <w:jc w:val="right"/>
              <w:rPr>
                <w:rFonts w:cs="Arial"/>
                <w:b/>
                <w:bCs/>
                <w:sz w:val="16"/>
                <w:szCs w:val="16"/>
              </w:rPr>
            </w:pPr>
            <w:r>
              <w:rPr>
                <w:rFonts w:cs="Arial"/>
                <w:b/>
                <w:bCs/>
                <w:sz w:val="16"/>
                <w:szCs w:val="16"/>
              </w:rPr>
              <w:t>51 550,7</w:t>
            </w:r>
          </w:p>
        </w:tc>
        <w:tc>
          <w:tcPr>
            <w:tcW w:w="1020" w:type="dxa"/>
            <w:tcBorders>
              <w:top w:val="nil"/>
              <w:left w:val="nil"/>
              <w:bottom w:val="nil"/>
              <w:right w:val="nil"/>
            </w:tcBorders>
            <w:shd w:val="clear" w:color="000000" w:fill="FFFFFF"/>
            <w:vAlign w:val="center"/>
          </w:tcPr>
          <w:p w14:paraId="66045A92" w14:textId="2458209E" w:rsidR="0038133B" w:rsidRDefault="0038133B" w:rsidP="00257662">
            <w:pPr>
              <w:spacing w:after="0" w:line="240" w:lineRule="auto"/>
              <w:jc w:val="right"/>
              <w:rPr>
                <w:rFonts w:cs="Arial"/>
                <w:b/>
                <w:bCs/>
                <w:sz w:val="16"/>
                <w:szCs w:val="16"/>
              </w:rPr>
            </w:pPr>
            <w:r>
              <w:rPr>
                <w:rFonts w:cs="Arial"/>
                <w:b/>
                <w:bCs/>
                <w:sz w:val="16"/>
                <w:szCs w:val="16"/>
              </w:rPr>
              <w:t>23 363,8</w:t>
            </w:r>
          </w:p>
        </w:tc>
        <w:tc>
          <w:tcPr>
            <w:tcW w:w="1021" w:type="dxa"/>
            <w:tcBorders>
              <w:top w:val="single" w:sz="4" w:space="0" w:color="auto"/>
              <w:left w:val="nil"/>
              <w:bottom w:val="nil"/>
              <w:right w:val="single" w:sz="4" w:space="0" w:color="auto"/>
            </w:tcBorders>
            <w:shd w:val="clear" w:color="000000" w:fill="FFFFFF"/>
            <w:vAlign w:val="center"/>
          </w:tcPr>
          <w:p w14:paraId="7B7458C2" w14:textId="63E80CDC" w:rsidR="0038133B" w:rsidRDefault="0038133B" w:rsidP="00257662">
            <w:pPr>
              <w:spacing w:after="0" w:line="240" w:lineRule="auto"/>
              <w:jc w:val="right"/>
              <w:rPr>
                <w:rFonts w:cs="Arial"/>
                <w:b/>
                <w:bCs/>
                <w:sz w:val="16"/>
                <w:szCs w:val="16"/>
              </w:rPr>
            </w:pPr>
            <w:r>
              <w:rPr>
                <w:rFonts w:cs="Arial"/>
                <w:b/>
                <w:bCs/>
                <w:sz w:val="16"/>
                <w:szCs w:val="16"/>
              </w:rPr>
              <w:t>28 186,9</w:t>
            </w:r>
          </w:p>
        </w:tc>
        <w:tc>
          <w:tcPr>
            <w:tcW w:w="907" w:type="dxa"/>
            <w:tcBorders>
              <w:top w:val="nil"/>
              <w:left w:val="single" w:sz="4" w:space="0" w:color="auto"/>
              <w:bottom w:val="nil"/>
              <w:right w:val="nil"/>
            </w:tcBorders>
            <w:shd w:val="clear" w:color="auto" w:fill="auto"/>
            <w:vAlign w:val="center"/>
            <w:hideMark/>
          </w:tcPr>
          <w:p w14:paraId="581DB7E3" w14:textId="748A5F3B" w:rsidR="0038133B" w:rsidRPr="00D92E20" w:rsidRDefault="0038133B" w:rsidP="00257662">
            <w:pPr>
              <w:spacing w:after="0" w:line="240" w:lineRule="auto"/>
              <w:jc w:val="right"/>
              <w:rPr>
                <w:rFonts w:cs="Arial"/>
                <w:b/>
                <w:bCs/>
                <w:color w:val="000000"/>
                <w:sz w:val="16"/>
                <w:szCs w:val="16"/>
              </w:rPr>
            </w:pPr>
            <w:r>
              <w:rPr>
                <w:rFonts w:cs="Arial"/>
                <w:b/>
                <w:bCs/>
                <w:sz w:val="16"/>
                <w:szCs w:val="16"/>
              </w:rPr>
              <w:t>24,8</w:t>
            </w:r>
          </w:p>
        </w:tc>
        <w:tc>
          <w:tcPr>
            <w:tcW w:w="907" w:type="dxa"/>
            <w:tcBorders>
              <w:top w:val="nil"/>
              <w:left w:val="nil"/>
              <w:bottom w:val="nil"/>
              <w:right w:val="nil"/>
            </w:tcBorders>
            <w:shd w:val="clear" w:color="auto" w:fill="auto"/>
            <w:vAlign w:val="center"/>
            <w:hideMark/>
          </w:tcPr>
          <w:p w14:paraId="0724775B" w14:textId="3117083D" w:rsidR="0038133B" w:rsidRPr="00D92E20" w:rsidRDefault="0038133B" w:rsidP="00257662">
            <w:pPr>
              <w:spacing w:after="0" w:line="240" w:lineRule="auto"/>
              <w:jc w:val="right"/>
              <w:rPr>
                <w:rFonts w:cs="Arial"/>
                <w:b/>
                <w:bCs/>
                <w:color w:val="000000"/>
                <w:sz w:val="16"/>
                <w:szCs w:val="16"/>
              </w:rPr>
            </w:pPr>
            <w:r>
              <w:rPr>
                <w:rFonts w:cs="Arial"/>
                <w:b/>
                <w:bCs/>
                <w:sz w:val="16"/>
                <w:szCs w:val="16"/>
              </w:rPr>
              <w:t>24,3</w:t>
            </w:r>
          </w:p>
        </w:tc>
        <w:tc>
          <w:tcPr>
            <w:tcW w:w="908" w:type="dxa"/>
            <w:tcBorders>
              <w:top w:val="nil"/>
              <w:left w:val="nil"/>
              <w:bottom w:val="nil"/>
              <w:right w:val="nil"/>
            </w:tcBorders>
            <w:shd w:val="clear" w:color="auto" w:fill="auto"/>
            <w:vAlign w:val="center"/>
            <w:hideMark/>
          </w:tcPr>
          <w:p w14:paraId="1D038327" w14:textId="3A930179" w:rsidR="0038133B" w:rsidRPr="00D92E20" w:rsidRDefault="0038133B" w:rsidP="00257662">
            <w:pPr>
              <w:spacing w:after="0" w:line="240" w:lineRule="auto"/>
              <w:jc w:val="right"/>
              <w:rPr>
                <w:rFonts w:cs="Arial"/>
                <w:b/>
                <w:bCs/>
                <w:color w:val="000000"/>
                <w:sz w:val="16"/>
                <w:szCs w:val="16"/>
              </w:rPr>
            </w:pPr>
            <w:r>
              <w:rPr>
                <w:rFonts w:cs="Arial"/>
                <w:b/>
                <w:bCs/>
                <w:sz w:val="16"/>
                <w:szCs w:val="16"/>
              </w:rPr>
              <w:t>25,1</w:t>
            </w:r>
          </w:p>
        </w:tc>
      </w:tr>
      <w:tr w:rsidR="00B34EC0" w:rsidRPr="00D92E20" w14:paraId="7B0F614A" w14:textId="77777777" w:rsidTr="00257662">
        <w:trPr>
          <w:trHeight w:val="288"/>
        </w:trPr>
        <w:tc>
          <w:tcPr>
            <w:tcW w:w="1271" w:type="dxa"/>
            <w:tcBorders>
              <w:top w:val="nil"/>
              <w:left w:val="nil"/>
              <w:bottom w:val="nil"/>
              <w:right w:val="single" w:sz="4" w:space="0" w:color="auto"/>
            </w:tcBorders>
            <w:shd w:val="clear" w:color="auto" w:fill="auto"/>
            <w:vAlign w:val="center"/>
            <w:hideMark/>
          </w:tcPr>
          <w:p w14:paraId="4D7B8B6F" w14:textId="77777777" w:rsidR="0038133B" w:rsidRPr="00D92E20" w:rsidRDefault="0038133B" w:rsidP="0038133B">
            <w:pPr>
              <w:spacing w:after="0" w:line="240" w:lineRule="auto"/>
              <w:ind w:firstLineChars="100" w:firstLine="160"/>
              <w:rPr>
                <w:rFonts w:cs="Arial"/>
                <w:color w:val="000000"/>
                <w:sz w:val="16"/>
                <w:szCs w:val="16"/>
              </w:rPr>
            </w:pPr>
            <w:r w:rsidRPr="00D92E20">
              <w:rPr>
                <w:rFonts w:cs="Arial"/>
                <w:color w:val="000000"/>
                <w:sz w:val="16"/>
                <w:szCs w:val="16"/>
              </w:rPr>
              <w:t>mladší 20 let</w:t>
            </w:r>
          </w:p>
        </w:tc>
        <w:tc>
          <w:tcPr>
            <w:tcW w:w="907" w:type="dxa"/>
            <w:tcBorders>
              <w:top w:val="nil"/>
              <w:left w:val="nil"/>
              <w:bottom w:val="nil"/>
              <w:right w:val="nil"/>
            </w:tcBorders>
            <w:shd w:val="clear" w:color="auto" w:fill="auto"/>
            <w:vAlign w:val="center"/>
            <w:hideMark/>
          </w:tcPr>
          <w:p w14:paraId="17A0F459" w14:textId="47A886BC" w:rsidR="0038133B" w:rsidRPr="00D92E20" w:rsidRDefault="0038133B" w:rsidP="0038133B">
            <w:pPr>
              <w:spacing w:after="0" w:line="240" w:lineRule="auto"/>
              <w:jc w:val="right"/>
              <w:rPr>
                <w:rFonts w:cs="Arial"/>
                <w:color w:val="000000"/>
                <w:sz w:val="16"/>
                <w:szCs w:val="16"/>
              </w:rPr>
            </w:pPr>
            <w:r>
              <w:rPr>
                <w:rFonts w:cs="Arial"/>
                <w:sz w:val="16"/>
                <w:szCs w:val="16"/>
              </w:rPr>
              <w:t>19,8</w:t>
            </w:r>
          </w:p>
        </w:tc>
        <w:tc>
          <w:tcPr>
            <w:tcW w:w="907" w:type="dxa"/>
            <w:tcBorders>
              <w:top w:val="nil"/>
              <w:left w:val="nil"/>
              <w:bottom w:val="nil"/>
              <w:right w:val="nil"/>
            </w:tcBorders>
            <w:shd w:val="clear" w:color="auto" w:fill="auto"/>
            <w:vAlign w:val="center"/>
            <w:hideMark/>
          </w:tcPr>
          <w:p w14:paraId="14CAB7B4" w14:textId="375EBCEC" w:rsidR="0038133B" w:rsidRPr="00D92E20" w:rsidRDefault="0038133B" w:rsidP="0038133B">
            <w:pPr>
              <w:spacing w:after="0" w:line="240" w:lineRule="auto"/>
              <w:jc w:val="right"/>
              <w:rPr>
                <w:rFonts w:cs="Arial"/>
                <w:color w:val="000000"/>
                <w:sz w:val="16"/>
                <w:szCs w:val="16"/>
              </w:rPr>
            </w:pPr>
            <w:r>
              <w:rPr>
                <w:rFonts w:cs="Arial"/>
                <w:sz w:val="16"/>
                <w:szCs w:val="16"/>
              </w:rPr>
              <w:t>11,4</w:t>
            </w:r>
          </w:p>
        </w:tc>
        <w:tc>
          <w:tcPr>
            <w:tcW w:w="907" w:type="dxa"/>
            <w:tcBorders>
              <w:top w:val="nil"/>
              <w:left w:val="nil"/>
              <w:bottom w:val="nil"/>
              <w:right w:val="single" w:sz="4" w:space="0" w:color="auto"/>
            </w:tcBorders>
            <w:shd w:val="clear" w:color="auto" w:fill="auto"/>
            <w:vAlign w:val="center"/>
            <w:hideMark/>
          </w:tcPr>
          <w:p w14:paraId="3FF61ECD" w14:textId="52716AE6" w:rsidR="0038133B" w:rsidRPr="00D92E20" w:rsidRDefault="0038133B" w:rsidP="0038133B">
            <w:pPr>
              <w:spacing w:after="0" w:line="240" w:lineRule="auto"/>
              <w:jc w:val="right"/>
              <w:rPr>
                <w:rFonts w:cs="Arial"/>
                <w:color w:val="000000"/>
                <w:sz w:val="16"/>
                <w:szCs w:val="16"/>
              </w:rPr>
            </w:pPr>
            <w:r>
              <w:rPr>
                <w:rFonts w:cs="Arial"/>
                <w:sz w:val="16"/>
                <w:szCs w:val="16"/>
              </w:rPr>
              <w:t>8,5</w:t>
            </w:r>
          </w:p>
        </w:tc>
        <w:tc>
          <w:tcPr>
            <w:tcW w:w="1021" w:type="dxa"/>
            <w:tcBorders>
              <w:top w:val="nil"/>
              <w:left w:val="single" w:sz="4" w:space="0" w:color="auto"/>
              <w:bottom w:val="nil"/>
              <w:right w:val="nil"/>
            </w:tcBorders>
            <w:shd w:val="clear" w:color="000000" w:fill="FFFFFF"/>
            <w:vAlign w:val="center"/>
          </w:tcPr>
          <w:p w14:paraId="6F906DF2" w14:textId="58424E5B" w:rsidR="0038133B" w:rsidRDefault="0038133B" w:rsidP="00257662">
            <w:pPr>
              <w:spacing w:after="0" w:line="240" w:lineRule="auto"/>
              <w:jc w:val="right"/>
              <w:rPr>
                <w:rFonts w:cs="Arial"/>
                <w:sz w:val="16"/>
                <w:szCs w:val="16"/>
              </w:rPr>
            </w:pPr>
            <w:r>
              <w:rPr>
                <w:rFonts w:cs="Arial"/>
                <w:sz w:val="16"/>
                <w:szCs w:val="16"/>
              </w:rPr>
              <w:t>266,9</w:t>
            </w:r>
          </w:p>
        </w:tc>
        <w:tc>
          <w:tcPr>
            <w:tcW w:w="1020" w:type="dxa"/>
            <w:tcBorders>
              <w:top w:val="nil"/>
              <w:left w:val="nil"/>
              <w:bottom w:val="nil"/>
              <w:right w:val="nil"/>
            </w:tcBorders>
            <w:shd w:val="clear" w:color="000000" w:fill="FFFFFF"/>
            <w:vAlign w:val="center"/>
          </w:tcPr>
          <w:p w14:paraId="14848449" w14:textId="02C4CB42" w:rsidR="0038133B" w:rsidRDefault="0038133B" w:rsidP="00257662">
            <w:pPr>
              <w:spacing w:after="0" w:line="240" w:lineRule="auto"/>
              <w:jc w:val="right"/>
              <w:rPr>
                <w:rFonts w:cs="Arial"/>
                <w:sz w:val="16"/>
                <w:szCs w:val="16"/>
              </w:rPr>
            </w:pPr>
            <w:r>
              <w:rPr>
                <w:rFonts w:cs="Arial"/>
                <w:sz w:val="16"/>
                <w:szCs w:val="16"/>
              </w:rPr>
              <w:t>141,6</w:t>
            </w:r>
          </w:p>
        </w:tc>
        <w:tc>
          <w:tcPr>
            <w:tcW w:w="1021" w:type="dxa"/>
            <w:tcBorders>
              <w:top w:val="nil"/>
              <w:left w:val="nil"/>
              <w:bottom w:val="nil"/>
              <w:right w:val="single" w:sz="4" w:space="0" w:color="auto"/>
            </w:tcBorders>
            <w:shd w:val="clear" w:color="000000" w:fill="FFFFFF"/>
            <w:vAlign w:val="center"/>
          </w:tcPr>
          <w:p w14:paraId="34DC7668" w14:textId="52B6606B" w:rsidR="0038133B" w:rsidRDefault="0038133B" w:rsidP="00257662">
            <w:pPr>
              <w:spacing w:after="0" w:line="240" w:lineRule="auto"/>
              <w:jc w:val="right"/>
              <w:rPr>
                <w:rFonts w:cs="Arial"/>
                <w:sz w:val="16"/>
                <w:szCs w:val="16"/>
              </w:rPr>
            </w:pPr>
            <w:r>
              <w:rPr>
                <w:rFonts w:cs="Arial"/>
                <w:sz w:val="16"/>
                <w:szCs w:val="16"/>
              </w:rPr>
              <w:t>125,4</w:t>
            </w:r>
          </w:p>
        </w:tc>
        <w:tc>
          <w:tcPr>
            <w:tcW w:w="907" w:type="dxa"/>
            <w:tcBorders>
              <w:top w:val="nil"/>
              <w:left w:val="single" w:sz="4" w:space="0" w:color="auto"/>
              <w:bottom w:val="nil"/>
              <w:right w:val="nil"/>
            </w:tcBorders>
            <w:shd w:val="clear" w:color="auto" w:fill="auto"/>
            <w:vAlign w:val="center"/>
            <w:hideMark/>
          </w:tcPr>
          <w:p w14:paraId="600870F8" w14:textId="397E1445" w:rsidR="0038133B" w:rsidRPr="00D92E20" w:rsidRDefault="0038133B" w:rsidP="00257662">
            <w:pPr>
              <w:spacing w:after="0" w:line="240" w:lineRule="auto"/>
              <w:jc w:val="right"/>
              <w:rPr>
                <w:rFonts w:cs="Arial"/>
                <w:color w:val="000000"/>
                <w:sz w:val="16"/>
                <w:szCs w:val="16"/>
              </w:rPr>
            </w:pPr>
            <w:r>
              <w:rPr>
                <w:rFonts w:cs="Arial"/>
                <w:sz w:val="16"/>
                <w:szCs w:val="16"/>
              </w:rPr>
              <w:t>13,5</w:t>
            </w:r>
          </w:p>
        </w:tc>
        <w:tc>
          <w:tcPr>
            <w:tcW w:w="907" w:type="dxa"/>
            <w:tcBorders>
              <w:top w:val="nil"/>
              <w:left w:val="nil"/>
              <w:bottom w:val="nil"/>
              <w:right w:val="nil"/>
            </w:tcBorders>
            <w:shd w:val="clear" w:color="auto" w:fill="auto"/>
            <w:vAlign w:val="center"/>
            <w:hideMark/>
          </w:tcPr>
          <w:p w14:paraId="3EE2B369" w14:textId="560CC83B" w:rsidR="0038133B" w:rsidRPr="00D92E20" w:rsidRDefault="0038133B" w:rsidP="00257662">
            <w:pPr>
              <w:spacing w:after="0" w:line="240" w:lineRule="auto"/>
              <w:jc w:val="right"/>
              <w:rPr>
                <w:rFonts w:cs="Arial"/>
                <w:color w:val="000000"/>
                <w:sz w:val="16"/>
                <w:szCs w:val="16"/>
              </w:rPr>
            </w:pPr>
            <w:r>
              <w:rPr>
                <w:rFonts w:cs="Arial"/>
                <w:sz w:val="16"/>
                <w:szCs w:val="16"/>
              </w:rPr>
              <w:t>12,5</w:t>
            </w:r>
          </w:p>
        </w:tc>
        <w:tc>
          <w:tcPr>
            <w:tcW w:w="908" w:type="dxa"/>
            <w:tcBorders>
              <w:top w:val="nil"/>
              <w:left w:val="nil"/>
              <w:bottom w:val="nil"/>
              <w:right w:val="nil"/>
            </w:tcBorders>
            <w:shd w:val="clear" w:color="auto" w:fill="auto"/>
            <w:vAlign w:val="center"/>
            <w:hideMark/>
          </w:tcPr>
          <w:p w14:paraId="1A098A67" w14:textId="61180DCD" w:rsidR="0038133B" w:rsidRPr="00D92E20" w:rsidRDefault="0038133B" w:rsidP="00257662">
            <w:pPr>
              <w:spacing w:after="0" w:line="240" w:lineRule="auto"/>
              <w:jc w:val="right"/>
              <w:rPr>
                <w:rFonts w:cs="Arial"/>
                <w:color w:val="000000"/>
                <w:sz w:val="16"/>
                <w:szCs w:val="16"/>
              </w:rPr>
            </w:pPr>
            <w:r>
              <w:rPr>
                <w:rFonts w:cs="Arial"/>
                <w:sz w:val="16"/>
                <w:szCs w:val="16"/>
              </w:rPr>
              <w:t>14,8</w:t>
            </w:r>
          </w:p>
        </w:tc>
      </w:tr>
      <w:tr w:rsidR="00B34EC0" w:rsidRPr="00D92E20" w14:paraId="7372BE45" w14:textId="77777777" w:rsidTr="00257662">
        <w:trPr>
          <w:trHeight w:val="288"/>
        </w:trPr>
        <w:tc>
          <w:tcPr>
            <w:tcW w:w="1271" w:type="dxa"/>
            <w:tcBorders>
              <w:top w:val="nil"/>
              <w:left w:val="nil"/>
              <w:bottom w:val="nil"/>
              <w:right w:val="single" w:sz="4" w:space="0" w:color="auto"/>
            </w:tcBorders>
            <w:shd w:val="clear" w:color="auto" w:fill="auto"/>
            <w:vAlign w:val="center"/>
            <w:hideMark/>
          </w:tcPr>
          <w:p w14:paraId="181445DA" w14:textId="77777777" w:rsidR="0038133B" w:rsidRPr="00D92E20" w:rsidRDefault="0038133B" w:rsidP="0038133B">
            <w:pPr>
              <w:spacing w:after="0" w:line="240" w:lineRule="auto"/>
              <w:ind w:firstLineChars="100" w:firstLine="160"/>
              <w:rPr>
                <w:rFonts w:cs="Arial"/>
                <w:color w:val="000000"/>
                <w:sz w:val="16"/>
                <w:szCs w:val="16"/>
              </w:rPr>
            </w:pPr>
            <w:r w:rsidRPr="00D92E20">
              <w:rPr>
                <w:rFonts w:cs="Arial"/>
                <w:color w:val="000000"/>
                <w:sz w:val="16"/>
                <w:szCs w:val="16"/>
              </w:rPr>
              <w:t>20–29 let</w:t>
            </w:r>
          </w:p>
        </w:tc>
        <w:tc>
          <w:tcPr>
            <w:tcW w:w="907" w:type="dxa"/>
            <w:tcBorders>
              <w:top w:val="nil"/>
              <w:left w:val="nil"/>
              <w:bottom w:val="nil"/>
              <w:right w:val="nil"/>
            </w:tcBorders>
            <w:shd w:val="clear" w:color="auto" w:fill="auto"/>
            <w:vAlign w:val="center"/>
            <w:hideMark/>
          </w:tcPr>
          <w:p w14:paraId="5CC87A4F" w14:textId="119A2D96" w:rsidR="0038133B" w:rsidRPr="00D92E20" w:rsidRDefault="0038133B" w:rsidP="0038133B">
            <w:pPr>
              <w:spacing w:after="0" w:line="240" w:lineRule="auto"/>
              <w:jc w:val="right"/>
              <w:rPr>
                <w:rFonts w:cs="Arial"/>
                <w:color w:val="000000"/>
                <w:sz w:val="16"/>
                <w:szCs w:val="16"/>
              </w:rPr>
            </w:pPr>
            <w:r>
              <w:rPr>
                <w:rFonts w:cs="Arial"/>
                <w:sz w:val="16"/>
                <w:szCs w:val="16"/>
              </w:rPr>
              <w:t>378,7</w:t>
            </w:r>
          </w:p>
        </w:tc>
        <w:tc>
          <w:tcPr>
            <w:tcW w:w="907" w:type="dxa"/>
            <w:tcBorders>
              <w:top w:val="nil"/>
              <w:left w:val="nil"/>
              <w:bottom w:val="nil"/>
              <w:right w:val="nil"/>
            </w:tcBorders>
            <w:shd w:val="clear" w:color="auto" w:fill="auto"/>
            <w:vAlign w:val="center"/>
            <w:hideMark/>
          </w:tcPr>
          <w:p w14:paraId="120918CC" w14:textId="67B42C5A" w:rsidR="0038133B" w:rsidRPr="00D92E20" w:rsidRDefault="0038133B" w:rsidP="0038133B">
            <w:pPr>
              <w:spacing w:after="0" w:line="240" w:lineRule="auto"/>
              <w:jc w:val="right"/>
              <w:rPr>
                <w:rFonts w:cs="Arial"/>
                <w:color w:val="000000"/>
                <w:sz w:val="16"/>
                <w:szCs w:val="16"/>
              </w:rPr>
            </w:pPr>
            <w:r>
              <w:rPr>
                <w:rFonts w:cs="Arial"/>
                <w:sz w:val="16"/>
                <w:szCs w:val="16"/>
              </w:rPr>
              <w:t>199,2</w:t>
            </w:r>
          </w:p>
        </w:tc>
        <w:tc>
          <w:tcPr>
            <w:tcW w:w="907" w:type="dxa"/>
            <w:tcBorders>
              <w:top w:val="nil"/>
              <w:left w:val="nil"/>
              <w:bottom w:val="nil"/>
              <w:right w:val="single" w:sz="4" w:space="0" w:color="auto"/>
            </w:tcBorders>
            <w:shd w:val="clear" w:color="auto" w:fill="auto"/>
            <w:vAlign w:val="center"/>
            <w:hideMark/>
          </w:tcPr>
          <w:p w14:paraId="0208F366" w14:textId="22325A64" w:rsidR="0038133B" w:rsidRPr="00D92E20" w:rsidRDefault="0038133B" w:rsidP="0038133B">
            <w:pPr>
              <w:spacing w:after="0" w:line="240" w:lineRule="auto"/>
              <w:jc w:val="right"/>
              <w:rPr>
                <w:rFonts w:cs="Arial"/>
                <w:color w:val="000000"/>
                <w:sz w:val="16"/>
                <w:szCs w:val="16"/>
              </w:rPr>
            </w:pPr>
            <w:r>
              <w:rPr>
                <w:rFonts w:cs="Arial"/>
                <w:sz w:val="16"/>
                <w:szCs w:val="16"/>
              </w:rPr>
              <w:t>179,5</w:t>
            </w:r>
          </w:p>
        </w:tc>
        <w:tc>
          <w:tcPr>
            <w:tcW w:w="1021" w:type="dxa"/>
            <w:tcBorders>
              <w:top w:val="nil"/>
              <w:left w:val="single" w:sz="4" w:space="0" w:color="auto"/>
              <w:bottom w:val="nil"/>
              <w:right w:val="nil"/>
            </w:tcBorders>
            <w:shd w:val="clear" w:color="000000" w:fill="FFFFFF"/>
            <w:vAlign w:val="center"/>
          </w:tcPr>
          <w:p w14:paraId="580ED425" w14:textId="399DC09D" w:rsidR="0038133B" w:rsidRDefault="0038133B" w:rsidP="00257662">
            <w:pPr>
              <w:spacing w:after="0" w:line="240" w:lineRule="auto"/>
              <w:jc w:val="right"/>
              <w:rPr>
                <w:rFonts w:cs="Arial"/>
                <w:sz w:val="16"/>
                <w:szCs w:val="16"/>
              </w:rPr>
            </w:pPr>
            <w:r>
              <w:rPr>
                <w:rFonts w:cs="Arial"/>
                <w:sz w:val="16"/>
                <w:szCs w:val="16"/>
              </w:rPr>
              <w:t>6 347,3</w:t>
            </w:r>
          </w:p>
        </w:tc>
        <w:tc>
          <w:tcPr>
            <w:tcW w:w="1020" w:type="dxa"/>
            <w:tcBorders>
              <w:top w:val="nil"/>
              <w:left w:val="nil"/>
              <w:bottom w:val="nil"/>
              <w:right w:val="nil"/>
            </w:tcBorders>
            <w:shd w:val="clear" w:color="000000" w:fill="FFFFFF"/>
            <w:vAlign w:val="center"/>
          </w:tcPr>
          <w:p w14:paraId="1895873C" w14:textId="73F32C69" w:rsidR="0038133B" w:rsidRDefault="0038133B" w:rsidP="00257662">
            <w:pPr>
              <w:spacing w:after="0" w:line="240" w:lineRule="auto"/>
              <w:jc w:val="right"/>
              <w:rPr>
                <w:rFonts w:cs="Arial"/>
                <w:sz w:val="16"/>
                <w:szCs w:val="16"/>
              </w:rPr>
            </w:pPr>
            <w:r>
              <w:rPr>
                <w:rFonts w:cs="Arial"/>
                <w:sz w:val="16"/>
                <w:szCs w:val="16"/>
              </w:rPr>
              <w:t>2 887,3</w:t>
            </w:r>
          </w:p>
        </w:tc>
        <w:tc>
          <w:tcPr>
            <w:tcW w:w="1021" w:type="dxa"/>
            <w:tcBorders>
              <w:top w:val="nil"/>
              <w:left w:val="nil"/>
              <w:bottom w:val="nil"/>
              <w:right w:val="single" w:sz="4" w:space="0" w:color="auto"/>
            </w:tcBorders>
            <w:shd w:val="clear" w:color="000000" w:fill="FFFFFF"/>
            <w:vAlign w:val="center"/>
          </w:tcPr>
          <w:p w14:paraId="77D3E4D7" w14:textId="52FBAF21" w:rsidR="0038133B" w:rsidRDefault="0038133B" w:rsidP="00257662">
            <w:pPr>
              <w:spacing w:after="0" w:line="240" w:lineRule="auto"/>
              <w:jc w:val="right"/>
              <w:rPr>
                <w:rFonts w:cs="Arial"/>
                <w:sz w:val="16"/>
                <w:szCs w:val="16"/>
              </w:rPr>
            </w:pPr>
            <w:r>
              <w:rPr>
                <w:rFonts w:cs="Arial"/>
                <w:sz w:val="16"/>
                <w:szCs w:val="16"/>
              </w:rPr>
              <w:t>3 460,0</w:t>
            </w:r>
          </w:p>
        </w:tc>
        <w:tc>
          <w:tcPr>
            <w:tcW w:w="907" w:type="dxa"/>
            <w:tcBorders>
              <w:top w:val="nil"/>
              <w:left w:val="single" w:sz="4" w:space="0" w:color="auto"/>
              <w:bottom w:val="nil"/>
              <w:right w:val="nil"/>
            </w:tcBorders>
            <w:shd w:val="clear" w:color="auto" w:fill="auto"/>
            <w:vAlign w:val="center"/>
            <w:hideMark/>
          </w:tcPr>
          <w:p w14:paraId="2C6E46C1" w14:textId="08B7375F" w:rsidR="0038133B" w:rsidRPr="00D92E20" w:rsidRDefault="0038133B" w:rsidP="00257662">
            <w:pPr>
              <w:spacing w:after="0" w:line="240" w:lineRule="auto"/>
              <w:jc w:val="right"/>
              <w:rPr>
                <w:rFonts w:cs="Arial"/>
                <w:color w:val="000000"/>
                <w:sz w:val="16"/>
                <w:szCs w:val="16"/>
              </w:rPr>
            </w:pPr>
            <w:r>
              <w:rPr>
                <w:rFonts w:cs="Arial"/>
                <w:sz w:val="16"/>
                <w:szCs w:val="16"/>
              </w:rPr>
              <w:t>16,8</w:t>
            </w:r>
          </w:p>
        </w:tc>
        <w:tc>
          <w:tcPr>
            <w:tcW w:w="907" w:type="dxa"/>
            <w:tcBorders>
              <w:top w:val="nil"/>
              <w:left w:val="nil"/>
              <w:bottom w:val="nil"/>
              <w:right w:val="nil"/>
            </w:tcBorders>
            <w:shd w:val="clear" w:color="auto" w:fill="auto"/>
            <w:vAlign w:val="center"/>
            <w:hideMark/>
          </w:tcPr>
          <w:p w14:paraId="1D9D2486" w14:textId="1E0148B3" w:rsidR="0038133B" w:rsidRPr="00D92E20" w:rsidRDefault="0038133B" w:rsidP="00257662">
            <w:pPr>
              <w:spacing w:after="0" w:line="240" w:lineRule="auto"/>
              <w:jc w:val="right"/>
              <w:rPr>
                <w:rFonts w:cs="Arial"/>
                <w:color w:val="000000"/>
                <w:sz w:val="16"/>
                <w:szCs w:val="16"/>
              </w:rPr>
            </w:pPr>
            <w:r>
              <w:rPr>
                <w:rFonts w:cs="Arial"/>
                <w:sz w:val="16"/>
                <w:szCs w:val="16"/>
              </w:rPr>
              <w:t>14,5</w:t>
            </w:r>
          </w:p>
        </w:tc>
        <w:tc>
          <w:tcPr>
            <w:tcW w:w="908" w:type="dxa"/>
            <w:tcBorders>
              <w:top w:val="nil"/>
              <w:left w:val="nil"/>
              <w:bottom w:val="nil"/>
              <w:right w:val="nil"/>
            </w:tcBorders>
            <w:shd w:val="clear" w:color="auto" w:fill="auto"/>
            <w:vAlign w:val="center"/>
            <w:hideMark/>
          </w:tcPr>
          <w:p w14:paraId="308EDAF5" w14:textId="11EAC11F" w:rsidR="0038133B" w:rsidRPr="00D92E20" w:rsidRDefault="0038133B" w:rsidP="00257662">
            <w:pPr>
              <w:spacing w:after="0" w:line="240" w:lineRule="auto"/>
              <w:jc w:val="right"/>
              <w:rPr>
                <w:rFonts w:cs="Arial"/>
                <w:color w:val="000000"/>
                <w:sz w:val="16"/>
                <w:szCs w:val="16"/>
              </w:rPr>
            </w:pPr>
            <w:r>
              <w:rPr>
                <w:rFonts w:cs="Arial"/>
                <w:sz w:val="16"/>
                <w:szCs w:val="16"/>
              </w:rPr>
              <w:t>19,3</w:t>
            </w:r>
          </w:p>
        </w:tc>
      </w:tr>
      <w:tr w:rsidR="00B34EC0" w:rsidRPr="00D92E20" w14:paraId="4C346089" w14:textId="77777777" w:rsidTr="00257662">
        <w:trPr>
          <w:trHeight w:val="288"/>
        </w:trPr>
        <w:tc>
          <w:tcPr>
            <w:tcW w:w="1271" w:type="dxa"/>
            <w:tcBorders>
              <w:top w:val="nil"/>
              <w:left w:val="nil"/>
              <w:bottom w:val="nil"/>
              <w:right w:val="single" w:sz="4" w:space="0" w:color="auto"/>
            </w:tcBorders>
            <w:shd w:val="clear" w:color="auto" w:fill="auto"/>
            <w:vAlign w:val="center"/>
            <w:hideMark/>
          </w:tcPr>
          <w:p w14:paraId="13FA5208" w14:textId="77777777" w:rsidR="0038133B" w:rsidRPr="00D92E20" w:rsidRDefault="0038133B" w:rsidP="0038133B">
            <w:pPr>
              <w:spacing w:after="0" w:line="240" w:lineRule="auto"/>
              <w:ind w:firstLineChars="100" w:firstLine="160"/>
              <w:rPr>
                <w:rFonts w:cs="Arial"/>
                <w:color w:val="000000"/>
                <w:sz w:val="16"/>
                <w:szCs w:val="16"/>
              </w:rPr>
            </w:pPr>
            <w:r w:rsidRPr="00D92E20">
              <w:rPr>
                <w:rFonts w:cs="Arial"/>
                <w:color w:val="000000"/>
                <w:sz w:val="16"/>
                <w:szCs w:val="16"/>
              </w:rPr>
              <w:t>30–39 let</w:t>
            </w:r>
          </w:p>
        </w:tc>
        <w:tc>
          <w:tcPr>
            <w:tcW w:w="907" w:type="dxa"/>
            <w:tcBorders>
              <w:top w:val="nil"/>
              <w:left w:val="nil"/>
              <w:bottom w:val="nil"/>
              <w:right w:val="nil"/>
            </w:tcBorders>
            <w:shd w:val="clear" w:color="auto" w:fill="auto"/>
            <w:vAlign w:val="center"/>
            <w:hideMark/>
          </w:tcPr>
          <w:p w14:paraId="0529C537" w14:textId="3EE0CE78" w:rsidR="0038133B" w:rsidRPr="00D92E20" w:rsidRDefault="0038133B" w:rsidP="0038133B">
            <w:pPr>
              <w:spacing w:after="0" w:line="240" w:lineRule="auto"/>
              <w:jc w:val="right"/>
              <w:rPr>
                <w:rFonts w:cs="Arial"/>
                <w:color w:val="000000"/>
                <w:sz w:val="16"/>
                <w:szCs w:val="16"/>
              </w:rPr>
            </w:pPr>
            <w:r>
              <w:rPr>
                <w:rFonts w:cs="Arial"/>
                <w:sz w:val="16"/>
                <w:szCs w:val="16"/>
              </w:rPr>
              <w:t>456,4</w:t>
            </w:r>
          </w:p>
        </w:tc>
        <w:tc>
          <w:tcPr>
            <w:tcW w:w="907" w:type="dxa"/>
            <w:tcBorders>
              <w:top w:val="nil"/>
              <w:left w:val="nil"/>
              <w:bottom w:val="nil"/>
              <w:right w:val="nil"/>
            </w:tcBorders>
            <w:shd w:val="clear" w:color="auto" w:fill="auto"/>
            <w:vAlign w:val="center"/>
            <w:hideMark/>
          </w:tcPr>
          <w:p w14:paraId="2E7F8D52" w14:textId="12B750C1" w:rsidR="0038133B" w:rsidRPr="00D92E20" w:rsidRDefault="0038133B" w:rsidP="0038133B">
            <w:pPr>
              <w:spacing w:after="0" w:line="240" w:lineRule="auto"/>
              <w:jc w:val="right"/>
              <w:rPr>
                <w:rFonts w:cs="Arial"/>
                <w:color w:val="000000"/>
                <w:sz w:val="16"/>
                <w:szCs w:val="16"/>
              </w:rPr>
            </w:pPr>
            <w:r>
              <w:rPr>
                <w:rFonts w:cs="Arial"/>
                <w:sz w:val="16"/>
                <w:szCs w:val="16"/>
              </w:rPr>
              <w:t>234,7</w:t>
            </w:r>
          </w:p>
        </w:tc>
        <w:tc>
          <w:tcPr>
            <w:tcW w:w="907" w:type="dxa"/>
            <w:tcBorders>
              <w:top w:val="nil"/>
              <w:left w:val="nil"/>
              <w:bottom w:val="nil"/>
              <w:right w:val="single" w:sz="4" w:space="0" w:color="auto"/>
            </w:tcBorders>
            <w:shd w:val="clear" w:color="auto" w:fill="auto"/>
            <w:vAlign w:val="center"/>
            <w:hideMark/>
          </w:tcPr>
          <w:p w14:paraId="6E5D616C" w14:textId="611BCB88" w:rsidR="0038133B" w:rsidRPr="00D92E20" w:rsidRDefault="0038133B" w:rsidP="0038133B">
            <w:pPr>
              <w:spacing w:after="0" w:line="240" w:lineRule="auto"/>
              <w:jc w:val="right"/>
              <w:rPr>
                <w:rFonts w:cs="Arial"/>
                <w:color w:val="000000"/>
                <w:sz w:val="16"/>
                <w:szCs w:val="16"/>
              </w:rPr>
            </w:pPr>
            <w:r>
              <w:rPr>
                <w:rFonts w:cs="Arial"/>
                <w:sz w:val="16"/>
                <w:szCs w:val="16"/>
              </w:rPr>
              <w:t>221,6</w:t>
            </w:r>
          </w:p>
        </w:tc>
        <w:tc>
          <w:tcPr>
            <w:tcW w:w="1021" w:type="dxa"/>
            <w:tcBorders>
              <w:top w:val="nil"/>
              <w:left w:val="single" w:sz="4" w:space="0" w:color="auto"/>
              <w:bottom w:val="nil"/>
              <w:right w:val="nil"/>
            </w:tcBorders>
            <w:shd w:val="clear" w:color="000000" w:fill="FFFFFF"/>
            <w:vAlign w:val="center"/>
          </w:tcPr>
          <w:p w14:paraId="544E9FA2" w14:textId="1C7A6FEA" w:rsidR="0038133B" w:rsidRDefault="0038133B" w:rsidP="00257662">
            <w:pPr>
              <w:spacing w:after="0" w:line="240" w:lineRule="auto"/>
              <w:jc w:val="right"/>
              <w:rPr>
                <w:rFonts w:cs="Arial"/>
                <w:sz w:val="16"/>
                <w:szCs w:val="16"/>
              </w:rPr>
            </w:pPr>
            <w:r>
              <w:rPr>
                <w:rFonts w:cs="Arial"/>
                <w:sz w:val="16"/>
                <w:szCs w:val="16"/>
              </w:rPr>
              <w:t>9 034,4</w:t>
            </w:r>
          </w:p>
        </w:tc>
        <w:tc>
          <w:tcPr>
            <w:tcW w:w="1020" w:type="dxa"/>
            <w:tcBorders>
              <w:top w:val="nil"/>
              <w:left w:val="nil"/>
              <w:bottom w:val="nil"/>
              <w:right w:val="nil"/>
            </w:tcBorders>
            <w:shd w:val="clear" w:color="000000" w:fill="FFFFFF"/>
            <w:vAlign w:val="center"/>
          </w:tcPr>
          <w:p w14:paraId="1EEAA3CF" w14:textId="20241F34" w:rsidR="0038133B" w:rsidRDefault="0038133B" w:rsidP="00257662">
            <w:pPr>
              <w:spacing w:after="0" w:line="240" w:lineRule="auto"/>
              <w:jc w:val="right"/>
              <w:rPr>
                <w:rFonts w:cs="Arial"/>
                <w:sz w:val="16"/>
                <w:szCs w:val="16"/>
              </w:rPr>
            </w:pPr>
            <w:r>
              <w:rPr>
                <w:rFonts w:cs="Arial"/>
                <w:sz w:val="16"/>
                <w:szCs w:val="16"/>
              </w:rPr>
              <w:t>4 172,9</w:t>
            </w:r>
          </w:p>
        </w:tc>
        <w:tc>
          <w:tcPr>
            <w:tcW w:w="1021" w:type="dxa"/>
            <w:tcBorders>
              <w:top w:val="nil"/>
              <w:left w:val="nil"/>
              <w:bottom w:val="nil"/>
              <w:right w:val="single" w:sz="4" w:space="0" w:color="auto"/>
            </w:tcBorders>
            <w:shd w:val="clear" w:color="000000" w:fill="FFFFFF"/>
            <w:vAlign w:val="center"/>
          </w:tcPr>
          <w:p w14:paraId="50E9EB7C" w14:textId="24CDD466" w:rsidR="0038133B" w:rsidRDefault="0038133B" w:rsidP="00257662">
            <w:pPr>
              <w:spacing w:after="0" w:line="240" w:lineRule="auto"/>
              <w:jc w:val="right"/>
              <w:rPr>
                <w:rFonts w:cs="Arial"/>
                <w:sz w:val="16"/>
                <w:szCs w:val="16"/>
              </w:rPr>
            </w:pPr>
            <w:r>
              <w:rPr>
                <w:rFonts w:cs="Arial"/>
                <w:sz w:val="16"/>
                <w:szCs w:val="16"/>
              </w:rPr>
              <w:t>4 861,5</w:t>
            </w:r>
          </w:p>
        </w:tc>
        <w:tc>
          <w:tcPr>
            <w:tcW w:w="907" w:type="dxa"/>
            <w:tcBorders>
              <w:top w:val="nil"/>
              <w:left w:val="single" w:sz="4" w:space="0" w:color="auto"/>
              <w:bottom w:val="nil"/>
              <w:right w:val="nil"/>
            </w:tcBorders>
            <w:shd w:val="clear" w:color="auto" w:fill="auto"/>
            <w:vAlign w:val="center"/>
            <w:hideMark/>
          </w:tcPr>
          <w:p w14:paraId="0F6F55E3" w14:textId="16FF0831" w:rsidR="0038133B" w:rsidRPr="00D92E20" w:rsidRDefault="0038133B" w:rsidP="00257662">
            <w:pPr>
              <w:spacing w:after="0" w:line="240" w:lineRule="auto"/>
              <w:jc w:val="right"/>
              <w:rPr>
                <w:rFonts w:cs="Arial"/>
                <w:color w:val="000000"/>
                <w:sz w:val="16"/>
                <w:szCs w:val="16"/>
              </w:rPr>
            </w:pPr>
            <w:r>
              <w:rPr>
                <w:rFonts w:cs="Arial"/>
                <w:sz w:val="16"/>
                <w:szCs w:val="16"/>
              </w:rPr>
              <w:t>19,8</w:t>
            </w:r>
          </w:p>
        </w:tc>
        <w:tc>
          <w:tcPr>
            <w:tcW w:w="907" w:type="dxa"/>
            <w:tcBorders>
              <w:top w:val="nil"/>
              <w:left w:val="nil"/>
              <w:bottom w:val="nil"/>
              <w:right w:val="nil"/>
            </w:tcBorders>
            <w:shd w:val="clear" w:color="auto" w:fill="auto"/>
            <w:vAlign w:val="center"/>
            <w:hideMark/>
          </w:tcPr>
          <w:p w14:paraId="3D3E9D70" w14:textId="09B7A699" w:rsidR="0038133B" w:rsidRPr="00D92E20" w:rsidRDefault="0038133B" w:rsidP="00257662">
            <w:pPr>
              <w:spacing w:after="0" w:line="240" w:lineRule="auto"/>
              <w:jc w:val="right"/>
              <w:rPr>
                <w:rFonts w:cs="Arial"/>
                <w:color w:val="000000"/>
                <w:sz w:val="16"/>
                <w:szCs w:val="16"/>
              </w:rPr>
            </w:pPr>
            <w:r>
              <w:rPr>
                <w:rFonts w:cs="Arial"/>
                <w:sz w:val="16"/>
                <w:szCs w:val="16"/>
              </w:rPr>
              <w:t>17,8</w:t>
            </w:r>
          </w:p>
        </w:tc>
        <w:tc>
          <w:tcPr>
            <w:tcW w:w="908" w:type="dxa"/>
            <w:tcBorders>
              <w:top w:val="nil"/>
              <w:left w:val="nil"/>
              <w:bottom w:val="nil"/>
              <w:right w:val="nil"/>
            </w:tcBorders>
            <w:shd w:val="clear" w:color="auto" w:fill="auto"/>
            <w:vAlign w:val="center"/>
            <w:hideMark/>
          </w:tcPr>
          <w:p w14:paraId="262A9F77" w14:textId="54B98C30" w:rsidR="0038133B" w:rsidRPr="00D92E20" w:rsidRDefault="0038133B" w:rsidP="00257662">
            <w:pPr>
              <w:spacing w:after="0" w:line="240" w:lineRule="auto"/>
              <w:jc w:val="right"/>
              <w:rPr>
                <w:rFonts w:cs="Arial"/>
                <w:color w:val="000000"/>
                <w:sz w:val="16"/>
                <w:szCs w:val="16"/>
              </w:rPr>
            </w:pPr>
            <w:r>
              <w:rPr>
                <w:rFonts w:cs="Arial"/>
                <w:sz w:val="16"/>
                <w:szCs w:val="16"/>
              </w:rPr>
              <w:t>21,9</w:t>
            </w:r>
          </w:p>
        </w:tc>
      </w:tr>
      <w:tr w:rsidR="00B34EC0" w:rsidRPr="00D92E20" w14:paraId="2C9DA50E" w14:textId="77777777" w:rsidTr="00257662">
        <w:trPr>
          <w:trHeight w:val="288"/>
        </w:trPr>
        <w:tc>
          <w:tcPr>
            <w:tcW w:w="1271" w:type="dxa"/>
            <w:tcBorders>
              <w:top w:val="nil"/>
              <w:left w:val="nil"/>
              <w:bottom w:val="nil"/>
              <w:right w:val="single" w:sz="4" w:space="0" w:color="auto"/>
            </w:tcBorders>
            <w:shd w:val="clear" w:color="auto" w:fill="auto"/>
            <w:vAlign w:val="center"/>
            <w:hideMark/>
          </w:tcPr>
          <w:p w14:paraId="10684C7A" w14:textId="77777777" w:rsidR="0038133B" w:rsidRPr="00D92E20" w:rsidRDefault="0038133B" w:rsidP="0038133B">
            <w:pPr>
              <w:spacing w:after="0" w:line="240" w:lineRule="auto"/>
              <w:ind w:firstLineChars="100" w:firstLine="160"/>
              <w:rPr>
                <w:rFonts w:cs="Arial"/>
                <w:color w:val="000000"/>
                <w:sz w:val="16"/>
                <w:szCs w:val="16"/>
              </w:rPr>
            </w:pPr>
            <w:r w:rsidRPr="00D92E20">
              <w:rPr>
                <w:rFonts w:cs="Arial"/>
                <w:color w:val="000000"/>
                <w:sz w:val="16"/>
                <w:szCs w:val="16"/>
              </w:rPr>
              <w:t>40–49 let</w:t>
            </w:r>
          </w:p>
        </w:tc>
        <w:tc>
          <w:tcPr>
            <w:tcW w:w="907" w:type="dxa"/>
            <w:tcBorders>
              <w:top w:val="nil"/>
              <w:left w:val="nil"/>
              <w:bottom w:val="nil"/>
              <w:right w:val="nil"/>
            </w:tcBorders>
            <w:shd w:val="clear" w:color="auto" w:fill="auto"/>
            <w:vAlign w:val="center"/>
            <w:hideMark/>
          </w:tcPr>
          <w:p w14:paraId="0C4A9C98" w14:textId="1FE39A4F" w:rsidR="0038133B" w:rsidRPr="00D92E20" w:rsidRDefault="0038133B" w:rsidP="0038133B">
            <w:pPr>
              <w:spacing w:after="0" w:line="240" w:lineRule="auto"/>
              <w:jc w:val="right"/>
              <w:rPr>
                <w:rFonts w:cs="Arial"/>
                <w:color w:val="000000"/>
                <w:sz w:val="16"/>
                <w:szCs w:val="16"/>
              </w:rPr>
            </w:pPr>
            <w:r>
              <w:rPr>
                <w:rFonts w:cs="Arial"/>
                <w:sz w:val="16"/>
                <w:szCs w:val="16"/>
              </w:rPr>
              <w:t>611,9</w:t>
            </w:r>
          </w:p>
        </w:tc>
        <w:tc>
          <w:tcPr>
            <w:tcW w:w="907" w:type="dxa"/>
            <w:tcBorders>
              <w:top w:val="nil"/>
              <w:left w:val="nil"/>
              <w:bottom w:val="nil"/>
              <w:right w:val="nil"/>
            </w:tcBorders>
            <w:shd w:val="clear" w:color="auto" w:fill="auto"/>
            <w:vAlign w:val="center"/>
            <w:hideMark/>
          </w:tcPr>
          <w:p w14:paraId="25663682" w14:textId="10EB0700" w:rsidR="0038133B" w:rsidRPr="00D92E20" w:rsidRDefault="0038133B" w:rsidP="0038133B">
            <w:pPr>
              <w:spacing w:after="0" w:line="240" w:lineRule="auto"/>
              <w:jc w:val="right"/>
              <w:rPr>
                <w:rFonts w:cs="Arial"/>
                <w:color w:val="000000"/>
                <w:sz w:val="16"/>
                <w:szCs w:val="16"/>
              </w:rPr>
            </w:pPr>
            <w:r>
              <w:rPr>
                <w:rFonts w:cs="Arial"/>
                <w:sz w:val="16"/>
                <w:szCs w:val="16"/>
              </w:rPr>
              <w:t>251,3</w:t>
            </w:r>
          </w:p>
        </w:tc>
        <w:tc>
          <w:tcPr>
            <w:tcW w:w="907" w:type="dxa"/>
            <w:tcBorders>
              <w:top w:val="nil"/>
              <w:left w:val="nil"/>
              <w:bottom w:val="nil"/>
              <w:right w:val="single" w:sz="4" w:space="0" w:color="auto"/>
            </w:tcBorders>
            <w:shd w:val="clear" w:color="auto" w:fill="auto"/>
            <w:vAlign w:val="center"/>
            <w:hideMark/>
          </w:tcPr>
          <w:p w14:paraId="5D45D10C" w14:textId="55A8AF83" w:rsidR="0038133B" w:rsidRPr="00D92E20" w:rsidRDefault="0038133B" w:rsidP="0038133B">
            <w:pPr>
              <w:spacing w:after="0" w:line="240" w:lineRule="auto"/>
              <w:jc w:val="right"/>
              <w:rPr>
                <w:rFonts w:cs="Arial"/>
                <w:color w:val="000000"/>
                <w:sz w:val="16"/>
                <w:szCs w:val="16"/>
              </w:rPr>
            </w:pPr>
            <w:r>
              <w:rPr>
                <w:rFonts w:cs="Arial"/>
                <w:sz w:val="16"/>
                <w:szCs w:val="16"/>
              </w:rPr>
              <w:t>360,6</w:t>
            </w:r>
          </w:p>
        </w:tc>
        <w:tc>
          <w:tcPr>
            <w:tcW w:w="1021" w:type="dxa"/>
            <w:tcBorders>
              <w:top w:val="nil"/>
              <w:left w:val="single" w:sz="4" w:space="0" w:color="auto"/>
              <w:bottom w:val="nil"/>
              <w:right w:val="nil"/>
            </w:tcBorders>
            <w:shd w:val="clear" w:color="000000" w:fill="FFFFFF"/>
            <w:vAlign w:val="center"/>
          </w:tcPr>
          <w:p w14:paraId="4AA326E2" w14:textId="075A23FA" w:rsidR="0038133B" w:rsidRDefault="0038133B" w:rsidP="00257662">
            <w:pPr>
              <w:spacing w:after="0" w:line="240" w:lineRule="auto"/>
              <w:jc w:val="right"/>
              <w:rPr>
                <w:rFonts w:cs="Arial"/>
                <w:sz w:val="16"/>
                <w:szCs w:val="16"/>
              </w:rPr>
            </w:pPr>
            <w:r>
              <w:rPr>
                <w:rFonts w:cs="Arial"/>
                <w:sz w:val="16"/>
                <w:szCs w:val="16"/>
              </w:rPr>
              <w:t>14 226,5</w:t>
            </w:r>
          </w:p>
        </w:tc>
        <w:tc>
          <w:tcPr>
            <w:tcW w:w="1020" w:type="dxa"/>
            <w:tcBorders>
              <w:top w:val="nil"/>
              <w:left w:val="nil"/>
              <w:bottom w:val="nil"/>
              <w:right w:val="nil"/>
            </w:tcBorders>
            <w:shd w:val="clear" w:color="000000" w:fill="FFFFFF"/>
            <w:vAlign w:val="center"/>
          </w:tcPr>
          <w:p w14:paraId="2A30971C" w14:textId="2822D5E9" w:rsidR="0038133B" w:rsidRDefault="0038133B" w:rsidP="00257662">
            <w:pPr>
              <w:spacing w:after="0" w:line="240" w:lineRule="auto"/>
              <w:jc w:val="right"/>
              <w:rPr>
                <w:rFonts w:cs="Arial"/>
                <w:sz w:val="16"/>
                <w:szCs w:val="16"/>
              </w:rPr>
            </w:pPr>
            <w:r>
              <w:rPr>
                <w:rFonts w:cs="Arial"/>
                <w:sz w:val="16"/>
                <w:szCs w:val="16"/>
              </w:rPr>
              <w:t>5 943,5</w:t>
            </w:r>
          </w:p>
        </w:tc>
        <w:tc>
          <w:tcPr>
            <w:tcW w:w="1021" w:type="dxa"/>
            <w:tcBorders>
              <w:top w:val="nil"/>
              <w:left w:val="nil"/>
              <w:bottom w:val="nil"/>
              <w:right w:val="single" w:sz="4" w:space="0" w:color="auto"/>
            </w:tcBorders>
            <w:shd w:val="clear" w:color="000000" w:fill="FFFFFF"/>
            <w:vAlign w:val="center"/>
          </w:tcPr>
          <w:p w14:paraId="2E7DF5FE" w14:textId="5B7505F0" w:rsidR="0038133B" w:rsidRDefault="0038133B" w:rsidP="00257662">
            <w:pPr>
              <w:spacing w:after="0" w:line="240" w:lineRule="auto"/>
              <w:jc w:val="right"/>
              <w:rPr>
                <w:rFonts w:cs="Arial"/>
                <w:sz w:val="16"/>
                <w:szCs w:val="16"/>
              </w:rPr>
            </w:pPr>
            <w:r>
              <w:rPr>
                <w:rFonts w:cs="Arial"/>
                <w:sz w:val="16"/>
                <w:szCs w:val="16"/>
              </w:rPr>
              <w:t>8 282,9</w:t>
            </w:r>
          </w:p>
        </w:tc>
        <w:tc>
          <w:tcPr>
            <w:tcW w:w="907" w:type="dxa"/>
            <w:tcBorders>
              <w:top w:val="nil"/>
              <w:left w:val="single" w:sz="4" w:space="0" w:color="auto"/>
              <w:bottom w:val="nil"/>
              <w:right w:val="nil"/>
            </w:tcBorders>
            <w:shd w:val="clear" w:color="auto" w:fill="auto"/>
            <w:vAlign w:val="center"/>
            <w:hideMark/>
          </w:tcPr>
          <w:p w14:paraId="5A719F8F" w14:textId="38FBC9EA" w:rsidR="0038133B" w:rsidRPr="00D92E20" w:rsidRDefault="0038133B" w:rsidP="00257662">
            <w:pPr>
              <w:spacing w:after="0" w:line="240" w:lineRule="auto"/>
              <w:jc w:val="right"/>
              <w:rPr>
                <w:rFonts w:cs="Arial"/>
                <w:color w:val="000000"/>
                <w:sz w:val="16"/>
                <w:szCs w:val="16"/>
              </w:rPr>
            </w:pPr>
            <w:r>
              <w:rPr>
                <w:rFonts w:cs="Arial"/>
                <w:sz w:val="16"/>
                <w:szCs w:val="16"/>
              </w:rPr>
              <w:t>23,3</w:t>
            </w:r>
          </w:p>
        </w:tc>
        <w:tc>
          <w:tcPr>
            <w:tcW w:w="907" w:type="dxa"/>
            <w:tcBorders>
              <w:top w:val="nil"/>
              <w:left w:val="nil"/>
              <w:bottom w:val="nil"/>
              <w:right w:val="nil"/>
            </w:tcBorders>
            <w:shd w:val="clear" w:color="auto" w:fill="auto"/>
            <w:vAlign w:val="center"/>
            <w:hideMark/>
          </w:tcPr>
          <w:p w14:paraId="540327DC" w14:textId="0BE1C12B" w:rsidR="0038133B" w:rsidRPr="00D92E20" w:rsidRDefault="0038133B" w:rsidP="00257662">
            <w:pPr>
              <w:spacing w:after="0" w:line="240" w:lineRule="auto"/>
              <w:jc w:val="right"/>
              <w:rPr>
                <w:rFonts w:cs="Arial"/>
                <w:color w:val="000000"/>
                <w:sz w:val="16"/>
                <w:szCs w:val="16"/>
              </w:rPr>
            </w:pPr>
            <w:r>
              <w:rPr>
                <w:rFonts w:cs="Arial"/>
                <w:sz w:val="16"/>
                <w:szCs w:val="16"/>
              </w:rPr>
              <w:t>23,7</w:t>
            </w:r>
          </w:p>
        </w:tc>
        <w:tc>
          <w:tcPr>
            <w:tcW w:w="908" w:type="dxa"/>
            <w:tcBorders>
              <w:top w:val="nil"/>
              <w:left w:val="nil"/>
              <w:bottom w:val="nil"/>
              <w:right w:val="nil"/>
            </w:tcBorders>
            <w:shd w:val="clear" w:color="auto" w:fill="auto"/>
            <w:vAlign w:val="center"/>
            <w:hideMark/>
          </w:tcPr>
          <w:p w14:paraId="181D06E1" w14:textId="4A70E606" w:rsidR="0038133B" w:rsidRPr="00D92E20" w:rsidRDefault="0038133B" w:rsidP="00257662">
            <w:pPr>
              <w:spacing w:after="0" w:line="240" w:lineRule="auto"/>
              <w:jc w:val="right"/>
              <w:rPr>
                <w:rFonts w:cs="Arial"/>
                <w:color w:val="000000"/>
                <w:sz w:val="16"/>
                <w:szCs w:val="16"/>
              </w:rPr>
            </w:pPr>
            <w:r>
              <w:rPr>
                <w:rFonts w:cs="Arial"/>
                <w:sz w:val="16"/>
                <w:szCs w:val="16"/>
              </w:rPr>
              <w:t>23,0</w:t>
            </w:r>
          </w:p>
        </w:tc>
      </w:tr>
      <w:tr w:rsidR="00B34EC0" w:rsidRPr="00D92E20" w14:paraId="6CE35C38" w14:textId="77777777" w:rsidTr="00257662">
        <w:trPr>
          <w:trHeight w:val="288"/>
        </w:trPr>
        <w:tc>
          <w:tcPr>
            <w:tcW w:w="1271" w:type="dxa"/>
            <w:tcBorders>
              <w:top w:val="nil"/>
              <w:left w:val="nil"/>
              <w:bottom w:val="nil"/>
              <w:right w:val="single" w:sz="4" w:space="0" w:color="auto"/>
            </w:tcBorders>
            <w:shd w:val="clear" w:color="auto" w:fill="auto"/>
            <w:vAlign w:val="center"/>
            <w:hideMark/>
          </w:tcPr>
          <w:p w14:paraId="36D1D038" w14:textId="77777777" w:rsidR="0038133B" w:rsidRPr="00D92E20" w:rsidRDefault="0038133B" w:rsidP="0038133B">
            <w:pPr>
              <w:spacing w:after="0" w:line="240" w:lineRule="auto"/>
              <w:ind w:firstLineChars="100" w:firstLine="160"/>
              <w:rPr>
                <w:rFonts w:cs="Arial"/>
                <w:color w:val="000000"/>
                <w:sz w:val="16"/>
                <w:szCs w:val="16"/>
              </w:rPr>
            </w:pPr>
            <w:r w:rsidRPr="00D92E20">
              <w:rPr>
                <w:rFonts w:cs="Arial"/>
                <w:color w:val="000000"/>
                <w:sz w:val="16"/>
                <w:szCs w:val="16"/>
              </w:rPr>
              <w:t>50–59 let</w:t>
            </w:r>
          </w:p>
        </w:tc>
        <w:tc>
          <w:tcPr>
            <w:tcW w:w="907" w:type="dxa"/>
            <w:tcBorders>
              <w:top w:val="nil"/>
              <w:left w:val="nil"/>
              <w:bottom w:val="nil"/>
              <w:right w:val="nil"/>
            </w:tcBorders>
            <w:shd w:val="clear" w:color="auto" w:fill="auto"/>
            <w:vAlign w:val="center"/>
            <w:hideMark/>
          </w:tcPr>
          <w:p w14:paraId="2A2DCEC9" w14:textId="231E2BA7" w:rsidR="0038133B" w:rsidRPr="00D92E20" w:rsidRDefault="0038133B" w:rsidP="0038133B">
            <w:pPr>
              <w:spacing w:after="0" w:line="240" w:lineRule="auto"/>
              <w:jc w:val="right"/>
              <w:rPr>
                <w:rFonts w:cs="Arial"/>
                <w:color w:val="000000"/>
                <w:sz w:val="16"/>
                <w:szCs w:val="16"/>
              </w:rPr>
            </w:pPr>
            <w:r>
              <w:rPr>
                <w:rFonts w:cs="Arial"/>
                <w:sz w:val="16"/>
                <w:szCs w:val="16"/>
              </w:rPr>
              <w:t>477,5</w:t>
            </w:r>
          </w:p>
        </w:tc>
        <w:tc>
          <w:tcPr>
            <w:tcW w:w="907" w:type="dxa"/>
            <w:tcBorders>
              <w:top w:val="nil"/>
              <w:left w:val="nil"/>
              <w:bottom w:val="nil"/>
              <w:right w:val="nil"/>
            </w:tcBorders>
            <w:shd w:val="clear" w:color="auto" w:fill="auto"/>
            <w:vAlign w:val="center"/>
            <w:hideMark/>
          </w:tcPr>
          <w:p w14:paraId="3A62B1B6" w14:textId="028C072E" w:rsidR="0038133B" w:rsidRPr="00D92E20" w:rsidRDefault="0038133B" w:rsidP="0038133B">
            <w:pPr>
              <w:spacing w:after="0" w:line="240" w:lineRule="auto"/>
              <w:jc w:val="right"/>
              <w:rPr>
                <w:rFonts w:cs="Arial"/>
                <w:color w:val="000000"/>
                <w:sz w:val="16"/>
                <w:szCs w:val="16"/>
              </w:rPr>
            </w:pPr>
            <w:r>
              <w:rPr>
                <w:rFonts w:cs="Arial"/>
                <w:sz w:val="16"/>
                <w:szCs w:val="16"/>
              </w:rPr>
              <w:t>191,7</w:t>
            </w:r>
          </w:p>
        </w:tc>
        <w:tc>
          <w:tcPr>
            <w:tcW w:w="907" w:type="dxa"/>
            <w:tcBorders>
              <w:top w:val="nil"/>
              <w:left w:val="nil"/>
              <w:bottom w:val="nil"/>
              <w:right w:val="single" w:sz="4" w:space="0" w:color="auto"/>
            </w:tcBorders>
            <w:shd w:val="clear" w:color="auto" w:fill="auto"/>
            <w:vAlign w:val="center"/>
            <w:hideMark/>
          </w:tcPr>
          <w:p w14:paraId="774871E6" w14:textId="75BBE4A4" w:rsidR="0038133B" w:rsidRPr="00D92E20" w:rsidRDefault="0038133B" w:rsidP="0038133B">
            <w:pPr>
              <w:spacing w:after="0" w:line="240" w:lineRule="auto"/>
              <w:jc w:val="right"/>
              <w:rPr>
                <w:rFonts w:cs="Arial"/>
                <w:color w:val="000000"/>
                <w:sz w:val="16"/>
                <w:szCs w:val="16"/>
              </w:rPr>
            </w:pPr>
            <w:r>
              <w:rPr>
                <w:rFonts w:cs="Arial"/>
                <w:sz w:val="16"/>
                <w:szCs w:val="16"/>
              </w:rPr>
              <w:t>285,8</w:t>
            </w:r>
          </w:p>
        </w:tc>
        <w:tc>
          <w:tcPr>
            <w:tcW w:w="1021" w:type="dxa"/>
            <w:tcBorders>
              <w:top w:val="nil"/>
              <w:left w:val="single" w:sz="4" w:space="0" w:color="auto"/>
              <w:bottom w:val="nil"/>
              <w:right w:val="nil"/>
            </w:tcBorders>
            <w:shd w:val="clear" w:color="000000" w:fill="FFFFFF"/>
            <w:vAlign w:val="center"/>
          </w:tcPr>
          <w:p w14:paraId="241A89EC" w14:textId="3371AE2A" w:rsidR="0038133B" w:rsidRDefault="0038133B" w:rsidP="00257662">
            <w:pPr>
              <w:spacing w:after="0" w:line="240" w:lineRule="auto"/>
              <w:jc w:val="right"/>
              <w:rPr>
                <w:rFonts w:cs="Arial"/>
                <w:sz w:val="16"/>
                <w:szCs w:val="16"/>
              </w:rPr>
            </w:pPr>
            <w:r>
              <w:rPr>
                <w:rFonts w:cs="Arial"/>
                <w:sz w:val="16"/>
                <w:szCs w:val="16"/>
              </w:rPr>
              <w:t>15 736,0</w:t>
            </w:r>
          </w:p>
        </w:tc>
        <w:tc>
          <w:tcPr>
            <w:tcW w:w="1020" w:type="dxa"/>
            <w:tcBorders>
              <w:top w:val="nil"/>
              <w:left w:val="nil"/>
              <w:bottom w:val="nil"/>
              <w:right w:val="nil"/>
            </w:tcBorders>
            <w:shd w:val="clear" w:color="000000" w:fill="FFFFFF"/>
            <w:vAlign w:val="center"/>
          </w:tcPr>
          <w:p w14:paraId="6708265B" w14:textId="2B336344" w:rsidR="0038133B" w:rsidRDefault="0038133B" w:rsidP="00257662">
            <w:pPr>
              <w:spacing w:after="0" w:line="240" w:lineRule="auto"/>
              <w:jc w:val="right"/>
              <w:rPr>
                <w:rFonts w:cs="Arial"/>
                <w:sz w:val="16"/>
                <w:szCs w:val="16"/>
              </w:rPr>
            </w:pPr>
            <w:r>
              <w:rPr>
                <w:rFonts w:cs="Arial"/>
                <w:sz w:val="16"/>
                <w:szCs w:val="16"/>
              </w:rPr>
              <w:t>6 754,2</w:t>
            </w:r>
          </w:p>
        </w:tc>
        <w:tc>
          <w:tcPr>
            <w:tcW w:w="1021" w:type="dxa"/>
            <w:tcBorders>
              <w:top w:val="nil"/>
              <w:left w:val="nil"/>
              <w:bottom w:val="nil"/>
              <w:right w:val="single" w:sz="4" w:space="0" w:color="auto"/>
            </w:tcBorders>
            <w:shd w:val="clear" w:color="000000" w:fill="FFFFFF"/>
            <w:vAlign w:val="center"/>
          </w:tcPr>
          <w:p w14:paraId="533DFE49" w14:textId="6D73F1A8" w:rsidR="0038133B" w:rsidRDefault="0038133B" w:rsidP="00257662">
            <w:pPr>
              <w:spacing w:after="0" w:line="240" w:lineRule="auto"/>
              <w:jc w:val="right"/>
              <w:rPr>
                <w:rFonts w:cs="Arial"/>
                <w:sz w:val="16"/>
                <w:szCs w:val="16"/>
              </w:rPr>
            </w:pPr>
            <w:r>
              <w:rPr>
                <w:rFonts w:cs="Arial"/>
                <w:sz w:val="16"/>
                <w:szCs w:val="16"/>
              </w:rPr>
              <w:t>8 981,8</w:t>
            </w:r>
          </w:p>
        </w:tc>
        <w:tc>
          <w:tcPr>
            <w:tcW w:w="907" w:type="dxa"/>
            <w:tcBorders>
              <w:top w:val="nil"/>
              <w:left w:val="single" w:sz="4" w:space="0" w:color="auto"/>
              <w:bottom w:val="nil"/>
              <w:right w:val="nil"/>
            </w:tcBorders>
            <w:shd w:val="clear" w:color="auto" w:fill="auto"/>
            <w:vAlign w:val="center"/>
            <w:hideMark/>
          </w:tcPr>
          <w:p w14:paraId="31467C24" w14:textId="3152DEE6" w:rsidR="0038133B" w:rsidRPr="00D92E20" w:rsidRDefault="0038133B" w:rsidP="00257662">
            <w:pPr>
              <w:spacing w:after="0" w:line="240" w:lineRule="auto"/>
              <w:jc w:val="right"/>
              <w:rPr>
                <w:rFonts w:cs="Arial"/>
                <w:color w:val="000000"/>
                <w:sz w:val="16"/>
                <w:szCs w:val="16"/>
              </w:rPr>
            </w:pPr>
            <w:r>
              <w:rPr>
                <w:rFonts w:cs="Arial"/>
                <w:sz w:val="16"/>
                <w:szCs w:val="16"/>
              </w:rPr>
              <w:t>33,0</w:t>
            </w:r>
          </w:p>
        </w:tc>
        <w:tc>
          <w:tcPr>
            <w:tcW w:w="907" w:type="dxa"/>
            <w:tcBorders>
              <w:top w:val="nil"/>
              <w:left w:val="nil"/>
              <w:bottom w:val="nil"/>
              <w:right w:val="nil"/>
            </w:tcBorders>
            <w:shd w:val="clear" w:color="auto" w:fill="auto"/>
            <w:vAlign w:val="center"/>
            <w:hideMark/>
          </w:tcPr>
          <w:p w14:paraId="78154705" w14:textId="40385BFC" w:rsidR="0038133B" w:rsidRPr="00D92E20" w:rsidRDefault="0038133B" w:rsidP="00257662">
            <w:pPr>
              <w:spacing w:after="0" w:line="240" w:lineRule="auto"/>
              <w:jc w:val="right"/>
              <w:rPr>
                <w:rFonts w:cs="Arial"/>
                <w:color w:val="000000"/>
                <w:sz w:val="16"/>
                <w:szCs w:val="16"/>
              </w:rPr>
            </w:pPr>
            <w:r>
              <w:rPr>
                <w:rFonts w:cs="Arial"/>
                <w:sz w:val="16"/>
                <w:szCs w:val="16"/>
              </w:rPr>
              <w:t>35,2</w:t>
            </w:r>
          </w:p>
        </w:tc>
        <w:tc>
          <w:tcPr>
            <w:tcW w:w="908" w:type="dxa"/>
            <w:tcBorders>
              <w:top w:val="nil"/>
              <w:left w:val="nil"/>
              <w:bottom w:val="nil"/>
              <w:right w:val="nil"/>
            </w:tcBorders>
            <w:shd w:val="clear" w:color="auto" w:fill="auto"/>
            <w:vAlign w:val="center"/>
            <w:hideMark/>
          </w:tcPr>
          <w:p w14:paraId="635271C4" w14:textId="6B77AC6E" w:rsidR="0038133B" w:rsidRPr="00D92E20" w:rsidRDefault="0038133B" w:rsidP="00257662">
            <w:pPr>
              <w:spacing w:after="0" w:line="240" w:lineRule="auto"/>
              <w:jc w:val="right"/>
              <w:rPr>
                <w:rFonts w:cs="Arial"/>
                <w:color w:val="000000"/>
                <w:sz w:val="16"/>
                <w:szCs w:val="16"/>
              </w:rPr>
            </w:pPr>
            <w:r>
              <w:rPr>
                <w:rFonts w:cs="Arial"/>
                <w:sz w:val="16"/>
                <w:szCs w:val="16"/>
              </w:rPr>
              <w:t>31,4</w:t>
            </w:r>
          </w:p>
        </w:tc>
      </w:tr>
      <w:tr w:rsidR="002E0A24" w:rsidRPr="00D92E20" w14:paraId="7C794DF4" w14:textId="77777777" w:rsidTr="00257662">
        <w:trPr>
          <w:trHeight w:val="288"/>
        </w:trPr>
        <w:tc>
          <w:tcPr>
            <w:tcW w:w="1271" w:type="dxa"/>
            <w:tcBorders>
              <w:top w:val="nil"/>
              <w:left w:val="nil"/>
              <w:bottom w:val="nil"/>
              <w:right w:val="single" w:sz="4" w:space="0" w:color="auto"/>
            </w:tcBorders>
            <w:shd w:val="clear" w:color="auto" w:fill="auto"/>
            <w:vAlign w:val="center"/>
            <w:hideMark/>
          </w:tcPr>
          <w:p w14:paraId="6955BF63" w14:textId="77777777" w:rsidR="0038133B" w:rsidRPr="00D92E20" w:rsidRDefault="0038133B" w:rsidP="0038133B">
            <w:pPr>
              <w:spacing w:after="0" w:line="240" w:lineRule="auto"/>
              <w:ind w:firstLineChars="100" w:firstLine="160"/>
              <w:rPr>
                <w:rFonts w:cs="Arial"/>
                <w:color w:val="000000"/>
                <w:sz w:val="16"/>
                <w:szCs w:val="16"/>
              </w:rPr>
            </w:pPr>
            <w:r w:rsidRPr="00D92E20">
              <w:rPr>
                <w:rFonts w:cs="Arial"/>
                <w:color w:val="000000"/>
                <w:sz w:val="16"/>
                <w:szCs w:val="16"/>
              </w:rPr>
              <w:t>60 a více let</w:t>
            </w:r>
          </w:p>
        </w:tc>
        <w:tc>
          <w:tcPr>
            <w:tcW w:w="907" w:type="dxa"/>
            <w:tcBorders>
              <w:top w:val="nil"/>
              <w:left w:val="nil"/>
              <w:bottom w:val="nil"/>
              <w:right w:val="nil"/>
            </w:tcBorders>
            <w:shd w:val="clear" w:color="auto" w:fill="auto"/>
            <w:vAlign w:val="center"/>
            <w:hideMark/>
          </w:tcPr>
          <w:p w14:paraId="199C1A4D" w14:textId="4E15E5A5" w:rsidR="0038133B" w:rsidRPr="00D92E20" w:rsidRDefault="0038133B" w:rsidP="0038133B">
            <w:pPr>
              <w:spacing w:after="0" w:line="240" w:lineRule="auto"/>
              <w:jc w:val="right"/>
              <w:rPr>
                <w:rFonts w:cs="Arial"/>
                <w:color w:val="000000"/>
                <w:sz w:val="16"/>
                <w:szCs w:val="16"/>
              </w:rPr>
            </w:pPr>
            <w:r>
              <w:rPr>
                <w:rFonts w:cs="Arial"/>
                <w:sz w:val="16"/>
                <w:szCs w:val="16"/>
              </w:rPr>
              <w:t>138,1</w:t>
            </w:r>
          </w:p>
        </w:tc>
        <w:tc>
          <w:tcPr>
            <w:tcW w:w="907" w:type="dxa"/>
            <w:tcBorders>
              <w:top w:val="nil"/>
              <w:left w:val="nil"/>
              <w:bottom w:val="single" w:sz="4" w:space="0" w:color="auto"/>
              <w:right w:val="nil"/>
            </w:tcBorders>
            <w:shd w:val="clear" w:color="auto" w:fill="auto"/>
            <w:vAlign w:val="center"/>
            <w:hideMark/>
          </w:tcPr>
          <w:p w14:paraId="14A9AD94" w14:textId="5EA02CF1" w:rsidR="0038133B" w:rsidRPr="00D92E20" w:rsidRDefault="0038133B" w:rsidP="0038133B">
            <w:pPr>
              <w:spacing w:after="0" w:line="240" w:lineRule="auto"/>
              <w:jc w:val="right"/>
              <w:rPr>
                <w:rFonts w:cs="Arial"/>
                <w:color w:val="000000"/>
                <w:sz w:val="16"/>
                <w:szCs w:val="16"/>
              </w:rPr>
            </w:pPr>
            <w:r>
              <w:rPr>
                <w:rFonts w:cs="Arial"/>
                <w:sz w:val="16"/>
                <w:szCs w:val="16"/>
              </w:rPr>
              <w:t>71,3</w:t>
            </w:r>
          </w:p>
        </w:tc>
        <w:tc>
          <w:tcPr>
            <w:tcW w:w="907" w:type="dxa"/>
            <w:tcBorders>
              <w:top w:val="nil"/>
              <w:left w:val="nil"/>
              <w:bottom w:val="nil"/>
              <w:right w:val="single" w:sz="4" w:space="0" w:color="auto"/>
            </w:tcBorders>
            <w:shd w:val="clear" w:color="auto" w:fill="auto"/>
            <w:vAlign w:val="center"/>
            <w:hideMark/>
          </w:tcPr>
          <w:p w14:paraId="4C74C3AF" w14:textId="2188EC99" w:rsidR="0038133B" w:rsidRPr="00D92E20" w:rsidRDefault="0038133B" w:rsidP="0038133B">
            <w:pPr>
              <w:spacing w:after="0" w:line="240" w:lineRule="auto"/>
              <w:jc w:val="right"/>
              <w:rPr>
                <w:rFonts w:cs="Arial"/>
                <w:color w:val="000000"/>
                <w:sz w:val="16"/>
                <w:szCs w:val="16"/>
              </w:rPr>
            </w:pPr>
            <w:r>
              <w:rPr>
                <w:rFonts w:cs="Arial"/>
                <w:sz w:val="16"/>
                <w:szCs w:val="16"/>
              </w:rPr>
              <w:t>66,8</w:t>
            </w:r>
          </w:p>
        </w:tc>
        <w:tc>
          <w:tcPr>
            <w:tcW w:w="1021" w:type="dxa"/>
            <w:tcBorders>
              <w:top w:val="nil"/>
              <w:left w:val="single" w:sz="4" w:space="0" w:color="auto"/>
              <w:bottom w:val="nil"/>
              <w:right w:val="nil"/>
            </w:tcBorders>
            <w:shd w:val="clear" w:color="000000" w:fill="FFFFFF"/>
            <w:vAlign w:val="center"/>
          </w:tcPr>
          <w:p w14:paraId="62050754" w14:textId="140A9E97" w:rsidR="0038133B" w:rsidRDefault="0038133B" w:rsidP="00257662">
            <w:pPr>
              <w:spacing w:after="0" w:line="240" w:lineRule="auto"/>
              <w:jc w:val="right"/>
              <w:rPr>
                <w:rFonts w:cs="Arial"/>
                <w:sz w:val="16"/>
                <w:szCs w:val="16"/>
              </w:rPr>
            </w:pPr>
            <w:r>
              <w:rPr>
                <w:rFonts w:cs="Arial"/>
                <w:sz w:val="16"/>
                <w:szCs w:val="16"/>
              </w:rPr>
              <w:t>5 939,8</w:t>
            </w:r>
          </w:p>
        </w:tc>
        <w:tc>
          <w:tcPr>
            <w:tcW w:w="1020" w:type="dxa"/>
            <w:tcBorders>
              <w:top w:val="nil"/>
              <w:left w:val="nil"/>
              <w:bottom w:val="nil"/>
              <w:right w:val="nil"/>
            </w:tcBorders>
            <w:shd w:val="clear" w:color="000000" w:fill="FFFFFF"/>
            <w:vAlign w:val="center"/>
          </w:tcPr>
          <w:p w14:paraId="0F5D46DC" w14:textId="7672B156" w:rsidR="0038133B" w:rsidRDefault="0038133B" w:rsidP="00257662">
            <w:pPr>
              <w:spacing w:after="0" w:line="240" w:lineRule="auto"/>
              <w:jc w:val="right"/>
              <w:rPr>
                <w:rFonts w:cs="Arial"/>
                <w:sz w:val="16"/>
                <w:szCs w:val="16"/>
              </w:rPr>
            </w:pPr>
            <w:r>
              <w:rPr>
                <w:rFonts w:cs="Arial"/>
                <w:sz w:val="16"/>
                <w:szCs w:val="16"/>
              </w:rPr>
              <w:t>3 464,4</w:t>
            </w:r>
          </w:p>
        </w:tc>
        <w:tc>
          <w:tcPr>
            <w:tcW w:w="1021" w:type="dxa"/>
            <w:tcBorders>
              <w:top w:val="nil"/>
              <w:left w:val="nil"/>
              <w:bottom w:val="nil"/>
              <w:right w:val="single" w:sz="4" w:space="0" w:color="auto"/>
            </w:tcBorders>
            <w:shd w:val="clear" w:color="000000" w:fill="FFFFFF"/>
            <w:vAlign w:val="center"/>
          </w:tcPr>
          <w:p w14:paraId="1FCA6A1E" w14:textId="290A3012" w:rsidR="0038133B" w:rsidRDefault="0038133B" w:rsidP="00257662">
            <w:pPr>
              <w:spacing w:after="0" w:line="240" w:lineRule="auto"/>
              <w:jc w:val="right"/>
              <w:rPr>
                <w:rFonts w:cs="Arial"/>
                <w:sz w:val="16"/>
                <w:szCs w:val="16"/>
              </w:rPr>
            </w:pPr>
            <w:r>
              <w:rPr>
                <w:rFonts w:cs="Arial"/>
                <w:sz w:val="16"/>
                <w:szCs w:val="16"/>
              </w:rPr>
              <w:t>2 475,3</w:t>
            </w:r>
          </w:p>
        </w:tc>
        <w:tc>
          <w:tcPr>
            <w:tcW w:w="907" w:type="dxa"/>
            <w:tcBorders>
              <w:top w:val="nil"/>
              <w:left w:val="single" w:sz="4" w:space="0" w:color="auto"/>
              <w:bottom w:val="nil"/>
              <w:right w:val="nil"/>
            </w:tcBorders>
            <w:shd w:val="clear" w:color="auto" w:fill="auto"/>
            <w:vAlign w:val="center"/>
            <w:hideMark/>
          </w:tcPr>
          <w:p w14:paraId="3683DDE7" w14:textId="0C512378" w:rsidR="0038133B" w:rsidRPr="00D92E20" w:rsidRDefault="0038133B" w:rsidP="00257662">
            <w:pPr>
              <w:spacing w:after="0" w:line="240" w:lineRule="auto"/>
              <w:jc w:val="right"/>
              <w:rPr>
                <w:rFonts w:cs="Arial"/>
                <w:color w:val="000000"/>
                <w:sz w:val="16"/>
                <w:szCs w:val="16"/>
              </w:rPr>
            </w:pPr>
            <w:r>
              <w:rPr>
                <w:rFonts w:cs="Arial"/>
                <w:sz w:val="16"/>
                <w:szCs w:val="16"/>
              </w:rPr>
              <w:t>43,0</w:t>
            </w:r>
          </w:p>
        </w:tc>
        <w:tc>
          <w:tcPr>
            <w:tcW w:w="907" w:type="dxa"/>
            <w:tcBorders>
              <w:top w:val="nil"/>
              <w:left w:val="nil"/>
              <w:bottom w:val="single" w:sz="4" w:space="0" w:color="auto"/>
              <w:right w:val="nil"/>
            </w:tcBorders>
            <w:shd w:val="clear" w:color="auto" w:fill="auto"/>
            <w:vAlign w:val="center"/>
            <w:hideMark/>
          </w:tcPr>
          <w:p w14:paraId="7BE4ABC6" w14:textId="5CA3E4E9" w:rsidR="0038133B" w:rsidRPr="00D92E20" w:rsidRDefault="0038133B" w:rsidP="00257662">
            <w:pPr>
              <w:spacing w:after="0" w:line="240" w:lineRule="auto"/>
              <w:jc w:val="right"/>
              <w:rPr>
                <w:rFonts w:cs="Arial"/>
                <w:color w:val="000000"/>
                <w:sz w:val="16"/>
                <w:szCs w:val="16"/>
              </w:rPr>
            </w:pPr>
            <w:r>
              <w:rPr>
                <w:rFonts w:cs="Arial"/>
                <w:sz w:val="16"/>
                <w:szCs w:val="16"/>
              </w:rPr>
              <w:t>48,6</w:t>
            </w:r>
          </w:p>
        </w:tc>
        <w:tc>
          <w:tcPr>
            <w:tcW w:w="908" w:type="dxa"/>
            <w:tcBorders>
              <w:top w:val="nil"/>
              <w:left w:val="nil"/>
              <w:bottom w:val="nil"/>
              <w:right w:val="nil"/>
            </w:tcBorders>
            <w:shd w:val="clear" w:color="auto" w:fill="auto"/>
            <w:vAlign w:val="center"/>
            <w:hideMark/>
          </w:tcPr>
          <w:p w14:paraId="0E9EC85D" w14:textId="69D8C71F" w:rsidR="0038133B" w:rsidRPr="00D92E20" w:rsidRDefault="0038133B" w:rsidP="00257662">
            <w:pPr>
              <w:spacing w:after="0" w:line="240" w:lineRule="auto"/>
              <w:jc w:val="right"/>
              <w:rPr>
                <w:rFonts w:cs="Arial"/>
                <w:color w:val="000000"/>
                <w:sz w:val="16"/>
                <w:szCs w:val="16"/>
              </w:rPr>
            </w:pPr>
            <w:r>
              <w:rPr>
                <w:rFonts w:cs="Arial"/>
                <w:sz w:val="16"/>
                <w:szCs w:val="16"/>
              </w:rPr>
              <w:t>37,1</w:t>
            </w:r>
          </w:p>
        </w:tc>
      </w:tr>
      <w:tr w:rsidR="0038133B" w:rsidRPr="00D92E20" w14:paraId="2A5212F4" w14:textId="77777777" w:rsidTr="002E0A24">
        <w:trPr>
          <w:trHeight w:val="288"/>
        </w:trPr>
        <w:tc>
          <w:tcPr>
            <w:tcW w:w="1271" w:type="dxa"/>
            <w:tcBorders>
              <w:top w:val="single" w:sz="4" w:space="0" w:color="auto"/>
              <w:left w:val="nil"/>
              <w:bottom w:val="single" w:sz="4" w:space="0" w:color="auto"/>
              <w:right w:val="single" w:sz="4" w:space="0" w:color="auto"/>
            </w:tcBorders>
            <w:shd w:val="clear" w:color="000000" w:fill="F5DADD"/>
            <w:vAlign w:val="center"/>
            <w:hideMark/>
          </w:tcPr>
          <w:p w14:paraId="54B0965B" w14:textId="77777777" w:rsidR="0038133B" w:rsidRPr="00D92E20" w:rsidRDefault="0038133B" w:rsidP="0038133B">
            <w:pPr>
              <w:spacing w:after="0" w:line="240" w:lineRule="auto"/>
              <w:jc w:val="center"/>
              <w:rPr>
                <w:rFonts w:cs="Arial"/>
                <w:color w:val="000000"/>
                <w:sz w:val="16"/>
                <w:szCs w:val="16"/>
              </w:rPr>
            </w:pPr>
            <w:r w:rsidRPr="00D92E20">
              <w:rPr>
                <w:rFonts w:cs="Arial"/>
                <w:color w:val="000000"/>
                <w:sz w:val="16"/>
                <w:szCs w:val="16"/>
              </w:rPr>
              <w:t> </w:t>
            </w:r>
          </w:p>
        </w:tc>
        <w:tc>
          <w:tcPr>
            <w:tcW w:w="8504" w:type="dxa"/>
            <w:gridSpan w:val="9"/>
            <w:tcBorders>
              <w:top w:val="single" w:sz="4" w:space="0" w:color="auto"/>
              <w:left w:val="nil"/>
              <w:bottom w:val="single" w:sz="4" w:space="0" w:color="auto"/>
              <w:right w:val="nil"/>
            </w:tcBorders>
            <w:shd w:val="clear" w:color="000000" w:fill="F2DBDB"/>
            <w:vAlign w:val="center"/>
          </w:tcPr>
          <w:p w14:paraId="1584FFB2" w14:textId="3355CB3A" w:rsidR="0038133B" w:rsidRPr="00D92E20" w:rsidRDefault="0038133B" w:rsidP="0038133B">
            <w:pPr>
              <w:spacing w:after="0" w:line="240" w:lineRule="auto"/>
              <w:jc w:val="center"/>
              <w:rPr>
                <w:rFonts w:cs="Arial"/>
                <w:b/>
                <w:bCs/>
                <w:color w:val="000000"/>
                <w:sz w:val="16"/>
                <w:szCs w:val="16"/>
              </w:rPr>
            </w:pPr>
            <w:r>
              <w:rPr>
                <w:rFonts w:cs="Arial"/>
                <w:b/>
                <w:bCs/>
                <w:color w:val="000000"/>
                <w:sz w:val="16"/>
                <w:szCs w:val="16"/>
              </w:rPr>
              <w:t>1. pol. 2021</w:t>
            </w:r>
          </w:p>
        </w:tc>
      </w:tr>
      <w:tr w:rsidR="00B34EC0" w:rsidRPr="00D92E20" w14:paraId="34A0EF4C" w14:textId="77777777" w:rsidTr="00257662">
        <w:trPr>
          <w:trHeight w:val="288"/>
        </w:trPr>
        <w:tc>
          <w:tcPr>
            <w:tcW w:w="1271" w:type="dxa"/>
            <w:tcBorders>
              <w:top w:val="nil"/>
              <w:left w:val="nil"/>
              <w:bottom w:val="nil"/>
              <w:right w:val="single" w:sz="4" w:space="0" w:color="auto"/>
            </w:tcBorders>
            <w:shd w:val="clear" w:color="auto" w:fill="auto"/>
            <w:vAlign w:val="center"/>
            <w:hideMark/>
          </w:tcPr>
          <w:p w14:paraId="29ADD277" w14:textId="77777777" w:rsidR="0038133B" w:rsidRPr="00D92E20" w:rsidRDefault="0038133B" w:rsidP="0038133B">
            <w:pPr>
              <w:spacing w:after="0" w:line="240" w:lineRule="auto"/>
              <w:rPr>
                <w:rFonts w:cs="Arial"/>
                <w:b/>
                <w:bCs/>
                <w:color w:val="000000"/>
                <w:sz w:val="16"/>
                <w:szCs w:val="16"/>
              </w:rPr>
            </w:pPr>
            <w:r w:rsidRPr="00D92E20">
              <w:rPr>
                <w:rFonts w:cs="Arial"/>
                <w:b/>
                <w:bCs/>
                <w:color w:val="000000"/>
                <w:sz w:val="16"/>
                <w:szCs w:val="16"/>
              </w:rPr>
              <w:t>Celkem</w:t>
            </w:r>
          </w:p>
        </w:tc>
        <w:tc>
          <w:tcPr>
            <w:tcW w:w="907" w:type="dxa"/>
            <w:tcBorders>
              <w:top w:val="nil"/>
              <w:left w:val="nil"/>
              <w:bottom w:val="nil"/>
              <w:right w:val="nil"/>
            </w:tcBorders>
            <w:shd w:val="clear" w:color="auto" w:fill="auto"/>
            <w:vAlign w:val="center"/>
            <w:hideMark/>
          </w:tcPr>
          <w:p w14:paraId="0C6FDF13" w14:textId="509CCE25" w:rsidR="0038133B" w:rsidRPr="00D92E20" w:rsidRDefault="0038133B" w:rsidP="0038133B">
            <w:pPr>
              <w:spacing w:after="0" w:line="240" w:lineRule="auto"/>
              <w:jc w:val="right"/>
              <w:rPr>
                <w:rFonts w:cs="Arial"/>
                <w:b/>
                <w:bCs/>
                <w:color w:val="000000"/>
                <w:sz w:val="16"/>
                <w:szCs w:val="16"/>
              </w:rPr>
            </w:pPr>
            <w:r>
              <w:rPr>
                <w:rFonts w:cs="Arial"/>
                <w:b/>
                <w:bCs/>
                <w:sz w:val="16"/>
                <w:szCs w:val="16"/>
              </w:rPr>
              <w:t>1 423,1</w:t>
            </w:r>
          </w:p>
        </w:tc>
        <w:tc>
          <w:tcPr>
            <w:tcW w:w="907" w:type="dxa"/>
            <w:tcBorders>
              <w:top w:val="nil"/>
              <w:left w:val="nil"/>
              <w:bottom w:val="nil"/>
              <w:right w:val="nil"/>
            </w:tcBorders>
            <w:shd w:val="clear" w:color="auto" w:fill="auto"/>
            <w:vAlign w:val="center"/>
            <w:hideMark/>
          </w:tcPr>
          <w:p w14:paraId="3ACD8616" w14:textId="6E371C78" w:rsidR="0038133B" w:rsidRPr="00D92E20" w:rsidRDefault="0038133B" w:rsidP="0038133B">
            <w:pPr>
              <w:spacing w:after="0" w:line="240" w:lineRule="auto"/>
              <w:jc w:val="right"/>
              <w:rPr>
                <w:rFonts w:cs="Arial"/>
                <w:b/>
                <w:bCs/>
                <w:color w:val="000000"/>
                <w:sz w:val="16"/>
                <w:szCs w:val="16"/>
              </w:rPr>
            </w:pPr>
            <w:r>
              <w:rPr>
                <w:rFonts w:cs="Arial"/>
                <w:b/>
                <w:bCs/>
                <w:sz w:val="16"/>
                <w:szCs w:val="16"/>
              </w:rPr>
              <w:t>708,5</w:t>
            </w:r>
          </w:p>
        </w:tc>
        <w:tc>
          <w:tcPr>
            <w:tcW w:w="907" w:type="dxa"/>
            <w:tcBorders>
              <w:top w:val="nil"/>
              <w:left w:val="nil"/>
              <w:bottom w:val="nil"/>
              <w:right w:val="single" w:sz="4" w:space="0" w:color="auto"/>
            </w:tcBorders>
            <w:shd w:val="clear" w:color="auto" w:fill="auto"/>
            <w:vAlign w:val="center"/>
            <w:hideMark/>
          </w:tcPr>
          <w:p w14:paraId="799DDDF1" w14:textId="2BFE6A84" w:rsidR="0038133B" w:rsidRPr="00D92E20" w:rsidRDefault="0038133B" w:rsidP="0038133B">
            <w:pPr>
              <w:spacing w:after="0" w:line="240" w:lineRule="auto"/>
              <w:jc w:val="right"/>
              <w:rPr>
                <w:rFonts w:cs="Arial"/>
                <w:b/>
                <w:bCs/>
                <w:color w:val="000000"/>
                <w:sz w:val="16"/>
                <w:szCs w:val="16"/>
              </w:rPr>
            </w:pPr>
            <w:r>
              <w:rPr>
                <w:rFonts w:cs="Arial"/>
                <w:b/>
                <w:bCs/>
                <w:sz w:val="16"/>
                <w:szCs w:val="16"/>
              </w:rPr>
              <w:t>714,7</w:t>
            </w:r>
          </w:p>
        </w:tc>
        <w:tc>
          <w:tcPr>
            <w:tcW w:w="1021" w:type="dxa"/>
            <w:tcBorders>
              <w:top w:val="nil"/>
              <w:left w:val="single" w:sz="4" w:space="0" w:color="auto"/>
              <w:bottom w:val="nil"/>
              <w:right w:val="nil"/>
            </w:tcBorders>
            <w:shd w:val="clear" w:color="000000" w:fill="FFFFFF"/>
            <w:vAlign w:val="center"/>
          </w:tcPr>
          <w:p w14:paraId="5204F37A" w14:textId="1CB4174D" w:rsidR="0038133B" w:rsidRDefault="0038133B" w:rsidP="00257662">
            <w:pPr>
              <w:spacing w:after="0" w:line="240" w:lineRule="auto"/>
              <w:jc w:val="right"/>
              <w:rPr>
                <w:rFonts w:cs="Arial"/>
                <w:b/>
                <w:bCs/>
                <w:sz w:val="16"/>
                <w:szCs w:val="16"/>
              </w:rPr>
            </w:pPr>
            <w:r>
              <w:rPr>
                <w:rFonts w:cs="Arial"/>
                <w:b/>
                <w:bCs/>
                <w:sz w:val="16"/>
                <w:szCs w:val="16"/>
              </w:rPr>
              <w:t>51 409,2</w:t>
            </w:r>
          </w:p>
        </w:tc>
        <w:tc>
          <w:tcPr>
            <w:tcW w:w="1020" w:type="dxa"/>
            <w:tcBorders>
              <w:top w:val="nil"/>
              <w:left w:val="nil"/>
              <w:bottom w:val="nil"/>
              <w:right w:val="nil"/>
            </w:tcBorders>
            <w:shd w:val="clear" w:color="000000" w:fill="FFFFFF"/>
            <w:vAlign w:val="center"/>
          </w:tcPr>
          <w:p w14:paraId="2B74ED4A" w14:textId="43EEB299" w:rsidR="0038133B" w:rsidRDefault="0038133B" w:rsidP="00257662">
            <w:pPr>
              <w:spacing w:after="0" w:line="240" w:lineRule="auto"/>
              <w:jc w:val="right"/>
              <w:rPr>
                <w:rFonts w:cs="Arial"/>
                <w:b/>
                <w:bCs/>
                <w:sz w:val="16"/>
                <w:szCs w:val="16"/>
              </w:rPr>
            </w:pPr>
            <w:r>
              <w:rPr>
                <w:rFonts w:cs="Arial"/>
                <w:b/>
                <w:bCs/>
                <w:sz w:val="16"/>
                <w:szCs w:val="16"/>
              </w:rPr>
              <w:t>23 928,4</w:t>
            </w:r>
          </w:p>
        </w:tc>
        <w:tc>
          <w:tcPr>
            <w:tcW w:w="1021" w:type="dxa"/>
            <w:tcBorders>
              <w:top w:val="single" w:sz="4" w:space="0" w:color="auto"/>
              <w:left w:val="nil"/>
              <w:bottom w:val="nil"/>
              <w:right w:val="single" w:sz="4" w:space="0" w:color="auto"/>
            </w:tcBorders>
            <w:shd w:val="clear" w:color="000000" w:fill="FFFFFF"/>
            <w:vAlign w:val="center"/>
          </w:tcPr>
          <w:p w14:paraId="64D04F78" w14:textId="37467851" w:rsidR="0038133B" w:rsidRDefault="0038133B" w:rsidP="00257662">
            <w:pPr>
              <w:spacing w:after="0" w:line="240" w:lineRule="auto"/>
              <w:jc w:val="right"/>
              <w:rPr>
                <w:rFonts w:cs="Arial"/>
                <w:b/>
                <w:bCs/>
                <w:sz w:val="16"/>
                <w:szCs w:val="16"/>
              </w:rPr>
            </w:pPr>
            <w:r>
              <w:rPr>
                <w:rFonts w:cs="Arial"/>
                <w:b/>
                <w:bCs/>
                <w:sz w:val="16"/>
                <w:szCs w:val="16"/>
              </w:rPr>
              <w:t>27 480,8</w:t>
            </w:r>
          </w:p>
        </w:tc>
        <w:tc>
          <w:tcPr>
            <w:tcW w:w="907" w:type="dxa"/>
            <w:tcBorders>
              <w:top w:val="nil"/>
              <w:left w:val="single" w:sz="4" w:space="0" w:color="auto"/>
              <w:bottom w:val="nil"/>
              <w:right w:val="nil"/>
            </w:tcBorders>
            <w:shd w:val="clear" w:color="auto" w:fill="auto"/>
            <w:vAlign w:val="center"/>
            <w:hideMark/>
          </w:tcPr>
          <w:p w14:paraId="38587298" w14:textId="3FCE34E7" w:rsidR="0038133B" w:rsidRPr="00D92E20" w:rsidRDefault="0038133B" w:rsidP="00257662">
            <w:pPr>
              <w:spacing w:after="0" w:line="240" w:lineRule="auto"/>
              <w:jc w:val="right"/>
              <w:rPr>
                <w:rFonts w:cs="Arial"/>
                <w:b/>
                <w:bCs/>
                <w:color w:val="000000"/>
                <w:sz w:val="16"/>
                <w:szCs w:val="16"/>
              </w:rPr>
            </w:pPr>
            <w:r>
              <w:rPr>
                <w:rFonts w:cs="Arial"/>
                <w:b/>
                <w:bCs/>
                <w:sz w:val="16"/>
                <w:szCs w:val="16"/>
              </w:rPr>
              <w:t>36,1</w:t>
            </w:r>
          </w:p>
        </w:tc>
        <w:tc>
          <w:tcPr>
            <w:tcW w:w="907" w:type="dxa"/>
            <w:tcBorders>
              <w:top w:val="nil"/>
              <w:left w:val="nil"/>
              <w:bottom w:val="nil"/>
              <w:right w:val="nil"/>
            </w:tcBorders>
            <w:shd w:val="clear" w:color="auto" w:fill="auto"/>
            <w:vAlign w:val="center"/>
            <w:hideMark/>
          </w:tcPr>
          <w:p w14:paraId="3430F76D" w14:textId="765BC0AB" w:rsidR="0038133B" w:rsidRPr="00D92E20" w:rsidRDefault="0038133B" w:rsidP="00257662">
            <w:pPr>
              <w:spacing w:after="0" w:line="240" w:lineRule="auto"/>
              <w:jc w:val="right"/>
              <w:rPr>
                <w:rFonts w:cs="Arial"/>
                <w:b/>
                <w:bCs/>
                <w:color w:val="000000"/>
                <w:sz w:val="16"/>
                <w:szCs w:val="16"/>
              </w:rPr>
            </w:pPr>
            <w:r>
              <w:rPr>
                <w:rFonts w:cs="Arial"/>
                <w:b/>
                <w:bCs/>
                <w:sz w:val="16"/>
                <w:szCs w:val="16"/>
              </w:rPr>
              <w:t>33,8</w:t>
            </w:r>
          </w:p>
        </w:tc>
        <w:tc>
          <w:tcPr>
            <w:tcW w:w="908" w:type="dxa"/>
            <w:tcBorders>
              <w:top w:val="nil"/>
              <w:left w:val="nil"/>
              <w:bottom w:val="nil"/>
              <w:right w:val="nil"/>
            </w:tcBorders>
            <w:shd w:val="clear" w:color="auto" w:fill="auto"/>
            <w:vAlign w:val="center"/>
            <w:hideMark/>
          </w:tcPr>
          <w:p w14:paraId="5590F201" w14:textId="1C6F1B90" w:rsidR="0038133B" w:rsidRPr="00D92E20" w:rsidRDefault="0038133B" w:rsidP="00257662">
            <w:pPr>
              <w:spacing w:after="0" w:line="240" w:lineRule="auto"/>
              <w:jc w:val="right"/>
              <w:rPr>
                <w:rFonts w:cs="Arial"/>
                <w:b/>
                <w:bCs/>
                <w:color w:val="000000"/>
                <w:sz w:val="16"/>
                <w:szCs w:val="16"/>
              </w:rPr>
            </w:pPr>
            <w:r>
              <w:rPr>
                <w:rFonts w:cs="Arial"/>
                <w:b/>
                <w:bCs/>
                <w:sz w:val="16"/>
                <w:szCs w:val="16"/>
              </w:rPr>
              <w:t>38,5</w:t>
            </w:r>
          </w:p>
        </w:tc>
      </w:tr>
      <w:tr w:rsidR="002E0A24" w:rsidRPr="00D92E20" w14:paraId="7CCF88CE" w14:textId="77777777" w:rsidTr="00257662">
        <w:trPr>
          <w:trHeight w:val="288"/>
        </w:trPr>
        <w:tc>
          <w:tcPr>
            <w:tcW w:w="1271" w:type="dxa"/>
            <w:tcBorders>
              <w:top w:val="nil"/>
              <w:left w:val="nil"/>
              <w:bottom w:val="nil"/>
              <w:right w:val="single" w:sz="4" w:space="0" w:color="auto"/>
            </w:tcBorders>
            <w:shd w:val="clear" w:color="auto" w:fill="auto"/>
            <w:vAlign w:val="center"/>
            <w:hideMark/>
          </w:tcPr>
          <w:p w14:paraId="1D0915C5" w14:textId="77777777" w:rsidR="0038133B" w:rsidRPr="00D92E20" w:rsidRDefault="0038133B" w:rsidP="0038133B">
            <w:pPr>
              <w:spacing w:after="0" w:line="240" w:lineRule="auto"/>
              <w:ind w:firstLineChars="100" w:firstLine="160"/>
              <w:rPr>
                <w:rFonts w:cs="Arial"/>
                <w:color w:val="000000"/>
                <w:sz w:val="16"/>
                <w:szCs w:val="16"/>
              </w:rPr>
            </w:pPr>
            <w:r w:rsidRPr="00D92E20">
              <w:rPr>
                <w:rFonts w:cs="Arial"/>
                <w:color w:val="000000"/>
                <w:sz w:val="16"/>
                <w:szCs w:val="16"/>
              </w:rPr>
              <w:t>mladší 20 let</w:t>
            </w:r>
          </w:p>
        </w:tc>
        <w:tc>
          <w:tcPr>
            <w:tcW w:w="907" w:type="dxa"/>
            <w:tcBorders>
              <w:top w:val="nil"/>
              <w:left w:val="nil"/>
              <w:bottom w:val="nil"/>
              <w:right w:val="nil"/>
            </w:tcBorders>
            <w:shd w:val="clear" w:color="auto" w:fill="auto"/>
            <w:vAlign w:val="center"/>
            <w:hideMark/>
          </w:tcPr>
          <w:p w14:paraId="0094F445" w14:textId="3FBBB947" w:rsidR="0038133B" w:rsidRPr="00D92E20" w:rsidRDefault="0038133B" w:rsidP="0038133B">
            <w:pPr>
              <w:spacing w:after="0" w:line="240" w:lineRule="auto"/>
              <w:jc w:val="right"/>
              <w:rPr>
                <w:rFonts w:cs="Arial"/>
                <w:color w:val="000000"/>
                <w:sz w:val="16"/>
                <w:szCs w:val="16"/>
              </w:rPr>
            </w:pPr>
            <w:r>
              <w:rPr>
                <w:rFonts w:cs="Arial"/>
                <w:sz w:val="16"/>
                <w:szCs w:val="16"/>
              </w:rPr>
              <w:t>13,9</w:t>
            </w:r>
          </w:p>
        </w:tc>
        <w:tc>
          <w:tcPr>
            <w:tcW w:w="907" w:type="dxa"/>
            <w:tcBorders>
              <w:top w:val="nil"/>
              <w:left w:val="nil"/>
              <w:bottom w:val="nil"/>
              <w:right w:val="nil"/>
            </w:tcBorders>
            <w:shd w:val="clear" w:color="auto" w:fill="auto"/>
            <w:vAlign w:val="center"/>
            <w:hideMark/>
          </w:tcPr>
          <w:p w14:paraId="6D6BBC67" w14:textId="15ED3CC8" w:rsidR="0038133B" w:rsidRPr="00D92E20" w:rsidRDefault="0038133B" w:rsidP="0038133B">
            <w:pPr>
              <w:spacing w:after="0" w:line="240" w:lineRule="auto"/>
              <w:jc w:val="right"/>
              <w:rPr>
                <w:rFonts w:cs="Arial"/>
                <w:color w:val="000000"/>
                <w:sz w:val="16"/>
                <w:szCs w:val="16"/>
              </w:rPr>
            </w:pPr>
            <w:r>
              <w:rPr>
                <w:rFonts w:cs="Arial"/>
                <w:sz w:val="16"/>
                <w:szCs w:val="16"/>
              </w:rPr>
              <w:t>8,1</w:t>
            </w:r>
          </w:p>
        </w:tc>
        <w:tc>
          <w:tcPr>
            <w:tcW w:w="907" w:type="dxa"/>
            <w:tcBorders>
              <w:top w:val="nil"/>
              <w:left w:val="nil"/>
              <w:bottom w:val="nil"/>
              <w:right w:val="single" w:sz="4" w:space="0" w:color="auto"/>
            </w:tcBorders>
            <w:shd w:val="clear" w:color="auto" w:fill="auto"/>
            <w:vAlign w:val="center"/>
            <w:hideMark/>
          </w:tcPr>
          <w:p w14:paraId="5927A43E" w14:textId="6E7CAF9A" w:rsidR="0038133B" w:rsidRPr="00D92E20" w:rsidRDefault="0038133B" w:rsidP="0038133B">
            <w:pPr>
              <w:spacing w:after="0" w:line="240" w:lineRule="auto"/>
              <w:jc w:val="right"/>
              <w:rPr>
                <w:rFonts w:cs="Arial"/>
                <w:color w:val="000000"/>
                <w:sz w:val="16"/>
                <w:szCs w:val="16"/>
              </w:rPr>
            </w:pPr>
            <w:r>
              <w:rPr>
                <w:rFonts w:cs="Arial"/>
                <w:sz w:val="16"/>
                <w:szCs w:val="16"/>
              </w:rPr>
              <w:t>5,8</w:t>
            </w:r>
          </w:p>
        </w:tc>
        <w:tc>
          <w:tcPr>
            <w:tcW w:w="1021" w:type="dxa"/>
            <w:tcBorders>
              <w:top w:val="nil"/>
              <w:left w:val="single" w:sz="4" w:space="0" w:color="auto"/>
              <w:bottom w:val="nil"/>
              <w:right w:val="nil"/>
            </w:tcBorders>
            <w:shd w:val="clear" w:color="000000" w:fill="FFFFFF"/>
            <w:vAlign w:val="center"/>
          </w:tcPr>
          <w:p w14:paraId="6443D6B2" w14:textId="25828203" w:rsidR="0038133B" w:rsidRDefault="0038133B" w:rsidP="00257662">
            <w:pPr>
              <w:spacing w:after="0" w:line="240" w:lineRule="auto"/>
              <w:jc w:val="right"/>
              <w:rPr>
                <w:rFonts w:cs="Arial"/>
                <w:sz w:val="16"/>
                <w:szCs w:val="16"/>
              </w:rPr>
            </w:pPr>
            <w:r>
              <w:rPr>
                <w:rFonts w:cs="Arial"/>
                <w:sz w:val="16"/>
                <w:szCs w:val="16"/>
              </w:rPr>
              <w:t>244,9</w:t>
            </w:r>
          </w:p>
        </w:tc>
        <w:tc>
          <w:tcPr>
            <w:tcW w:w="1020" w:type="dxa"/>
            <w:tcBorders>
              <w:top w:val="nil"/>
              <w:left w:val="nil"/>
              <w:bottom w:val="nil"/>
              <w:right w:val="nil"/>
            </w:tcBorders>
            <w:shd w:val="clear" w:color="000000" w:fill="FFFFFF"/>
            <w:vAlign w:val="center"/>
          </w:tcPr>
          <w:p w14:paraId="4D1D62C7" w14:textId="1AC2649D" w:rsidR="0038133B" w:rsidRDefault="0038133B" w:rsidP="00257662">
            <w:pPr>
              <w:spacing w:after="0" w:line="240" w:lineRule="auto"/>
              <w:jc w:val="right"/>
              <w:rPr>
                <w:rFonts w:cs="Arial"/>
                <w:sz w:val="16"/>
                <w:szCs w:val="16"/>
              </w:rPr>
            </w:pPr>
            <w:r>
              <w:rPr>
                <w:rFonts w:cs="Arial"/>
                <w:sz w:val="16"/>
                <w:szCs w:val="16"/>
              </w:rPr>
              <w:t>132,2</w:t>
            </w:r>
          </w:p>
        </w:tc>
        <w:tc>
          <w:tcPr>
            <w:tcW w:w="1021" w:type="dxa"/>
            <w:tcBorders>
              <w:top w:val="nil"/>
              <w:left w:val="nil"/>
              <w:bottom w:val="nil"/>
              <w:right w:val="single" w:sz="4" w:space="0" w:color="auto"/>
            </w:tcBorders>
            <w:shd w:val="clear" w:color="000000" w:fill="FFFFFF"/>
            <w:vAlign w:val="center"/>
          </w:tcPr>
          <w:p w14:paraId="6BCCFC1F" w14:textId="2E9AA55E" w:rsidR="0038133B" w:rsidRDefault="0038133B" w:rsidP="00257662">
            <w:pPr>
              <w:spacing w:after="0" w:line="240" w:lineRule="auto"/>
              <w:jc w:val="right"/>
              <w:rPr>
                <w:rFonts w:cs="Arial"/>
                <w:sz w:val="16"/>
                <w:szCs w:val="16"/>
              </w:rPr>
            </w:pPr>
            <w:r>
              <w:rPr>
                <w:rFonts w:cs="Arial"/>
                <w:sz w:val="16"/>
                <w:szCs w:val="16"/>
              </w:rPr>
              <w:t>112,7</w:t>
            </w:r>
          </w:p>
        </w:tc>
        <w:tc>
          <w:tcPr>
            <w:tcW w:w="907" w:type="dxa"/>
            <w:tcBorders>
              <w:top w:val="nil"/>
              <w:left w:val="single" w:sz="4" w:space="0" w:color="auto"/>
              <w:bottom w:val="nil"/>
              <w:right w:val="nil"/>
            </w:tcBorders>
            <w:shd w:val="clear" w:color="auto" w:fill="auto"/>
            <w:vAlign w:val="center"/>
            <w:hideMark/>
          </w:tcPr>
          <w:p w14:paraId="60D4C865" w14:textId="2685885C" w:rsidR="0038133B" w:rsidRPr="00D92E20" w:rsidRDefault="0038133B" w:rsidP="00257662">
            <w:pPr>
              <w:spacing w:after="0" w:line="240" w:lineRule="auto"/>
              <w:jc w:val="right"/>
              <w:rPr>
                <w:rFonts w:cs="Arial"/>
                <w:color w:val="000000"/>
                <w:sz w:val="16"/>
                <w:szCs w:val="16"/>
              </w:rPr>
            </w:pPr>
            <w:r>
              <w:rPr>
                <w:rFonts w:cs="Arial"/>
                <w:sz w:val="16"/>
                <w:szCs w:val="16"/>
              </w:rPr>
              <w:t>17,7</w:t>
            </w:r>
          </w:p>
        </w:tc>
        <w:tc>
          <w:tcPr>
            <w:tcW w:w="907" w:type="dxa"/>
            <w:tcBorders>
              <w:top w:val="nil"/>
              <w:left w:val="nil"/>
              <w:bottom w:val="nil"/>
              <w:right w:val="nil"/>
            </w:tcBorders>
            <w:shd w:val="clear" w:color="auto" w:fill="auto"/>
            <w:vAlign w:val="center"/>
            <w:hideMark/>
          </w:tcPr>
          <w:p w14:paraId="5E18BDC8" w14:textId="7CBFF354" w:rsidR="0038133B" w:rsidRPr="00D92E20" w:rsidRDefault="0038133B" w:rsidP="00257662">
            <w:pPr>
              <w:spacing w:after="0" w:line="240" w:lineRule="auto"/>
              <w:jc w:val="right"/>
              <w:rPr>
                <w:rFonts w:cs="Arial"/>
                <w:color w:val="000000"/>
                <w:sz w:val="16"/>
                <w:szCs w:val="16"/>
              </w:rPr>
            </w:pPr>
            <w:r>
              <w:rPr>
                <w:rFonts w:cs="Arial"/>
                <w:sz w:val="16"/>
                <w:szCs w:val="16"/>
              </w:rPr>
              <w:t>16,3</w:t>
            </w:r>
          </w:p>
        </w:tc>
        <w:tc>
          <w:tcPr>
            <w:tcW w:w="908" w:type="dxa"/>
            <w:tcBorders>
              <w:top w:val="nil"/>
              <w:left w:val="nil"/>
              <w:bottom w:val="nil"/>
              <w:right w:val="nil"/>
            </w:tcBorders>
            <w:shd w:val="clear" w:color="auto" w:fill="auto"/>
            <w:vAlign w:val="center"/>
            <w:hideMark/>
          </w:tcPr>
          <w:p w14:paraId="76357B7E" w14:textId="37E595CC" w:rsidR="0038133B" w:rsidRPr="00D92E20" w:rsidRDefault="0038133B" w:rsidP="00257662">
            <w:pPr>
              <w:spacing w:after="0" w:line="240" w:lineRule="auto"/>
              <w:jc w:val="right"/>
              <w:rPr>
                <w:rFonts w:cs="Arial"/>
                <w:color w:val="000000"/>
                <w:sz w:val="16"/>
                <w:szCs w:val="16"/>
              </w:rPr>
            </w:pPr>
            <w:r>
              <w:rPr>
                <w:rFonts w:cs="Arial"/>
                <w:sz w:val="16"/>
                <w:szCs w:val="16"/>
              </w:rPr>
              <w:t>19,6</w:t>
            </w:r>
          </w:p>
        </w:tc>
      </w:tr>
      <w:tr w:rsidR="002E0A24" w:rsidRPr="00D92E20" w14:paraId="6D7823B0" w14:textId="77777777" w:rsidTr="00257662">
        <w:trPr>
          <w:trHeight w:val="288"/>
        </w:trPr>
        <w:tc>
          <w:tcPr>
            <w:tcW w:w="1271" w:type="dxa"/>
            <w:tcBorders>
              <w:top w:val="nil"/>
              <w:left w:val="nil"/>
              <w:bottom w:val="nil"/>
              <w:right w:val="single" w:sz="4" w:space="0" w:color="auto"/>
            </w:tcBorders>
            <w:shd w:val="clear" w:color="auto" w:fill="auto"/>
            <w:vAlign w:val="center"/>
            <w:hideMark/>
          </w:tcPr>
          <w:p w14:paraId="40C046BD" w14:textId="77777777" w:rsidR="0038133B" w:rsidRPr="00D92E20" w:rsidRDefault="0038133B" w:rsidP="0038133B">
            <w:pPr>
              <w:spacing w:after="0" w:line="240" w:lineRule="auto"/>
              <w:ind w:firstLineChars="100" w:firstLine="160"/>
              <w:rPr>
                <w:rFonts w:cs="Arial"/>
                <w:color w:val="000000"/>
                <w:sz w:val="16"/>
                <w:szCs w:val="16"/>
              </w:rPr>
            </w:pPr>
            <w:r w:rsidRPr="00D92E20">
              <w:rPr>
                <w:rFonts w:cs="Arial"/>
                <w:color w:val="000000"/>
                <w:sz w:val="16"/>
                <w:szCs w:val="16"/>
              </w:rPr>
              <w:t>20–29 let</w:t>
            </w:r>
          </w:p>
        </w:tc>
        <w:tc>
          <w:tcPr>
            <w:tcW w:w="907" w:type="dxa"/>
            <w:tcBorders>
              <w:top w:val="nil"/>
              <w:left w:val="nil"/>
              <w:bottom w:val="nil"/>
              <w:right w:val="nil"/>
            </w:tcBorders>
            <w:shd w:val="clear" w:color="auto" w:fill="auto"/>
            <w:vAlign w:val="center"/>
            <w:hideMark/>
          </w:tcPr>
          <w:p w14:paraId="2B669CE6" w14:textId="2C083EFA" w:rsidR="0038133B" w:rsidRPr="00D92E20" w:rsidRDefault="0038133B" w:rsidP="0038133B">
            <w:pPr>
              <w:spacing w:after="0" w:line="240" w:lineRule="auto"/>
              <w:jc w:val="right"/>
              <w:rPr>
                <w:rFonts w:cs="Arial"/>
                <w:color w:val="000000"/>
                <w:sz w:val="16"/>
                <w:szCs w:val="16"/>
              </w:rPr>
            </w:pPr>
            <w:r>
              <w:rPr>
                <w:rFonts w:cs="Arial"/>
                <w:sz w:val="16"/>
                <w:szCs w:val="16"/>
              </w:rPr>
              <w:t>257,2</w:t>
            </w:r>
          </w:p>
        </w:tc>
        <w:tc>
          <w:tcPr>
            <w:tcW w:w="907" w:type="dxa"/>
            <w:tcBorders>
              <w:top w:val="nil"/>
              <w:left w:val="nil"/>
              <w:bottom w:val="nil"/>
              <w:right w:val="nil"/>
            </w:tcBorders>
            <w:shd w:val="clear" w:color="auto" w:fill="auto"/>
            <w:vAlign w:val="center"/>
            <w:hideMark/>
          </w:tcPr>
          <w:p w14:paraId="1A9DEE09" w14:textId="5A5BB34E" w:rsidR="0038133B" w:rsidRPr="00D92E20" w:rsidRDefault="0038133B" w:rsidP="0038133B">
            <w:pPr>
              <w:spacing w:after="0" w:line="240" w:lineRule="auto"/>
              <w:jc w:val="right"/>
              <w:rPr>
                <w:rFonts w:cs="Arial"/>
                <w:color w:val="000000"/>
                <w:sz w:val="16"/>
                <w:szCs w:val="16"/>
              </w:rPr>
            </w:pPr>
            <w:r>
              <w:rPr>
                <w:rFonts w:cs="Arial"/>
                <w:sz w:val="16"/>
                <w:szCs w:val="16"/>
              </w:rPr>
              <w:t>144,8</w:t>
            </w:r>
          </w:p>
        </w:tc>
        <w:tc>
          <w:tcPr>
            <w:tcW w:w="907" w:type="dxa"/>
            <w:tcBorders>
              <w:top w:val="nil"/>
              <w:left w:val="nil"/>
              <w:bottom w:val="nil"/>
              <w:right w:val="single" w:sz="4" w:space="0" w:color="auto"/>
            </w:tcBorders>
            <w:shd w:val="clear" w:color="auto" w:fill="auto"/>
            <w:vAlign w:val="center"/>
            <w:hideMark/>
          </w:tcPr>
          <w:p w14:paraId="37C197E0" w14:textId="49F39945" w:rsidR="0038133B" w:rsidRPr="00D92E20" w:rsidRDefault="0038133B" w:rsidP="0038133B">
            <w:pPr>
              <w:spacing w:after="0" w:line="240" w:lineRule="auto"/>
              <w:jc w:val="right"/>
              <w:rPr>
                <w:rFonts w:cs="Arial"/>
                <w:color w:val="000000"/>
                <w:sz w:val="16"/>
                <w:szCs w:val="16"/>
              </w:rPr>
            </w:pPr>
            <w:r>
              <w:rPr>
                <w:rFonts w:cs="Arial"/>
                <w:sz w:val="16"/>
                <w:szCs w:val="16"/>
              </w:rPr>
              <w:t>112,4</w:t>
            </w:r>
          </w:p>
        </w:tc>
        <w:tc>
          <w:tcPr>
            <w:tcW w:w="1021" w:type="dxa"/>
            <w:tcBorders>
              <w:top w:val="nil"/>
              <w:left w:val="single" w:sz="4" w:space="0" w:color="auto"/>
              <w:bottom w:val="nil"/>
              <w:right w:val="nil"/>
            </w:tcBorders>
            <w:shd w:val="clear" w:color="000000" w:fill="FFFFFF"/>
            <w:vAlign w:val="center"/>
          </w:tcPr>
          <w:p w14:paraId="31B30454" w14:textId="7DC6C1D0" w:rsidR="0038133B" w:rsidRDefault="0038133B" w:rsidP="00257662">
            <w:pPr>
              <w:spacing w:after="0" w:line="240" w:lineRule="auto"/>
              <w:jc w:val="right"/>
              <w:rPr>
                <w:rFonts w:cs="Arial"/>
                <w:sz w:val="16"/>
                <w:szCs w:val="16"/>
              </w:rPr>
            </w:pPr>
            <w:r>
              <w:rPr>
                <w:rFonts w:cs="Arial"/>
                <w:sz w:val="16"/>
                <w:szCs w:val="16"/>
              </w:rPr>
              <w:t>6 184,1</w:t>
            </w:r>
          </w:p>
        </w:tc>
        <w:tc>
          <w:tcPr>
            <w:tcW w:w="1020" w:type="dxa"/>
            <w:tcBorders>
              <w:top w:val="nil"/>
              <w:left w:val="nil"/>
              <w:bottom w:val="nil"/>
              <w:right w:val="nil"/>
            </w:tcBorders>
            <w:shd w:val="clear" w:color="000000" w:fill="FFFFFF"/>
            <w:vAlign w:val="center"/>
          </w:tcPr>
          <w:p w14:paraId="7DA1921A" w14:textId="4D065162" w:rsidR="0038133B" w:rsidRDefault="0038133B" w:rsidP="00257662">
            <w:pPr>
              <w:spacing w:after="0" w:line="240" w:lineRule="auto"/>
              <w:jc w:val="right"/>
              <w:rPr>
                <w:rFonts w:cs="Arial"/>
                <w:sz w:val="16"/>
                <w:szCs w:val="16"/>
              </w:rPr>
            </w:pPr>
            <w:r>
              <w:rPr>
                <w:rFonts w:cs="Arial"/>
                <w:sz w:val="16"/>
                <w:szCs w:val="16"/>
              </w:rPr>
              <w:t>2 887,1</w:t>
            </w:r>
          </w:p>
        </w:tc>
        <w:tc>
          <w:tcPr>
            <w:tcW w:w="1021" w:type="dxa"/>
            <w:tcBorders>
              <w:top w:val="nil"/>
              <w:left w:val="nil"/>
              <w:bottom w:val="nil"/>
              <w:right w:val="single" w:sz="4" w:space="0" w:color="auto"/>
            </w:tcBorders>
            <w:shd w:val="clear" w:color="000000" w:fill="FFFFFF"/>
            <w:vAlign w:val="center"/>
          </w:tcPr>
          <w:p w14:paraId="0D904D92" w14:textId="066CEA28" w:rsidR="0038133B" w:rsidRDefault="0038133B" w:rsidP="00257662">
            <w:pPr>
              <w:spacing w:after="0" w:line="240" w:lineRule="auto"/>
              <w:jc w:val="right"/>
              <w:rPr>
                <w:rFonts w:cs="Arial"/>
                <w:sz w:val="16"/>
                <w:szCs w:val="16"/>
              </w:rPr>
            </w:pPr>
            <w:r>
              <w:rPr>
                <w:rFonts w:cs="Arial"/>
                <w:sz w:val="16"/>
                <w:szCs w:val="16"/>
              </w:rPr>
              <w:t>3 297,1</w:t>
            </w:r>
          </w:p>
        </w:tc>
        <w:tc>
          <w:tcPr>
            <w:tcW w:w="907" w:type="dxa"/>
            <w:tcBorders>
              <w:top w:val="nil"/>
              <w:left w:val="single" w:sz="4" w:space="0" w:color="auto"/>
              <w:bottom w:val="nil"/>
              <w:right w:val="nil"/>
            </w:tcBorders>
            <w:shd w:val="clear" w:color="auto" w:fill="auto"/>
            <w:vAlign w:val="center"/>
            <w:hideMark/>
          </w:tcPr>
          <w:p w14:paraId="18EC4697" w14:textId="31F13523" w:rsidR="0038133B" w:rsidRPr="00D92E20" w:rsidRDefault="0038133B" w:rsidP="00257662">
            <w:pPr>
              <w:spacing w:after="0" w:line="240" w:lineRule="auto"/>
              <w:jc w:val="right"/>
              <w:rPr>
                <w:rFonts w:cs="Arial"/>
                <w:color w:val="000000"/>
                <w:sz w:val="16"/>
                <w:szCs w:val="16"/>
              </w:rPr>
            </w:pPr>
            <w:r>
              <w:rPr>
                <w:rFonts w:cs="Arial"/>
                <w:sz w:val="16"/>
                <w:szCs w:val="16"/>
              </w:rPr>
              <w:t>24,0</w:t>
            </w:r>
          </w:p>
        </w:tc>
        <w:tc>
          <w:tcPr>
            <w:tcW w:w="907" w:type="dxa"/>
            <w:tcBorders>
              <w:top w:val="nil"/>
              <w:left w:val="nil"/>
              <w:bottom w:val="nil"/>
              <w:right w:val="nil"/>
            </w:tcBorders>
            <w:shd w:val="clear" w:color="auto" w:fill="auto"/>
            <w:vAlign w:val="center"/>
            <w:hideMark/>
          </w:tcPr>
          <w:p w14:paraId="3B5CDD02" w14:textId="5E6D5685" w:rsidR="0038133B" w:rsidRPr="00D92E20" w:rsidRDefault="0038133B" w:rsidP="00257662">
            <w:pPr>
              <w:spacing w:after="0" w:line="240" w:lineRule="auto"/>
              <w:jc w:val="right"/>
              <w:rPr>
                <w:rFonts w:cs="Arial"/>
                <w:color w:val="000000"/>
                <w:sz w:val="16"/>
                <w:szCs w:val="16"/>
              </w:rPr>
            </w:pPr>
            <w:r>
              <w:rPr>
                <w:rFonts w:cs="Arial"/>
                <w:sz w:val="16"/>
                <w:szCs w:val="16"/>
              </w:rPr>
              <w:t>19,9</w:t>
            </w:r>
          </w:p>
        </w:tc>
        <w:tc>
          <w:tcPr>
            <w:tcW w:w="908" w:type="dxa"/>
            <w:tcBorders>
              <w:top w:val="nil"/>
              <w:left w:val="nil"/>
              <w:bottom w:val="nil"/>
              <w:right w:val="nil"/>
            </w:tcBorders>
            <w:shd w:val="clear" w:color="auto" w:fill="auto"/>
            <w:vAlign w:val="center"/>
            <w:hideMark/>
          </w:tcPr>
          <w:p w14:paraId="74975A82" w14:textId="5CEA7CB5" w:rsidR="0038133B" w:rsidRPr="00D92E20" w:rsidRDefault="0038133B" w:rsidP="00257662">
            <w:pPr>
              <w:spacing w:after="0" w:line="240" w:lineRule="auto"/>
              <w:jc w:val="right"/>
              <w:rPr>
                <w:rFonts w:cs="Arial"/>
                <w:color w:val="000000"/>
                <w:sz w:val="16"/>
                <w:szCs w:val="16"/>
              </w:rPr>
            </w:pPr>
            <w:r>
              <w:rPr>
                <w:rFonts w:cs="Arial"/>
                <w:sz w:val="16"/>
                <w:szCs w:val="16"/>
              </w:rPr>
              <w:t>29,3</w:t>
            </w:r>
          </w:p>
        </w:tc>
      </w:tr>
      <w:tr w:rsidR="002E0A24" w:rsidRPr="00D92E20" w14:paraId="3129E1F7" w14:textId="77777777" w:rsidTr="00257662">
        <w:trPr>
          <w:trHeight w:val="288"/>
        </w:trPr>
        <w:tc>
          <w:tcPr>
            <w:tcW w:w="1271" w:type="dxa"/>
            <w:tcBorders>
              <w:top w:val="nil"/>
              <w:left w:val="nil"/>
              <w:bottom w:val="nil"/>
              <w:right w:val="single" w:sz="4" w:space="0" w:color="auto"/>
            </w:tcBorders>
            <w:shd w:val="clear" w:color="auto" w:fill="auto"/>
            <w:vAlign w:val="center"/>
            <w:hideMark/>
          </w:tcPr>
          <w:p w14:paraId="34FDF785" w14:textId="77777777" w:rsidR="0038133B" w:rsidRPr="00D92E20" w:rsidRDefault="0038133B" w:rsidP="0038133B">
            <w:pPr>
              <w:spacing w:after="0" w:line="240" w:lineRule="auto"/>
              <w:ind w:firstLineChars="100" w:firstLine="160"/>
              <w:rPr>
                <w:rFonts w:cs="Arial"/>
                <w:color w:val="000000"/>
                <w:sz w:val="16"/>
                <w:szCs w:val="16"/>
              </w:rPr>
            </w:pPr>
            <w:r w:rsidRPr="00D92E20">
              <w:rPr>
                <w:rFonts w:cs="Arial"/>
                <w:color w:val="000000"/>
                <w:sz w:val="16"/>
                <w:szCs w:val="16"/>
              </w:rPr>
              <w:t>30–39 let</w:t>
            </w:r>
          </w:p>
        </w:tc>
        <w:tc>
          <w:tcPr>
            <w:tcW w:w="907" w:type="dxa"/>
            <w:tcBorders>
              <w:top w:val="nil"/>
              <w:left w:val="nil"/>
              <w:bottom w:val="nil"/>
              <w:right w:val="nil"/>
            </w:tcBorders>
            <w:shd w:val="clear" w:color="auto" w:fill="auto"/>
            <w:vAlign w:val="center"/>
            <w:hideMark/>
          </w:tcPr>
          <w:p w14:paraId="0E0D8867" w14:textId="72394F5B" w:rsidR="0038133B" w:rsidRPr="00D92E20" w:rsidRDefault="0038133B" w:rsidP="0038133B">
            <w:pPr>
              <w:spacing w:after="0" w:line="240" w:lineRule="auto"/>
              <w:jc w:val="right"/>
              <w:rPr>
                <w:rFonts w:cs="Arial"/>
                <w:color w:val="000000"/>
                <w:sz w:val="16"/>
                <w:szCs w:val="16"/>
              </w:rPr>
            </w:pPr>
            <w:r>
              <w:rPr>
                <w:rFonts w:cs="Arial"/>
                <w:sz w:val="16"/>
                <w:szCs w:val="16"/>
              </w:rPr>
              <w:t>287,3</w:t>
            </w:r>
          </w:p>
        </w:tc>
        <w:tc>
          <w:tcPr>
            <w:tcW w:w="907" w:type="dxa"/>
            <w:tcBorders>
              <w:top w:val="nil"/>
              <w:left w:val="nil"/>
              <w:bottom w:val="nil"/>
              <w:right w:val="nil"/>
            </w:tcBorders>
            <w:shd w:val="clear" w:color="auto" w:fill="auto"/>
            <w:vAlign w:val="center"/>
            <w:hideMark/>
          </w:tcPr>
          <w:p w14:paraId="38369E27" w14:textId="571CFBF3" w:rsidR="0038133B" w:rsidRPr="00D92E20" w:rsidRDefault="0038133B" w:rsidP="0038133B">
            <w:pPr>
              <w:spacing w:after="0" w:line="240" w:lineRule="auto"/>
              <w:jc w:val="right"/>
              <w:rPr>
                <w:rFonts w:cs="Arial"/>
                <w:color w:val="000000"/>
                <w:sz w:val="16"/>
                <w:szCs w:val="16"/>
              </w:rPr>
            </w:pPr>
            <w:r>
              <w:rPr>
                <w:rFonts w:cs="Arial"/>
                <w:sz w:val="16"/>
                <w:szCs w:val="16"/>
              </w:rPr>
              <w:t>157,6</w:t>
            </w:r>
          </w:p>
        </w:tc>
        <w:tc>
          <w:tcPr>
            <w:tcW w:w="907" w:type="dxa"/>
            <w:tcBorders>
              <w:top w:val="nil"/>
              <w:left w:val="nil"/>
              <w:bottom w:val="nil"/>
              <w:right w:val="single" w:sz="4" w:space="0" w:color="auto"/>
            </w:tcBorders>
            <w:shd w:val="clear" w:color="auto" w:fill="auto"/>
            <w:vAlign w:val="center"/>
            <w:hideMark/>
          </w:tcPr>
          <w:p w14:paraId="225E03A1" w14:textId="5F918FDE" w:rsidR="0038133B" w:rsidRPr="00D92E20" w:rsidRDefault="0038133B" w:rsidP="0038133B">
            <w:pPr>
              <w:spacing w:after="0" w:line="240" w:lineRule="auto"/>
              <w:jc w:val="right"/>
              <w:rPr>
                <w:rFonts w:cs="Arial"/>
                <w:color w:val="000000"/>
                <w:sz w:val="16"/>
                <w:szCs w:val="16"/>
              </w:rPr>
            </w:pPr>
            <w:r>
              <w:rPr>
                <w:rFonts w:cs="Arial"/>
                <w:sz w:val="16"/>
                <w:szCs w:val="16"/>
              </w:rPr>
              <w:t>129,7</w:t>
            </w:r>
          </w:p>
        </w:tc>
        <w:tc>
          <w:tcPr>
            <w:tcW w:w="1021" w:type="dxa"/>
            <w:tcBorders>
              <w:top w:val="nil"/>
              <w:left w:val="single" w:sz="4" w:space="0" w:color="auto"/>
              <w:bottom w:val="nil"/>
              <w:right w:val="nil"/>
            </w:tcBorders>
            <w:shd w:val="clear" w:color="000000" w:fill="FFFFFF"/>
            <w:vAlign w:val="center"/>
          </w:tcPr>
          <w:p w14:paraId="31F0D113" w14:textId="1B5FB3EF" w:rsidR="0038133B" w:rsidRDefault="0038133B" w:rsidP="00257662">
            <w:pPr>
              <w:spacing w:after="0" w:line="240" w:lineRule="auto"/>
              <w:jc w:val="right"/>
              <w:rPr>
                <w:rFonts w:cs="Arial"/>
                <w:sz w:val="16"/>
                <w:szCs w:val="16"/>
              </w:rPr>
            </w:pPr>
            <w:r>
              <w:rPr>
                <w:rFonts w:cs="Arial"/>
                <w:sz w:val="16"/>
                <w:szCs w:val="16"/>
              </w:rPr>
              <w:t>8 573,9</w:t>
            </w:r>
          </w:p>
        </w:tc>
        <w:tc>
          <w:tcPr>
            <w:tcW w:w="1020" w:type="dxa"/>
            <w:tcBorders>
              <w:top w:val="nil"/>
              <w:left w:val="nil"/>
              <w:bottom w:val="nil"/>
              <w:right w:val="nil"/>
            </w:tcBorders>
            <w:shd w:val="clear" w:color="000000" w:fill="FFFFFF"/>
            <w:vAlign w:val="center"/>
          </w:tcPr>
          <w:p w14:paraId="189AE854" w14:textId="4186A287" w:rsidR="0038133B" w:rsidRDefault="0038133B" w:rsidP="00257662">
            <w:pPr>
              <w:spacing w:after="0" w:line="240" w:lineRule="auto"/>
              <w:jc w:val="right"/>
              <w:rPr>
                <w:rFonts w:cs="Arial"/>
                <w:sz w:val="16"/>
                <w:szCs w:val="16"/>
              </w:rPr>
            </w:pPr>
            <w:r>
              <w:rPr>
                <w:rFonts w:cs="Arial"/>
                <w:sz w:val="16"/>
                <w:szCs w:val="16"/>
              </w:rPr>
              <w:t>4 020,1</w:t>
            </w:r>
          </w:p>
        </w:tc>
        <w:tc>
          <w:tcPr>
            <w:tcW w:w="1021" w:type="dxa"/>
            <w:tcBorders>
              <w:top w:val="nil"/>
              <w:left w:val="nil"/>
              <w:bottom w:val="nil"/>
              <w:right w:val="single" w:sz="4" w:space="0" w:color="auto"/>
            </w:tcBorders>
            <w:shd w:val="clear" w:color="000000" w:fill="FFFFFF"/>
            <w:vAlign w:val="center"/>
          </w:tcPr>
          <w:p w14:paraId="393884DC" w14:textId="6515F28D" w:rsidR="0038133B" w:rsidRDefault="0038133B" w:rsidP="00257662">
            <w:pPr>
              <w:spacing w:after="0" w:line="240" w:lineRule="auto"/>
              <w:jc w:val="right"/>
              <w:rPr>
                <w:rFonts w:cs="Arial"/>
                <w:sz w:val="16"/>
                <w:szCs w:val="16"/>
              </w:rPr>
            </w:pPr>
            <w:r>
              <w:rPr>
                <w:rFonts w:cs="Arial"/>
                <w:sz w:val="16"/>
                <w:szCs w:val="16"/>
              </w:rPr>
              <w:t>4 553,8</w:t>
            </w:r>
          </w:p>
        </w:tc>
        <w:tc>
          <w:tcPr>
            <w:tcW w:w="907" w:type="dxa"/>
            <w:tcBorders>
              <w:top w:val="nil"/>
              <w:left w:val="single" w:sz="4" w:space="0" w:color="auto"/>
              <w:bottom w:val="nil"/>
              <w:right w:val="nil"/>
            </w:tcBorders>
            <w:shd w:val="clear" w:color="auto" w:fill="auto"/>
            <w:vAlign w:val="center"/>
            <w:hideMark/>
          </w:tcPr>
          <w:p w14:paraId="0BBDF994" w14:textId="73FC82F2" w:rsidR="0038133B" w:rsidRPr="00D92E20" w:rsidRDefault="0038133B" w:rsidP="00257662">
            <w:pPr>
              <w:spacing w:after="0" w:line="240" w:lineRule="auto"/>
              <w:jc w:val="right"/>
              <w:rPr>
                <w:rFonts w:cs="Arial"/>
                <w:color w:val="000000"/>
                <w:sz w:val="16"/>
                <w:szCs w:val="16"/>
              </w:rPr>
            </w:pPr>
            <w:r>
              <w:rPr>
                <w:rFonts w:cs="Arial"/>
                <w:sz w:val="16"/>
                <w:szCs w:val="16"/>
              </w:rPr>
              <w:t>29,8</w:t>
            </w:r>
          </w:p>
        </w:tc>
        <w:tc>
          <w:tcPr>
            <w:tcW w:w="907" w:type="dxa"/>
            <w:tcBorders>
              <w:top w:val="nil"/>
              <w:left w:val="nil"/>
              <w:bottom w:val="nil"/>
              <w:right w:val="nil"/>
            </w:tcBorders>
            <w:shd w:val="clear" w:color="auto" w:fill="auto"/>
            <w:vAlign w:val="center"/>
            <w:hideMark/>
          </w:tcPr>
          <w:p w14:paraId="121C5E30" w14:textId="3CE5B8F4" w:rsidR="0038133B" w:rsidRPr="00D92E20" w:rsidRDefault="0038133B" w:rsidP="00257662">
            <w:pPr>
              <w:spacing w:after="0" w:line="240" w:lineRule="auto"/>
              <w:jc w:val="right"/>
              <w:rPr>
                <w:rFonts w:cs="Arial"/>
                <w:color w:val="000000"/>
                <w:sz w:val="16"/>
                <w:szCs w:val="16"/>
              </w:rPr>
            </w:pPr>
            <w:r>
              <w:rPr>
                <w:rFonts w:cs="Arial"/>
                <w:sz w:val="16"/>
                <w:szCs w:val="16"/>
              </w:rPr>
              <w:t>25,5</w:t>
            </w:r>
          </w:p>
        </w:tc>
        <w:tc>
          <w:tcPr>
            <w:tcW w:w="908" w:type="dxa"/>
            <w:tcBorders>
              <w:top w:val="nil"/>
              <w:left w:val="nil"/>
              <w:bottom w:val="nil"/>
              <w:right w:val="nil"/>
            </w:tcBorders>
            <w:shd w:val="clear" w:color="auto" w:fill="auto"/>
            <w:vAlign w:val="center"/>
            <w:hideMark/>
          </w:tcPr>
          <w:p w14:paraId="65560C7C" w14:textId="0420CD8E" w:rsidR="0038133B" w:rsidRPr="00D92E20" w:rsidRDefault="0038133B" w:rsidP="00257662">
            <w:pPr>
              <w:spacing w:after="0" w:line="240" w:lineRule="auto"/>
              <w:jc w:val="right"/>
              <w:rPr>
                <w:rFonts w:cs="Arial"/>
                <w:color w:val="000000"/>
                <w:sz w:val="16"/>
                <w:szCs w:val="16"/>
              </w:rPr>
            </w:pPr>
            <w:r>
              <w:rPr>
                <w:rFonts w:cs="Arial"/>
                <w:sz w:val="16"/>
                <w:szCs w:val="16"/>
              </w:rPr>
              <w:t>35,1</w:t>
            </w:r>
          </w:p>
        </w:tc>
      </w:tr>
      <w:tr w:rsidR="002E0A24" w:rsidRPr="00D92E20" w14:paraId="72325EEA" w14:textId="77777777" w:rsidTr="00257662">
        <w:trPr>
          <w:trHeight w:val="288"/>
        </w:trPr>
        <w:tc>
          <w:tcPr>
            <w:tcW w:w="1271" w:type="dxa"/>
            <w:tcBorders>
              <w:top w:val="nil"/>
              <w:left w:val="nil"/>
              <w:bottom w:val="nil"/>
              <w:right w:val="single" w:sz="4" w:space="0" w:color="auto"/>
            </w:tcBorders>
            <w:shd w:val="clear" w:color="auto" w:fill="auto"/>
            <w:vAlign w:val="center"/>
            <w:hideMark/>
          </w:tcPr>
          <w:p w14:paraId="2ECE904E" w14:textId="77777777" w:rsidR="0038133B" w:rsidRPr="00D92E20" w:rsidRDefault="0038133B" w:rsidP="0038133B">
            <w:pPr>
              <w:spacing w:after="0" w:line="240" w:lineRule="auto"/>
              <w:ind w:firstLineChars="100" w:firstLine="160"/>
              <w:rPr>
                <w:rFonts w:cs="Arial"/>
                <w:color w:val="000000"/>
                <w:sz w:val="16"/>
                <w:szCs w:val="16"/>
              </w:rPr>
            </w:pPr>
            <w:r w:rsidRPr="00D92E20">
              <w:rPr>
                <w:rFonts w:cs="Arial"/>
                <w:color w:val="000000"/>
                <w:sz w:val="16"/>
                <w:szCs w:val="16"/>
              </w:rPr>
              <w:t>40–49 let</w:t>
            </w:r>
          </w:p>
        </w:tc>
        <w:tc>
          <w:tcPr>
            <w:tcW w:w="907" w:type="dxa"/>
            <w:tcBorders>
              <w:top w:val="nil"/>
              <w:left w:val="nil"/>
              <w:bottom w:val="nil"/>
              <w:right w:val="nil"/>
            </w:tcBorders>
            <w:shd w:val="clear" w:color="auto" w:fill="auto"/>
            <w:vAlign w:val="center"/>
            <w:hideMark/>
          </w:tcPr>
          <w:p w14:paraId="4582D66E" w14:textId="043F1970" w:rsidR="0038133B" w:rsidRPr="00D92E20" w:rsidRDefault="0038133B" w:rsidP="0038133B">
            <w:pPr>
              <w:spacing w:after="0" w:line="240" w:lineRule="auto"/>
              <w:jc w:val="right"/>
              <w:rPr>
                <w:rFonts w:cs="Arial"/>
                <w:color w:val="000000"/>
                <w:sz w:val="16"/>
                <w:szCs w:val="16"/>
              </w:rPr>
            </w:pPr>
            <w:r>
              <w:rPr>
                <w:rFonts w:cs="Arial"/>
                <w:sz w:val="16"/>
                <w:szCs w:val="16"/>
              </w:rPr>
              <w:t>405,9</w:t>
            </w:r>
          </w:p>
        </w:tc>
        <w:tc>
          <w:tcPr>
            <w:tcW w:w="907" w:type="dxa"/>
            <w:tcBorders>
              <w:top w:val="nil"/>
              <w:left w:val="nil"/>
              <w:bottom w:val="nil"/>
              <w:right w:val="nil"/>
            </w:tcBorders>
            <w:shd w:val="clear" w:color="auto" w:fill="auto"/>
            <w:vAlign w:val="center"/>
            <w:hideMark/>
          </w:tcPr>
          <w:p w14:paraId="4769087C" w14:textId="69CBABEC" w:rsidR="0038133B" w:rsidRPr="00D92E20" w:rsidRDefault="0038133B" w:rsidP="0038133B">
            <w:pPr>
              <w:spacing w:after="0" w:line="240" w:lineRule="auto"/>
              <w:jc w:val="right"/>
              <w:rPr>
                <w:rFonts w:cs="Arial"/>
                <w:color w:val="000000"/>
                <w:sz w:val="16"/>
                <w:szCs w:val="16"/>
              </w:rPr>
            </w:pPr>
            <w:r>
              <w:rPr>
                <w:rFonts w:cs="Arial"/>
                <w:sz w:val="16"/>
                <w:szCs w:val="16"/>
              </w:rPr>
              <w:t>180,2</w:t>
            </w:r>
          </w:p>
        </w:tc>
        <w:tc>
          <w:tcPr>
            <w:tcW w:w="907" w:type="dxa"/>
            <w:tcBorders>
              <w:top w:val="nil"/>
              <w:left w:val="nil"/>
              <w:bottom w:val="nil"/>
              <w:right w:val="single" w:sz="4" w:space="0" w:color="auto"/>
            </w:tcBorders>
            <w:shd w:val="clear" w:color="auto" w:fill="auto"/>
            <w:vAlign w:val="center"/>
            <w:hideMark/>
          </w:tcPr>
          <w:p w14:paraId="237764AD" w14:textId="2D1A9077" w:rsidR="0038133B" w:rsidRPr="00D92E20" w:rsidRDefault="0038133B" w:rsidP="0038133B">
            <w:pPr>
              <w:spacing w:after="0" w:line="240" w:lineRule="auto"/>
              <w:jc w:val="right"/>
              <w:rPr>
                <w:rFonts w:cs="Arial"/>
                <w:color w:val="000000"/>
                <w:sz w:val="16"/>
                <w:szCs w:val="16"/>
              </w:rPr>
            </w:pPr>
            <w:r>
              <w:rPr>
                <w:rFonts w:cs="Arial"/>
                <w:sz w:val="16"/>
                <w:szCs w:val="16"/>
              </w:rPr>
              <w:t>225,7</w:t>
            </w:r>
          </w:p>
        </w:tc>
        <w:tc>
          <w:tcPr>
            <w:tcW w:w="1021" w:type="dxa"/>
            <w:tcBorders>
              <w:top w:val="nil"/>
              <w:left w:val="single" w:sz="4" w:space="0" w:color="auto"/>
              <w:bottom w:val="nil"/>
              <w:right w:val="nil"/>
            </w:tcBorders>
            <w:shd w:val="clear" w:color="000000" w:fill="FFFFFF"/>
            <w:vAlign w:val="center"/>
          </w:tcPr>
          <w:p w14:paraId="42A232DE" w14:textId="1606FF70" w:rsidR="0038133B" w:rsidRDefault="0038133B" w:rsidP="00257662">
            <w:pPr>
              <w:spacing w:after="0" w:line="240" w:lineRule="auto"/>
              <w:jc w:val="right"/>
              <w:rPr>
                <w:rFonts w:cs="Arial"/>
                <w:sz w:val="16"/>
                <w:szCs w:val="16"/>
              </w:rPr>
            </w:pPr>
            <w:r>
              <w:rPr>
                <w:rFonts w:cs="Arial"/>
                <w:sz w:val="16"/>
                <w:szCs w:val="16"/>
              </w:rPr>
              <w:t>14 204,1</w:t>
            </w:r>
          </w:p>
        </w:tc>
        <w:tc>
          <w:tcPr>
            <w:tcW w:w="1020" w:type="dxa"/>
            <w:tcBorders>
              <w:top w:val="nil"/>
              <w:left w:val="nil"/>
              <w:bottom w:val="nil"/>
              <w:right w:val="nil"/>
            </w:tcBorders>
            <w:shd w:val="clear" w:color="000000" w:fill="FFFFFF"/>
            <w:vAlign w:val="center"/>
          </w:tcPr>
          <w:p w14:paraId="1DBC1DF1" w14:textId="25823AF7" w:rsidR="0038133B" w:rsidRDefault="0038133B" w:rsidP="00257662">
            <w:pPr>
              <w:spacing w:after="0" w:line="240" w:lineRule="auto"/>
              <w:jc w:val="right"/>
              <w:rPr>
                <w:rFonts w:cs="Arial"/>
                <w:sz w:val="16"/>
                <w:szCs w:val="16"/>
              </w:rPr>
            </w:pPr>
            <w:r>
              <w:rPr>
                <w:rFonts w:cs="Arial"/>
                <w:sz w:val="16"/>
                <w:szCs w:val="16"/>
              </w:rPr>
              <w:t>6 085,0</w:t>
            </w:r>
          </w:p>
        </w:tc>
        <w:tc>
          <w:tcPr>
            <w:tcW w:w="1021" w:type="dxa"/>
            <w:tcBorders>
              <w:top w:val="nil"/>
              <w:left w:val="nil"/>
              <w:bottom w:val="nil"/>
              <w:right w:val="single" w:sz="4" w:space="0" w:color="auto"/>
            </w:tcBorders>
            <w:shd w:val="clear" w:color="000000" w:fill="FFFFFF"/>
            <w:vAlign w:val="center"/>
          </w:tcPr>
          <w:p w14:paraId="6B71D275" w14:textId="101CCFF4" w:rsidR="0038133B" w:rsidRDefault="0038133B" w:rsidP="00257662">
            <w:pPr>
              <w:spacing w:after="0" w:line="240" w:lineRule="auto"/>
              <w:jc w:val="right"/>
              <w:rPr>
                <w:rFonts w:cs="Arial"/>
                <w:sz w:val="16"/>
                <w:szCs w:val="16"/>
              </w:rPr>
            </w:pPr>
            <w:r>
              <w:rPr>
                <w:rFonts w:cs="Arial"/>
                <w:sz w:val="16"/>
                <w:szCs w:val="16"/>
              </w:rPr>
              <w:t>8 119,1</w:t>
            </w:r>
          </w:p>
        </w:tc>
        <w:tc>
          <w:tcPr>
            <w:tcW w:w="907" w:type="dxa"/>
            <w:tcBorders>
              <w:top w:val="nil"/>
              <w:left w:val="single" w:sz="4" w:space="0" w:color="auto"/>
              <w:bottom w:val="nil"/>
              <w:right w:val="nil"/>
            </w:tcBorders>
            <w:shd w:val="clear" w:color="auto" w:fill="auto"/>
            <w:vAlign w:val="center"/>
            <w:hideMark/>
          </w:tcPr>
          <w:p w14:paraId="365DFC57" w14:textId="484DCB01" w:rsidR="0038133B" w:rsidRPr="00D92E20" w:rsidRDefault="0038133B" w:rsidP="00257662">
            <w:pPr>
              <w:spacing w:after="0" w:line="240" w:lineRule="auto"/>
              <w:jc w:val="right"/>
              <w:rPr>
                <w:rFonts w:cs="Arial"/>
                <w:color w:val="000000"/>
                <w:sz w:val="16"/>
                <w:szCs w:val="16"/>
              </w:rPr>
            </w:pPr>
            <w:r>
              <w:rPr>
                <w:rFonts w:cs="Arial"/>
                <w:sz w:val="16"/>
                <w:szCs w:val="16"/>
              </w:rPr>
              <w:t>35,0</w:t>
            </w:r>
          </w:p>
        </w:tc>
        <w:tc>
          <w:tcPr>
            <w:tcW w:w="907" w:type="dxa"/>
            <w:tcBorders>
              <w:top w:val="nil"/>
              <w:left w:val="nil"/>
              <w:bottom w:val="nil"/>
              <w:right w:val="nil"/>
            </w:tcBorders>
            <w:shd w:val="clear" w:color="auto" w:fill="auto"/>
            <w:vAlign w:val="center"/>
            <w:hideMark/>
          </w:tcPr>
          <w:p w14:paraId="4EA677FC" w14:textId="1E659490" w:rsidR="0038133B" w:rsidRPr="00D92E20" w:rsidRDefault="0038133B" w:rsidP="00257662">
            <w:pPr>
              <w:spacing w:after="0" w:line="240" w:lineRule="auto"/>
              <w:jc w:val="right"/>
              <w:rPr>
                <w:rFonts w:cs="Arial"/>
                <w:color w:val="000000"/>
                <w:sz w:val="16"/>
                <w:szCs w:val="16"/>
              </w:rPr>
            </w:pPr>
            <w:r>
              <w:rPr>
                <w:rFonts w:cs="Arial"/>
                <w:sz w:val="16"/>
                <w:szCs w:val="16"/>
              </w:rPr>
              <w:t>33,8</w:t>
            </w:r>
          </w:p>
        </w:tc>
        <w:tc>
          <w:tcPr>
            <w:tcW w:w="908" w:type="dxa"/>
            <w:tcBorders>
              <w:top w:val="nil"/>
              <w:left w:val="nil"/>
              <w:bottom w:val="nil"/>
              <w:right w:val="nil"/>
            </w:tcBorders>
            <w:shd w:val="clear" w:color="auto" w:fill="auto"/>
            <w:vAlign w:val="center"/>
            <w:hideMark/>
          </w:tcPr>
          <w:p w14:paraId="6355EB57" w14:textId="55B80FD9" w:rsidR="0038133B" w:rsidRPr="00D92E20" w:rsidRDefault="0038133B" w:rsidP="00257662">
            <w:pPr>
              <w:spacing w:after="0" w:line="240" w:lineRule="auto"/>
              <w:jc w:val="right"/>
              <w:rPr>
                <w:rFonts w:cs="Arial"/>
                <w:color w:val="000000"/>
                <w:sz w:val="16"/>
                <w:szCs w:val="16"/>
              </w:rPr>
            </w:pPr>
            <w:r>
              <w:rPr>
                <w:rFonts w:cs="Arial"/>
                <w:sz w:val="16"/>
                <w:szCs w:val="16"/>
              </w:rPr>
              <w:t>36,0</w:t>
            </w:r>
          </w:p>
        </w:tc>
      </w:tr>
      <w:tr w:rsidR="002E0A24" w:rsidRPr="00D92E20" w14:paraId="2F67599B" w14:textId="77777777" w:rsidTr="00257662">
        <w:trPr>
          <w:trHeight w:val="288"/>
        </w:trPr>
        <w:tc>
          <w:tcPr>
            <w:tcW w:w="1271" w:type="dxa"/>
            <w:tcBorders>
              <w:top w:val="nil"/>
              <w:left w:val="nil"/>
              <w:bottom w:val="nil"/>
              <w:right w:val="single" w:sz="4" w:space="0" w:color="auto"/>
            </w:tcBorders>
            <w:shd w:val="clear" w:color="auto" w:fill="auto"/>
            <w:vAlign w:val="center"/>
            <w:hideMark/>
          </w:tcPr>
          <w:p w14:paraId="11702FF2" w14:textId="77777777" w:rsidR="0038133B" w:rsidRPr="00D92E20" w:rsidRDefault="0038133B" w:rsidP="0038133B">
            <w:pPr>
              <w:spacing w:after="0" w:line="240" w:lineRule="auto"/>
              <w:ind w:firstLineChars="100" w:firstLine="160"/>
              <w:rPr>
                <w:rFonts w:cs="Arial"/>
                <w:color w:val="000000"/>
                <w:sz w:val="16"/>
                <w:szCs w:val="16"/>
              </w:rPr>
            </w:pPr>
            <w:r w:rsidRPr="00D92E20">
              <w:rPr>
                <w:rFonts w:cs="Arial"/>
                <w:color w:val="000000"/>
                <w:sz w:val="16"/>
                <w:szCs w:val="16"/>
              </w:rPr>
              <w:t>50–59 let</w:t>
            </w:r>
          </w:p>
        </w:tc>
        <w:tc>
          <w:tcPr>
            <w:tcW w:w="907" w:type="dxa"/>
            <w:tcBorders>
              <w:top w:val="nil"/>
              <w:left w:val="nil"/>
              <w:bottom w:val="nil"/>
              <w:right w:val="nil"/>
            </w:tcBorders>
            <w:shd w:val="clear" w:color="auto" w:fill="auto"/>
            <w:vAlign w:val="center"/>
            <w:hideMark/>
          </w:tcPr>
          <w:p w14:paraId="17EC10FC" w14:textId="7588D32E" w:rsidR="0038133B" w:rsidRPr="00D92E20" w:rsidRDefault="0038133B" w:rsidP="0038133B">
            <w:pPr>
              <w:spacing w:after="0" w:line="240" w:lineRule="auto"/>
              <w:jc w:val="right"/>
              <w:rPr>
                <w:rFonts w:cs="Arial"/>
                <w:color w:val="000000"/>
                <w:sz w:val="16"/>
                <w:szCs w:val="16"/>
              </w:rPr>
            </w:pPr>
            <w:r>
              <w:rPr>
                <w:rFonts w:cs="Arial"/>
                <w:sz w:val="16"/>
                <w:szCs w:val="16"/>
              </w:rPr>
              <w:t>353,5</w:t>
            </w:r>
          </w:p>
        </w:tc>
        <w:tc>
          <w:tcPr>
            <w:tcW w:w="907" w:type="dxa"/>
            <w:tcBorders>
              <w:top w:val="nil"/>
              <w:left w:val="nil"/>
              <w:bottom w:val="nil"/>
              <w:right w:val="nil"/>
            </w:tcBorders>
            <w:shd w:val="clear" w:color="auto" w:fill="auto"/>
            <w:vAlign w:val="center"/>
            <w:hideMark/>
          </w:tcPr>
          <w:p w14:paraId="5654649E" w14:textId="1BAD81D4" w:rsidR="0038133B" w:rsidRPr="00D92E20" w:rsidRDefault="0038133B" w:rsidP="0038133B">
            <w:pPr>
              <w:spacing w:after="0" w:line="240" w:lineRule="auto"/>
              <w:jc w:val="right"/>
              <w:rPr>
                <w:rFonts w:cs="Arial"/>
                <w:color w:val="000000"/>
                <w:sz w:val="16"/>
                <w:szCs w:val="16"/>
              </w:rPr>
            </w:pPr>
            <w:r>
              <w:rPr>
                <w:rFonts w:cs="Arial"/>
                <w:sz w:val="16"/>
                <w:szCs w:val="16"/>
              </w:rPr>
              <w:t>156,0</w:t>
            </w:r>
          </w:p>
        </w:tc>
        <w:tc>
          <w:tcPr>
            <w:tcW w:w="907" w:type="dxa"/>
            <w:tcBorders>
              <w:top w:val="nil"/>
              <w:left w:val="nil"/>
              <w:bottom w:val="nil"/>
              <w:right w:val="single" w:sz="4" w:space="0" w:color="auto"/>
            </w:tcBorders>
            <w:shd w:val="clear" w:color="auto" w:fill="auto"/>
            <w:vAlign w:val="center"/>
            <w:hideMark/>
          </w:tcPr>
          <w:p w14:paraId="7EA4EFC4" w14:textId="2B377EC7" w:rsidR="0038133B" w:rsidRPr="00D92E20" w:rsidRDefault="0038133B" w:rsidP="0038133B">
            <w:pPr>
              <w:spacing w:after="0" w:line="240" w:lineRule="auto"/>
              <w:jc w:val="right"/>
              <w:rPr>
                <w:rFonts w:cs="Arial"/>
                <w:color w:val="000000"/>
                <w:sz w:val="16"/>
                <w:szCs w:val="16"/>
              </w:rPr>
            </w:pPr>
            <w:r>
              <w:rPr>
                <w:rFonts w:cs="Arial"/>
                <w:sz w:val="16"/>
                <w:szCs w:val="16"/>
              </w:rPr>
              <w:t>197,5</w:t>
            </w:r>
          </w:p>
        </w:tc>
        <w:tc>
          <w:tcPr>
            <w:tcW w:w="1021" w:type="dxa"/>
            <w:tcBorders>
              <w:top w:val="nil"/>
              <w:left w:val="single" w:sz="4" w:space="0" w:color="auto"/>
              <w:bottom w:val="nil"/>
              <w:right w:val="nil"/>
            </w:tcBorders>
            <w:shd w:val="clear" w:color="000000" w:fill="FFFFFF"/>
            <w:vAlign w:val="center"/>
          </w:tcPr>
          <w:p w14:paraId="085A64F7" w14:textId="3C627C49" w:rsidR="0038133B" w:rsidRDefault="0038133B" w:rsidP="00257662">
            <w:pPr>
              <w:spacing w:after="0" w:line="240" w:lineRule="auto"/>
              <w:jc w:val="right"/>
              <w:rPr>
                <w:rFonts w:cs="Arial"/>
                <w:sz w:val="16"/>
                <w:szCs w:val="16"/>
              </w:rPr>
            </w:pPr>
            <w:r>
              <w:rPr>
                <w:rFonts w:cs="Arial"/>
                <w:sz w:val="16"/>
                <w:szCs w:val="16"/>
              </w:rPr>
              <w:t>16 095,2</w:t>
            </w:r>
          </w:p>
        </w:tc>
        <w:tc>
          <w:tcPr>
            <w:tcW w:w="1020" w:type="dxa"/>
            <w:tcBorders>
              <w:top w:val="nil"/>
              <w:left w:val="nil"/>
              <w:bottom w:val="nil"/>
              <w:right w:val="nil"/>
            </w:tcBorders>
            <w:shd w:val="clear" w:color="000000" w:fill="FFFFFF"/>
            <w:vAlign w:val="center"/>
          </w:tcPr>
          <w:p w14:paraId="35CDAC53" w14:textId="2946E2A6" w:rsidR="0038133B" w:rsidRDefault="0038133B" w:rsidP="00257662">
            <w:pPr>
              <w:spacing w:after="0" w:line="240" w:lineRule="auto"/>
              <w:jc w:val="right"/>
              <w:rPr>
                <w:rFonts w:cs="Arial"/>
                <w:sz w:val="16"/>
                <w:szCs w:val="16"/>
              </w:rPr>
            </w:pPr>
            <w:r>
              <w:rPr>
                <w:rFonts w:cs="Arial"/>
                <w:sz w:val="16"/>
                <w:szCs w:val="16"/>
              </w:rPr>
              <w:t>7 021,7</w:t>
            </w:r>
          </w:p>
        </w:tc>
        <w:tc>
          <w:tcPr>
            <w:tcW w:w="1021" w:type="dxa"/>
            <w:tcBorders>
              <w:top w:val="nil"/>
              <w:left w:val="nil"/>
              <w:bottom w:val="nil"/>
              <w:right w:val="single" w:sz="4" w:space="0" w:color="auto"/>
            </w:tcBorders>
            <w:shd w:val="clear" w:color="000000" w:fill="FFFFFF"/>
            <w:vAlign w:val="center"/>
          </w:tcPr>
          <w:p w14:paraId="0CC95EAE" w14:textId="1F71C3E3" w:rsidR="0038133B" w:rsidRDefault="0038133B" w:rsidP="00257662">
            <w:pPr>
              <w:spacing w:after="0" w:line="240" w:lineRule="auto"/>
              <w:jc w:val="right"/>
              <w:rPr>
                <w:rFonts w:cs="Arial"/>
                <w:sz w:val="16"/>
                <w:szCs w:val="16"/>
              </w:rPr>
            </w:pPr>
            <w:r>
              <w:rPr>
                <w:rFonts w:cs="Arial"/>
                <w:sz w:val="16"/>
                <w:szCs w:val="16"/>
              </w:rPr>
              <w:t>9 073,5</w:t>
            </w:r>
          </w:p>
        </w:tc>
        <w:tc>
          <w:tcPr>
            <w:tcW w:w="907" w:type="dxa"/>
            <w:tcBorders>
              <w:top w:val="nil"/>
              <w:left w:val="single" w:sz="4" w:space="0" w:color="auto"/>
              <w:bottom w:val="nil"/>
              <w:right w:val="nil"/>
            </w:tcBorders>
            <w:shd w:val="clear" w:color="auto" w:fill="auto"/>
            <w:vAlign w:val="center"/>
            <w:hideMark/>
          </w:tcPr>
          <w:p w14:paraId="188F2166" w14:textId="08A3BE54" w:rsidR="0038133B" w:rsidRPr="00D92E20" w:rsidRDefault="0038133B" w:rsidP="00257662">
            <w:pPr>
              <w:spacing w:after="0" w:line="240" w:lineRule="auto"/>
              <w:jc w:val="right"/>
              <w:rPr>
                <w:rFonts w:cs="Arial"/>
                <w:color w:val="000000"/>
                <w:sz w:val="16"/>
                <w:szCs w:val="16"/>
              </w:rPr>
            </w:pPr>
            <w:r>
              <w:rPr>
                <w:rFonts w:cs="Arial"/>
                <w:sz w:val="16"/>
                <w:szCs w:val="16"/>
              </w:rPr>
              <w:t>45,5</w:t>
            </w:r>
          </w:p>
        </w:tc>
        <w:tc>
          <w:tcPr>
            <w:tcW w:w="907" w:type="dxa"/>
            <w:tcBorders>
              <w:top w:val="nil"/>
              <w:left w:val="nil"/>
              <w:bottom w:val="nil"/>
              <w:right w:val="nil"/>
            </w:tcBorders>
            <w:shd w:val="clear" w:color="auto" w:fill="auto"/>
            <w:vAlign w:val="center"/>
            <w:hideMark/>
          </w:tcPr>
          <w:p w14:paraId="46010ECF" w14:textId="3574C286" w:rsidR="0038133B" w:rsidRPr="00D92E20" w:rsidRDefault="0038133B" w:rsidP="00257662">
            <w:pPr>
              <w:spacing w:after="0" w:line="240" w:lineRule="auto"/>
              <w:jc w:val="right"/>
              <w:rPr>
                <w:rFonts w:cs="Arial"/>
                <w:color w:val="000000"/>
                <w:sz w:val="16"/>
                <w:szCs w:val="16"/>
              </w:rPr>
            </w:pPr>
            <w:r>
              <w:rPr>
                <w:rFonts w:cs="Arial"/>
                <w:sz w:val="16"/>
                <w:szCs w:val="16"/>
              </w:rPr>
              <w:t>45,0</w:t>
            </w:r>
          </w:p>
        </w:tc>
        <w:tc>
          <w:tcPr>
            <w:tcW w:w="908" w:type="dxa"/>
            <w:tcBorders>
              <w:top w:val="nil"/>
              <w:left w:val="nil"/>
              <w:bottom w:val="nil"/>
              <w:right w:val="nil"/>
            </w:tcBorders>
            <w:shd w:val="clear" w:color="auto" w:fill="auto"/>
            <w:vAlign w:val="center"/>
            <w:hideMark/>
          </w:tcPr>
          <w:p w14:paraId="31A2035A" w14:textId="409FA707" w:rsidR="0038133B" w:rsidRPr="00D92E20" w:rsidRDefault="0038133B" w:rsidP="00257662">
            <w:pPr>
              <w:spacing w:after="0" w:line="240" w:lineRule="auto"/>
              <w:jc w:val="right"/>
              <w:rPr>
                <w:rFonts w:cs="Arial"/>
                <w:color w:val="000000"/>
                <w:sz w:val="16"/>
                <w:szCs w:val="16"/>
              </w:rPr>
            </w:pPr>
            <w:r>
              <w:rPr>
                <w:rFonts w:cs="Arial"/>
                <w:sz w:val="16"/>
                <w:szCs w:val="16"/>
              </w:rPr>
              <w:t>45,9</w:t>
            </w:r>
          </w:p>
        </w:tc>
      </w:tr>
      <w:tr w:rsidR="002E0A24" w:rsidRPr="00D92E20" w14:paraId="5D9C795C" w14:textId="77777777" w:rsidTr="00257662">
        <w:trPr>
          <w:trHeight w:val="288"/>
        </w:trPr>
        <w:tc>
          <w:tcPr>
            <w:tcW w:w="1271" w:type="dxa"/>
            <w:tcBorders>
              <w:top w:val="nil"/>
              <w:left w:val="nil"/>
              <w:bottom w:val="nil"/>
              <w:right w:val="single" w:sz="4" w:space="0" w:color="auto"/>
            </w:tcBorders>
            <w:shd w:val="clear" w:color="auto" w:fill="auto"/>
            <w:vAlign w:val="center"/>
            <w:hideMark/>
          </w:tcPr>
          <w:p w14:paraId="2AE554D8" w14:textId="77777777" w:rsidR="0038133B" w:rsidRPr="00D92E20" w:rsidRDefault="0038133B" w:rsidP="0038133B">
            <w:pPr>
              <w:spacing w:after="0" w:line="240" w:lineRule="auto"/>
              <w:ind w:firstLineChars="100" w:firstLine="160"/>
              <w:rPr>
                <w:rFonts w:cs="Arial"/>
                <w:color w:val="000000"/>
                <w:sz w:val="16"/>
                <w:szCs w:val="16"/>
              </w:rPr>
            </w:pPr>
            <w:r w:rsidRPr="00D92E20">
              <w:rPr>
                <w:rFonts w:cs="Arial"/>
                <w:color w:val="000000"/>
                <w:sz w:val="16"/>
                <w:szCs w:val="16"/>
              </w:rPr>
              <w:t>60 a více let</w:t>
            </w:r>
          </w:p>
        </w:tc>
        <w:tc>
          <w:tcPr>
            <w:tcW w:w="907" w:type="dxa"/>
            <w:tcBorders>
              <w:top w:val="nil"/>
              <w:left w:val="nil"/>
              <w:bottom w:val="nil"/>
              <w:right w:val="nil"/>
            </w:tcBorders>
            <w:shd w:val="clear" w:color="auto" w:fill="auto"/>
            <w:vAlign w:val="center"/>
            <w:hideMark/>
          </w:tcPr>
          <w:p w14:paraId="3AF4AB86" w14:textId="344B5B36" w:rsidR="0038133B" w:rsidRPr="00D92E20" w:rsidRDefault="0038133B" w:rsidP="0038133B">
            <w:pPr>
              <w:spacing w:after="0" w:line="240" w:lineRule="auto"/>
              <w:jc w:val="right"/>
              <w:rPr>
                <w:rFonts w:cs="Arial"/>
                <w:color w:val="000000"/>
                <w:sz w:val="16"/>
                <w:szCs w:val="16"/>
              </w:rPr>
            </w:pPr>
            <w:r>
              <w:rPr>
                <w:rFonts w:cs="Arial"/>
                <w:sz w:val="16"/>
                <w:szCs w:val="16"/>
              </w:rPr>
              <w:t>105,5</w:t>
            </w:r>
          </w:p>
        </w:tc>
        <w:tc>
          <w:tcPr>
            <w:tcW w:w="907" w:type="dxa"/>
            <w:tcBorders>
              <w:top w:val="nil"/>
              <w:left w:val="nil"/>
              <w:bottom w:val="nil"/>
              <w:right w:val="nil"/>
            </w:tcBorders>
            <w:shd w:val="clear" w:color="auto" w:fill="auto"/>
            <w:vAlign w:val="center"/>
            <w:hideMark/>
          </w:tcPr>
          <w:p w14:paraId="57651157" w14:textId="213018D4" w:rsidR="0038133B" w:rsidRPr="00D92E20" w:rsidRDefault="0038133B" w:rsidP="0038133B">
            <w:pPr>
              <w:spacing w:after="0" w:line="240" w:lineRule="auto"/>
              <w:jc w:val="right"/>
              <w:rPr>
                <w:rFonts w:cs="Arial"/>
                <w:color w:val="000000"/>
                <w:sz w:val="16"/>
                <w:szCs w:val="16"/>
              </w:rPr>
            </w:pPr>
            <w:r>
              <w:rPr>
                <w:rFonts w:cs="Arial"/>
                <w:sz w:val="16"/>
                <w:szCs w:val="16"/>
              </w:rPr>
              <w:t>61,8</w:t>
            </w:r>
          </w:p>
        </w:tc>
        <w:tc>
          <w:tcPr>
            <w:tcW w:w="907" w:type="dxa"/>
            <w:tcBorders>
              <w:top w:val="nil"/>
              <w:left w:val="nil"/>
              <w:bottom w:val="nil"/>
              <w:right w:val="single" w:sz="4" w:space="0" w:color="auto"/>
            </w:tcBorders>
            <w:shd w:val="clear" w:color="auto" w:fill="auto"/>
            <w:vAlign w:val="center"/>
            <w:hideMark/>
          </w:tcPr>
          <w:p w14:paraId="5B571264" w14:textId="0F2465D5" w:rsidR="0038133B" w:rsidRPr="00D92E20" w:rsidRDefault="0038133B" w:rsidP="0038133B">
            <w:pPr>
              <w:spacing w:after="0" w:line="240" w:lineRule="auto"/>
              <w:jc w:val="right"/>
              <w:rPr>
                <w:rFonts w:cs="Arial"/>
                <w:color w:val="000000"/>
                <w:sz w:val="16"/>
                <w:szCs w:val="16"/>
              </w:rPr>
            </w:pPr>
            <w:r>
              <w:rPr>
                <w:rFonts w:cs="Arial"/>
                <w:sz w:val="16"/>
                <w:szCs w:val="16"/>
              </w:rPr>
              <w:t>43,6</w:t>
            </w:r>
          </w:p>
        </w:tc>
        <w:tc>
          <w:tcPr>
            <w:tcW w:w="1021" w:type="dxa"/>
            <w:tcBorders>
              <w:top w:val="nil"/>
              <w:left w:val="single" w:sz="4" w:space="0" w:color="auto"/>
              <w:bottom w:val="nil"/>
              <w:right w:val="nil"/>
            </w:tcBorders>
            <w:shd w:val="clear" w:color="000000" w:fill="FFFFFF"/>
            <w:vAlign w:val="center"/>
          </w:tcPr>
          <w:p w14:paraId="76DEBC8C" w14:textId="6A749D2D" w:rsidR="0038133B" w:rsidRDefault="0038133B" w:rsidP="00257662">
            <w:pPr>
              <w:spacing w:after="0" w:line="240" w:lineRule="auto"/>
              <w:jc w:val="right"/>
              <w:rPr>
                <w:rFonts w:cs="Arial"/>
                <w:sz w:val="16"/>
                <w:szCs w:val="16"/>
              </w:rPr>
            </w:pPr>
            <w:r>
              <w:rPr>
                <w:rFonts w:cs="Arial"/>
                <w:sz w:val="16"/>
                <w:szCs w:val="16"/>
              </w:rPr>
              <w:t>6 107,1</w:t>
            </w:r>
          </w:p>
        </w:tc>
        <w:tc>
          <w:tcPr>
            <w:tcW w:w="1020" w:type="dxa"/>
            <w:tcBorders>
              <w:top w:val="nil"/>
              <w:left w:val="nil"/>
              <w:bottom w:val="nil"/>
              <w:right w:val="nil"/>
            </w:tcBorders>
            <w:shd w:val="clear" w:color="000000" w:fill="FFFFFF"/>
            <w:vAlign w:val="center"/>
          </w:tcPr>
          <w:p w14:paraId="47A48FAF" w14:textId="16BEACA7" w:rsidR="0038133B" w:rsidRDefault="0038133B" w:rsidP="00257662">
            <w:pPr>
              <w:spacing w:after="0" w:line="240" w:lineRule="auto"/>
              <w:jc w:val="right"/>
              <w:rPr>
                <w:rFonts w:cs="Arial"/>
                <w:sz w:val="16"/>
                <w:szCs w:val="16"/>
              </w:rPr>
            </w:pPr>
            <w:r>
              <w:rPr>
                <w:rFonts w:cs="Arial"/>
                <w:sz w:val="16"/>
                <w:szCs w:val="16"/>
              </w:rPr>
              <w:t>3 782,3</w:t>
            </w:r>
          </w:p>
        </w:tc>
        <w:tc>
          <w:tcPr>
            <w:tcW w:w="1021" w:type="dxa"/>
            <w:tcBorders>
              <w:top w:val="nil"/>
              <w:left w:val="nil"/>
              <w:bottom w:val="nil"/>
              <w:right w:val="single" w:sz="4" w:space="0" w:color="auto"/>
            </w:tcBorders>
            <w:shd w:val="clear" w:color="000000" w:fill="FFFFFF"/>
            <w:vAlign w:val="center"/>
          </w:tcPr>
          <w:p w14:paraId="125DF3E0" w14:textId="2BF24C53" w:rsidR="0038133B" w:rsidRDefault="0038133B" w:rsidP="00257662">
            <w:pPr>
              <w:spacing w:after="0" w:line="240" w:lineRule="auto"/>
              <w:jc w:val="right"/>
              <w:rPr>
                <w:rFonts w:cs="Arial"/>
                <w:sz w:val="16"/>
                <w:szCs w:val="16"/>
              </w:rPr>
            </w:pPr>
            <w:r>
              <w:rPr>
                <w:rFonts w:cs="Arial"/>
                <w:sz w:val="16"/>
                <w:szCs w:val="16"/>
              </w:rPr>
              <w:t>2 324,7</w:t>
            </w:r>
          </w:p>
        </w:tc>
        <w:tc>
          <w:tcPr>
            <w:tcW w:w="907" w:type="dxa"/>
            <w:tcBorders>
              <w:top w:val="nil"/>
              <w:left w:val="single" w:sz="4" w:space="0" w:color="auto"/>
              <w:bottom w:val="nil"/>
              <w:right w:val="nil"/>
            </w:tcBorders>
            <w:shd w:val="clear" w:color="auto" w:fill="auto"/>
            <w:vAlign w:val="center"/>
            <w:hideMark/>
          </w:tcPr>
          <w:p w14:paraId="366973B9" w14:textId="2441FB99" w:rsidR="0038133B" w:rsidRPr="00D92E20" w:rsidRDefault="0038133B" w:rsidP="00257662">
            <w:pPr>
              <w:spacing w:after="0" w:line="240" w:lineRule="auto"/>
              <w:jc w:val="right"/>
              <w:rPr>
                <w:rFonts w:cs="Arial"/>
                <w:color w:val="000000"/>
                <w:sz w:val="16"/>
                <w:szCs w:val="16"/>
              </w:rPr>
            </w:pPr>
            <w:r>
              <w:rPr>
                <w:rFonts w:cs="Arial"/>
                <w:sz w:val="16"/>
                <w:szCs w:val="16"/>
              </w:rPr>
              <w:t>57,9</w:t>
            </w:r>
          </w:p>
        </w:tc>
        <w:tc>
          <w:tcPr>
            <w:tcW w:w="907" w:type="dxa"/>
            <w:tcBorders>
              <w:top w:val="nil"/>
              <w:left w:val="nil"/>
              <w:bottom w:val="nil"/>
              <w:right w:val="nil"/>
            </w:tcBorders>
            <w:shd w:val="clear" w:color="auto" w:fill="auto"/>
            <w:vAlign w:val="center"/>
            <w:hideMark/>
          </w:tcPr>
          <w:p w14:paraId="0689618B" w14:textId="0D90AA97" w:rsidR="0038133B" w:rsidRPr="00D92E20" w:rsidRDefault="0038133B" w:rsidP="00257662">
            <w:pPr>
              <w:spacing w:after="0" w:line="240" w:lineRule="auto"/>
              <w:jc w:val="right"/>
              <w:rPr>
                <w:rFonts w:cs="Arial"/>
                <w:color w:val="000000"/>
                <w:sz w:val="16"/>
                <w:szCs w:val="16"/>
              </w:rPr>
            </w:pPr>
            <w:r>
              <w:rPr>
                <w:rFonts w:cs="Arial"/>
                <w:sz w:val="16"/>
                <w:szCs w:val="16"/>
              </w:rPr>
              <w:t>61,2</w:t>
            </w:r>
          </w:p>
        </w:tc>
        <w:tc>
          <w:tcPr>
            <w:tcW w:w="908" w:type="dxa"/>
            <w:tcBorders>
              <w:top w:val="nil"/>
              <w:left w:val="nil"/>
              <w:bottom w:val="nil"/>
              <w:right w:val="nil"/>
            </w:tcBorders>
            <w:shd w:val="clear" w:color="auto" w:fill="auto"/>
            <w:vAlign w:val="center"/>
            <w:hideMark/>
          </w:tcPr>
          <w:p w14:paraId="5F6FC319" w14:textId="02306D84" w:rsidR="0038133B" w:rsidRPr="00D92E20" w:rsidRDefault="0038133B" w:rsidP="00257662">
            <w:pPr>
              <w:spacing w:after="0" w:line="240" w:lineRule="auto"/>
              <w:jc w:val="right"/>
              <w:rPr>
                <w:rFonts w:cs="Arial"/>
                <w:color w:val="000000"/>
                <w:sz w:val="16"/>
                <w:szCs w:val="16"/>
              </w:rPr>
            </w:pPr>
            <w:r>
              <w:rPr>
                <w:rFonts w:cs="Arial"/>
                <w:sz w:val="16"/>
                <w:szCs w:val="16"/>
              </w:rPr>
              <w:t>53,3</w:t>
            </w:r>
          </w:p>
        </w:tc>
      </w:tr>
    </w:tbl>
    <w:p w14:paraId="56E8B21C" w14:textId="77777777" w:rsidR="00B9122C" w:rsidRPr="00D92E20" w:rsidRDefault="00B9122C" w:rsidP="00B9122C">
      <w:pPr>
        <w:spacing w:before="120"/>
        <w:rPr>
          <w:sz w:val="16"/>
        </w:rPr>
      </w:pPr>
      <w:r w:rsidRPr="00D92E20">
        <w:rPr>
          <w:sz w:val="16"/>
        </w:rPr>
        <w:t>Zdroj: ČSSZ</w:t>
      </w:r>
    </w:p>
    <w:p w14:paraId="3805C765" w14:textId="16070CBD" w:rsidR="00B9122C" w:rsidRPr="00D92E20" w:rsidRDefault="00B9122C" w:rsidP="00000A90">
      <w:pPr>
        <w:spacing w:before="120" w:after="120"/>
        <w:jc w:val="both"/>
      </w:pPr>
      <w:r w:rsidRPr="00D92E20">
        <w:t>Doba, po kterou</w:t>
      </w:r>
      <w:r w:rsidR="0088375E">
        <w:t xml:space="preserve"> průměrná</w:t>
      </w:r>
      <w:r w:rsidRPr="00D92E20">
        <w:t xml:space="preserve"> pracovní neschopnost trvala, rostla </w:t>
      </w:r>
      <w:r w:rsidRPr="00D92E20">
        <w:rPr>
          <w:b/>
        </w:rPr>
        <w:t>s věkem</w:t>
      </w:r>
      <w:r w:rsidRPr="00D92E20">
        <w:t xml:space="preserve"> (viz tab. 3.</w:t>
      </w:r>
      <w:r w:rsidR="00391FBE" w:rsidRPr="00D92E20">
        <w:t>2</w:t>
      </w:r>
      <w:r w:rsidRPr="00D92E20">
        <w:t xml:space="preserve">), a to od </w:t>
      </w:r>
      <w:r w:rsidR="008703A0">
        <w:t>13,5</w:t>
      </w:r>
      <w:r w:rsidRPr="00D92E20">
        <w:t xml:space="preserve"> dne ve</w:t>
      </w:r>
      <w:r w:rsidR="00CD63E8">
        <w:t> </w:t>
      </w:r>
      <w:r w:rsidRPr="00D92E20">
        <w:t xml:space="preserve">věkové skupině osob mladších 20 let až po </w:t>
      </w:r>
      <w:r w:rsidR="008703A0">
        <w:t>43 dnů</w:t>
      </w:r>
      <w:r w:rsidRPr="00D92E20">
        <w:t xml:space="preserve"> ve věkové skupině 60letých a starších. To je způsobeno zejména vyšším zastoupením krátkodobých případů pracovní neschopnosti pro nemoci dýchací soustavy v mladším věku</w:t>
      </w:r>
      <w:r w:rsidR="00B23CF8">
        <w:t>,</w:t>
      </w:r>
      <w:r w:rsidRPr="00D92E20">
        <w:t xml:space="preserve"> a naopak nárůstem dlouhodobých případů pracovní neschopnosti pro nádorová onemocnění a nemoci oběhové soustavy se zvyšujícím se věkem.</w:t>
      </w:r>
    </w:p>
    <w:p w14:paraId="50BF44C2" w14:textId="56004D3B" w:rsidR="002C05CC" w:rsidRPr="002203FD" w:rsidRDefault="002C05CC" w:rsidP="00000A90">
      <w:pPr>
        <w:spacing w:before="120" w:after="120"/>
        <w:jc w:val="both"/>
      </w:pPr>
      <w:r w:rsidRPr="002203FD">
        <w:t xml:space="preserve">Pracovní neschopnost plyne z různých příčin a statistiky ČSSZ nabízí přehled ukončených případů </w:t>
      </w:r>
      <w:r w:rsidRPr="002203FD">
        <w:rPr>
          <w:b/>
        </w:rPr>
        <w:t>podle diagnóz</w:t>
      </w:r>
      <w:r w:rsidRPr="002203FD">
        <w:t xml:space="preserve">. </w:t>
      </w:r>
      <w:r w:rsidR="00586EBB" w:rsidRPr="002203FD">
        <w:t xml:space="preserve">Pokud pomineme kategorii </w:t>
      </w:r>
      <w:r w:rsidR="00586EBB" w:rsidRPr="002203FD">
        <w:rPr>
          <w:b/>
        </w:rPr>
        <w:t>ostatní nemoci</w:t>
      </w:r>
      <w:r w:rsidR="00586EBB" w:rsidRPr="002203FD">
        <w:t>, kterou oproti předchozím rokům navyšují zejm</w:t>
      </w:r>
      <w:r w:rsidR="00957C6D">
        <w:t>éna</w:t>
      </w:r>
      <w:r w:rsidR="00586EBB" w:rsidRPr="002203FD">
        <w:t xml:space="preserve"> neschopenky pro případ karantény</w:t>
      </w:r>
      <w:r w:rsidR="00877802">
        <w:t xml:space="preserve"> spojené s covidem</w:t>
      </w:r>
      <w:r w:rsidR="00586EBB" w:rsidRPr="002203FD">
        <w:t>, n</w:t>
      </w:r>
      <w:r w:rsidRPr="002203FD">
        <w:t xml:space="preserve">ejčastějším důvodem jsou dlouhodobě </w:t>
      </w:r>
      <w:r w:rsidRPr="002203FD">
        <w:rPr>
          <w:b/>
        </w:rPr>
        <w:t>nemoci dýchací soustavy</w:t>
      </w:r>
      <w:r w:rsidRPr="002203FD">
        <w:t>, které v</w:t>
      </w:r>
      <w:r w:rsidR="00586EBB" w:rsidRPr="002203FD">
        <w:t> 1. pol. 202</w:t>
      </w:r>
      <w:r w:rsidR="008703A0">
        <w:t>2</w:t>
      </w:r>
      <w:r w:rsidRPr="002203FD">
        <w:t xml:space="preserve"> způsobily </w:t>
      </w:r>
      <w:r w:rsidR="008703A0">
        <w:t>pětinu</w:t>
      </w:r>
      <w:r w:rsidRPr="002203FD">
        <w:t xml:space="preserve"> všech případů</w:t>
      </w:r>
      <w:r w:rsidR="00586EBB" w:rsidRPr="002203FD">
        <w:t xml:space="preserve"> pracovní neschopností</w:t>
      </w:r>
      <w:r w:rsidRPr="002203FD">
        <w:t>. Z </w:t>
      </w:r>
      <w:r w:rsidR="0095348F" w:rsidRPr="002203FD">
        <w:t xml:space="preserve">této skupiny </w:t>
      </w:r>
      <w:r w:rsidRPr="002203FD">
        <w:t xml:space="preserve">nemocí jsou neschopenky vystavovány </w:t>
      </w:r>
      <w:r w:rsidR="00957C6D">
        <w:t>především</w:t>
      </w:r>
      <w:r w:rsidRPr="002203FD">
        <w:t xml:space="preserve"> kvůli akutní</w:t>
      </w:r>
      <w:r w:rsidR="00C7753B" w:rsidRPr="002203FD">
        <w:t>m infekcím dýchacích cest či chřipkám</w:t>
      </w:r>
      <w:r w:rsidRPr="002203FD">
        <w:t>. Na</w:t>
      </w:r>
      <w:r w:rsidR="00CD63E8">
        <w:t> </w:t>
      </w:r>
      <w:r w:rsidRPr="002203FD">
        <w:t xml:space="preserve">druhou stranu, onemocnění dýchací soustavy tvořila pouze </w:t>
      </w:r>
      <w:r w:rsidR="008703A0">
        <w:t>12</w:t>
      </w:r>
      <w:r w:rsidRPr="002203FD">
        <w:t xml:space="preserve"> % (</w:t>
      </w:r>
      <w:r w:rsidR="008703A0">
        <w:t>6</w:t>
      </w:r>
      <w:r w:rsidRPr="002203FD">
        <w:t xml:space="preserve"> mil. dnů) z ce</w:t>
      </w:r>
      <w:r w:rsidR="00C7753B" w:rsidRPr="002203FD">
        <w:t xml:space="preserve">lkového počtu prostonaných dnů. To </w:t>
      </w:r>
      <w:r w:rsidR="00795664">
        <w:t>znamená</w:t>
      </w:r>
      <w:r w:rsidR="00C7753B" w:rsidRPr="002203FD">
        <w:t xml:space="preserve"> </w:t>
      </w:r>
      <w:r w:rsidRPr="002203FD">
        <w:t>v průměru nejkratší dobu pracovní neschopnosti ze všech skupin diagnóz, a</w:t>
      </w:r>
      <w:r w:rsidR="00CD63E8">
        <w:t> </w:t>
      </w:r>
      <w:r w:rsidRPr="002203FD">
        <w:t xml:space="preserve">sice </w:t>
      </w:r>
      <w:r w:rsidR="008703A0">
        <w:t>13,2</w:t>
      </w:r>
      <w:r w:rsidRPr="002203FD">
        <w:t xml:space="preserve"> dne na 1</w:t>
      </w:r>
      <w:r w:rsidR="00957C6D">
        <w:t> </w:t>
      </w:r>
      <w:r w:rsidRPr="002203FD">
        <w:t>případ.</w:t>
      </w:r>
    </w:p>
    <w:p w14:paraId="7E090F30" w14:textId="7F62EE05" w:rsidR="00867A29" w:rsidRPr="00867A29" w:rsidRDefault="002203FD" w:rsidP="00867A29">
      <w:pPr>
        <w:spacing w:before="120" w:after="120"/>
        <w:jc w:val="both"/>
      </w:pPr>
      <w:r w:rsidRPr="00867A29">
        <w:t>Již zmíněná kategorie</w:t>
      </w:r>
      <w:r w:rsidR="002C05CC" w:rsidRPr="00867A29">
        <w:t xml:space="preserve"> </w:t>
      </w:r>
      <w:r w:rsidR="002C05CC" w:rsidRPr="00867A29">
        <w:rPr>
          <w:b/>
        </w:rPr>
        <w:t>ostatní nemoci</w:t>
      </w:r>
      <w:r w:rsidRPr="00867A29">
        <w:t xml:space="preserve"> zaujímala v 1. pol. 202</w:t>
      </w:r>
      <w:r w:rsidR="008703A0">
        <w:t>2</w:t>
      </w:r>
      <w:r w:rsidRPr="00867A29">
        <w:t xml:space="preserve"> polovinu všech pracovních neschopností</w:t>
      </w:r>
      <w:r w:rsidR="002C05CC" w:rsidRPr="00867A29">
        <w:t xml:space="preserve">. </w:t>
      </w:r>
      <w:r w:rsidR="00867A29" w:rsidRPr="00867A29">
        <w:t xml:space="preserve">Dá se předpokládat, že jsou zde </w:t>
      </w:r>
      <w:r w:rsidR="0088375E">
        <w:t xml:space="preserve">kromě karantén </w:t>
      </w:r>
      <w:r w:rsidR="00867A29" w:rsidRPr="00867A29">
        <w:t xml:space="preserve">zahrnuty i některé případy osob, u kterých </w:t>
      </w:r>
      <w:r w:rsidR="0088375E">
        <w:t xml:space="preserve">v průběhu karantény vypuklo </w:t>
      </w:r>
      <w:r w:rsidR="00867A29" w:rsidRPr="00867A29">
        <w:t>samotné onemocnění</w:t>
      </w:r>
      <w:r w:rsidR="00D04AA1">
        <w:t xml:space="preserve"> s vážnějšími příznaky</w:t>
      </w:r>
      <w:r w:rsidR="00867A29" w:rsidRPr="00867A29">
        <w:t xml:space="preserve">. Přesnější zachycení pandemie z těchto dat </w:t>
      </w:r>
      <w:r w:rsidR="00957C6D">
        <w:t xml:space="preserve">ovšem </w:t>
      </w:r>
      <w:r w:rsidR="00867A29" w:rsidRPr="00867A29">
        <w:t>není možné.</w:t>
      </w:r>
      <w:r w:rsidR="00D04AA1">
        <w:t xml:space="preserve"> </w:t>
      </w:r>
      <w:r w:rsidR="0088375E">
        <w:t xml:space="preserve">V </w:t>
      </w:r>
      <w:r w:rsidR="003C38FC">
        <w:t xml:space="preserve">1. pololetích v letech </w:t>
      </w:r>
      <w:r w:rsidR="0088375E">
        <w:t>20</w:t>
      </w:r>
      <w:r w:rsidR="00877802">
        <w:t>15 až 2019, tedy před epidemií c</w:t>
      </w:r>
      <w:r w:rsidR="0088375E">
        <w:t xml:space="preserve">ovid, se zastoupení ostatních nemocí jako příčiny pracovní neschopnosti pohybovalo mezi </w:t>
      </w:r>
      <w:r w:rsidR="00D72727">
        <w:t>7</w:t>
      </w:r>
      <w:r w:rsidR="0088375E">
        <w:t xml:space="preserve"> a </w:t>
      </w:r>
      <w:r w:rsidR="003C38FC">
        <w:t>9</w:t>
      </w:r>
      <w:r w:rsidR="0088375E">
        <w:t xml:space="preserve"> %.</w:t>
      </w:r>
    </w:p>
    <w:p w14:paraId="0A1DD0B4" w14:textId="187D8EFA" w:rsidR="002C05CC" w:rsidRPr="00921C1C" w:rsidRDefault="00867A29" w:rsidP="00000A90">
      <w:pPr>
        <w:spacing w:before="120" w:after="120"/>
        <w:jc w:val="both"/>
      </w:pPr>
      <w:r w:rsidRPr="00921C1C">
        <w:rPr>
          <w:b/>
        </w:rPr>
        <w:t>N</w:t>
      </w:r>
      <w:r w:rsidR="002C05CC" w:rsidRPr="00921C1C">
        <w:rPr>
          <w:b/>
        </w:rPr>
        <w:t>emoc</w:t>
      </w:r>
      <w:r w:rsidRPr="00921C1C">
        <w:rPr>
          <w:b/>
        </w:rPr>
        <w:t>i</w:t>
      </w:r>
      <w:r w:rsidR="002C05CC" w:rsidRPr="00921C1C">
        <w:rPr>
          <w:b/>
        </w:rPr>
        <w:t xml:space="preserve"> pohybové soustavy</w:t>
      </w:r>
      <w:r w:rsidRPr="00921C1C">
        <w:rPr>
          <w:b/>
        </w:rPr>
        <w:t xml:space="preserve"> </w:t>
      </w:r>
      <w:r w:rsidR="00226A0F">
        <w:t>způsobily</w:t>
      </w:r>
      <w:r w:rsidRPr="00921C1C">
        <w:t xml:space="preserve"> </w:t>
      </w:r>
      <w:r w:rsidR="008703A0">
        <w:t xml:space="preserve">desetinu </w:t>
      </w:r>
      <w:r w:rsidRPr="00921C1C">
        <w:t>pracovních neschopností</w:t>
      </w:r>
      <w:r w:rsidR="00391FBE" w:rsidRPr="00921C1C">
        <w:t>.</w:t>
      </w:r>
      <w:r w:rsidR="00391FBE" w:rsidRPr="00921C1C">
        <w:rPr>
          <w:b/>
        </w:rPr>
        <w:t xml:space="preserve"> </w:t>
      </w:r>
      <w:r w:rsidR="002C05CC" w:rsidRPr="00921C1C">
        <w:t>Tyto nemoci se vyznačují poměrně dlouhou délkou trvání, v průměru déle než 2 kalendářní měsíce (</w:t>
      </w:r>
      <w:r w:rsidR="008703A0">
        <w:t>66,4</w:t>
      </w:r>
      <w:r w:rsidR="002C05CC" w:rsidRPr="00921C1C">
        <w:t xml:space="preserve"> dne) na 1 případ. </w:t>
      </w:r>
      <w:r w:rsidR="00D72727">
        <w:t>Počet</w:t>
      </w:r>
      <w:r w:rsidR="002C05CC" w:rsidRPr="00921C1C">
        <w:t xml:space="preserve"> prostonaných dnů </w:t>
      </w:r>
      <w:r w:rsidR="00D72727">
        <w:t>této</w:t>
      </w:r>
      <w:r w:rsidR="002C05CC" w:rsidRPr="00921C1C">
        <w:t xml:space="preserve"> kategorie </w:t>
      </w:r>
      <w:r w:rsidR="00877802">
        <w:t xml:space="preserve">činil </w:t>
      </w:r>
      <w:r w:rsidR="008703A0">
        <w:t>13 783</w:t>
      </w:r>
      <w:r w:rsidR="00877802">
        <w:t xml:space="preserve"> tis.</w:t>
      </w:r>
      <w:r w:rsidR="00D72727">
        <w:t xml:space="preserve"> a tvoří </w:t>
      </w:r>
      <w:r w:rsidR="002C05CC" w:rsidRPr="00921C1C">
        <w:t>dlouhodobě nejvyšší podíl</w:t>
      </w:r>
      <w:r w:rsidR="00D72727">
        <w:t xml:space="preserve"> ze všech skupin diagnóz</w:t>
      </w:r>
      <w:r w:rsidR="00E34258">
        <w:t>. Z nemocí pohybové soustavy</w:t>
      </w:r>
      <w:r w:rsidR="002C05CC" w:rsidRPr="00921C1C">
        <w:t xml:space="preserve"> </w:t>
      </w:r>
      <w:r w:rsidR="00E34258">
        <w:t xml:space="preserve">je </w:t>
      </w:r>
      <w:r w:rsidR="002C05CC" w:rsidRPr="00921C1C">
        <w:t xml:space="preserve">pracovní neschopnost nejčastěji </w:t>
      </w:r>
      <w:r w:rsidR="00E34258">
        <w:t xml:space="preserve">způsobena </w:t>
      </w:r>
      <w:r w:rsidR="00650B10">
        <w:t>nemoc</w:t>
      </w:r>
      <w:r w:rsidR="00E34258">
        <w:t>emi</w:t>
      </w:r>
      <w:r w:rsidR="002C05CC" w:rsidRPr="00921C1C">
        <w:t xml:space="preserve"> páteře.</w:t>
      </w:r>
    </w:p>
    <w:p w14:paraId="02064C15" w14:textId="38F6702F" w:rsidR="00000A90" w:rsidRPr="00921C1C" w:rsidRDefault="00391FBE" w:rsidP="000B190B">
      <w:pPr>
        <w:spacing w:before="120" w:after="120"/>
        <w:jc w:val="both"/>
        <w:rPr>
          <w:b/>
        </w:rPr>
      </w:pPr>
      <w:r w:rsidRPr="00921C1C">
        <w:t xml:space="preserve">Další častou příčinu pracovní neschopnosti představovaly </w:t>
      </w:r>
      <w:r w:rsidR="002C05CC" w:rsidRPr="00921C1C">
        <w:rPr>
          <w:b/>
        </w:rPr>
        <w:t>úrazy a otravy</w:t>
      </w:r>
      <w:r w:rsidR="002C05CC" w:rsidRPr="00921C1C">
        <w:t xml:space="preserve">. </w:t>
      </w:r>
      <w:r w:rsidRPr="00921C1C">
        <w:t xml:space="preserve">Na všech neschopenkách se podílely </w:t>
      </w:r>
      <w:r w:rsidR="008703A0">
        <w:t>5</w:t>
      </w:r>
      <w:r w:rsidRPr="00921C1C">
        <w:t xml:space="preserve"> %. </w:t>
      </w:r>
      <w:r w:rsidR="002C05CC" w:rsidRPr="00921C1C">
        <w:t xml:space="preserve">Průměrná délka trvání pracovní neschopnosti byla v tomto případě </w:t>
      </w:r>
      <w:r w:rsidR="00921C1C" w:rsidRPr="00921C1C">
        <w:t>5</w:t>
      </w:r>
      <w:r w:rsidR="008703A0">
        <w:t>3,2</w:t>
      </w:r>
      <w:r w:rsidR="002C05CC" w:rsidRPr="00921C1C">
        <w:t xml:space="preserve"> dne a celkový počet prostonaných dnů činil </w:t>
      </w:r>
      <w:r w:rsidR="00921C1C" w:rsidRPr="00921C1C">
        <w:t>5,</w:t>
      </w:r>
      <w:r w:rsidR="008703A0">
        <w:t>5</w:t>
      </w:r>
      <w:r w:rsidR="002C05CC" w:rsidRPr="00921C1C">
        <w:t xml:space="preserve"> mil.</w:t>
      </w:r>
    </w:p>
    <w:p w14:paraId="3C9E5C4E" w14:textId="47C24F90" w:rsidR="005A63A4" w:rsidRPr="00921C1C" w:rsidRDefault="005A63A4" w:rsidP="005A63A4">
      <w:pPr>
        <w:spacing w:before="120" w:after="120"/>
        <w:jc w:val="both"/>
      </w:pPr>
      <w:r w:rsidRPr="00921C1C">
        <w:lastRenderedPageBreak/>
        <w:t xml:space="preserve">Nejdelší </w:t>
      </w:r>
      <w:r w:rsidRPr="00921C1C">
        <w:rPr>
          <w:b/>
        </w:rPr>
        <w:t>průměrná délka</w:t>
      </w:r>
      <w:r w:rsidRPr="00921C1C">
        <w:t xml:space="preserve"> trvání pracovní neschopnosti byla v</w:t>
      </w:r>
      <w:r w:rsidR="00921C1C" w:rsidRPr="00921C1C">
        <w:t> 1. pol. 202</w:t>
      </w:r>
      <w:r w:rsidR="008703A0">
        <w:t>2</w:t>
      </w:r>
      <w:r w:rsidRPr="00921C1C">
        <w:t xml:space="preserve"> evidována </w:t>
      </w:r>
      <w:r w:rsidR="00F163D5">
        <w:t xml:space="preserve">u </w:t>
      </w:r>
      <w:r w:rsidR="008703A0">
        <w:t xml:space="preserve">tuberkulózy, a sice 206,6 dne. </w:t>
      </w:r>
      <w:r w:rsidR="0095348F">
        <w:t xml:space="preserve">Případů tuberkulózy bylo </w:t>
      </w:r>
      <w:r w:rsidR="00E34258">
        <w:t>zaznamenáno</w:t>
      </w:r>
      <w:r w:rsidR="00711A3B">
        <w:t xml:space="preserve"> 47, z</w:t>
      </w:r>
      <w:r w:rsidR="008703A0">
        <w:t> častějších onemocnění se však</w:t>
      </w:r>
      <w:r w:rsidR="00736595">
        <w:t xml:space="preserve"> v průměru nejdelší neschopnost týkala</w:t>
      </w:r>
      <w:r w:rsidR="008703A0">
        <w:t xml:space="preserve"> zhoubn</w:t>
      </w:r>
      <w:r w:rsidR="00736595">
        <w:t>ých novotvarů</w:t>
      </w:r>
      <w:r w:rsidR="00921C1C" w:rsidRPr="00921C1C">
        <w:t xml:space="preserve"> (17</w:t>
      </w:r>
      <w:r w:rsidR="00736595">
        <w:t>1</w:t>
      </w:r>
      <w:r w:rsidR="00921C1C" w:rsidRPr="00921C1C">
        <w:t>,</w:t>
      </w:r>
      <w:r w:rsidR="00736595">
        <w:t>4</w:t>
      </w:r>
      <w:r w:rsidR="00921C1C" w:rsidRPr="00921C1C">
        <w:t xml:space="preserve"> dne). Neschopenka u této </w:t>
      </w:r>
      <w:r w:rsidRPr="00921C1C">
        <w:t xml:space="preserve">skupiny nemocí </w:t>
      </w:r>
      <w:r w:rsidR="00921C1C" w:rsidRPr="00921C1C">
        <w:t xml:space="preserve">trvala </w:t>
      </w:r>
      <w:r w:rsidR="00F45A64">
        <w:t>164 dnů</w:t>
      </w:r>
      <w:r w:rsidR="00921C1C" w:rsidRPr="00921C1C">
        <w:t xml:space="preserve"> u</w:t>
      </w:r>
      <w:r w:rsidR="003E64F4">
        <w:t> </w:t>
      </w:r>
      <w:r w:rsidR="00921C1C" w:rsidRPr="00921C1C">
        <w:t>mužů, zatímco u žen 1</w:t>
      </w:r>
      <w:r w:rsidR="00736595">
        <w:t>78 dn</w:t>
      </w:r>
      <w:r w:rsidR="00F45A64">
        <w:t>ů</w:t>
      </w:r>
      <w:r w:rsidRPr="00921C1C">
        <w:t xml:space="preserve">. </w:t>
      </w:r>
      <w:r w:rsidR="00736595">
        <w:t>K</w:t>
      </w:r>
      <w:r w:rsidR="00B527E8" w:rsidRPr="00921C1C">
        <w:t xml:space="preserve"> hranici 100 dnů </w:t>
      </w:r>
      <w:r w:rsidR="008E7461">
        <w:t xml:space="preserve">pracovní neschopnosti </w:t>
      </w:r>
      <w:r w:rsidR="00B527E8" w:rsidRPr="00921C1C">
        <w:t xml:space="preserve">se </w:t>
      </w:r>
      <w:r w:rsidR="00736595">
        <w:t>blížily</w:t>
      </w:r>
      <w:r w:rsidR="00B527E8" w:rsidRPr="00921C1C">
        <w:t xml:space="preserve"> i n</w:t>
      </w:r>
      <w:r w:rsidRPr="00921C1C">
        <w:t>emoci spojené s těhotenstvím, mateřstvím a šestinedělím</w:t>
      </w:r>
      <w:r w:rsidR="00711A3B">
        <w:t xml:space="preserve"> a nadprůměrně dlouho (86 dnů) trvaly rovněž neschopenky vydané kvůli duševní nemoci.</w:t>
      </w:r>
    </w:p>
    <w:p w14:paraId="35382427" w14:textId="6C9B9EB2" w:rsidR="00B527E8" w:rsidRPr="00736595" w:rsidRDefault="005A63A4" w:rsidP="005A63A4">
      <w:pPr>
        <w:spacing w:before="120" w:after="120"/>
        <w:jc w:val="both"/>
      </w:pPr>
      <w:r w:rsidRPr="00736595">
        <w:t xml:space="preserve">Z hlediska </w:t>
      </w:r>
      <w:r w:rsidRPr="00736595">
        <w:rPr>
          <w:b/>
        </w:rPr>
        <w:t>pohlaví</w:t>
      </w:r>
      <w:r w:rsidRPr="00736595">
        <w:t xml:space="preserve"> je výskyt pracovní neschopnosti četnější u žen, v</w:t>
      </w:r>
      <w:r w:rsidR="00921C1C" w:rsidRPr="00736595">
        <w:t> 1. pol. 202</w:t>
      </w:r>
      <w:r w:rsidR="00736595" w:rsidRPr="00736595">
        <w:t>2</w:t>
      </w:r>
      <w:r w:rsidRPr="00736595">
        <w:t xml:space="preserve"> ženy </w:t>
      </w:r>
      <w:r w:rsidR="00B527E8" w:rsidRPr="00736595">
        <w:t>zaznamenaly</w:t>
      </w:r>
      <w:r w:rsidRPr="00736595">
        <w:t xml:space="preserve"> </w:t>
      </w:r>
      <w:r w:rsidR="00736595" w:rsidRPr="00736595">
        <w:t>1 123</w:t>
      </w:r>
      <w:r w:rsidRPr="00736595">
        <w:t xml:space="preserve"> tis. </w:t>
      </w:r>
      <w:r w:rsidR="00B527E8" w:rsidRPr="00736595">
        <w:t xml:space="preserve">ukončených </w:t>
      </w:r>
      <w:r w:rsidRPr="00736595">
        <w:t xml:space="preserve">případů pracovní neschopnosti, muži </w:t>
      </w:r>
      <w:r w:rsidR="008E7461">
        <w:t>960</w:t>
      </w:r>
      <w:r w:rsidR="008E7461" w:rsidRPr="00736595">
        <w:t xml:space="preserve"> </w:t>
      </w:r>
      <w:r w:rsidRPr="00736595">
        <w:t>tis. neschopenek. Pracovní neschopnost u žen také trvala v průměru o </w:t>
      </w:r>
      <w:r w:rsidR="00736595" w:rsidRPr="00736595">
        <w:t>1 d</w:t>
      </w:r>
      <w:r w:rsidRPr="00736595">
        <w:t>e</w:t>
      </w:r>
      <w:r w:rsidR="00736595" w:rsidRPr="00736595">
        <w:t>n</w:t>
      </w:r>
      <w:r w:rsidRPr="00736595">
        <w:t xml:space="preserve"> déle než u mužů. Tento rozdíl </w:t>
      </w:r>
      <w:r w:rsidR="00736595" w:rsidRPr="00736595">
        <w:t xml:space="preserve">se meziročně snížil z 5 dnů. </w:t>
      </w:r>
    </w:p>
    <w:p w14:paraId="2247ED56" w14:textId="64ACC7E8" w:rsidR="005A63A4" w:rsidRPr="00D92E20" w:rsidRDefault="005A63A4" w:rsidP="005A63A4">
      <w:pPr>
        <w:spacing w:before="120" w:after="120"/>
        <w:jc w:val="both"/>
      </w:pPr>
      <w:r w:rsidRPr="00736595">
        <w:t xml:space="preserve">Výraznější rozdíl v pracovní neschopnosti podle pohlaví se objevuje u nemocí močové a pohlavní soustavy, kdy </w:t>
      </w:r>
      <w:r w:rsidR="00B527E8" w:rsidRPr="00736595">
        <w:t xml:space="preserve">je </w:t>
      </w:r>
      <w:r w:rsidRPr="00736595">
        <w:t xml:space="preserve">počet ukončených případů </w:t>
      </w:r>
      <w:r w:rsidR="00D72727" w:rsidRPr="00736595">
        <w:t xml:space="preserve">u </w:t>
      </w:r>
      <w:r w:rsidRPr="00736595">
        <w:t>mužů oproti ženám 3,</w:t>
      </w:r>
      <w:r w:rsidR="00736595" w:rsidRPr="00736595">
        <w:t>4</w:t>
      </w:r>
      <w:r w:rsidRPr="00736595">
        <w:t>krát nižší. Duševní onemocnění vedoucí k pracovní neschopnosti byly v</w:t>
      </w:r>
      <w:r w:rsidR="00736595" w:rsidRPr="00736595">
        <w:t> 1. pol. 2022</w:t>
      </w:r>
      <w:r w:rsidRPr="00736595">
        <w:t xml:space="preserve"> téměř dvakrát častější u žen. Muži jsou naopak náchylnější na nemoci oběhové, trávicí či pohybové soustavy. Mnohem častěji jsou v pracovní neschopnosti také z důvodu úrazu či otravy.</w:t>
      </w:r>
    </w:p>
    <w:p w14:paraId="06D60AA5" w14:textId="3B28AEDF" w:rsidR="00B12C5F" w:rsidRPr="00D72727" w:rsidRDefault="000B190B" w:rsidP="000B190B">
      <w:pPr>
        <w:pStyle w:val="Seznam"/>
        <w:spacing w:after="0"/>
        <w:jc w:val="both"/>
        <w:rPr>
          <w:b/>
          <w:spacing w:val="-2"/>
        </w:rPr>
      </w:pPr>
      <w:r w:rsidRPr="00D72727">
        <w:rPr>
          <w:b/>
          <w:spacing w:val="-2"/>
        </w:rPr>
        <w:t>Tab. 3.3: Ukončené případy dočasné pracovní neschopnosti podle skupin</w:t>
      </w:r>
      <w:r w:rsidR="00736595">
        <w:rPr>
          <w:b/>
          <w:spacing w:val="-2"/>
        </w:rPr>
        <w:t xml:space="preserve"> diagnóz a pohlaví, 1. pol. 2022</w:t>
      </w:r>
    </w:p>
    <w:tbl>
      <w:tblPr>
        <w:tblW w:w="9637" w:type="dxa"/>
        <w:tblCellMar>
          <w:left w:w="70" w:type="dxa"/>
          <w:right w:w="70" w:type="dxa"/>
        </w:tblCellMar>
        <w:tblLook w:val="04A0" w:firstRow="1" w:lastRow="0" w:firstColumn="1" w:lastColumn="0" w:noHBand="0" w:noVBand="1"/>
      </w:tblPr>
      <w:tblGrid>
        <w:gridCol w:w="4195"/>
        <w:gridCol w:w="907"/>
        <w:gridCol w:w="907"/>
        <w:gridCol w:w="907"/>
        <w:gridCol w:w="907"/>
        <w:gridCol w:w="907"/>
        <w:gridCol w:w="907"/>
      </w:tblGrid>
      <w:tr w:rsidR="00E371CF" w:rsidRPr="00D92E20" w14:paraId="5B4F9C4F" w14:textId="77777777" w:rsidTr="00E371CF">
        <w:trPr>
          <w:trHeight w:val="525"/>
        </w:trPr>
        <w:tc>
          <w:tcPr>
            <w:tcW w:w="4195" w:type="dxa"/>
            <w:vMerge w:val="restart"/>
            <w:tcBorders>
              <w:top w:val="single" w:sz="4" w:space="0" w:color="auto"/>
              <w:left w:val="nil"/>
              <w:bottom w:val="single" w:sz="4" w:space="0" w:color="000000"/>
              <w:right w:val="single" w:sz="4" w:space="0" w:color="auto"/>
            </w:tcBorders>
            <w:shd w:val="clear" w:color="000000" w:fill="F5DADD"/>
            <w:vAlign w:val="center"/>
            <w:hideMark/>
          </w:tcPr>
          <w:p w14:paraId="5C63078C" w14:textId="77777777" w:rsidR="00EC21A5" w:rsidRPr="00D92E20" w:rsidRDefault="0070383F" w:rsidP="00EC21A5">
            <w:pPr>
              <w:spacing w:after="0" w:line="240" w:lineRule="auto"/>
              <w:jc w:val="center"/>
              <w:rPr>
                <w:rFonts w:cs="Arial"/>
                <w:color w:val="000000"/>
                <w:sz w:val="16"/>
                <w:szCs w:val="16"/>
              </w:rPr>
            </w:pPr>
            <w:r w:rsidRPr="00D92E20">
              <w:rPr>
                <w:rFonts w:cs="Arial"/>
                <w:color w:val="000000"/>
                <w:sz w:val="16"/>
                <w:szCs w:val="16"/>
              </w:rPr>
              <w:t>Skupiny diagnóz</w:t>
            </w:r>
          </w:p>
          <w:p w14:paraId="5E257B1F" w14:textId="77777777" w:rsidR="0070383F" w:rsidRPr="00D92E20" w:rsidRDefault="0070383F" w:rsidP="00EC21A5">
            <w:pPr>
              <w:spacing w:after="0" w:line="240" w:lineRule="auto"/>
              <w:jc w:val="center"/>
              <w:rPr>
                <w:rFonts w:cs="Arial"/>
                <w:color w:val="000000"/>
                <w:sz w:val="16"/>
                <w:szCs w:val="16"/>
              </w:rPr>
            </w:pPr>
            <w:r w:rsidRPr="00D92E20">
              <w:rPr>
                <w:rFonts w:cs="Arial"/>
                <w:color w:val="000000"/>
                <w:sz w:val="16"/>
                <w:szCs w:val="16"/>
              </w:rPr>
              <w:t>(kapitoly podle MKN-10)</w:t>
            </w:r>
          </w:p>
        </w:tc>
        <w:tc>
          <w:tcPr>
            <w:tcW w:w="2721" w:type="dxa"/>
            <w:gridSpan w:val="3"/>
            <w:tcBorders>
              <w:top w:val="single" w:sz="4" w:space="0" w:color="auto"/>
              <w:left w:val="nil"/>
              <w:bottom w:val="single" w:sz="4" w:space="0" w:color="auto"/>
              <w:right w:val="single" w:sz="4" w:space="0" w:color="000000"/>
            </w:tcBorders>
            <w:shd w:val="clear" w:color="000000" w:fill="F2DBDB"/>
            <w:vAlign w:val="center"/>
            <w:hideMark/>
          </w:tcPr>
          <w:p w14:paraId="5EF1385D" w14:textId="76A7B614" w:rsidR="0070383F" w:rsidRPr="00D92E20" w:rsidRDefault="009F67D0" w:rsidP="00D72727">
            <w:pPr>
              <w:spacing w:after="0" w:line="240" w:lineRule="auto"/>
              <w:jc w:val="center"/>
              <w:rPr>
                <w:rFonts w:cs="Arial"/>
                <w:color w:val="000000"/>
                <w:sz w:val="16"/>
                <w:szCs w:val="16"/>
              </w:rPr>
            </w:pPr>
            <w:r w:rsidRPr="00D92E20">
              <w:rPr>
                <w:rFonts w:cs="Arial"/>
                <w:color w:val="000000"/>
                <w:sz w:val="16"/>
                <w:szCs w:val="16"/>
              </w:rPr>
              <w:t xml:space="preserve">Počet </w:t>
            </w:r>
            <w:r w:rsidR="0070383F" w:rsidRPr="00D92E20">
              <w:rPr>
                <w:rFonts w:cs="Arial"/>
                <w:color w:val="000000"/>
                <w:sz w:val="16"/>
                <w:szCs w:val="16"/>
              </w:rPr>
              <w:t>případ</w:t>
            </w:r>
            <w:r w:rsidRPr="00D92E20">
              <w:rPr>
                <w:rFonts w:cs="Arial"/>
                <w:color w:val="000000"/>
                <w:sz w:val="16"/>
                <w:szCs w:val="16"/>
              </w:rPr>
              <w:t>ů</w:t>
            </w:r>
            <w:r w:rsidR="0070383F" w:rsidRPr="00D92E20">
              <w:rPr>
                <w:rFonts w:cs="Arial"/>
                <w:color w:val="000000"/>
                <w:sz w:val="16"/>
                <w:szCs w:val="16"/>
              </w:rPr>
              <w:t xml:space="preserve"> DPN</w:t>
            </w:r>
            <w:r w:rsidRPr="00D92E20">
              <w:rPr>
                <w:rFonts w:cs="Arial"/>
                <w:color w:val="000000"/>
                <w:sz w:val="16"/>
                <w:szCs w:val="16"/>
              </w:rPr>
              <w:t xml:space="preserve"> (tis.)</w:t>
            </w:r>
          </w:p>
        </w:tc>
        <w:tc>
          <w:tcPr>
            <w:tcW w:w="2721" w:type="dxa"/>
            <w:gridSpan w:val="3"/>
            <w:tcBorders>
              <w:top w:val="single" w:sz="4" w:space="0" w:color="auto"/>
              <w:left w:val="nil"/>
              <w:bottom w:val="single" w:sz="4" w:space="0" w:color="auto"/>
              <w:right w:val="nil"/>
            </w:tcBorders>
            <w:shd w:val="clear" w:color="000000" w:fill="F2DBDB"/>
            <w:vAlign w:val="center"/>
            <w:hideMark/>
          </w:tcPr>
          <w:p w14:paraId="670C3B66" w14:textId="6BF6617B" w:rsidR="0070383F" w:rsidRPr="00D92E20" w:rsidRDefault="0070383F" w:rsidP="009F67D0">
            <w:pPr>
              <w:spacing w:after="0" w:line="240" w:lineRule="auto"/>
              <w:jc w:val="center"/>
              <w:rPr>
                <w:rFonts w:cs="Arial"/>
                <w:color w:val="000000"/>
                <w:sz w:val="16"/>
                <w:szCs w:val="16"/>
              </w:rPr>
            </w:pPr>
            <w:r w:rsidRPr="00D92E20">
              <w:rPr>
                <w:rFonts w:cs="Arial"/>
                <w:color w:val="000000"/>
                <w:sz w:val="16"/>
                <w:szCs w:val="16"/>
              </w:rPr>
              <w:t>Průměrná délka trvání případu DPN ve dnech</w:t>
            </w:r>
          </w:p>
        </w:tc>
      </w:tr>
      <w:tr w:rsidR="00E371CF" w:rsidRPr="00D92E20" w14:paraId="47A6171E" w14:textId="77777777" w:rsidTr="00E371CF">
        <w:trPr>
          <w:trHeight w:val="300"/>
        </w:trPr>
        <w:tc>
          <w:tcPr>
            <w:tcW w:w="4195" w:type="dxa"/>
            <w:vMerge/>
            <w:tcBorders>
              <w:top w:val="single" w:sz="4" w:space="0" w:color="auto"/>
              <w:left w:val="nil"/>
              <w:bottom w:val="single" w:sz="4" w:space="0" w:color="000000"/>
              <w:right w:val="single" w:sz="4" w:space="0" w:color="auto"/>
            </w:tcBorders>
            <w:vAlign w:val="center"/>
            <w:hideMark/>
          </w:tcPr>
          <w:p w14:paraId="182C5DE4" w14:textId="77777777" w:rsidR="00E371CF" w:rsidRPr="00D92E20" w:rsidRDefault="00E371CF" w:rsidP="00EC21A5">
            <w:pPr>
              <w:spacing w:after="0" w:line="240" w:lineRule="auto"/>
              <w:rPr>
                <w:rFonts w:cs="Arial"/>
                <w:color w:val="000000"/>
                <w:sz w:val="16"/>
                <w:szCs w:val="16"/>
              </w:rPr>
            </w:pPr>
          </w:p>
        </w:tc>
        <w:tc>
          <w:tcPr>
            <w:tcW w:w="907" w:type="dxa"/>
            <w:vMerge w:val="restart"/>
            <w:tcBorders>
              <w:top w:val="nil"/>
              <w:left w:val="single" w:sz="4" w:space="0" w:color="auto"/>
              <w:bottom w:val="single" w:sz="4" w:space="0" w:color="000000"/>
              <w:right w:val="nil"/>
            </w:tcBorders>
            <w:shd w:val="clear" w:color="000000" w:fill="F2DBDB"/>
            <w:vAlign w:val="center"/>
            <w:hideMark/>
          </w:tcPr>
          <w:p w14:paraId="791AA979" w14:textId="77777777" w:rsidR="00E371CF" w:rsidRPr="00D92E20" w:rsidRDefault="00E371CF" w:rsidP="0070383F">
            <w:pPr>
              <w:spacing w:after="0" w:line="240" w:lineRule="auto"/>
              <w:jc w:val="center"/>
              <w:rPr>
                <w:rFonts w:cs="Arial"/>
                <w:b/>
                <w:bCs/>
                <w:color w:val="000000"/>
                <w:sz w:val="16"/>
                <w:szCs w:val="16"/>
              </w:rPr>
            </w:pPr>
            <w:r w:rsidRPr="00D92E20">
              <w:rPr>
                <w:rFonts w:cs="Arial"/>
                <w:b/>
                <w:bCs/>
                <w:color w:val="000000"/>
                <w:sz w:val="16"/>
                <w:szCs w:val="16"/>
              </w:rPr>
              <w:t>Celkem</w:t>
            </w:r>
          </w:p>
        </w:tc>
        <w:tc>
          <w:tcPr>
            <w:tcW w:w="1814" w:type="dxa"/>
            <w:gridSpan w:val="2"/>
            <w:tcBorders>
              <w:top w:val="single" w:sz="4" w:space="0" w:color="auto"/>
              <w:left w:val="single" w:sz="4" w:space="0" w:color="auto"/>
              <w:bottom w:val="single" w:sz="4" w:space="0" w:color="auto"/>
              <w:right w:val="single" w:sz="4" w:space="0" w:color="auto"/>
            </w:tcBorders>
            <w:shd w:val="clear" w:color="000000" w:fill="F2DBDB"/>
            <w:vAlign w:val="center"/>
            <w:hideMark/>
          </w:tcPr>
          <w:p w14:paraId="0EE48943" w14:textId="77777777" w:rsidR="00E371CF" w:rsidRPr="00D92E20" w:rsidRDefault="00E371CF" w:rsidP="0070383F">
            <w:pPr>
              <w:spacing w:after="0" w:line="240" w:lineRule="auto"/>
              <w:jc w:val="center"/>
              <w:rPr>
                <w:rFonts w:cs="Arial"/>
                <w:color w:val="000000"/>
                <w:sz w:val="16"/>
                <w:szCs w:val="16"/>
              </w:rPr>
            </w:pPr>
            <w:r w:rsidRPr="00D92E20">
              <w:rPr>
                <w:rFonts w:cs="Arial"/>
                <w:color w:val="000000"/>
                <w:sz w:val="16"/>
                <w:szCs w:val="16"/>
              </w:rPr>
              <w:t>podle pohlaví</w:t>
            </w:r>
          </w:p>
        </w:tc>
        <w:tc>
          <w:tcPr>
            <w:tcW w:w="907" w:type="dxa"/>
            <w:vMerge w:val="restart"/>
            <w:tcBorders>
              <w:top w:val="nil"/>
              <w:left w:val="single" w:sz="4" w:space="0" w:color="auto"/>
              <w:right w:val="nil"/>
            </w:tcBorders>
            <w:shd w:val="clear" w:color="000000" w:fill="F2DBDB"/>
            <w:vAlign w:val="center"/>
            <w:hideMark/>
          </w:tcPr>
          <w:p w14:paraId="70727E04" w14:textId="77777777" w:rsidR="00E371CF" w:rsidRPr="00D92E20" w:rsidRDefault="00E371CF" w:rsidP="0070383F">
            <w:pPr>
              <w:spacing w:after="0" w:line="240" w:lineRule="auto"/>
              <w:jc w:val="center"/>
              <w:rPr>
                <w:rFonts w:cs="Arial"/>
                <w:b/>
                <w:bCs/>
                <w:color w:val="000000"/>
                <w:sz w:val="16"/>
                <w:szCs w:val="16"/>
              </w:rPr>
            </w:pPr>
            <w:r w:rsidRPr="00D92E20">
              <w:rPr>
                <w:rFonts w:cs="Arial"/>
                <w:b/>
                <w:bCs/>
                <w:color w:val="000000"/>
                <w:sz w:val="16"/>
                <w:szCs w:val="16"/>
              </w:rPr>
              <w:t>Celkem</w:t>
            </w:r>
          </w:p>
        </w:tc>
        <w:tc>
          <w:tcPr>
            <w:tcW w:w="1814" w:type="dxa"/>
            <w:gridSpan w:val="2"/>
            <w:tcBorders>
              <w:top w:val="single" w:sz="4" w:space="0" w:color="auto"/>
              <w:left w:val="single" w:sz="4" w:space="0" w:color="auto"/>
              <w:bottom w:val="single" w:sz="4" w:space="0" w:color="auto"/>
            </w:tcBorders>
            <w:shd w:val="clear" w:color="000000" w:fill="F2DBDB"/>
            <w:vAlign w:val="center"/>
            <w:hideMark/>
          </w:tcPr>
          <w:p w14:paraId="735965DF" w14:textId="77777777" w:rsidR="00E371CF" w:rsidRPr="00D92E20" w:rsidRDefault="00E371CF" w:rsidP="0070383F">
            <w:pPr>
              <w:spacing w:after="0" w:line="240" w:lineRule="auto"/>
              <w:jc w:val="center"/>
              <w:rPr>
                <w:rFonts w:cs="Arial"/>
                <w:color w:val="000000"/>
                <w:sz w:val="16"/>
                <w:szCs w:val="16"/>
              </w:rPr>
            </w:pPr>
            <w:r w:rsidRPr="00D92E20">
              <w:rPr>
                <w:rFonts w:cs="Arial"/>
                <w:color w:val="000000"/>
                <w:sz w:val="16"/>
                <w:szCs w:val="16"/>
              </w:rPr>
              <w:t>podle pohlaví</w:t>
            </w:r>
          </w:p>
        </w:tc>
      </w:tr>
      <w:tr w:rsidR="00E371CF" w:rsidRPr="00D92E20" w14:paraId="5E18F793" w14:textId="77777777" w:rsidTr="00E371CF">
        <w:trPr>
          <w:trHeight w:val="300"/>
        </w:trPr>
        <w:tc>
          <w:tcPr>
            <w:tcW w:w="4195" w:type="dxa"/>
            <w:vMerge/>
            <w:tcBorders>
              <w:top w:val="single" w:sz="4" w:space="0" w:color="auto"/>
              <w:left w:val="nil"/>
              <w:bottom w:val="single" w:sz="4" w:space="0" w:color="000000"/>
              <w:right w:val="single" w:sz="4" w:space="0" w:color="auto"/>
            </w:tcBorders>
            <w:vAlign w:val="center"/>
            <w:hideMark/>
          </w:tcPr>
          <w:p w14:paraId="49D1C485" w14:textId="77777777" w:rsidR="00E371CF" w:rsidRPr="00D92E20" w:rsidRDefault="00E371CF" w:rsidP="00EC21A5">
            <w:pPr>
              <w:spacing w:after="0" w:line="240" w:lineRule="auto"/>
              <w:rPr>
                <w:rFonts w:cs="Arial"/>
                <w:color w:val="000000"/>
                <w:sz w:val="16"/>
                <w:szCs w:val="16"/>
              </w:rPr>
            </w:pPr>
          </w:p>
        </w:tc>
        <w:tc>
          <w:tcPr>
            <w:tcW w:w="907" w:type="dxa"/>
            <w:vMerge/>
            <w:tcBorders>
              <w:top w:val="nil"/>
              <w:left w:val="single" w:sz="4" w:space="0" w:color="auto"/>
              <w:bottom w:val="single" w:sz="4" w:space="0" w:color="000000"/>
              <w:right w:val="nil"/>
            </w:tcBorders>
            <w:vAlign w:val="center"/>
            <w:hideMark/>
          </w:tcPr>
          <w:p w14:paraId="0F6D0E5E" w14:textId="77777777" w:rsidR="00E371CF" w:rsidRPr="00D92E20" w:rsidRDefault="00E371CF" w:rsidP="0070383F">
            <w:pPr>
              <w:spacing w:after="0" w:line="240" w:lineRule="auto"/>
              <w:rPr>
                <w:rFonts w:cs="Arial"/>
                <w:b/>
                <w:bCs/>
                <w:color w:val="000000"/>
                <w:sz w:val="16"/>
                <w:szCs w:val="16"/>
              </w:rPr>
            </w:pPr>
          </w:p>
        </w:tc>
        <w:tc>
          <w:tcPr>
            <w:tcW w:w="907" w:type="dxa"/>
            <w:tcBorders>
              <w:top w:val="nil"/>
              <w:left w:val="single" w:sz="4" w:space="0" w:color="auto"/>
              <w:bottom w:val="single" w:sz="4" w:space="0" w:color="auto"/>
              <w:right w:val="single" w:sz="4" w:space="0" w:color="auto"/>
            </w:tcBorders>
            <w:shd w:val="clear" w:color="000000" w:fill="F2DBDB"/>
            <w:vAlign w:val="center"/>
            <w:hideMark/>
          </w:tcPr>
          <w:p w14:paraId="65CCDCC6" w14:textId="77777777" w:rsidR="00E371CF" w:rsidRPr="00D92E20" w:rsidRDefault="00E371CF" w:rsidP="0070383F">
            <w:pPr>
              <w:spacing w:after="0" w:line="240" w:lineRule="auto"/>
              <w:jc w:val="center"/>
              <w:rPr>
                <w:rFonts w:cs="Arial"/>
                <w:color w:val="000000"/>
                <w:sz w:val="16"/>
                <w:szCs w:val="16"/>
              </w:rPr>
            </w:pPr>
            <w:r w:rsidRPr="00D92E20">
              <w:rPr>
                <w:rFonts w:cs="Arial"/>
                <w:color w:val="000000"/>
                <w:sz w:val="16"/>
                <w:szCs w:val="16"/>
              </w:rPr>
              <w:t>muži</w:t>
            </w:r>
          </w:p>
        </w:tc>
        <w:tc>
          <w:tcPr>
            <w:tcW w:w="907" w:type="dxa"/>
            <w:tcBorders>
              <w:top w:val="nil"/>
              <w:left w:val="nil"/>
              <w:bottom w:val="single" w:sz="4" w:space="0" w:color="auto"/>
              <w:right w:val="single" w:sz="4" w:space="0" w:color="auto"/>
            </w:tcBorders>
            <w:shd w:val="clear" w:color="000000" w:fill="F2DBDB"/>
            <w:vAlign w:val="center"/>
            <w:hideMark/>
          </w:tcPr>
          <w:p w14:paraId="7F3E93B5" w14:textId="77777777" w:rsidR="00E371CF" w:rsidRPr="00D92E20" w:rsidRDefault="00E371CF" w:rsidP="0070383F">
            <w:pPr>
              <w:spacing w:after="0" w:line="240" w:lineRule="auto"/>
              <w:jc w:val="center"/>
              <w:rPr>
                <w:rFonts w:cs="Arial"/>
                <w:color w:val="000000"/>
                <w:sz w:val="16"/>
                <w:szCs w:val="16"/>
              </w:rPr>
            </w:pPr>
            <w:r w:rsidRPr="00D92E20">
              <w:rPr>
                <w:rFonts w:cs="Arial"/>
                <w:color w:val="000000"/>
                <w:sz w:val="16"/>
                <w:szCs w:val="16"/>
              </w:rPr>
              <w:t>ženy</w:t>
            </w:r>
          </w:p>
        </w:tc>
        <w:tc>
          <w:tcPr>
            <w:tcW w:w="907" w:type="dxa"/>
            <w:vMerge/>
            <w:tcBorders>
              <w:left w:val="single" w:sz="4" w:space="0" w:color="auto"/>
              <w:bottom w:val="single" w:sz="4" w:space="0" w:color="000000"/>
              <w:right w:val="nil"/>
            </w:tcBorders>
            <w:vAlign w:val="center"/>
            <w:hideMark/>
          </w:tcPr>
          <w:p w14:paraId="1EB589A8" w14:textId="77777777" w:rsidR="00E371CF" w:rsidRPr="00D92E20" w:rsidRDefault="00E371CF" w:rsidP="0070383F">
            <w:pPr>
              <w:spacing w:after="0" w:line="240" w:lineRule="auto"/>
              <w:rPr>
                <w:rFonts w:cs="Arial"/>
                <w:b/>
                <w:bCs/>
                <w:color w:val="000000"/>
                <w:sz w:val="16"/>
                <w:szCs w:val="16"/>
              </w:rPr>
            </w:pPr>
          </w:p>
        </w:tc>
        <w:tc>
          <w:tcPr>
            <w:tcW w:w="907" w:type="dxa"/>
            <w:tcBorders>
              <w:top w:val="nil"/>
              <w:left w:val="single" w:sz="4" w:space="0" w:color="auto"/>
              <w:bottom w:val="single" w:sz="4" w:space="0" w:color="auto"/>
              <w:right w:val="single" w:sz="4" w:space="0" w:color="auto"/>
            </w:tcBorders>
            <w:shd w:val="clear" w:color="000000" w:fill="F2DBDB"/>
            <w:vAlign w:val="center"/>
            <w:hideMark/>
          </w:tcPr>
          <w:p w14:paraId="356EB219" w14:textId="77777777" w:rsidR="00E371CF" w:rsidRPr="00D92E20" w:rsidRDefault="00E371CF" w:rsidP="0070383F">
            <w:pPr>
              <w:spacing w:after="0" w:line="240" w:lineRule="auto"/>
              <w:jc w:val="center"/>
              <w:rPr>
                <w:rFonts w:cs="Arial"/>
                <w:color w:val="000000"/>
                <w:sz w:val="16"/>
                <w:szCs w:val="16"/>
              </w:rPr>
            </w:pPr>
            <w:r w:rsidRPr="00D92E20">
              <w:rPr>
                <w:rFonts w:cs="Arial"/>
                <w:color w:val="000000"/>
                <w:sz w:val="16"/>
                <w:szCs w:val="16"/>
              </w:rPr>
              <w:t>muži</w:t>
            </w:r>
          </w:p>
        </w:tc>
        <w:tc>
          <w:tcPr>
            <w:tcW w:w="907" w:type="dxa"/>
            <w:tcBorders>
              <w:top w:val="nil"/>
              <w:left w:val="nil"/>
              <w:bottom w:val="single" w:sz="4" w:space="0" w:color="auto"/>
              <w:right w:val="nil"/>
            </w:tcBorders>
            <w:shd w:val="clear" w:color="000000" w:fill="F2DBDB"/>
            <w:vAlign w:val="center"/>
            <w:hideMark/>
          </w:tcPr>
          <w:p w14:paraId="72B3282B" w14:textId="77777777" w:rsidR="00E371CF" w:rsidRPr="00D92E20" w:rsidRDefault="00E371CF" w:rsidP="0070383F">
            <w:pPr>
              <w:spacing w:after="0" w:line="240" w:lineRule="auto"/>
              <w:jc w:val="center"/>
              <w:rPr>
                <w:rFonts w:cs="Arial"/>
                <w:color w:val="000000"/>
                <w:sz w:val="16"/>
                <w:szCs w:val="16"/>
              </w:rPr>
            </w:pPr>
            <w:r w:rsidRPr="00D92E20">
              <w:rPr>
                <w:rFonts w:cs="Arial"/>
                <w:color w:val="000000"/>
                <w:sz w:val="16"/>
                <w:szCs w:val="16"/>
              </w:rPr>
              <w:t>ženy</w:t>
            </w:r>
          </w:p>
        </w:tc>
      </w:tr>
      <w:tr w:rsidR="00736595" w:rsidRPr="00D92E20" w14:paraId="0611A931" w14:textId="77777777" w:rsidTr="00E371CF">
        <w:trPr>
          <w:trHeight w:val="300"/>
        </w:trPr>
        <w:tc>
          <w:tcPr>
            <w:tcW w:w="4195" w:type="dxa"/>
            <w:tcBorders>
              <w:top w:val="nil"/>
              <w:left w:val="nil"/>
              <w:bottom w:val="nil"/>
              <w:right w:val="nil"/>
            </w:tcBorders>
            <w:shd w:val="clear" w:color="auto" w:fill="auto"/>
            <w:noWrap/>
            <w:vAlign w:val="center"/>
            <w:hideMark/>
          </w:tcPr>
          <w:p w14:paraId="7EDEA946" w14:textId="254B5D1A" w:rsidR="00736595" w:rsidRPr="00D92E20" w:rsidRDefault="00736595" w:rsidP="00736595">
            <w:pPr>
              <w:spacing w:after="0" w:line="240" w:lineRule="auto"/>
              <w:rPr>
                <w:rFonts w:cs="Arial"/>
                <w:b/>
                <w:bCs/>
                <w:color w:val="000000"/>
                <w:sz w:val="16"/>
                <w:szCs w:val="16"/>
              </w:rPr>
            </w:pPr>
            <w:r>
              <w:rPr>
                <w:rFonts w:cs="Arial"/>
                <w:b/>
                <w:bCs/>
                <w:sz w:val="16"/>
                <w:szCs w:val="16"/>
              </w:rPr>
              <w:t>Celkem</w:t>
            </w:r>
          </w:p>
        </w:tc>
        <w:tc>
          <w:tcPr>
            <w:tcW w:w="907" w:type="dxa"/>
            <w:tcBorders>
              <w:top w:val="nil"/>
              <w:left w:val="single" w:sz="4" w:space="0" w:color="auto"/>
              <w:bottom w:val="nil"/>
              <w:right w:val="nil"/>
            </w:tcBorders>
            <w:shd w:val="clear" w:color="auto" w:fill="auto"/>
            <w:noWrap/>
            <w:vAlign w:val="center"/>
            <w:hideMark/>
          </w:tcPr>
          <w:p w14:paraId="3F10F1B1" w14:textId="2B8A1AB7" w:rsidR="00736595" w:rsidRPr="00D92E20" w:rsidRDefault="00736595" w:rsidP="00736595">
            <w:pPr>
              <w:spacing w:after="0" w:line="240" w:lineRule="auto"/>
              <w:jc w:val="right"/>
              <w:rPr>
                <w:rFonts w:cs="Arial"/>
                <w:b/>
                <w:bCs/>
                <w:color w:val="000000"/>
                <w:sz w:val="16"/>
                <w:szCs w:val="16"/>
              </w:rPr>
            </w:pPr>
            <w:r>
              <w:rPr>
                <w:rFonts w:cs="Arial"/>
                <w:b/>
                <w:bCs/>
                <w:color w:val="000000"/>
                <w:sz w:val="16"/>
                <w:szCs w:val="16"/>
              </w:rPr>
              <w:t>2 082,3</w:t>
            </w:r>
          </w:p>
        </w:tc>
        <w:tc>
          <w:tcPr>
            <w:tcW w:w="907" w:type="dxa"/>
            <w:tcBorders>
              <w:top w:val="nil"/>
              <w:left w:val="nil"/>
              <w:bottom w:val="nil"/>
              <w:right w:val="nil"/>
            </w:tcBorders>
            <w:shd w:val="clear" w:color="auto" w:fill="auto"/>
            <w:noWrap/>
            <w:vAlign w:val="center"/>
            <w:hideMark/>
          </w:tcPr>
          <w:p w14:paraId="0814F888" w14:textId="7D7156F3" w:rsidR="00736595" w:rsidRPr="00D92E20" w:rsidRDefault="00736595" w:rsidP="00736595">
            <w:pPr>
              <w:spacing w:after="0" w:line="240" w:lineRule="auto"/>
              <w:jc w:val="right"/>
              <w:rPr>
                <w:rFonts w:cs="Arial"/>
                <w:b/>
                <w:bCs/>
                <w:color w:val="000000"/>
                <w:sz w:val="16"/>
                <w:szCs w:val="16"/>
              </w:rPr>
            </w:pPr>
            <w:r>
              <w:rPr>
                <w:rFonts w:cs="Arial"/>
                <w:b/>
                <w:bCs/>
                <w:color w:val="000000"/>
                <w:sz w:val="16"/>
                <w:szCs w:val="16"/>
              </w:rPr>
              <w:t>959,6</w:t>
            </w:r>
          </w:p>
        </w:tc>
        <w:tc>
          <w:tcPr>
            <w:tcW w:w="907" w:type="dxa"/>
            <w:tcBorders>
              <w:top w:val="nil"/>
              <w:left w:val="nil"/>
              <w:bottom w:val="nil"/>
              <w:right w:val="single" w:sz="4" w:space="0" w:color="auto"/>
            </w:tcBorders>
            <w:shd w:val="clear" w:color="auto" w:fill="auto"/>
            <w:noWrap/>
            <w:vAlign w:val="center"/>
            <w:hideMark/>
          </w:tcPr>
          <w:p w14:paraId="278F3C18" w14:textId="25A84FAD" w:rsidR="00736595" w:rsidRPr="00D92E20" w:rsidRDefault="00736595" w:rsidP="00736595">
            <w:pPr>
              <w:spacing w:after="0" w:line="240" w:lineRule="auto"/>
              <w:jc w:val="right"/>
              <w:rPr>
                <w:rFonts w:cs="Arial"/>
                <w:b/>
                <w:bCs/>
                <w:color w:val="000000"/>
                <w:sz w:val="16"/>
                <w:szCs w:val="16"/>
              </w:rPr>
            </w:pPr>
            <w:r>
              <w:rPr>
                <w:rFonts w:cs="Arial"/>
                <w:b/>
                <w:bCs/>
                <w:color w:val="000000"/>
                <w:sz w:val="16"/>
                <w:szCs w:val="16"/>
              </w:rPr>
              <w:t>1 122,8</w:t>
            </w:r>
          </w:p>
        </w:tc>
        <w:tc>
          <w:tcPr>
            <w:tcW w:w="907" w:type="dxa"/>
            <w:tcBorders>
              <w:top w:val="nil"/>
              <w:left w:val="nil"/>
              <w:bottom w:val="nil"/>
              <w:right w:val="nil"/>
            </w:tcBorders>
            <w:shd w:val="clear" w:color="auto" w:fill="auto"/>
            <w:noWrap/>
            <w:vAlign w:val="center"/>
            <w:hideMark/>
          </w:tcPr>
          <w:p w14:paraId="3D013185" w14:textId="796B8AEC" w:rsidR="00736595" w:rsidRPr="00D92E20" w:rsidRDefault="00736595" w:rsidP="00736595">
            <w:pPr>
              <w:spacing w:after="0" w:line="240" w:lineRule="auto"/>
              <w:jc w:val="right"/>
              <w:rPr>
                <w:rFonts w:cs="Arial"/>
                <w:b/>
                <w:bCs/>
                <w:color w:val="000000"/>
                <w:sz w:val="16"/>
                <w:szCs w:val="16"/>
              </w:rPr>
            </w:pPr>
            <w:r>
              <w:rPr>
                <w:rFonts w:cs="Arial"/>
                <w:b/>
                <w:bCs/>
                <w:color w:val="000000"/>
                <w:sz w:val="16"/>
                <w:szCs w:val="16"/>
              </w:rPr>
              <w:t>24,8</w:t>
            </w:r>
          </w:p>
        </w:tc>
        <w:tc>
          <w:tcPr>
            <w:tcW w:w="907" w:type="dxa"/>
            <w:tcBorders>
              <w:top w:val="nil"/>
              <w:left w:val="nil"/>
              <w:bottom w:val="nil"/>
              <w:right w:val="nil"/>
            </w:tcBorders>
            <w:shd w:val="clear" w:color="auto" w:fill="auto"/>
            <w:noWrap/>
            <w:vAlign w:val="center"/>
            <w:hideMark/>
          </w:tcPr>
          <w:p w14:paraId="71D59C1F" w14:textId="57EAE27D" w:rsidR="00736595" w:rsidRPr="00D92E20" w:rsidRDefault="00736595" w:rsidP="00736595">
            <w:pPr>
              <w:spacing w:after="0" w:line="240" w:lineRule="auto"/>
              <w:jc w:val="right"/>
              <w:rPr>
                <w:rFonts w:cs="Arial"/>
                <w:b/>
                <w:bCs/>
                <w:color w:val="000000"/>
                <w:sz w:val="16"/>
                <w:szCs w:val="16"/>
              </w:rPr>
            </w:pPr>
            <w:r>
              <w:rPr>
                <w:rFonts w:cs="Arial"/>
                <w:b/>
                <w:bCs/>
                <w:color w:val="000000"/>
                <w:sz w:val="16"/>
                <w:szCs w:val="16"/>
              </w:rPr>
              <w:t>24,3</w:t>
            </w:r>
          </w:p>
        </w:tc>
        <w:tc>
          <w:tcPr>
            <w:tcW w:w="907" w:type="dxa"/>
            <w:tcBorders>
              <w:top w:val="nil"/>
              <w:left w:val="nil"/>
              <w:bottom w:val="nil"/>
              <w:right w:val="nil"/>
            </w:tcBorders>
            <w:shd w:val="clear" w:color="auto" w:fill="auto"/>
            <w:noWrap/>
            <w:vAlign w:val="center"/>
            <w:hideMark/>
          </w:tcPr>
          <w:p w14:paraId="2AD3452D" w14:textId="387967CE" w:rsidR="00736595" w:rsidRPr="00D92E20" w:rsidRDefault="00736595" w:rsidP="00736595">
            <w:pPr>
              <w:spacing w:after="0" w:line="240" w:lineRule="auto"/>
              <w:jc w:val="right"/>
              <w:rPr>
                <w:rFonts w:cs="Arial"/>
                <w:b/>
                <w:bCs/>
                <w:color w:val="000000"/>
                <w:sz w:val="16"/>
                <w:szCs w:val="16"/>
              </w:rPr>
            </w:pPr>
            <w:r>
              <w:rPr>
                <w:rFonts w:cs="Arial"/>
                <w:b/>
                <w:bCs/>
                <w:color w:val="000000"/>
                <w:sz w:val="16"/>
                <w:szCs w:val="16"/>
              </w:rPr>
              <w:t>25,1</w:t>
            </w:r>
          </w:p>
        </w:tc>
      </w:tr>
      <w:tr w:rsidR="00736595" w:rsidRPr="00D92E20" w14:paraId="7E435868" w14:textId="77777777" w:rsidTr="00E371CF">
        <w:trPr>
          <w:trHeight w:val="300"/>
        </w:trPr>
        <w:tc>
          <w:tcPr>
            <w:tcW w:w="4195" w:type="dxa"/>
            <w:tcBorders>
              <w:top w:val="nil"/>
              <w:left w:val="nil"/>
              <w:bottom w:val="nil"/>
              <w:right w:val="nil"/>
            </w:tcBorders>
            <w:shd w:val="clear" w:color="auto" w:fill="auto"/>
            <w:noWrap/>
            <w:vAlign w:val="center"/>
            <w:hideMark/>
          </w:tcPr>
          <w:p w14:paraId="6E94681B" w14:textId="3C24BBE9" w:rsidR="00736595" w:rsidRPr="00D92E20" w:rsidRDefault="00736595" w:rsidP="00736595">
            <w:pPr>
              <w:spacing w:after="0" w:line="240" w:lineRule="auto"/>
              <w:ind w:firstLineChars="100" w:firstLine="160"/>
              <w:rPr>
                <w:rFonts w:cs="Arial"/>
                <w:color w:val="000000"/>
                <w:sz w:val="16"/>
                <w:szCs w:val="16"/>
              </w:rPr>
            </w:pPr>
            <w:r>
              <w:rPr>
                <w:rFonts w:cs="Arial"/>
                <w:sz w:val="16"/>
                <w:szCs w:val="16"/>
              </w:rPr>
              <w:t xml:space="preserve">   Tuberkulóza</w:t>
            </w:r>
          </w:p>
        </w:tc>
        <w:tc>
          <w:tcPr>
            <w:tcW w:w="907" w:type="dxa"/>
            <w:tcBorders>
              <w:top w:val="nil"/>
              <w:left w:val="single" w:sz="4" w:space="0" w:color="auto"/>
              <w:bottom w:val="nil"/>
              <w:right w:val="nil"/>
            </w:tcBorders>
            <w:shd w:val="clear" w:color="auto" w:fill="auto"/>
            <w:noWrap/>
            <w:vAlign w:val="center"/>
            <w:hideMark/>
          </w:tcPr>
          <w:p w14:paraId="4E6AD390" w14:textId="46F7E991" w:rsidR="00736595" w:rsidRPr="00D92E20" w:rsidRDefault="00736595" w:rsidP="00736595">
            <w:pPr>
              <w:spacing w:after="0" w:line="240" w:lineRule="auto"/>
              <w:jc w:val="right"/>
              <w:rPr>
                <w:rFonts w:cs="Arial"/>
                <w:color w:val="000000"/>
                <w:sz w:val="16"/>
                <w:szCs w:val="16"/>
              </w:rPr>
            </w:pPr>
            <w:r>
              <w:rPr>
                <w:rFonts w:cs="Arial"/>
                <w:color w:val="000000"/>
                <w:sz w:val="16"/>
                <w:szCs w:val="16"/>
              </w:rPr>
              <w:t>0,0</w:t>
            </w:r>
          </w:p>
        </w:tc>
        <w:tc>
          <w:tcPr>
            <w:tcW w:w="907" w:type="dxa"/>
            <w:tcBorders>
              <w:top w:val="nil"/>
              <w:left w:val="nil"/>
              <w:bottom w:val="nil"/>
              <w:right w:val="nil"/>
            </w:tcBorders>
            <w:shd w:val="clear" w:color="auto" w:fill="auto"/>
            <w:noWrap/>
            <w:vAlign w:val="center"/>
            <w:hideMark/>
          </w:tcPr>
          <w:p w14:paraId="7343099C" w14:textId="2D3F868D" w:rsidR="00736595" w:rsidRPr="00D92E20" w:rsidRDefault="00736595" w:rsidP="00736595">
            <w:pPr>
              <w:spacing w:after="0" w:line="240" w:lineRule="auto"/>
              <w:jc w:val="right"/>
              <w:rPr>
                <w:rFonts w:cs="Arial"/>
                <w:color w:val="000000"/>
                <w:sz w:val="16"/>
                <w:szCs w:val="16"/>
              </w:rPr>
            </w:pPr>
            <w:r>
              <w:rPr>
                <w:rFonts w:cs="Arial"/>
                <w:color w:val="000000"/>
                <w:sz w:val="16"/>
                <w:szCs w:val="16"/>
              </w:rPr>
              <w:t>0,0</w:t>
            </w:r>
          </w:p>
        </w:tc>
        <w:tc>
          <w:tcPr>
            <w:tcW w:w="907" w:type="dxa"/>
            <w:tcBorders>
              <w:top w:val="nil"/>
              <w:left w:val="nil"/>
              <w:bottom w:val="nil"/>
              <w:right w:val="single" w:sz="4" w:space="0" w:color="auto"/>
            </w:tcBorders>
            <w:shd w:val="clear" w:color="auto" w:fill="auto"/>
            <w:noWrap/>
            <w:vAlign w:val="center"/>
            <w:hideMark/>
          </w:tcPr>
          <w:p w14:paraId="6DD49EC1" w14:textId="67AB85AA" w:rsidR="00736595" w:rsidRPr="00D92E20" w:rsidRDefault="00736595" w:rsidP="00736595">
            <w:pPr>
              <w:spacing w:after="0" w:line="240" w:lineRule="auto"/>
              <w:jc w:val="right"/>
              <w:rPr>
                <w:rFonts w:cs="Arial"/>
                <w:color w:val="000000"/>
                <w:sz w:val="16"/>
                <w:szCs w:val="16"/>
              </w:rPr>
            </w:pPr>
            <w:r>
              <w:rPr>
                <w:rFonts w:cs="Arial"/>
                <w:color w:val="000000"/>
                <w:sz w:val="16"/>
                <w:szCs w:val="16"/>
              </w:rPr>
              <w:t>0,0</w:t>
            </w:r>
          </w:p>
        </w:tc>
        <w:tc>
          <w:tcPr>
            <w:tcW w:w="907" w:type="dxa"/>
            <w:tcBorders>
              <w:top w:val="nil"/>
              <w:left w:val="nil"/>
              <w:bottom w:val="nil"/>
              <w:right w:val="nil"/>
            </w:tcBorders>
            <w:shd w:val="clear" w:color="auto" w:fill="auto"/>
            <w:noWrap/>
            <w:vAlign w:val="center"/>
            <w:hideMark/>
          </w:tcPr>
          <w:p w14:paraId="10DB4056" w14:textId="6DCAAA62" w:rsidR="00736595" w:rsidRPr="00D92E20" w:rsidRDefault="00736595" w:rsidP="00736595">
            <w:pPr>
              <w:spacing w:after="0" w:line="240" w:lineRule="auto"/>
              <w:jc w:val="right"/>
              <w:rPr>
                <w:rFonts w:cs="Arial"/>
                <w:color w:val="000000"/>
                <w:sz w:val="16"/>
                <w:szCs w:val="16"/>
              </w:rPr>
            </w:pPr>
            <w:r>
              <w:rPr>
                <w:rFonts w:cs="Arial"/>
                <w:color w:val="000000"/>
                <w:sz w:val="16"/>
                <w:szCs w:val="16"/>
              </w:rPr>
              <w:t>206,6</w:t>
            </w:r>
          </w:p>
        </w:tc>
        <w:tc>
          <w:tcPr>
            <w:tcW w:w="907" w:type="dxa"/>
            <w:tcBorders>
              <w:top w:val="nil"/>
              <w:left w:val="nil"/>
              <w:bottom w:val="nil"/>
              <w:right w:val="nil"/>
            </w:tcBorders>
            <w:shd w:val="clear" w:color="auto" w:fill="auto"/>
            <w:noWrap/>
            <w:vAlign w:val="center"/>
            <w:hideMark/>
          </w:tcPr>
          <w:p w14:paraId="463FDE36" w14:textId="3A14FABD" w:rsidR="00736595" w:rsidRPr="00D92E20" w:rsidRDefault="00736595" w:rsidP="00736595">
            <w:pPr>
              <w:spacing w:after="0" w:line="240" w:lineRule="auto"/>
              <w:jc w:val="right"/>
              <w:rPr>
                <w:rFonts w:cs="Arial"/>
                <w:color w:val="000000"/>
                <w:sz w:val="16"/>
                <w:szCs w:val="16"/>
              </w:rPr>
            </w:pPr>
            <w:r>
              <w:rPr>
                <w:rFonts w:cs="Arial"/>
                <w:color w:val="000000"/>
                <w:sz w:val="16"/>
                <w:szCs w:val="16"/>
              </w:rPr>
              <w:t>198,2</w:t>
            </w:r>
          </w:p>
        </w:tc>
        <w:tc>
          <w:tcPr>
            <w:tcW w:w="907" w:type="dxa"/>
            <w:tcBorders>
              <w:top w:val="nil"/>
              <w:left w:val="nil"/>
              <w:bottom w:val="nil"/>
              <w:right w:val="nil"/>
            </w:tcBorders>
            <w:shd w:val="clear" w:color="auto" w:fill="auto"/>
            <w:noWrap/>
            <w:vAlign w:val="center"/>
            <w:hideMark/>
          </w:tcPr>
          <w:p w14:paraId="1B3C9596" w14:textId="318AB2FA" w:rsidR="00736595" w:rsidRPr="00D92E20" w:rsidRDefault="00736595" w:rsidP="00736595">
            <w:pPr>
              <w:spacing w:after="0" w:line="240" w:lineRule="auto"/>
              <w:jc w:val="right"/>
              <w:rPr>
                <w:rFonts w:cs="Arial"/>
                <w:color w:val="000000"/>
                <w:sz w:val="16"/>
                <w:szCs w:val="16"/>
              </w:rPr>
            </w:pPr>
            <w:r>
              <w:rPr>
                <w:rFonts w:cs="Arial"/>
                <w:color w:val="000000"/>
                <w:sz w:val="16"/>
                <w:szCs w:val="16"/>
              </w:rPr>
              <w:t>218,9</w:t>
            </w:r>
          </w:p>
        </w:tc>
      </w:tr>
      <w:tr w:rsidR="00736595" w:rsidRPr="00D92E20" w14:paraId="63580BE6" w14:textId="77777777" w:rsidTr="00E371CF">
        <w:trPr>
          <w:trHeight w:val="300"/>
        </w:trPr>
        <w:tc>
          <w:tcPr>
            <w:tcW w:w="4195" w:type="dxa"/>
            <w:tcBorders>
              <w:top w:val="nil"/>
              <w:left w:val="nil"/>
              <w:bottom w:val="nil"/>
              <w:right w:val="nil"/>
            </w:tcBorders>
            <w:shd w:val="clear" w:color="auto" w:fill="auto"/>
            <w:noWrap/>
            <w:vAlign w:val="center"/>
            <w:hideMark/>
          </w:tcPr>
          <w:p w14:paraId="78A38178" w14:textId="338568CC" w:rsidR="00736595" w:rsidRPr="00D92E20" w:rsidRDefault="00736595" w:rsidP="00736595">
            <w:pPr>
              <w:spacing w:after="0" w:line="240" w:lineRule="auto"/>
              <w:ind w:firstLineChars="100" w:firstLine="160"/>
              <w:rPr>
                <w:rFonts w:cs="Arial"/>
                <w:color w:val="000000"/>
                <w:sz w:val="16"/>
                <w:szCs w:val="16"/>
              </w:rPr>
            </w:pPr>
            <w:r>
              <w:rPr>
                <w:rFonts w:cs="Arial"/>
                <w:sz w:val="16"/>
                <w:szCs w:val="16"/>
              </w:rPr>
              <w:t xml:space="preserve">   Zhoubné novotvary</w:t>
            </w:r>
          </w:p>
        </w:tc>
        <w:tc>
          <w:tcPr>
            <w:tcW w:w="907" w:type="dxa"/>
            <w:tcBorders>
              <w:top w:val="nil"/>
              <w:left w:val="single" w:sz="4" w:space="0" w:color="auto"/>
              <w:bottom w:val="nil"/>
              <w:right w:val="nil"/>
            </w:tcBorders>
            <w:shd w:val="clear" w:color="auto" w:fill="auto"/>
            <w:noWrap/>
            <w:vAlign w:val="center"/>
            <w:hideMark/>
          </w:tcPr>
          <w:p w14:paraId="33AAC3D1" w14:textId="0B723008" w:rsidR="00736595" w:rsidRPr="00D92E20" w:rsidRDefault="00736595" w:rsidP="00736595">
            <w:pPr>
              <w:spacing w:after="0" w:line="240" w:lineRule="auto"/>
              <w:jc w:val="right"/>
              <w:rPr>
                <w:rFonts w:cs="Arial"/>
                <w:color w:val="000000"/>
                <w:sz w:val="16"/>
                <w:szCs w:val="16"/>
              </w:rPr>
            </w:pPr>
            <w:r>
              <w:rPr>
                <w:rFonts w:cs="Arial"/>
                <w:color w:val="000000"/>
                <w:sz w:val="16"/>
                <w:szCs w:val="16"/>
              </w:rPr>
              <w:t>8,1</w:t>
            </w:r>
          </w:p>
        </w:tc>
        <w:tc>
          <w:tcPr>
            <w:tcW w:w="907" w:type="dxa"/>
            <w:tcBorders>
              <w:top w:val="nil"/>
              <w:left w:val="nil"/>
              <w:bottom w:val="nil"/>
              <w:right w:val="nil"/>
            </w:tcBorders>
            <w:shd w:val="clear" w:color="auto" w:fill="auto"/>
            <w:noWrap/>
            <w:vAlign w:val="center"/>
            <w:hideMark/>
          </w:tcPr>
          <w:p w14:paraId="39270011" w14:textId="17C8B1C5" w:rsidR="00736595" w:rsidRPr="00D92E20" w:rsidRDefault="00736595" w:rsidP="00736595">
            <w:pPr>
              <w:spacing w:after="0" w:line="240" w:lineRule="auto"/>
              <w:jc w:val="right"/>
              <w:rPr>
                <w:rFonts w:cs="Arial"/>
                <w:color w:val="000000"/>
                <w:sz w:val="16"/>
                <w:szCs w:val="16"/>
              </w:rPr>
            </w:pPr>
            <w:r>
              <w:rPr>
                <w:rFonts w:cs="Arial"/>
                <w:color w:val="000000"/>
                <w:sz w:val="16"/>
                <w:szCs w:val="16"/>
              </w:rPr>
              <w:t>3,7</w:t>
            </w:r>
          </w:p>
        </w:tc>
        <w:tc>
          <w:tcPr>
            <w:tcW w:w="907" w:type="dxa"/>
            <w:tcBorders>
              <w:top w:val="nil"/>
              <w:left w:val="nil"/>
              <w:bottom w:val="nil"/>
              <w:right w:val="single" w:sz="4" w:space="0" w:color="auto"/>
            </w:tcBorders>
            <w:shd w:val="clear" w:color="auto" w:fill="auto"/>
            <w:noWrap/>
            <w:vAlign w:val="center"/>
            <w:hideMark/>
          </w:tcPr>
          <w:p w14:paraId="283A6F88" w14:textId="261DAE85" w:rsidR="00736595" w:rsidRPr="00D92E20" w:rsidRDefault="00736595" w:rsidP="00736595">
            <w:pPr>
              <w:spacing w:after="0" w:line="240" w:lineRule="auto"/>
              <w:jc w:val="right"/>
              <w:rPr>
                <w:rFonts w:cs="Arial"/>
                <w:color w:val="000000"/>
                <w:sz w:val="16"/>
                <w:szCs w:val="16"/>
              </w:rPr>
            </w:pPr>
            <w:r>
              <w:rPr>
                <w:rFonts w:cs="Arial"/>
                <w:color w:val="000000"/>
                <w:sz w:val="16"/>
                <w:szCs w:val="16"/>
              </w:rPr>
              <w:t>4,4</w:t>
            </w:r>
          </w:p>
        </w:tc>
        <w:tc>
          <w:tcPr>
            <w:tcW w:w="907" w:type="dxa"/>
            <w:tcBorders>
              <w:top w:val="nil"/>
              <w:left w:val="nil"/>
              <w:bottom w:val="nil"/>
              <w:right w:val="nil"/>
            </w:tcBorders>
            <w:shd w:val="clear" w:color="auto" w:fill="auto"/>
            <w:noWrap/>
            <w:vAlign w:val="center"/>
            <w:hideMark/>
          </w:tcPr>
          <w:p w14:paraId="64D588B3" w14:textId="7B0D861B" w:rsidR="00736595" w:rsidRPr="00D92E20" w:rsidRDefault="00736595" w:rsidP="00736595">
            <w:pPr>
              <w:spacing w:after="0" w:line="240" w:lineRule="auto"/>
              <w:jc w:val="right"/>
              <w:rPr>
                <w:rFonts w:cs="Arial"/>
                <w:color w:val="000000"/>
                <w:sz w:val="16"/>
                <w:szCs w:val="16"/>
              </w:rPr>
            </w:pPr>
            <w:r>
              <w:rPr>
                <w:rFonts w:cs="Arial"/>
                <w:color w:val="000000"/>
                <w:sz w:val="16"/>
                <w:szCs w:val="16"/>
              </w:rPr>
              <w:t>171,4</w:t>
            </w:r>
          </w:p>
        </w:tc>
        <w:tc>
          <w:tcPr>
            <w:tcW w:w="907" w:type="dxa"/>
            <w:tcBorders>
              <w:top w:val="nil"/>
              <w:left w:val="nil"/>
              <w:bottom w:val="nil"/>
              <w:right w:val="nil"/>
            </w:tcBorders>
            <w:shd w:val="clear" w:color="auto" w:fill="auto"/>
            <w:noWrap/>
            <w:vAlign w:val="center"/>
            <w:hideMark/>
          </w:tcPr>
          <w:p w14:paraId="6EEA2220" w14:textId="0CBAE998" w:rsidR="00736595" w:rsidRPr="00D92E20" w:rsidRDefault="00736595" w:rsidP="00736595">
            <w:pPr>
              <w:spacing w:after="0" w:line="240" w:lineRule="auto"/>
              <w:jc w:val="right"/>
              <w:rPr>
                <w:rFonts w:cs="Arial"/>
                <w:color w:val="000000"/>
                <w:sz w:val="16"/>
                <w:szCs w:val="16"/>
              </w:rPr>
            </w:pPr>
            <w:r>
              <w:rPr>
                <w:rFonts w:cs="Arial"/>
                <w:color w:val="000000"/>
                <w:sz w:val="16"/>
                <w:szCs w:val="16"/>
              </w:rPr>
              <w:t>163,7</w:t>
            </w:r>
          </w:p>
        </w:tc>
        <w:tc>
          <w:tcPr>
            <w:tcW w:w="907" w:type="dxa"/>
            <w:tcBorders>
              <w:top w:val="nil"/>
              <w:left w:val="nil"/>
              <w:bottom w:val="nil"/>
              <w:right w:val="nil"/>
            </w:tcBorders>
            <w:shd w:val="clear" w:color="auto" w:fill="auto"/>
            <w:noWrap/>
            <w:vAlign w:val="center"/>
            <w:hideMark/>
          </w:tcPr>
          <w:p w14:paraId="272C236E" w14:textId="10934E54" w:rsidR="00736595" w:rsidRPr="00D92E20" w:rsidRDefault="00736595" w:rsidP="00736595">
            <w:pPr>
              <w:spacing w:after="0" w:line="240" w:lineRule="auto"/>
              <w:jc w:val="right"/>
              <w:rPr>
                <w:rFonts w:cs="Arial"/>
                <w:color w:val="000000"/>
                <w:sz w:val="16"/>
                <w:szCs w:val="16"/>
              </w:rPr>
            </w:pPr>
            <w:r>
              <w:rPr>
                <w:rFonts w:cs="Arial"/>
                <w:color w:val="000000"/>
                <w:sz w:val="16"/>
                <w:szCs w:val="16"/>
              </w:rPr>
              <w:t>177,9</w:t>
            </w:r>
          </w:p>
        </w:tc>
      </w:tr>
      <w:tr w:rsidR="00736595" w:rsidRPr="00D92E20" w14:paraId="552203C6" w14:textId="77777777" w:rsidTr="00E371CF">
        <w:trPr>
          <w:trHeight w:val="300"/>
        </w:trPr>
        <w:tc>
          <w:tcPr>
            <w:tcW w:w="4195" w:type="dxa"/>
            <w:tcBorders>
              <w:top w:val="nil"/>
              <w:left w:val="nil"/>
              <w:bottom w:val="nil"/>
              <w:right w:val="nil"/>
            </w:tcBorders>
            <w:shd w:val="clear" w:color="auto" w:fill="auto"/>
            <w:noWrap/>
            <w:vAlign w:val="center"/>
            <w:hideMark/>
          </w:tcPr>
          <w:p w14:paraId="43CD67B2" w14:textId="512588F3" w:rsidR="00736595" w:rsidRPr="00D92E20" w:rsidRDefault="00736595" w:rsidP="00736595">
            <w:pPr>
              <w:spacing w:after="0" w:line="240" w:lineRule="auto"/>
              <w:ind w:firstLineChars="100" w:firstLine="160"/>
              <w:rPr>
                <w:rFonts w:cs="Arial"/>
                <w:color w:val="000000"/>
                <w:sz w:val="16"/>
                <w:szCs w:val="16"/>
              </w:rPr>
            </w:pPr>
            <w:r>
              <w:rPr>
                <w:rFonts w:cs="Arial"/>
                <w:sz w:val="16"/>
                <w:szCs w:val="16"/>
              </w:rPr>
              <w:t xml:space="preserve">   Nemoci duševní</w:t>
            </w:r>
          </w:p>
        </w:tc>
        <w:tc>
          <w:tcPr>
            <w:tcW w:w="907" w:type="dxa"/>
            <w:tcBorders>
              <w:top w:val="nil"/>
              <w:left w:val="single" w:sz="4" w:space="0" w:color="auto"/>
              <w:bottom w:val="nil"/>
              <w:right w:val="nil"/>
            </w:tcBorders>
            <w:shd w:val="clear" w:color="auto" w:fill="auto"/>
            <w:noWrap/>
            <w:vAlign w:val="center"/>
            <w:hideMark/>
          </w:tcPr>
          <w:p w14:paraId="3A0FFC25" w14:textId="2B9BD7C1" w:rsidR="00736595" w:rsidRPr="00D92E20" w:rsidRDefault="00736595" w:rsidP="00736595">
            <w:pPr>
              <w:spacing w:after="0" w:line="240" w:lineRule="auto"/>
              <w:jc w:val="right"/>
              <w:rPr>
                <w:rFonts w:cs="Arial"/>
                <w:color w:val="000000"/>
                <w:sz w:val="16"/>
                <w:szCs w:val="16"/>
              </w:rPr>
            </w:pPr>
            <w:r>
              <w:rPr>
                <w:rFonts w:cs="Arial"/>
                <w:color w:val="000000"/>
                <w:sz w:val="16"/>
                <w:szCs w:val="16"/>
              </w:rPr>
              <w:t>29,1</w:t>
            </w:r>
          </w:p>
        </w:tc>
        <w:tc>
          <w:tcPr>
            <w:tcW w:w="907" w:type="dxa"/>
            <w:tcBorders>
              <w:top w:val="nil"/>
              <w:left w:val="nil"/>
              <w:bottom w:val="nil"/>
              <w:right w:val="nil"/>
            </w:tcBorders>
            <w:shd w:val="clear" w:color="auto" w:fill="auto"/>
            <w:noWrap/>
            <w:vAlign w:val="center"/>
            <w:hideMark/>
          </w:tcPr>
          <w:p w14:paraId="1248E12D" w14:textId="60E0C03E" w:rsidR="00736595" w:rsidRPr="00D92E20" w:rsidRDefault="00736595" w:rsidP="00736595">
            <w:pPr>
              <w:spacing w:after="0" w:line="240" w:lineRule="auto"/>
              <w:jc w:val="right"/>
              <w:rPr>
                <w:rFonts w:cs="Arial"/>
                <w:color w:val="000000"/>
                <w:sz w:val="16"/>
                <w:szCs w:val="16"/>
              </w:rPr>
            </w:pPr>
            <w:r>
              <w:rPr>
                <w:rFonts w:cs="Arial"/>
                <w:color w:val="000000"/>
                <w:sz w:val="16"/>
                <w:szCs w:val="16"/>
              </w:rPr>
              <w:t>10,1</w:t>
            </w:r>
          </w:p>
        </w:tc>
        <w:tc>
          <w:tcPr>
            <w:tcW w:w="907" w:type="dxa"/>
            <w:tcBorders>
              <w:top w:val="nil"/>
              <w:left w:val="nil"/>
              <w:bottom w:val="nil"/>
              <w:right w:val="single" w:sz="4" w:space="0" w:color="auto"/>
            </w:tcBorders>
            <w:shd w:val="clear" w:color="auto" w:fill="auto"/>
            <w:noWrap/>
            <w:vAlign w:val="center"/>
            <w:hideMark/>
          </w:tcPr>
          <w:p w14:paraId="10F324A3" w14:textId="7B41439B" w:rsidR="00736595" w:rsidRPr="00D92E20" w:rsidRDefault="00736595" w:rsidP="00736595">
            <w:pPr>
              <w:spacing w:after="0" w:line="240" w:lineRule="auto"/>
              <w:jc w:val="right"/>
              <w:rPr>
                <w:rFonts w:cs="Arial"/>
                <w:color w:val="000000"/>
                <w:sz w:val="16"/>
                <w:szCs w:val="16"/>
              </w:rPr>
            </w:pPr>
            <w:r>
              <w:rPr>
                <w:rFonts w:cs="Arial"/>
                <w:color w:val="000000"/>
                <w:sz w:val="16"/>
                <w:szCs w:val="16"/>
              </w:rPr>
              <w:t>19,0</w:t>
            </w:r>
          </w:p>
        </w:tc>
        <w:tc>
          <w:tcPr>
            <w:tcW w:w="907" w:type="dxa"/>
            <w:tcBorders>
              <w:top w:val="nil"/>
              <w:left w:val="nil"/>
              <w:bottom w:val="nil"/>
              <w:right w:val="nil"/>
            </w:tcBorders>
            <w:shd w:val="clear" w:color="auto" w:fill="auto"/>
            <w:noWrap/>
            <w:vAlign w:val="center"/>
            <w:hideMark/>
          </w:tcPr>
          <w:p w14:paraId="5AD137E9" w14:textId="4A8B9579" w:rsidR="00736595" w:rsidRPr="00D92E20" w:rsidRDefault="00736595" w:rsidP="00736595">
            <w:pPr>
              <w:spacing w:after="0" w:line="240" w:lineRule="auto"/>
              <w:jc w:val="right"/>
              <w:rPr>
                <w:rFonts w:cs="Arial"/>
                <w:color w:val="000000"/>
                <w:sz w:val="16"/>
                <w:szCs w:val="16"/>
              </w:rPr>
            </w:pPr>
            <w:r>
              <w:rPr>
                <w:rFonts w:cs="Arial"/>
                <w:color w:val="000000"/>
                <w:sz w:val="16"/>
                <w:szCs w:val="16"/>
              </w:rPr>
              <w:t>85,8</w:t>
            </w:r>
          </w:p>
        </w:tc>
        <w:tc>
          <w:tcPr>
            <w:tcW w:w="907" w:type="dxa"/>
            <w:tcBorders>
              <w:top w:val="nil"/>
              <w:left w:val="nil"/>
              <w:bottom w:val="nil"/>
              <w:right w:val="nil"/>
            </w:tcBorders>
            <w:shd w:val="clear" w:color="auto" w:fill="auto"/>
            <w:noWrap/>
            <w:vAlign w:val="center"/>
            <w:hideMark/>
          </w:tcPr>
          <w:p w14:paraId="275AD66A" w14:textId="4F1F2615" w:rsidR="00736595" w:rsidRPr="00D92E20" w:rsidRDefault="00736595" w:rsidP="00736595">
            <w:pPr>
              <w:spacing w:after="0" w:line="240" w:lineRule="auto"/>
              <w:jc w:val="right"/>
              <w:rPr>
                <w:rFonts w:cs="Arial"/>
                <w:color w:val="000000"/>
                <w:sz w:val="16"/>
                <w:szCs w:val="16"/>
              </w:rPr>
            </w:pPr>
            <w:r>
              <w:rPr>
                <w:rFonts w:cs="Arial"/>
                <w:color w:val="000000"/>
                <w:sz w:val="16"/>
                <w:szCs w:val="16"/>
              </w:rPr>
              <w:t>84,4</w:t>
            </w:r>
          </w:p>
        </w:tc>
        <w:tc>
          <w:tcPr>
            <w:tcW w:w="907" w:type="dxa"/>
            <w:tcBorders>
              <w:top w:val="nil"/>
              <w:left w:val="nil"/>
              <w:bottom w:val="nil"/>
              <w:right w:val="nil"/>
            </w:tcBorders>
            <w:shd w:val="clear" w:color="auto" w:fill="auto"/>
            <w:noWrap/>
            <w:vAlign w:val="center"/>
            <w:hideMark/>
          </w:tcPr>
          <w:p w14:paraId="62E06225" w14:textId="47E6AACB" w:rsidR="00736595" w:rsidRPr="00D92E20" w:rsidRDefault="00736595" w:rsidP="00736595">
            <w:pPr>
              <w:spacing w:after="0" w:line="240" w:lineRule="auto"/>
              <w:jc w:val="right"/>
              <w:rPr>
                <w:rFonts w:cs="Arial"/>
                <w:color w:val="000000"/>
                <w:sz w:val="16"/>
                <w:szCs w:val="16"/>
              </w:rPr>
            </w:pPr>
            <w:r>
              <w:rPr>
                <w:rFonts w:cs="Arial"/>
                <w:color w:val="000000"/>
                <w:sz w:val="16"/>
                <w:szCs w:val="16"/>
              </w:rPr>
              <w:t>86,5</w:t>
            </w:r>
          </w:p>
        </w:tc>
      </w:tr>
      <w:tr w:rsidR="00736595" w:rsidRPr="00D92E20" w14:paraId="559EEC93" w14:textId="77777777" w:rsidTr="00E371CF">
        <w:trPr>
          <w:trHeight w:val="300"/>
        </w:trPr>
        <w:tc>
          <w:tcPr>
            <w:tcW w:w="4195" w:type="dxa"/>
            <w:tcBorders>
              <w:top w:val="nil"/>
              <w:left w:val="nil"/>
              <w:bottom w:val="nil"/>
              <w:right w:val="nil"/>
            </w:tcBorders>
            <w:shd w:val="clear" w:color="auto" w:fill="auto"/>
            <w:noWrap/>
            <w:vAlign w:val="center"/>
            <w:hideMark/>
          </w:tcPr>
          <w:p w14:paraId="14F7B712" w14:textId="66407962" w:rsidR="00736595" w:rsidRPr="00D92E20" w:rsidRDefault="00736595" w:rsidP="00736595">
            <w:pPr>
              <w:spacing w:after="0" w:line="240" w:lineRule="auto"/>
              <w:ind w:firstLineChars="100" w:firstLine="160"/>
              <w:rPr>
                <w:rFonts w:cs="Arial"/>
                <w:color w:val="000000"/>
                <w:sz w:val="16"/>
                <w:szCs w:val="16"/>
              </w:rPr>
            </w:pPr>
            <w:r>
              <w:rPr>
                <w:rFonts w:cs="Arial"/>
                <w:sz w:val="16"/>
                <w:szCs w:val="16"/>
              </w:rPr>
              <w:t xml:space="preserve">   Nemoci nervové soustavy</w:t>
            </w:r>
          </w:p>
        </w:tc>
        <w:tc>
          <w:tcPr>
            <w:tcW w:w="907" w:type="dxa"/>
            <w:tcBorders>
              <w:top w:val="nil"/>
              <w:left w:val="single" w:sz="4" w:space="0" w:color="auto"/>
              <w:bottom w:val="nil"/>
              <w:right w:val="nil"/>
            </w:tcBorders>
            <w:shd w:val="clear" w:color="auto" w:fill="auto"/>
            <w:noWrap/>
            <w:vAlign w:val="center"/>
            <w:hideMark/>
          </w:tcPr>
          <w:p w14:paraId="7E36F5D7" w14:textId="7A46E7B7" w:rsidR="00736595" w:rsidRPr="00D92E20" w:rsidRDefault="00736595" w:rsidP="00736595">
            <w:pPr>
              <w:spacing w:after="0" w:line="240" w:lineRule="auto"/>
              <w:jc w:val="right"/>
              <w:rPr>
                <w:rFonts w:cs="Arial"/>
                <w:color w:val="000000"/>
                <w:sz w:val="16"/>
                <w:szCs w:val="16"/>
              </w:rPr>
            </w:pPr>
            <w:r>
              <w:rPr>
                <w:rFonts w:cs="Arial"/>
                <w:color w:val="000000"/>
                <w:sz w:val="16"/>
                <w:szCs w:val="16"/>
              </w:rPr>
              <w:t>18,5</w:t>
            </w:r>
          </w:p>
        </w:tc>
        <w:tc>
          <w:tcPr>
            <w:tcW w:w="907" w:type="dxa"/>
            <w:tcBorders>
              <w:top w:val="nil"/>
              <w:left w:val="nil"/>
              <w:bottom w:val="nil"/>
              <w:right w:val="nil"/>
            </w:tcBorders>
            <w:shd w:val="clear" w:color="auto" w:fill="auto"/>
            <w:noWrap/>
            <w:vAlign w:val="center"/>
            <w:hideMark/>
          </w:tcPr>
          <w:p w14:paraId="1D82442D" w14:textId="2A993765" w:rsidR="00736595" w:rsidRPr="00D92E20" w:rsidRDefault="00736595" w:rsidP="00736595">
            <w:pPr>
              <w:spacing w:after="0" w:line="240" w:lineRule="auto"/>
              <w:jc w:val="right"/>
              <w:rPr>
                <w:rFonts w:cs="Arial"/>
                <w:color w:val="000000"/>
                <w:sz w:val="16"/>
                <w:szCs w:val="16"/>
              </w:rPr>
            </w:pPr>
            <w:r>
              <w:rPr>
                <w:rFonts w:cs="Arial"/>
                <w:color w:val="000000"/>
                <w:sz w:val="16"/>
                <w:szCs w:val="16"/>
              </w:rPr>
              <w:t>7,4</w:t>
            </w:r>
          </w:p>
        </w:tc>
        <w:tc>
          <w:tcPr>
            <w:tcW w:w="907" w:type="dxa"/>
            <w:tcBorders>
              <w:top w:val="nil"/>
              <w:left w:val="nil"/>
              <w:bottom w:val="nil"/>
              <w:right w:val="single" w:sz="4" w:space="0" w:color="auto"/>
            </w:tcBorders>
            <w:shd w:val="clear" w:color="auto" w:fill="auto"/>
            <w:noWrap/>
            <w:vAlign w:val="center"/>
            <w:hideMark/>
          </w:tcPr>
          <w:p w14:paraId="297E2A9F" w14:textId="30DDB925" w:rsidR="00736595" w:rsidRPr="00D92E20" w:rsidRDefault="00736595" w:rsidP="00736595">
            <w:pPr>
              <w:spacing w:after="0" w:line="240" w:lineRule="auto"/>
              <w:jc w:val="right"/>
              <w:rPr>
                <w:rFonts w:cs="Arial"/>
                <w:color w:val="000000"/>
                <w:sz w:val="16"/>
                <w:szCs w:val="16"/>
              </w:rPr>
            </w:pPr>
            <w:r>
              <w:rPr>
                <w:rFonts w:cs="Arial"/>
                <w:color w:val="000000"/>
                <w:sz w:val="16"/>
                <w:szCs w:val="16"/>
              </w:rPr>
              <w:t>11,0</w:t>
            </w:r>
          </w:p>
        </w:tc>
        <w:tc>
          <w:tcPr>
            <w:tcW w:w="907" w:type="dxa"/>
            <w:tcBorders>
              <w:top w:val="nil"/>
              <w:left w:val="nil"/>
              <w:bottom w:val="nil"/>
              <w:right w:val="nil"/>
            </w:tcBorders>
            <w:shd w:val="clear" w:color="auto" w:fill="auto"/>
            <w:noWrap/>
            <w:vAlign w:val="center"/>
            <w:hideMark/>
          </w:tcPr>
          <w:p w14:paraId="6835D90C" w14:textId="410DFDBC" w:rsidR="00736595" w:rsidRPr="00D92E20" w:rsidRDefault="00736595" w:rsidP="00736595">
            <w:pPr>
              <w:spacing w:after="0" w:line="240" w:lineRule="auto"/>
              <w:jc w:val="right"/>
              <w:rPr>
                <w:rFonts w:cs="Arial"/>
                <w:color w:val="000000"/>
                <w:sz w:val="16"/>
                <w:szCs w:val="16"/>
              </w:rPr>
            </w:pPr>
            <w:r>
              <w:rPr>
                <w:rFonts w:cs="Arial"/>
                <w:color w:val="000000"/>
                <w:sz w:val="16"/>
                <w:szCs w:val="16"/>
              </w:rPr>
              <w:t>73,1</w:t>
            </w:r>
          </w:p>
        </w:tc>
        <w:tc>
          <w:tcPr>
            <w:tcW w:w="907" w:type="dxa"/>
            <w:tcBorders>
              <w:top w:val="nil"/>
              <w:left w:val="nil"/>
              <w:bottom w:val="nil"/>
              <w:right w:val="nil"/>
            </w:tcBorders>
            <w:shd w:val="clear" w:color="auto" w:fill="auto"/>
            <w:noWrap/>
            <w:vAlign w:val="center"/>
            <w:hideMark/>
          </w:tcPr>
          <w:p w14:paraId="74D47F8B" w14:textId="3BC9F611" w:rsidR="00736595" w:rsidRPr="00D92E20" w:rsidRDefault="00736595" w:rsidP="00736595">
            <w:pPr>
              <w:spacing w:after="0" w:line="240" w:lineRule="auto"/>
              <w:jc w:val="right"/>
              <w:rPr>
                <w:rFonts w:cs="Arial"/>
                <w:color w:val="000000"/>
                <w:sz w:val="16"/>
                <w:szCs w:val="16"/>
              </w:rPr>
            </w:pPr>
            <w:r>
              <w:rPr>
                <w:rFonts w:cs="Arial"/>
                <w:color w:val="000000"/>
                <w:sz w:val="16"/>
                <w:szCs w:val="16"/>
              </w:rPr>
              <w:t>79,7</w:t>
            </w:r>
          </w:p>
        </w:tc>
        <w:tc>
          <w:tcPr>
            <w:tcW w:w="907" w:type="dxa"/>
            <w:tcBorders>
              <w:top w:val="nil"/>
              <w:left w:val="nil"/>
              <w:bottom w:val="nil"/>
              <w:right w:val="nil"/>
            </w:tcBorders>
            <w:shd w:val="clear" w:color="auto" w:fill="auto"/>
            <w:noWrap/>
            <w:vAlign w:val="center"/>
            <w:hideMark/>
          </w:tcPr>
          <w:p w14:paraId="172DDDB3" w14:textId="4E89842B" w:rsidR="00736595" w:rsidRPr="00D92E20" w:rsidRDefault="00736595" w:rsidP="00736595">
            <w:pPr>
              <w:spacing w:after="0" w:line="240" w:lineRule="auto"/>
              <w:jc w:val="right"/>
              <w:rPr>
                <w:rFonts w:cs="Arial"/>
                <w:color w:val="000000"/>
                <w:sz w:val="16"/>
                <w:szCs w:val="16"/>
              </w:rPr>
            </w:pPr>
            <w:r>
              <w:rPr>
                <w:rFonts w:cs="Arial"/>
                <w:color w:val="000000"/>
                <w:sz w:val="16"/>
                <w:szCs w:val="16"/>
              </w:rPr>
              <w:t>68,7</w:t>
            </w:r>
          </w:p>
        </w:tc>
      </w:tr>
      <w:tr w:rsidR="00736595" w:rsidRPr="00D92E20" w14:paraId="75A5661C" w14:textId="77777777" w:rsidTr="00E371CF">
        <w:trPr>
          <w:trHeight w:val="300"/>
        </w:trPr>
        <w:tc>
          <w:tcPr>
            <w:tcW w:w="4195" w:type="dxa"/>
            <w:tcBorders>
              <w:top w:val="nil"/>
              <w:left w:val="nil"/>
              <w:bottom w:val="nil"/>
              <w:right w:val="nil"/>
            </w:tcBorders>
            <w:shd w:val="clear" w:color="auto" w:fill="auto"/>
            <w:noWrap/>
            <w:vAlign w:val="center"/>
            <w:hideMark/>
          </w:tcPr>
          <w:p w14:paraId="4CE6A75B" w14:textId="13678083" w:rsidR="00736595" w:rsidRPr="00D92E20" w:rsidRDefault="00736595" w:rsidP="00736595">
            <w:pPr>
              <w:spacing w:after="0" w:line="240" w:lineRule="auto"/>
              <w:ind w:firstLineChars="100" w:firstLine="160"/>
              <w:rPr>
                <w:rFonts w:cs="Arial"/>
                <w:color w:val="000000"/>
                <w:sz w:val="16"/>
                <w:szCs w:val="16"/>
              </w:rPr>
            </w:pPr>
            <w:r>
              <w:rPr>
                <w:rFonts w:cs="Arial"/>
                <w:sz w:val="16"/>
                <w:szCs w:val="16"/>
              </w:rPr>
              <w:t xml:space="preserve">   Nemoci oběhové soustavy</w:t>
            </w:r>
          </w:p>
        </w:tc>
        <w:tc>
          <w:tcPr>
            <w:tcW w:w="907" w:type="dxa"/>
            <w:tcBorders>
              <w:top w:val="nil"/>
              <w:left w:val="single" w:sz="4" w:space="0" w:color="auto"/>
              <w:bottom w:val="nil"/>
              <w:right w:val="nil"/>
            </w:tcBorders>
            <w:shd w:val="clear" w:color="auto" w:fill="auto"/>
            <w:noWrap/>
            <w:vAlign w:val="center"/>
            <w:hideMark/>
          </w:tcPr>
          <w:p w14:paraId="47AF33BC" w14:textId="7BB4F7C4" w:rsidR="00736595" w:rsidRPr="00D92E20" w:rsidRDefault="00736595" w:rsidP="00736595">
            <w:pPr>
              <w:spacing w:after="0" w:line="240" w:lineRule="auto"/>
              <w:jc w:val="right"/>
              <w:rPr>
                <w:rFonts w:cs="Arial"/>
                <w:color w:val="000000"/>
                <w:sz w:val="16"/>
                <w:szCs w:val="16"/>
              </w:rPr>
            </w:pPr>
            <w:r>
              <w:rPr>
                <w:rFonts w:cs="Arial"/>
                <w:color w:val="000000"/>
                <w:sz w:val="16"/>
                <w:szCs w:val="16"/>
              </w:rPr>
              <w:t>28,3</w:t>
            </w:r>
          </w:p>
        </w:tc>
        <w:tc>
          <w:tcPr>
            <w:tcW w:w="907" w:type="dxa"/>
            <w:tcBorders>
              <w:top w:val="nil"/>
              <w:left w:val="nil"/>
              <w:bottom w:val="nil"/>
              <w:right w:val="nil"/>
            </w:tcBorders>
            <w:shd w:val="clear" w:color="auto" w:fill="auto"/>
            <w:noWrap/>
            <w:vAlign w:val="center"/>
            <w:hideMark/>
          </w:tcPr>
          <w:p w14:paraId="27609FCB" w14:textId="49452B5B" w:rsidR="00736595" w:rsidRPr="00D92E20" w:rsidRDefault="00736595" w:rsidP="00736595">
            <w:pPr>
              <w:spacing w:after="0" w:line="240" w:lineRule="auto"/>
              <w:jc w:val="right"/>
              <w:rPr>
                <w:rFonts w:cs="Arial"/>
                <w:color w:val="000000"/>
                <w:sz w:val="16"/>
                <w:szCs w:val="16"/>
              </w:rPr>
            </w:pPr>
            <w:r>
              <w:rPr>
                <w:rFonts w:cs="Arial"/>
                <w:color w:val="000000"/>
                <w:sz w:val="16"/>
                <w:szCs w:val="16"/>
              </w:rPr>
              <w:t>15,7</w:t>
            </w:r>
          </w:p>
        </w:tc>
        <w:tc>
          <w:tcPr>
            <w:tcW w:w="907" w:type="dxa"/>
            <w:tcBorders>
              <w:top w:val="nil"/>
              <w:left w:val="nil"/>
              <w:bottom w:val="nil"/>
              <w:right w:val="single" w:sz="4" w:space="0" w:color="auto"/>
            </w:tcBorders>
            <w:shd w:val="clear" w:color="auto" w:fill="auto"/>
            <w:noWrap/>
            <w:vAlign w:val="center"/>
            <w:hideMark/>
          </w:tcPr>
          <w:p w14:paraId="40DF092F" w14:textId="10DF25BC" w:rsidR="00736595" w:rsidRPr="00D92E20" w:rsidRDefault="00736595" w:rsidP="00736595">
            <w:pPr>
              <w:spacing w:after="0" w:line="240" w:lineRule="auto"/>
              <w:jc w:val="right"/>
              <w:rPr>
                <w:rFonts w:cs="Arial"/>
                <w:color w:val="000000"/>
                <w:sz w:val="16"/>
                <w:szCs w:val="16"/>
              </w:rPr>
            </w:pPr>
            <w:r>
              <w:rPr>
                <w:rFonts w:cs="Arial"/>
                <w:color w:val="000000"/>
                <w:sz w:val="16"/>
                <w:szCs w:val="16"/>
              </w:rPr>
              <w:t>12,6</w:t>
            </w:r>
          </w:p>
        </w:tc>
        <w:tc>
          <w:tcPr>
            <w:tcW w:w="907" w:type="dxa"/>
            <w:tcBorders>
              <w:top w:val="nil"/>
              <w:left w:val="nil"/>
              <w:bottom w:val="nil"/>
              <w:right w:val="nil"/>
            </w:tcBorders>
            <w:shd w:val="clear" w:color="auto" w:fill="auto"/>
            <w:noWrap/>
            <w:vAlign w:val="center"/>
            <w:hideMark/>
          </w:tcPr>
          <w:p w14:paraId="47703321" w14:textId="264023F6" w:rsidR="00736595" w:rsidRPr="00D92E20" w:rsidRDefault="00736595" w:rsidP="00736595">
            <w:pPr>
              <w:spacing w:after="0" w:line="240" w:lineRule="auto"/>
              <w:jc w:val="right"/>
              <w:rPr>
                <w:rFonts w:cs="Arial"/>
                <w:color w:val="000000"/>
                <w:sz w:val="16"/>
                <w:szCs w:val="16"/>
              </w:rPr>
            </w:pPr>
            <w:r>
              <w:rPr>
                <w:rFonts w:cs="Arial"/>
                <w:color w:val="000000"/>
                <w:sz w:val="16"/>
                <w:szCs w:val="16"/>
              </w:rPr>
              <w:t>73,0</w:t>
            </w:r>
          </w:p>
        </w:tc>
        <w:tc>
          <w:tcPr>
            <w:tcW w:w="907" w:type="dxa"/>
            <w:tcBorders>
              <w:top w:val="nil"/>
              <w:left w:val="nil"/>
              <w:bottom w:val="nil"/>
              <w:right w:val="nil"/>
            </w:tcBorders>
            <w:shd w:val="clear" w:color="auto" w:fill="auto"/>
            <w:noWrap/>
            <w:vAlign w:val="center"/>
            <w:hideMark/>
          </w:tcPr>
          <w:p w14:paraId="366657C6" w14:textId="590B60C2" w:rsidR="00736595" w:rsidRPr="00D92E20" w:rsidRDefault="00736595" w:rsidP="00736595">
            <w:pPr>
              <w:spacing w:after="0" w:line="240" w:lineRule="auto"/>
              <w:jc w:val="right"/>
              <w:rPr>
                <w:rFonts w:cs="Arial"/>
                <w:color w:val="000000"/>
                <w:sz w:val="16"/>
                <w:szCs w:val="16"/>
              </w:rPr>
            </w:pPr>
            <w:r>
              <w:rPr>
                <w:rFonts w:cs="Arial"/>
                <w:color w:val="000000"/>
                <w:sz w:val="16"/>
                <w:szCs w:val="16"/>
              </w:rPr>
              <w:t>83,7</w:t>
            </w:r>
          </w:p>
        </w:tc>
        <w:tc>
          <w:tcPr>
            <w:tcW w:w="907" w:type="dxa"/>
            <w:tcBorders>
              <w:top w:val="nil"/>
              <w:left w:val="nil"/>
              <w:bottom w:val="nil"/>
              <w:right w:val="nil"/>
            </w:tcBorders>
            <w:shd w:val="clear" w:color="auto" w:fill="auto"/>
            <w:noWrap/>
            <w:vAlign w:val="center"/>
            <w:hideMark/>
          </w:tcPr>
          <w:p w14:paraId="0F421828" w14:textId="22974C2F" w:rsidR="00736595" w:rsidRPr="00D92E20" w:rsidRDefault="00736595" w:rsidP="00736595">
            <w:pPr>
              <w:spacing w:after="0" w:line="240" w:lineRule="auto"/>
              <w:jc w:val="right"/>
              <w:rPr>
                <w:rFonts w:cs="Arial"/>
                <w:color w:val="000000"/>
                <w:sz w:val="16"/>
                <w:szCs w:val="16"/>
              </w:rPr>
            </w:pPr>
            <w:r>
              <w:rPr>
                <w:rFonts w:cs="Arial"/>
                <w:color w:val="000000"/>
                <w:sz w:val="16"/>
                <w:szCs w:val="16"/>
              </w:rPr>
              <w:t>59,7</w:t>
            </w:r>
          </w:p>
        </w:tc>
      </w:tr>
      <w:tr w:rsidR="00736595" w:rsidRPr="00D92E20" w14:paraId="1880F282" w14:textId="77777777" w:rsidTr="00E371CF">
        <w:trPr>
          <w:trHeight w:val="300"/>
        </w:trPr>
        <w:tc>
          <w:tcPr>
            <w:tcW w:w="4195" w:type="dxa"/>
            <w:tcBorders>
              <w:top w:val="nil"/>
              <w:left w:val="nil"/>
              <w:bottom w:val="nil"/>
              <w:right w:val="nil"/>
            </w:tcBorders>
            <w:shd w:val="clear" w:color="auto" w:fill="auto"/>
            <w:noWrap/>
            <w:vAlign w:val="center"/>
            <w:hideMark/>
          </w:tcPr>
          <w:p w14:paraId="654B271F" w14:textId="7FD9A244" w:rsidR="00736595" w:rsidRPr="00D92E20" w:rsidRDefault="00736595" w:rsidP="00736595">
            <w:pPr>
              <w:spacing w:after="0" w:line="240" w:lineRule="auto"/>
              <w:ind w:firstLineChars="200" w:firstLine="320"/>
              <w:rPr>
                <w:rFonts w:cs="Arial"/>
                <w:color w:val="000000"/>
                <w:sz w:val="16"/>
                <w:szCs w:val="16"/>
              </w:rPr>
            </w:pPr>
            <w:r>
              <w:rPr>
                <w:rFonts w:cs="Arial"/>
                <w:sz w:val="16"/>
                <w:szCs w:val="16"/>
              </w:rPr>
              <w:t xml:space="preserve">      – hypertenze</w:t>
            </w:r>
          </w:p>
        </w:tc>
        <w:tc>
          <w:tcPr>
            <w:tcW w:w="907" w:type="dxa"/>
            <w:tcBorders>
              <w:top w:val="nil"/>
              <w:left w:val="single" w:sz="4" w:space="0" w:color="auto"/>
              <w:bottom w:val="nil"/>
              <w:right w:val="nil"/>
            </w:tcBorders>
            <w:shd w:val="clear" w:color="auto" w:fill="auto"/>
            <w:noWrap/>
            <w:vAlign w:val="center"/>
            <w:hideMark/>
          </w:tcPr>
          <w:p w14:paraId="0F28C048" w14:textId="749E68E2" w:rsidR="00736595" w:rsidRPr="00D92E20" w:rsidRDefault="00736595" w:rsidP="00736595">
            <w:pPr>
              <w:spacing w:after="0" w:line="240" w:lineRule="auto"/>
              <w:jc w:val="right"/>
              <w:rPr>
                <w:rFonts w:cs="Arial"/>
                <w:color w:val="000000"/>
                <w:sz w:val="16"/>
                <w:szCs w:val="16"/>
              </w:rPr>
            </w:pPr>
            <w:r>
              <w:rPr>
                <w:rFonts w:cs="Arial"/>
                <w:color w:val="000000"/>
                <w:sz w:val="16"/>
                <w:szCs w:val="16"/>
              </w:rPr>
              <w:t>8,4</w:t>
            </w:r>
          </w:p>
        </w:tc>
        <w:tc>
          <w:tcPr>
            <w:tcW w:w="907" w:type="dxa"/>
            <w:tcBorders>
              <w:top w:val="nil"/>
              <w:left w:val="nil"/>
              <w:bottom w:val="nil"/>
              <w:right w:val="nil"/>
            </w:tcBorders>
            <w:shd w:val="clear" w:color="auto" w:fill="auto"/>
            <w:noWrap/>
            <w:vAlign w:val="center"/>
            <w:hideMark/>
          </w:tcPr>
          <w:p w14:paraId="296552D7" w14:textId="0C0F8684" w:rsidR="00736595" w:rsidRPr="00D92E20" w:rsidRDefault="00736595" w:rsidP="00736595">
            <w:pPr>
              <w:spacing w:after="0" w:line="240" w:lineRule="auto"/>
              <w:jc w:val="right"/>
              <w:rPr>
                <w:rFonts w:cs="Arial"/>
                <w:color w:val="000000"/>
                <w:sz w:val="16"/>
                <w:szCs w:val="16"/>
              </w:rPr>
            </w:pPr>
            <w:r>
              <w:rPr>
                <w:rFonts w:cs="Arial"/>
                <w:color w:val="000000"/>
                <w:sz w:val="16"/>
                <w:szCs w:val="16"/>
              </w:rPr>
              <w:t>4,4</w:t>
            </w:r>
          </w:p>
        </w:tc>
        <w:tc>
          <w:tcPr>
            <w:tcW w:w="907" w:type="dxa"/>
            <w:tcBorders>
              <w:top w:val="nil"/>
              <w:left w:val="nil"/>
              <w:bottom w:val="nil"/>
              <w:right w:val="single" w:sz="4" w:space="0" w:color="auto"/>
            </w:tcBorders>
            <w:shd w:val="clear" w:color="auto" w:fill="auto"/>
            <w:noWrap/>
            <w:vAlign w:val="center"/>
            <w:hideMark/>
          </w:tcPr>
          <w:p w14:paraId="2F27BCED" w14:textId="3191E3E4" w:rsidR="00736595" w:rsidRPr="00D92E20" w:rsidRDefault="00736595" w:rsidP="00736595">
            <w:pPr>
              <w:spacing w:after="0" w:line="240" w:lineRule="auto"/>
              <w:jc w:val="right"/>
              <w:rPr>
                <w:rFonts w:cs="Arial"/>
                <w:color w:val="000000"/>
                <w:sz w:val="16"/>
                <w:szCs w:val="16"/>
              </w:rPr>
            </w:pPr>
            <w:r>
              <w:rPr>
                <w:rFonts w:cs="Arial"/>
                <w:color w:val="000000"/>
                <w:sz w:val="16"/>
                <w:szCs w:val="16"/>
              </w:rPr>
              <w:t>4,0</w:t>
            </w:r>
          </w:p>
        </w:tc>
        <w:tc>
          <w:tcPr>
            <w:tcW w:w="907" w:type="dxa"/>
            <w:tcBorders>
              <w:top w:val="nil"/>
              <w:left w:val="nil"/>
              <w:bottom w:val="nil"/>
              <w:right w:val="nil"/>
            </w:tcBorders>
            <w:shd w:val="clear" w:color="auto" w:fill="auto"/>
            <w:noWrap/>
            <w:vAlign w:val="center"/>
            <w:hideMark/>
          </w:tcPr>
          <w:p w14:paraId="22879A21" w14:textId="7179B1DC" w:rsidR="00736595" w:rsidRPr="00D92E20" w:rsidRDefault="00736595" w:rsidP="00736595">
            <w:pPr>
              <w:spacing w:after="0" w:line="240" w:lineRule="auto"/>
              <w:jc w:val="right"/>
              <w:rPr>
                <w:rFonts w:cs="Arial"/>
                <w:color w:val="000000"/>
                <w:sz w:val="16"/>
                <w:szCs w:val="16"/>
              </w:rPr>
            </w:pPr>
            <w:r>
              <w:rPr>
                <w:rFonts w:cs="Arial"/>
                <w:color w:val="000000"/>
                <w:sz w:val="16"/>
                <w:szCs w:val="16"/>
              </w:rPr>
              <w:t>48,1</w:t>
            </w:r>
          </w:p>
        </w:tc>
        <w:tc>
          <w:tcPr>
            <w:tcW w:w="907" w:type="dxa"/>
            <w:tcBorders>
              <w:top w:val="nil"/>
              <w:left w:val="nil"/>
              <w:bottom w:val="nil"/>
              <w:right w:val="nil"/>
            </w:tcBorders>
            <w:shd w:val="clear" w:color="auto" w:fill="auto"/>
            <w:noWrap/>
            <w:vAlign w:val="center"/>
            <w:hideMark/>
          </w:tcPr>
          <w:p w14:paraId="4730A926" w14:textId="4DC4E340" w:rsidR="00736595" w:rsidRPr="00D92E20" w:rsidRDefault="00736595" w:rsidP="00736595">
            <w:pPr>
              <w:spacing w:after="0" w:line="240" w:lineRule="auto"/>
              <w:jc w:val="right"/>
              <w:rPr>
                <w:rFonts w:cs="Arial"/>
                <w:color w:val="000000"/>
                <w:sz w:val="16"/>
                <w:szCs w:val="16"/>
              </w:rPr>
            </w:pPr>
            <w:r>
              <w:rPr>
                <w:rFonts w:cs="Arial"/>
                <w:color w:val="000000"/>
                <w:sz w:val="16"/>
                <w:szCs w:val="16"/>
              </w:rPr>
              <w:t>51,5</w:t>
            </w:r>
          </w:p>
        </w:tc>
        <w:tc>
          <w:tcPr>
            <w:tcW w:w="907" w:type="dxa"/>
            <w:tcBorders>
              <w:top w:val="nil"/>
              <w:left w:val="nil"/>
              <w:bottom w:val="nil"/>
              <w:right w:val="nil"/>
            </w:tcBorders>
            <w:shd w:val="clear" w:color="auto" w:fill="auto"/>
            <w:noWrap/>
            <w:vAlign w:val="center"/>
            <w:hideMark/>
          </w:tcPr>
          <w:p w14:paraId="30D5E362" w14:textId="0EC5F08F" w:rsidR="00736595" w:rsidRPr="00D92E20" w:rsidRDefault="00736595" w:rsidP="00736595">
            <w:pPr>
              <w:spacing w:after="0" w:line="240" w:lineRule="auto"/>
              <w:jc w:val="right"/>
              <w:rPr>
                <w:rFonts w:cs="Arial"/>
                <w:color w:val="000000"/>
                <w:sz w:val="16"/>
                <w:szCs w:val="16"/>
              </w:rPr>
            </w:pPr>
            <w:r>
              <w:rPr>
                <w:rFonts w:cs="Arial"/>
                <w:color w:val="000000"/>
                <w:sz w:val="16"/>
                <w:szCs w:val="16"/>
              </w:rPr>
              <w:t>44,4</w:t>
            </w:r>
          </w:p>
        </w:tc>
      </w:tr>
      <w:tr w:rsidR="00736595" w:rsidRPr="00D92E20" w14:paraId="52556D18" w14:textId="77777777" w:rsidTr="00E371CF">
        <w:trPr>
          <w:trHeight w:val="300"/>
        </w:trPr>
        <w:tc>
          <w:tcPr>
            <w:tcW w:w="4195" w:type="dxa"/>
            <w:tcBorders>
              <w:top w:val="nil"/>
              <w:left w:val="nil"/>
              <w:bottom w:val="nil"/>
              <w:right w:val="nil"/>
            </w:tcBorders>
            <w:shd w:val="clear" w:color="auto" w:fill="auto"/>
            <w:noWrap/>
            <w:vAlign w:val="center"/>
            <w:hideMark/>
          </w:tcPr>
          <w:p w14:paraId="25E418C7" w14:textId="043ACFDD" w:rsidR="00736595" w:rsidRPr="00D92E20" w:rsidRDefault="00736595" w:rsidP="00736595">
            <w:pPr>
              <w:spacing w:after="0" w:line="240" w:lineRule="auto"/>
              <w:ind w:firstLineChars="200" w:firstLine="320"/>
              <w:rPr>
                <w:rFonts w:cs="Arial"/>
                <w:color w:val="000000"/>
                <w:sz w:val="16"/>
                <w:szCs w:val="16"/>
              </w:rPr>
            </w:pPr>
            <w:r>
              <w:rPr>
                <w:rFonts w:cs="Arial"/>
                <w:sz w:val="16"/>
                <w:szCs w:val="16"/>
              </w:rPr>
              <w:t xml:space="preserve">      – ischemická choroba srdeční</w:t>
            </w:r>
          </w:p>
        </w:tc>
        <w:tc>
          <w:tcPr>
            <w:tcW w:w="907" w:type="dxa"/>
            <w:tcBorders>
              <w:top w:val="nil"/>
              <w:left w:val="single" w:sz="4" w:space="0" w:color="auto"/>
              <w:bottom w:val="nil"/>
              <w:right w:val="nil"/>
            </w:tcBorders>
            <w:shd w:val="clear" w:color="auto" w:fill="auto"/>
            <w:noWrap/>
            <w:vAlign w:val="center"/>
            <w:hideMark/>
          </w:tcPr>
          <w:p w14:paraId="3A9762EF" w14:textId="518FC4F4" w:rsidR="00736595" w:rsidRPr="00D92E20" w:rsidRDefault="00736595" w:rsidP="00736595">
            <w:pPr>
              <w:spacing w:after="0" w:line="240" w:lineRule="auto"/>
              <w:jc w:val="right"/>
              <w:rPr>
                <w:rFonts w:cs="Arial"/>
                <w:color w:val="000000"/>
                <w:sz w:val="16"/>
                <w:szCs w:val="16"/>
              </w:rPr>
            </w:pPr>
            <w:r>
              <w:rPr>
                <w:rFonts w:cs="Arial"/>
                <w:color w:val="000000"/>
                <w:sz w:val="16"/>
                <w:szCs w:val="16"/>
              </w:rPr>
              <w:t>3,3</w:t>
            </w:r>
          </w:p>
        </w:tc>
        <w:tc>
          <w:tcPr>
            <w:tcW w:w="907" w:type="dxa"/>
            <w:tcBorders>
              <w:top w:val="nil"/>
              <w:left w:val="nil"/>
              <w:bottom w:val="nil"/>
              <w:right w:val="nil"/>
            </w:tcBorders>
            <w:shd w:val="clear" w:color="auto" w:fill="auto"/>
            <w:noWrap/>
            <w:vAlign w:val="center"/>
            <w:hideMark/>
          </w:tcPr>
          <w:p w14:paraId="5CBB4017" w14:textId="3A809093" w:rsidR="00736595" w:rsidRPr="00D92E20" w:rsidRDefault="00736595" w:rsidP="00736595">
            <w:pPr>
              <w:spacing w:after="0" w:line="240" w:lineRule="auto"/>
              <w:jc w:val="right"/>
              <w:rPr>
                <w:rFonts w:cs="Arial"/>
                <w:color w:val="000000"/>
                <w:sz w:val="16"/>
                <w:szCs w:val="16"/>
              </w:rPr>
            </w:pPr>
            <w:r>
              <w:rPr>
                <w:rFonts w:cs="Arial"/>
                <w:color w:val="000000"/>
                <w:sz w:val="16"/>
                <w:szCs w:val="16"/>
              </w:rPr>
              <w:t>2,6</w:t>
            </w:r>
          </w:p>
        </w:tc>
        <w:tc>
          <w:tcPr>
            <w:tcW w:w="907" w:type="dxa"/>
            <w:tcBorders>
              <w:top w:val="nil"/>
              <w:left w:val="nil"/>
              <w:bottom w:val="nil"/>
              <w:right w:val="single" w:sz="4" w:space="0" w:color="auto"/>
            </w:tcBorders>
            <w:shd w:val="clear" w:color="auto" w:fill="auto"/>
            <w:noWrap/>
            <w:vAlign w:val="center"/>
            <w:hideMark/>
          </w:tcPr>
          <w:p w14:paraId="1696A752" w14:textId="6A63ABFB" w:rsidR="00736595" w:rsidRPr="00D92E20" w:rsidRDefault="00736595" w:rsidP="00736595">
            <w:pPr>
              <w:spacing w:after="0" w:line="240" w:lineRule="auto"/>
              <w:jc w:val="right"/>
              <w:rPr>
                <w:rFonts w:cs="Arial"/>
                <w:color w:val="000000"/>
                <w:sz w:val="16"/>
                <w:szCs w:val="16"/>
              </w:rPr>
            </w:pPr>
            <w:r>
              <w:rPr>
                <w:rFonts w:cs="Arial"/>
                <w:color w:val="000000"/>
                <w:sz w:val="16"/>
                <w:szCs w:val="16"/>
              </w:rPr>
              <w:t>0,7</w:t>
            </w:r>
          </w:p>
        </w:tc>
        <w:tc>
          <w:tcPr>
            <w:tcW w:w="907" w:type="dxa"/>
            <w:tcBorders>
              <w:top w:val="nil"/>
              <w:left w:val="nil"/>
              <w:bottom w:val="nil"/>
              <w:right w:val="nil"/>
            </w:tcBorders>
            <w:shd w:val="clear" w:color="auto" w:fill="auto"/>
            <w:noWrap/>
            <w:vAlign w:val="center"/>
            <w:hideMark/>
          </w:tcPr>
          <w:p w14:paraId="2C9DBD05" w14:textId="31A63B24" w:rsidR="00736595" w:rsidRPr="00D92E20" w:rsidRDefault="00736595" w:rsidP="00736595">
            <w:pPr>
              <w:spacing w:after="0" w:line="240" w:lineRule="auto"/>
              <w:jc w:val="right"/>
              <w:rPr>
                <w:rFonts w:cs="Arial"/>
                <w:color w:val="000000"/>
                <w:sz w:val="16"/>
                <w:szCs w:val="16"/>
              </w:rPr>
            </w:pPr>
            <w:r>
              <w:rPr>
                <w:rFonts w:cs="Arial"/>
                <w:color w:val="000000"/>
                <w:sz w:val="16"/>
                <w:szCs w:val="16"/>
              </w:rPr>
              <w:t>112,1</w:t>
            </w:r>
          </w:p>
        </w:tc>
        <w:tc>
          <w:tcPr>
            <w:tcW w:w="907" w:type="dxa"/>
            <w:tcBorders>
              <w:top w:val="nil"/>
              <w:left w:val="nil"/>
              <w:bottom w:val="nil"/>
              <w:right w:val="nil"/>
            </w:tcBorders>
            <w:shd w:val="clear" w:color="auto" w:fill="auto"/>
            <w:noWrap/>
            <w:vAlign w:val="center"/>
            <w:hideMark/>
          </w:tcPr>
          <w:p w14:paraId="3A69468D" w14:textId="5B9A15C6" w:rsidR="00736595" w:rsidRPr="00D92E20" w:rsidRDefault="00736595" w:rsidP="00736595">
            <w:pPr>
              <w:spacing w:after="0" w:line="240" w:lineRule="auto"/>
              <w:jc w:val="right"/>
              <w:rPr>
                <w:rFonts w:cs="Arial"/>
                <w:color w:val="000000"/>
                <w:sz w:val="16"/>
                <w:szCs w:val="16"/>
              </w:rPr>
            </w:pPr>
            <w:r>
              <w:rPr>
                <w:rFonts w:cs="Arial"/>
                <w:color w:val="000000"/>
                <w:sz w:val="16"/>
                <w:szCs w:val="16"/>
              </w:rPr>
              <w:t>117,1</w:t>
            </w:r>
          </w:p>
        </w:tc>
        <w:tc>
          <w:tcPr>
            <w:tcW w:w="907" w:type="dxa"/>
            <w:tcBorders>
              <w:top w:val="nil"/>
              <w:left w:val="nil"/>
              <w:bottom w:val="nil"/>
              <w:right w:val="nil"/>
            </w:tcBorders>
            <w:shd w:val="clear" w:color="auto" w:fill="auto"/>
            <w:noWrap/>
            <w:vAlign w:val="center"/>
            <w:hideMark/>
          </w:tcPr>
          <w:p w14:paraId="73C471FA" w14:textId="2196E816" w:rsidR="00736595" w:rsidRPr="00D92E20" w:rsidRDefault="00736595" w:rsidP="00736595">
            <w:pPr>
              <w:spacing w:after="0" w:line="240" w:lineRule="auto"/>
              <w:jc w:val="right"/>
              <w:rPr>
                <w:rFonts w:cs="Arial"/>
                <w:color w:val="000000"/>
                <w:sz w:val="16"/>
                <w:szCs w:val="16"/>
              </w:rPr>
            </w:pPr>
            <w:r>
              <w:rPr>
                <w:rFonts w:cs="Arial"/>
                <w:color w:val="000000"/>
                <w:sz w:val="16"/>
                <w:szCs w:val="16"/>
              </w:rPr>
              <w:t>93,9</w:t>
            </w:r>
          </w:p>
        </w:tc>
      </w:tr>
      <w:tr w:rsidR="00736595" w:rsidRPr="00D92E20" w14:paraId="0C808624" w14:textId="77777777" w:rsidTr="00E371CF">
        <w:trPr>
          <w:trHeight w:val="300"/>
        </w:trPr>
        <w:tc>
          <w:tcPr>
            <w:tcW w:w="4195" w:type="dxa"/>
            <w:tcBorders>
              <w:top w:val="nil"/>
              <w:left w:val="nil"/>
              <w:bottom w:val="nil"/>
              <w:right w:val="nil"/>
            </w:tcBorders>
            <w:shd w:val="clear" w:color="auto" w:fill="auto"/>
            <w:noWrap/>
            <w:vAlign w:val="center"/>
            <w:hideMark/>
          </w:tcPr>
          <w:p w14:paraId="32471380" w14:textId="06279503" w:rsidR="00736595" w:rsidRPr="00D92E20" w:rsidRDefault="00736595" w:rsidP="00736595">
            <w:pPr>
              <w:spacing w:after="0" w:line="240" w:lineRule="auto"/>
              <w:ind w:firstLineChars="200" w:firstLine="320"/>
              <w:rPr>
                <w:rFonts w:cs="Arial"/>
                <w:color w:val="000000"/>
                <w:sz w:val="16"/>
                <w:szCs w:val="16"/>
              </w:rPr>
            </w:pPr>
            <w:r>
              <w:rPr>
                <w:rFonts w:cs="Arial"/>
                <w:sz w:val="16"/>
                <w:szCs w:val="16"/>
              </w:rPr>
              <w:t xml:space="preserve">      – cévní nemoci mozku</w:t>
            </w:r>
          </w:p>
        </w:tc>
        <w:tc>
          <w:tcPr>
            <w:tcW w:w="907" w:type="dxa"/>
            <w:tcBorders>
              <w:top w:val="nil"/>
              <w:left w:val="single" w:sz="4" w:space="0" w:color="auto"/>
              <w:bottom w:val="nil"/>
              <w:right w:val="nil"/>
            </w:tcBorders>
            <w:shd w:val="clear" w:color="auto" w:fill="auto"/>
            <w:noWrap/>
            <w:vAlign w:val="center"/>
            <w:hideMark/>
          </w:tcPr>
          <w:p w14:paraId="6BC3F0E9" w14:textId="329200FD" w:rsidR="00736595" w:rsidRPr="00D92E20" w:rsidRDefault="00736595" w:rsidP="00736595">
            <w:pPr>
              <w:spacing w:after="0" w:line="240" w:lineRule="auto"/>
              <w:jc w:val="right"/>
              <w:rPr>
                <w:rFonts w:cs="Arial"/>
                <w:color w:val="000000"/>
                <w:sz w:val="16"/>
                <w:szCs w:val="16"/>
              </w:rPr>
            </w:pPr>
            <w:r>
              <w:rPr>
                <w:rFonts w:cs="Arial"/>
                <w:color w:val="000000"/>
                <w:sz w:val="16"/>
                <w:szCs w:val="16"/>
              </w:rPr>
              <w:t>1,7</w:t>
            </w:r>
          </w:p>
        </w:tc>
        <w:tc>
          <w:tcPr>
            <w:tcW w:w="907" w:type="dxa"/>
            <w:tcBorders>
              <w:top w:val="nil"/>
              <w:left w:val="nil"/>
              <w:bottom w:val="nil"/>
              <w:right w:val="nil"/>
            </w:tcBorders>
            <w:shd w:val="clear" w:color="auto" w:fill="auto"/>
            <w:noWrap/>
            <w:vAlign w:val="center"/>
            <w:hideMark/>
          </w:tcPr>
          <w:p w14:paraId="56FE0B8F" w14:textId="022EC572" w:rsidR="00736595" w:rsidRPr="00D92E20" w:rsidRDefault="00736595" w:rsidP="00736595">
            <w:pPr>
              <w:spacing w:after="0" w:line="240" w:lineRule="auto"/>
              <w:jc w:val="right"/>
              <w:rPr>
                <w:rFonts w:cs="Arial"/>
                <w:color w:val="000000"/>
                <w:sz w:val="16"/>
                <w:szCs w:val="16"/>
              </w:rPr>
            </w:pPr>
            <w:r>
              <w:rPr>
                <w:rFonts w:cs="Arial"/>
                <w:color w:val="000000"/>
                <w:sz w:val="16"/>
                <w:szCs w:val="16"/>
              </w:rPr>
              <w:t>1,1</w:t>
            </w:r>
          </w:p>
        </w:tc>
        <w:tc>
          <w:tcPr>
            <w:tcW w:w="907" w:type="dxa"/>
            <w:tcBorders>
              <w:top w:val="nil"/>
              <w:left w:val="nil"/>
              <w:bottom w:val="nil"/>
              <w:right w:val="single" w:sz="4" w:space="0" w:color="auto"/>
            </w:tcBorders>
            <w:shd w:val="clear" w:color="auto" w:fill="auto"/>
            <w:noWrap/>
            <w:vAlign w:val="center"/>
            <w:hideMark/>
          </w:tcPr>
          <w:p w14:paraId="6B0E62F5" w14:textId="1A7B4A43" w:rsidR="00736595" w:rsidRPr="00D92E20" w:rsidRDefault="00736595" w:rsidP="00736595">
            <w:pPr>
              <w:spacing w:after="0" w:line="240" w:lineRule="auto"/>
              <w:jc w:val="right"/>
              <w:rPr>
                <w:rFonts w:cs="Arial"/>
                <w:color w:val="000000"/>
                <w:sz w:val="16"/>
                <w:szCs w:val="16"/>
              </w:rPr>
            </w:pPr>
            <w:r>
              <w:rPr>
                <w:rFonts w:cs="Arial"/>
                <w:color w:val="000000"/>
                <w:sz w:val="16"/>
                <w:szCs w:val="16"/>
              </w:rPr>
              <w:t>0,6</w:t>
            </w:r>
          </w:p>
        </w:tc>
        <w:tc>
          <w:tcPr>
            <w:tcW w:w="907" w:type="dxa"/>
            <w:tcBorders>
              <w:top w:val="nil"/>
              <w:left w:val="nil"/>
              <w:bottom w:val="nil"/>
              <w:right w:val="nil"/>
            </w:tcBorders>
            <w:shd w:val="clear" w:color="auto" w:fill="auto"/>
            <w:noWrap/>
            <w:vAlign w:val="center"/>
            <w:hideMark/>
          </w:tcPr>
          <w:p w14:paraId="21F7546E" w14:textId="5C3620B4" w:rsidR="00736595" w:rsidRPr="00D92E20" w:rsidRDefault="00736595" w:rsidP="00736595">
            <w:pPr>
              <w:spacing w:after="0" w:line="240" w:lineRule="auto"/>
              <w:jc w:val="right"/>
              <w:rPr>
                <w:rFonts w:cs="Arial"/>
                <w:color w:val="000000"/>
                <w:sz w:val="16"/>
                <w:szCs w:val="16"/>
              </w:rPr>
            </w:pPr>
            <w:r>
              <w:rPr>
                <w:rFonts w:cs="Arial"/>
                <w:color w:val="000000"/>
                <w:sz w:val="16"/>
                <w:szCs w:val="16"/>
              </w:rPr>
              <w:t>153,5</w:t>
            </w:r>
          </w:p>
        </w:tc>
        <w:tc>
          <w:tcPr>
            <w:tcW w:w="907" w:type="dxa"/>
            <w:tcBorders>
              <w:top w:val="nil"/>
              <w:left w:val="nil"/>
              <w:bottom w:val="nil"/>
              <w:right w:val="nil"/>
            </w:tcBorders>
            <w:shd w:val="clear" w:color="auto" w:fill="auto"/>
            <w:noWrap/>
            <w:vAlign w:val="center"/>
            <w:hideMark/>
          </w:tcPr>
          <w:p w14:paraId="286ECA84" w14:textId="20F26E18" w:rsidR="00736595" w:rsidRPr="00D92E20" w:rsidRDefault="00736595" w:rsidP="00736595">
            <w:pPr>
              <w:spacing w:after="0" w:line="240" w:lineRule="auto"/>
              <w:jc w:val="right"/>
              <w:rPr>
                <w:rFonts w:cs="Arial"/>
                <w:color w:val="000000"/>
                <w:sz w:val="16"/>
                <w:szCs w:val="16"/>
              </w:rPr>
            </w:pPr>
            <w:r>
              <w:rPr>
                <w:rFonts w:cs="Arial"/>
                <w:color w:val="000000"/>
                <w:sz w:val="16"/>
                <w:szCs w:val="16"/>
              </w:rPr>
              <w:t>158,6</w:t>
            </w:r>
          </w:p>
        </w:tc>
        <w:tc>
          <w:tcPr>
            <w:tcW w:w="907" w:type="dxa"/>
            <w:tcBorders>
              <w:top w:val="nil"/>
              <w:left w:val="nil"/>
              <w:bottom w:val="nil"/>
              <w:right w:val="nil"/>
            </w:tcBorders>
            <w:shd w:val="clear" w:color="auto" w:fill="auto"/>
            <w:noWrap/>
            <w:vAlign w:val="center"/>
            <w:hideMark/>
          </w:tcPr>
          <w:p w14:paraId="3D5BF987" w14:textId="4B11F914" w:rsidR="00736595" w:rsidRPr="00D92E20" w:rsidRDefault="00736595" w:rsidP="00736595">
            <w:pPr>
              <w:spacing w:after="0" w:line="240" w:lineRule="auto"/>
              <w:jc w:val="right"/>
              <w:rPr>
                <w:rFonts w:cs="Arial"/>
                <w:color w:val="000000"/>
                <w:sz w:val="16"/>
                <w:szCs w:val="16"/>
              </w:rPr>
            </w:pPr>
            <w:r>
              <w:rPr>
                <w:rFonts w:cs="Arial"/>
                <w:color w:val="000000"/>
                <w:sz w:val="16"/>
                <w:szCs w:val="16"/>
              </w:rPr>
              <w:t>144,3</w:t>
            </w:r>
          </w:p>
        </w:tc>
      </w:tr>
      <w:tr w:rsidR="00736595" w:rsidRPr="00D92E20" w14:paraId="4AA549AA" w14:textId="77777777" w:rsidTr="00E371CF">
        <w:trPr>
          <w:trHeight w:val="300"/>
        </w:trPr>
        <w:tc>
          <w:tcPr>
            <w:tcW w:w="4195" w:type="dxa"/>
            <w:tcBorders>
              <w:top w:val="nil"/>
              <w:left w:val="nil"/>
              <w:bottom w:val="nil"/>
              <w:right w:val="nil"/>
            </w:tcBorders>
            <w:shd w:val="clear" w:color="auto" w:fill="auto"/>
            <w:noWrap/>
            <w:vAlign w:val="center"/>
            <w:hideMark/>
          </w:tcPr>
          <w:p w14:paraId="39A6BB3E" w14:textId="09278A1A" w:rsidR="00736595" w:rsidRPr="00D92E20" w:rsidRDefault="00736595" w:rsidP="00736595">
            <w:pPr>
              <w:spacing w:after="0" w:line="240" w:lineRule="auto"/>
              <w:ind w:firstLineChars="200" w:firstLine="320"/>
              <w:rPr>
                <w:rFonts w:cs="Arial"/>
                <w:color w:val="000000"/>
                <w:sz w:val="16"/>
                <w:szCs w:val="16"/>
              </w:rPr>
            </w:pPr>
            <w:r>
              <w:rPr>
                <w:rFonts w:cs="Arial"/>
                <w:sz w:val="16"/>
                <w:szCs w:val="16"/>
              </w:rPr>
              <w:t xml:space="preserve">      – jiné nemoci oběhové soustavy</w:t>
            </w:r>
          </w:p>
        </w:tc>
        <w:tc>
          <w:tcPr>
            <w:tcW w:w="907" w:type="dxa"/>
            <w:tcBorders>
              <w:top w:val="nil"/>
              <w:left w:val="single" w:sz="4" w:space="0" w:color="auto"/>
              <w:bottom w:val="nil"/>
              <w:right w:val="nil"/>
            </w:tcBorders>
            <w:shd w:val="clear" w:color="auto" w:fill="auto"/>
            <w:noWrap/>
            <w:vAlign w:val="center"/>
            <w:hideMark/>
          </w:tcPr>
          <w:p w14:paraId="4C69FAC9" w14:textId="49CBB305" w:rsidR="00736595" w:rsidRPr="00D92E20" w:rsidRDefault="00736595" w:rsidP="00736595">
            <w:pPr>
              <w:spacing w:after="0" w:line="240" w:lineRule="auto"/>
              <w:jc w:val="right"/>
              <w:rPr>
                <w:rFonts w:cs="Arial"/>
                <w:color w:val="000000"/>
                <w:sz w:val="16"/>
                <w:szCs w:val="16"/>
              </w:rPr>
            </w:pPr>
            <w:r>
              <w:rPr>
                <w:rFonts w:cs="Arial"/>
                <w:color w:val="000000"/>
                <w:sz w:val="16"/>
                <w:szCs w:val="16"/>
              </w:rPr>
              <w:t>14,8</w:t>
            </w:r>
          </w:p>
        </w:tc>
        <w:tc>
          <w:tcPr>
            <w:tcW w:w="907" w:type="dxa"/>
            <w:tcBorders>
              <w:top w:val="nil"/>
              <w:left w:val="nil"/>
              <w:bottom w:val="nil"/>
              <w:right w:val="nil"/>
            </w:tcBorders>
            <w:shd w:val="clear" w:color="auto" w:fill="auto"/>
            <w:noWrap/>
            <w:vAlign w:val="center"/>
            <w:hideMark/>
          </w:tcPr>
          <w:p w14:paraId="18C6D2E1" w14:textId="55087D05" w:rsidR="00736595" w:rsidRPr="00D92E20" w:rsidRDefault="00736595" w:rsidP="00736595">
            <w:pPr>
              <w:spacing w:after="0" w:line="240" w:lineRule="auto"/>
              <w:jc w:val="right"/>
              <w:rPr>
                <w:rFonts w:cs="Arial"/>
                <w:color w:val="000000"/>
                <w:sz w:val="16"/>
                <w:szCs w:val="16"/>
              </w:rPr>
            </w:pPr>
            <w:r>
              <w:rPr>
                <w:rFonts w:cs="Arial"/>
                <w:color w:val="000000"/>
                <w:sz w:val="16"/>
                <w:szCs w:val="16"/>
              </w:rPr>
              <w:t>7,5</w:t>
            </w:r>
          </w:p>
        </w:tc>
        <w:tc>
          <w:tcPr>
            <w:tcW w:w="907" w:type="dxa"/>
            <w:tcBorders>
              <w:top w:val="nil"/>
              <w:left w:val="nil"/>
              <w:bottom w:val="nil"/>
              <w:right w:val="single" w:sz="4" w:space="0" w:color="auto"/>
            </w:tcBorders>
            <w:shd w:val="clear" w:color="auto" w:fill="auto"/>
            <w:noWrap/>
            <w:vAlign w:val="center"/>
            <w:hideMark/>
          </w:tcPr>
          <w:p w14:paraId="1E94BDC2" w14:textId="4226B184" w:rsidR="00736595" w:rsidRPr="00D92E20" w:rsidRDefault="00736595" w:rsidP="00736595">
            <w:pPr>
              <w:spacing w:after="0" w:line="240" w:lineRule="auto"/>
              <w:jc w:val="right"/>
              <w:rPr>
                <w:rFonts w:cs="Arial"/>
                <w:color w:val="000000"/>
                <w:sz w:val="16"/>
                <w:szCs w:val="16"/>
              </w:rPr>
            </w:pPr>
            <w:r>
              <w:rPr>
                <w:rFonts w:cs="Arial"/>
                <w:color w:val="000000"/>
                <w:sz w:val="16"/>
                <w:szCs w:val="16"/>
              </w:rPr>
              <w:t>7,3</w:t>
            </w:r>
          </w:p>
        </w:tc>
        <w:tc>
          <w:tcPr>
            <w:tcW w:w="907" w:type="dxa"/>
            <w:tcBorders>
              <w:top w:val="nil"/>
              <w:left w:val="nil"/>
              <w:bottom w:val="nil"/>
              <w:right w:val="nil"/>
            </w:tcBorders>
            <w:shd w:val="clear" w:color="auto" w:fill="auto"/>
            <w:noWrap/>
            <w:vAlign w:val="center"/>
            <w:hideMark/>
          </w:tcPr>
          <w:p w14:paraId="4B4081E9" w14:textId="60807651" w:rsidR="00736595" w:rsidRPr="00D92E20" w:rsidRDefault="00736595" w:rsidP="00736595">
            <w:pPr>
              <w:spacing w:after="0" w:line="240" w:lineRule="auto"/>
              <w:jc w:val="right"/>
              <w:rPr>
                <w:rFonts w:cs="Arial"/>
                <w:color w:val="000000"/>
                <w:sz w:val="16"/>
                <w:szCs w:val="16"/>
              </w:rPr>
            </w:pPr>
            <w:r>
              <w:rPr>
                <w:rFonts w:cs="Arial"/>
                <w:color w:val="000000"/>
                <w:sz w:val="16"/>
                <w:szCs w:val="16"/>
              </w:rPr>
              <w:t>69,1</w:t>
            </w:r>
          </w:p>
        </w:tc>
        <w:tc>
          <w:tcPr>
            <w:tcW w:w="907" w:type="dxa"/>
            <w:tcBorders>
              <w:top w:val="nil"/>
              <w:left w:val="nil"/>
              <w:bottom w:val="nil"/>
              <w:right w:val="nil"/>
            </w:tcBorders>
            <w:shd w:val="clear" w:color="auto" w:fill="auto"/>
            <w:noWrap/>
            <w:vAlign w:val="center"/>
            <w:hideMark/>
          </w:tcPr>
          <w:p w14:paraId="04C49799" w14:textId="5367FB30" w:rsidR="00736595" w:rsidRPr="00D92E20" w:rsidRDefault="00736595" w:rsidP="00736595">
            <w:pPr>
              <w:spacing w:after="0" w:line="240" w:lineRule="auto"/>
              <w:jc w:val="right"/>
              <w:rPr>
                <w:rFonts w:cs="Arial"/>
                <w:color w:val="000000"/>
                <w:sz w:val="16"/>
                <w:szCs w:val="16"/>
              </w:rPr>
            </w:pPr>
            <w:r>
              <w:rPr>
                <w:rFonts w:cs="Arial"/>
                <w:color w:val="000000"/>
                <w:sz w:val="16"/>
                <w:szCs w:val="16"/>
              </w:rPr>
              <w:t>80,0</w:t>
            </w:r>
          </w:p>
        </w:tc>
        <w:tc>
          <w:tcPr>
            <w:tcW w:w="907" w:type="dxa"/>
            <w:tcBorders>
              <w:top w:val="nil"/>
              <w:left w:val="nil"/>
              <w:bottom w:val="nil"/>
              <w:right w:val="nil"/>
            </w:tcBorders>
            <w:shd w:val="clear" w:color="auto" w:fill="auto"/>
            <w:noWrap/>
            <w:vAlign w:val="center"/>
            <w:hideMark/>
          </w:tcPr>
          <w:p w14:paraId="04F874CB" w14:textId="70D4E8E2" w:rsidR="00736595" w:rsidRPr="00D92E20" w:rsidRDefault="00736595" w:rsidP="00736595">
            <w:pPr>
              <w:spacing w:after="0" w:line="240" w:lineRule="auto"/>
              <w:jc w:val="right"/>
              <w:rPr>
                <w:rFonts w:cs="Arial"/>
                <w:color w:val="000000"/>
                <w:sz w:val="16"/>
                <w:szCs w:val="16"/>
              </w:rPr>
            </w:pPr>
            <w:r>
              <w:rPr>
                <w:rFonts w:cs="Arial"/>
                <w:color w:val="000000"/>
                <w:sz w:val="16"/>
                <w:szCs w:val="16"/>
              </w:rPr>
              <w:t>57,8</w:t>
            </w:r>
          </w:p>
        </w:tc>
      </w:tr>
      <w:tr w:rsidR="00736595" w:rsidRPr="00D92E20" w14:paraId="45B85609" w14:textId="77777777" w:rsidTr="00E371CF">
        <w:trPr>
          <w:trHeight w:val="300"/>
        </w:trPr>
        <w:tc>
          <w:tcPr>
            <w:tcW w:w="4195" w:type="dxa"/>
            <w:tcBorders>
              <w:top w:val="nil"/>
              <w:left w:val="nil"/>
              <w:bottom w:val="nil"/>
              <w:right w:val="nil"/>
            </w:tcBorders>
            <w:shd w:val="clear" w:color="auto" w:fill="auto"/>
            <w:noWrap/>
            <w:vAlign w:val="center"/>
            <w:hideMark/>
          </w:tcPr>
          <w:p w14:paraId="4207E842" w14:textId="5A7A5A92" w:rsidR="00736595" w:rsidRPr="00D92E20" w:rsidRDefault="00736595" w:rsidP="00736595">
            <w:pPr>
              <w:spacing w:after="0" w:line="240" w:lineRule="auto"/>
              <w:ind w:firstLineChars="100" w:firstLine="160"/>
              <w:rPr>
                <w:rFonts w:cs="Arial"/>
                <w:color w:val="000000"/>
                <w:sz w:val="16"/>
                <w:szCs w:val="16"/>
              </w:rPr>
            </w:pPr>
            <w:r>
              <w:rPr>
                <w:rFonts w:cs="Arial"/>
                <w:sz w:val="16"/>
                <w:szCs w:val="16"/>
              </w:rPr>
              <w:t xml:space="preserve">   Nemoci dýchací soustavy</w:t>
            </w:r>
          </w:p>
        </w:tc>
        <w:tc>
          <w:tcPr>
            <w:tcW w:w="907" w:type="dxa"/>
            <w:tcBorders>
              <w:top w:val="nil"/>
              <w:left w:val="single" w:sz="4" w:space="0" w:color="auto"/>
              <w:bottom w:val="nil"/>
              <w:right w:val="nil"/>
            </w:tcBorders>
            <w:shd w:val="clear" w:color="auto" w:fill="auto"/>
            <w:noWrap/>
            <w:vAlign w:val="center"/>
            <w:hideMark/>
          </w:tcPr>
          <w:p w14:paraId="4465FC3A" w14:textId="4F7F64E8" w:rsidR="00736595" w:rsidRPr="00D92E20" w:rsidRDefault="00736595" w:rsidP="00736595">
            <w:pPr>
              <w:spacing w:after="0" w:line="240" w:lineRule="auto"/>
              <w:jc w:val="right"/>
              <w:rPr>
                <w:rFonts w:cs="Arial"/>
                <w:color w:val="000000"/>
                <w:sz w:val="16"/>
                <w:szCs w:val="16"/>
              </w:rPr>
            </w:pPr>
            <w:r>
              <w:rPr>
                <w:rFonts w:cs="Arial"/>
                <w:color w:val="000000"/>
                <w:sz w:val="16"/>
                <w:szCs w:val="16"/>
              </w:rPr>
              <w:t>460,5</w:t>
            </w:r>
          </w:p>
        </w:tc>
        <w:tc>
          <w:tcPr>
            <w:tcW w:w="907" w:type="dxa"/>
            <w:tcBorders>
              <w:top w:val="nil"/>
              <w:left w:val="nil"/>
              <w:bottom w:val="nil"/>
              <w:right w:val="nil"/>
            </w:tcBorders>
            <w:shd w:val="clear" w:color="auto" w:fill="auto"/>
            <w:noWrap/>
            <w:vAlign w:val="center"/>
            <w:hideMark/>
          </w:tcPr>
          <w:p w14:paraId="178A0527" w14:textId="20B4008C" w:rsidR="00736595" w:rsidRPr="00D92E20" w:rsidRDefault="00736595" w:rsidP="00736595">
            <w:pPr>
              <w:spacing w:after="0" w:line="240" w:lineRule="auto"/>
              <w:jc w:val="right"/>
              <w:rPr>
                <w:rFonts w:cs="Arial"/>
                <w:color w:val="000000"/>
                <w:sz w:val="16"/>
                <w:szCs w:val="16"/>
              </w:rPr>
            </w:pPr>
            <w:r>
              <w:rPr>
                <w:rFonts w:cs="Arial"/>
                <w:color w:val="000000"/>
                <w:sz w:val="16"/>
                <w:szCs w:val="16"/>
              </w:rPr>
              <w:t>200,8</w:t>
            </w:r>
          </w:p>
        </w:tc>
        <w:tc>
          <w:tcPr>
            <w:tcW w:w="907" w:type="dxa"/>
            <w:tcBorders>
              <w:top w:val="nil"/>
              <w:left w:val="nil"/>
              <w:bottom w:val="nil"/>
              <w:right w:val="single" w:sz="4" w:space="0" w:color="auto"/>
            </w:tcBorders>
            <w:shd w:val="clear" w:color="auto" w:fill="auto"/>
            <w:noWrap/>
            <w:vAlign w:val="center"/>
            <w:hideMark/>
          </w:tcPr>
          <w:p w14:paraId="24F478F8" w14:textId="0B521ED1" w:rsidR="00736595" w:rsidRPr="00D92E20" w:rsidRDefault="00736595" w:rsidP="00736595">
            <w:pPr>
              <w:spacing w:after="0" w:line="240" w:lineRule="auto"/>
              <w:jc w:val="right"/>
              <w:rPr>
                <w:rFonts w:cs="Arial"/>
                <w:color w:val="000000"/>
                <w:sz w:val="16"/>
                <w:szCs w:val="16"/>
              </w:rPr>
            </w:pPr>
            <w:r>
              <w:rPr>
                <w:rFonts w:cs="Arial"/>
                <w:color w:val="000000"/>
                <w:sz w:val="16"/>
                <w:szCs w:val="16"/>
              </w:rPr>
              <w:t>259,6</w:t>
            </w:r>
          </w:p>
        </w:tc>
        <w:tc>
          <w:tcPr>
            <w:tcW w:w="907" w:type="dxa"/>
            <w:tcBorders>
              <w:top w:val="nil"/>
              <w:left w:val="nil"/>
              <w:bottom w:val="nil"/>
              <w:right w:val="nil"/>
            </w:tcBorders>
            <w:shd w:val="clear" w:color="auto" w:fill="auto"/>
            <w:noWrap/>
            <w:vAlign w:val="center"/>
            <w:hideMark/>
          </w:tcPr>
          <w:p w14:paraId="51D186BA" w14:textId="6A85A86C" w:rsidR="00736595" w:rsidRPr="00D92E20" w:rsidRDefault="00736595" w:rsidP="00736595">
            <w:pPr>
              <w:spacing w:after="0" w:line="240" w:lineRule="auto"/>
              <w:jc w:val="right"/>
              <w:rPr>
                <w:rFonts w:cs="Arial"/>
                <w:color w:val="000000"/>
                <w:sz w:val="16"/>
                <w:szCs w:val="16"/>
              </w:rPr>
            </w:pPr>
            <w:r>
              <w:rPr>
                <w:rFonts w:cs="Arial"/>
                <w:color w:val="000000"/>
                <w:sz w:val="16"/>
                <w:szCs w:val="16"/>
              </w:rPr>
              <w:t>13,2</w:t>
            </w:r>
          </w:p>
        </w:tc>
        <w:tc>
          <w:tcPr>
            <w:tcW w:w="907" w:type="dxa"/>
            <w:tcBorders>
              <w:top w:val="nil"/>
              <w:left w:val="nil"/>
              <w:bottom w:val="nil"/>
              <w:right w:val="nil"/>
            </w:tcBorders>
            <w:shd w:val="clear" w:color="auto" w:fill="auto"/>
            <w:noWrap/>
            <w:vAlign w:val="center"/>
            <w:hideMark/>
          </w:tcPr>
          <w:p w14:paraId="6E2A7618" w14:textId="6DD0A1B7" w:rsidR="00736595" w:rsidRPr="00D92E20" w:rsidRDefault="00736595" w:rsidP="00736595">
            <w:pPr>
              <w:spacing w:after="0" w:line="240" w:lineRule="auto"/>
              <w:jc w:val="right"/>
              <w:rPr>
                <w:rFonts w:cs="Arial"/>
                <w:color w:val="000000"/>
                <w:sz w:val="16"/>
                <w:szCs w:val="16"/>
              </w:rPr>
            </w:pPr>
            <w:r>
              <w:rPr>
                <w:rFonts w:cs="Arial"/>
                <w:color w:val="000000"/>
                <w:sz w:val="16"/>
                <w:szCs w:val="16"/>
              </w:rPr>
              <w:t>13,3</w:t>
            </w:r>
          </w:p>
        </w:tc>
        <w:tc>
          <w:tcPr>
            <w:tcW w:w="907" w:type="dxa"/>
            <w:tcBorders>
              <w:top w:val="nil"/>
              <w:left w:val="nil"/>
              <w:bottom w:val="nil"/>
              <w:right w:val="nil"/>
            </w:tcBorders>
            <w:shd w:val="clear" w:color="auto" w:fill="auto"/>
            <w:noWrap/>
            <w:vAlign w:val="center"/>
            <w:hideMark/>
          </w:tcPr>
          <w:p w14:paraId="6E015F77" w14:textId="56955B63" w:rsidR="00736595" w:rsidRPr="00D92E20" w:rsidRDefault="00736595" w:rsidP="00736595">
            <w:pPr>
              <w:spacing w:after="0" w:line="240" w:lineRule="auto"/>
              <w:jc w:val="right"/>
              <w:rPr>
                <w:rFonts w:cs="Arial"/>
                <w:color w:val="000000"/>
                <w:sz w:val="16"/>
                <w:szCs w:val="16"/>
              </w:rPr>
            </w:pPr>
            <w:r>
              <w:rPr>
                <w:rFonts w:cs="Arial"/>
                <w:color w:val="000000"/>
                <w:sz w:val="16"/>
                <w:szCs w:val="16"/>
              </w:rPr>
              <w:t>13,0</w:t>
            </w:r>
          </w:p>
        </w:tc>
      </w:tr>
      <w:tr w:rsidR="00736595" w:rsidRPr="00D92E20" w14:paraId="40A1FDA0" w14:textId="77777777" w:rsidTr="00E371CF">
        <w:trPr>
          <w:trHeight w:val="300"/>
        </w:trPr>
        <w:tc>
          <w:tcPr>
            <w:tcW w:w="4195" w:type="dxa"/>
            <w:tcBorders>
              <w:top w:val="nil"/>
              <w:left w:val="nil"/>
              <w:bottom w:val="nil"/>
              <w:right w:val="nil"/>
            </w:tcBorders>
            <w:shd w:val="clear" w:color="auto" w:fill="auto"/>
            <w:noWrap/>
            <w:vAlign w:val="center"/>
            <w:hideMark/>
          </w:tcPr>
          <w:p w14:paraId="4BC97036" w14:textId="69CA913D" w:rsidR="00736595" w:rsidRPr="00D92E20" w:rsidRDefault="00736595" w:rsidP="00736595">
            <w:pPr>
              <w:spacing w:after="0" w:line="240" w:lineRule="auto"/>
              <w:ind w:firstLineChars="200" w:firstLine="320"/>
              <w:rPr>
                <w:rFonts w:cs="Arial"/>
                <w:color w:val="000000"/>
                <w:sz w:val="16"/>
                <w:szCs w:val="16"/>
              </w:rPr>
            </w:pPr>
            <w:r>
              <w:rPr>
                <w:rFonts w:cs="Arial"/>
                <w:sz w:val="16"/>
                <w:szCs w:val="16"/>
              </w:rPr>
              <w:t xml:space="preserve">      – akutní infekce dýchacích cest</w:t>
            </w:r>
          </w:p>
        </w:tc>
        <w:tc>
          <w:tcPr>
            <w:tcW w:w="907" w:type="dxa"/>
            <w:tcBorders>
              <w:top w:val="nil"/>
              <w:left w:val="single" w:sz="4" w:space="0" w:color="auto"/>
              <w:bottom w:val="nil"/>
              <w:right w:val="nil"/>
            </w:tcBorders>
            <w:shd w:val="clear" w:color="auto" w:fill="auto"/>
            <w:noWrap/>
            <w:vAlign w:val="center"/>
            <w:hideMark/>
          </w:tcPr>
          <w:p w14:paraId="09E29266" w14:textId="37709670" w:rsidR="00736595" w:rsidRPr="00D92E20" w:rsidRDefault="00736595" w:rsidP="00736595">
            <w:pPr>
              <w:spacing w:after="0" w:line="240" w:lineRule="auto"/>
              <w:jc w:val="right"/>
              <w:rPr>
                <w:rFonts w:cs="Arial"/>
                <w:color w:val="000000"/>
                <w:sz w:val="16"/>
                <w:szCs w:val="16"/>
              </w:rPr>
            </w:pPr>
            <w:r>
              <w:rPr>
                <w:rFonts w:cs="Arial"/>
                <w:color w:val="000000"/>
                <w:sz w:val="16"/>
                <w:szCs w:val="16"/>
              </w:rPr>
              <w:t>415,1</w:t>
            </w:r>
          </w:p>
        </w:tc>
        <w:tc>
          <w:tcPr>
            <w:tcW w:w="907" w:type="dxa"/>
            <w:tcBorders>
              <w:top w:val="nil"/>
              <w:left w:val="nil"/>
              <w:bottom w:val="nil"/>
              <w:right w:val="nil"/>
            </w:tcBorders>
            <w:shd w:val="clear" w:color="auto" w:fill="auto"/>
            <w:noWrap/>
            <w:vAlign w:val="center"/>
            <w:hideMark/>
          </w:tcPr>
          <w:p w14:paraId="5417112B" w14:textId="675497E8" w:rsidR="00736595" w:rsidRPr="00D92E20" w:rsidRDefault="00736595" w:rsidP="00736595">
            <w:pPr>
              <w:spacing w:after="0" w:line="240" w:lineRule="auto"/>
              <w:jc w:val="right"/>
              <w:rPr>
                <w:rFonts w:cs="Arial"/>
                <w:color w:val="000000"/>
                <w:sz w:val="16"/>
                <w:szCs w:val="16"/>
              </w:rPr>
            </w:pPr>
            <w:r>
              <w:rPr>
                <w:rFonts w:cs="Arial"/>
                <w:color w:val="000000"/>
                <w:sz w:val="16"/>
                <w:szCs w:val="16"/>
              </w:rPr>
              <w:t>178,8</w:t>
            </w:r>
          </w:p>
        </w:tc>
        <w:tc>
          <w:tcPr>
            <w:tcW w:w="907" w:type="dxa"/>
            <w:tcBorders>
              <w:top w:val="nil"/>
              <w:left w:val="nil"/>
              <w:bottom w:val="nil"/>
              <w:right w:val="single" w:sz="4" w:space="0" w:color="auto"/>
            </w:tcBorders>
            <w:shd w:val="clear" w:color="auto" w:fill="auto"/>
            <w:noWrap/>
            <w:vAlign w:val="center"/>
            <w:hideMark/>
          </w:tcPr>
          <w:p w14:paraId="13FA8EB8" w14:textId="4FB3B283" w:rsidR="00736595" w:rsidRPr="00D92E20" w:rsidRDefault="00736595" w:rsidP="00736595">
            <w:pPr>
              <w:spacing w:after="0" w:line="240" w:lineRule="auto"/>
              <w:jc w:val="right"/>
              <w:rPr>
                <w:rFonts w:cs="Arial"/>
                <w:color w:val="000000"/>
                <w:sz w:val="16"/>
                <w:szCs w:val="16"/>
              </w:rPr>
            </w:pPr>
            <w:r>
              <w:rPr>
                <w:rFonts w:cs="Arial"/>
                <w:color w:val="000000"/>
                <w:sz w:val="16"/>
                <w:szCs w:val="16"/>
              </w:rPr>
              <w:t>236,2</w:t>
            </w:r>
          </w:p>
        </w:tc>
        <w:tc>
          <w:tcPr>
            <w:tcW w:w="907" w:type="dxa"/>
            <w:tcBorders>
              <w:top w:val="nil"/>
              <w:left w:val="nil"/>
              <w:bottom w:val="nil"/>
              <w:right w:val="nil"/>
            </w:tcBorders>
            <w:shd w:val="clear" w:color="auto" w:fill="auto"/>
            <w:noWrap/>
            <w:vAlign w:val="center"/>
            <w:hideMark/>
          </w:tcPr>
          <w:p w14:paraId="0E41D222" w14:textId="565BEB3C" w:rsidR="00736595" w:rsidRPr="00D92E20" w:rsidRDefault="00736595" w:rsidP="00736595">
            <w:pPr>
              <w:spacing w:after="0" w:line="240" w:lineRule="auto"/>
              <w:jc w:val="right"/>
              <w:rPr>
                <w:rFonts w:cs="Arial"/>
                <w:color w:val="000000"/>
                <w:sz w:val="16"/>
                <w:szCs w:val="16"/>
              </w:rPr>
            </w:pPr>
            <w:r>
              <w:rPr>
                <w:rFonts w:cs="Arial"/>
                <w:color w:val="000000"/>
                <w:sz w:val="16"/>
                <w:szCs w:val="16"/>
              </w:rPr>
              <w:t>12,1</w:t>
            </w:r>
          </w:p>
        </w:tc>
        <w:tc>
          <w:tcPr>
            <w:tcW w:w="907" w:type="dxa"/>
            <w:tcBorders>
              <w:top w:val="nil"/>
              <w:left w:val="nil"/>
              <w:bottom w:val="nil"/>
              <w:right w:val="nil"/>
            </w:tcBorders>
            <w:shd w:val="clear" w:color="auto" w:fill="auto"/>
            <w:noWrap/>
            <w:vAlign w:val="center"/>
            <w:hideMark/>
          </w:tcPr>
          <w:p w14:paraId="0E27190D" w14:textId="2EF0E52A" w:rsidR="00736595" w:rsidRPr="00D92E20" w:rsidRDefault="00736595" w:rsidP="00736595">
            <w:pPr>
              <w:spacing w:after="0" w:line="240" w:lineRule="auto"/>
              <w:jc w:val="right"/>
              <w:rPr>
                <w:rFonts w:cs="Arial"/>
                <w:color w:val="000000"/>
                <w:sz w:val="16"/>
                <w:szCs w:val="16"/>
              </w:rPr>
            </w:pPr>
            <w:r>
              <w:rPr>
                <w:rFonts w:cs="Arial"/>
                <w:color w:val="000000"/>
                <w:sz w:val="16"/>
                <w:szCs w:val="16"/>
              </w:rPr>
              <w:t>11,9</w:t>
            </w:r>
          </w:p>
        </w:tc>
        <w:tc>
          <w:tcPr>
            <w:tcW w:w="907" w:type="dxa"/>
            <w:tcBorders>
              <w:top w:val="nil"/>
              <w:left w:val="nil"/>
              <w:bottom w:val="nil"/>
              <w:right w:val="nil"/>
            </w:tcBorders>
            <w:shd w:val="clear" w:color="auto" w:fill="auto"/>
            <w:noWrap/>
            <w:vAlign w:val="center"/>
            <w:hideMark/>
          </w:tcPr>
          <w:p w14:paraId="0CF8D221" w14:textId="56EE97CE" w:rsidR="00736595" w:rsidRPr="00D92E20" w:rsidRDefault="00736595" w:rsidP="00736595">
            <w:pPr>
              <w:spacing w:after="0" w:line="240" w:lineRule="auto"/>
              <w:jc w:val="right"/>
              <w:rPr>
                <w:rFonts w:cs="Arial"/>
                <w:color w:val="000000"/>
                <w:sz w:val="16"/>
                <w:szCs w:val="16"/>
              </w:rPr>
            </w:pPr>
            <w:r>
              <w:rPr>
                <w:rFonts w:cs="Arial"/>
                <w:color w:val="000000"/>
                <w:sz w:val="16"/>
                <w:szCs w:val="16"/>
              </w:rPr>
              <w:t>12,2</w:t>
            </w:r>
          </w:p>
        </w:tc>
      </w:tr>
      <w:tr w:rsidR="00736595" w:rsidRPr="00D92E20" w14:paraId="5BE36E0D" w14:textId="77777777" w:rsidTr="00E371CF">
        <w:trPr>
          <w:trHeight w:val="300"/>
        </w:trPr>
        <w:tc>
          <w:tcPr>
            <w:tcW w:w="4195" w:type="dxa"/>
            <w:tcBorders>
              <w:top w:val="nil"/>
              <w:left w:val="nil"/>
              <w:bottom w:val="nil"/>
              <w:right w:val="nil"/>
            </w:tcBorders>
            <w:shd w:val="clear" w:color="auto" w:fill="auto"/>
            <w:noWrap/>
            <w:vAlign w:val="center"/>
            <w:hideMark/>
          </w:tcPr>
          <w:p w14:paraId="218BC176" w14:textId="62843C28" w:rsidR="00736595" w:rsidRPr="00D92E20" w:rsidRDefault="00736595" w:rsidP="00736595">
            <w:pPr>
              <w:spacing w:after="0" w:line="240" w:lineRule="auto"/>
              <w:ind w:firstLineChars="200" w:firstLine="320"/>
              <w:rPr>
                <w:rFonts w:cs="Arial"/>
                <w:color w:val="000000"/>
                <w:sz w:val="16"/>
                <w:szCs w:val="16"/>
              </w:rPr>
            </w:pPr>
            <w:r>
              <w:rPr>
                <w:rFonts w:cs="Arial"/>
                <w:sz w:val="16"/>
                <w:szCs w:val="16"/>
              </w:rPr>
              <w:t xml:space="preserve">      – chřipka</w:t>
            </w:r>
          </w:p>
        </w:tc>
        <w:tc>
          <w:tcPr>
            <w:tcW w:w="907" w:type="dxa"/>
            <w:tcBorders>
              <w:top w:val="nil"/>
              <w:left w:val="single" w:sz="4" w:space="0" w:color="auto"/>
              <w:bottom w:val="nil"/>
              <w:right w:val="nil"/>
            </w:tcBorders>
            <w:shd w:val="clear" w:color="auto" w:fill="auto"/>
            <w:noWrap/>
            <w:vAlign w:val="center"/>
            <w:hideMark/>
          </w:tcPr>
          <w:p w14:paraId="098999A5" w14:textId="0A1383E6" w:rsidR="00736595" w:rsidRPr="00D92E20" w:rsidRDefault="00736595" w:rsidP="00736595">
            <w:pPr>
              <w:spacing w:after="0" w:line="240" w:lineRule="auto"/>
              <w:jc w:val="right"/>
              <w:rPr>
                <w:rFonts w:cs="Arial"/>
                <w:color w:val="000000"/>
                <w:sz w:val="16"/>
                <w:szCs w:val="16"/>
              </w:rPr>
            </w:pPr>
            <w:r>
              <w:rPr>
                <w:rFonts w:cs="Arial"/>
                <w:color w:val="000000"/>
                <w:sz w:val="16"/>
                <w:szCs w:val="16"/>
              </w:rPr>
              <w:t>34,1</w:t>
            </w:r>
          </w:p>
        </w:tc>
        <w:tc>
          <w:tcPr>
            <w:tcW w:w="907" w:type="dxa"/>
            <w:tcBorders>
              <w:top w:val="nil"/>
              <w:left w:val="nil"/>
              <w:bottom w:val="nil"/>
              <w:right w:val="nil"/>
            </w:tcBorders>
            <w:shd w:val="clear" w:color="auto" w:fill="auto"/>
            <w:noWrap/>
            <w:vAlign w:val="center"/>
            <w:hideMark/>
          </w:tcPr>
          <w:p w14:paraId="7ED8173E" w14:textId="09F1BAB4" w:rsidR="00736595" w:rsidRPr="00D92E20" w:rsidRDefault="00736595" w:rsidP="00736595">
            <w:pPr>
              <w:spacing w:after="0" w:line="240" w:lineRule="auto"/>
              <w:jc w:val="right"/>
              <w:rPr>
                <w:rFonts w:cs="Arial"/>
                <w:color w:val="000000"/>
                <w:sz w:val="16"/>
                <w:szCs w:val="16"/>
              </w:rPr>
            </w:pPr>
            <w:r>
              <w:rPr>
                <w:rFonts w:cs="Arial"/>
                <w:color w:val="000000"/>
                <w:sz w:val="16"/>
                <w:szCs w:val="16"/>
              </w:rPr>
              <w:t>16,5</w:t>
            </w:r>
          </w:p>
        </w:tc>
        <w:tc>
          <w:tcPr>
            <w:tcW w:w="907" w:type="dxa"/>
            <w:tcBorders>
              <w:top w:val="nil"/>
              <w:left w:val="nil"/>
              <w:bottom w:val="nil"/>
              <w:right w:val="single" w:sz="4" w:space="0" w:color="auto"/>
            </w:tcBorders>
            <w:shd w:val="clear" w:color="auto" w:fill="auto"/>
            <w:noWrap/>
            <w:vAlign w:val="center"/>
            <w:hideMark/>
          </w:tcPr>
          <w:p w14:paraId="4300B097" w14:textId="65E3ABD6" w:rsidR="00736595" w:rsidRPr="00D92E20" w:rsidRDefault="00736595" w:rsidP="00736595">
            <w:pPr>
              <w:spacing w:after="0" w:line="240" w:lineRule="auto"/>
              <w:jc w:val="right"/>
              <w:rPr>
                <w:rFonts w:cs="Arial"/>
                <w:color w:val="000000"/>
                <w:sz w:val="16"/>
                <w:szCs w:val="16"/>
              </w:rPr>
            </w:pPr>
            <w:r>
              <w:rPr>
                <w:rFonts w:cs="Arial"/>
                <w:color w:val="000000"/>
                <w:sz w:val="16"/>
                <w:szCs w:val="16"/>
              </w:rPr>
              <w:t>17,6</w:t>
            </w:r>
          </w:p>
        </w:tc>
        <w:tc>
          <w:tcPr>
            <w:tcW w:w="907" w:type="dxa"/>
            <w:tcBorders>
              <w:top w:val="nil"/>
              <w:left w:val="nil"/>
              <w:bottom w:val="nil"/>
              <w:right w:val="nil"/>
            </w:tcBorders>
            <w:shd w:val="clear" w:color="auto" w:fill="auto"/>
            <w:noWrap/>
            <w:vAlign w:val="center"/>
            <w:hideMark/>
          </w:tcPr>
          <w:p w14:paraId="0C836F7E" w14:textId="54644D9A" w:rsidR="00736595" w:rsidRPr="00D92E20" w:rsidRDefault="00736595" w:rsidP="00736595">
            <w:pPr>
              <w:spacing w:after="0" w:line="240" w:lineRule="auto"/>
              <w:jc w:val="right"/>
              <w:rPr>
                <w:rFonts w:cs="Arial"/>
                <w:color w:val="000000"/>
                <w:sz w:val="16"/>
                <w:szCs w:val="16"/>
              </w:rPr>
            </w:pPr>
            <w:r>
              <w:rPr>
                <w:rFonts w:cs="Arial"/>
                <w:color w:val="000000"/>
                <w:sz w:val="16"/>
                <w:szCs w:val="16"/>
              </w:rPr>
              <w:t>16,6</w:t>
            </w:r>
          </w:p>
        </w:tc>
        <w:tc>
          <w:tcPr>
            <w:tcW w:w="907" w:type="dxa"/>
            <w:tcBorders>
              <w:top w:val="nil"/>
              <w:left w:val="nil"/>
              <w:bottom w:val="nil"/>
              <w:right w:val="nil"/>
            </w:tcBorders>
            <w:shd w:val="clear" w:color="auto" w:fill="auto"/>
            <w:noWrap/>
            <w:vAlign w:val="center"/>
            <w:hideMark/>
          </w:tcPr>
          <w:p w14:paraId="2958F810" w14:textId="12B9D3C2" w:rsidR="00736595" w:rsidRPr="00D92E20" w:rsidRDefault="00736595" w:rsidP="00736595">
            <w:pPr>
              <w:spacing w:after="0" w:line="240" w:lineRule="auto"/>
              <w:jc w:val="right"/>
              <w:rPr>
                <w:rFonts w:cs="Arial"/>
                <w:color w:val="000000"/>
                <w:sz w:val="16"/>
                <w:szCs w:val="16"/>
              </w:rPr>
            </w:pPr>
            <w:r>
              <w:rPr>
                <w:rFonts w:cs="Arial"/>
                <w:color w:val="000000"/>
                <w:sz w:val="16"/>
                <w:szCs w:val="16"/>
              </w:rPr>
              <w:t>17,6</w:t>
            </w:r>
          </w:p>
        </w:tc>
        <w:tc>
          <w:tcPr>
            <w:tcW w:w="907" w:type="dxa"/>
            <w:tcBorders>
              <w:top w:val="nil"/>
              <w:left w:val="nil"/>
              <w:bottom w:val="nil"/>
              <w:right w:val="nil"/>
            </w:tcBorders>
            <w:shd w:val="clear" w:color="auto" w:fill="auto"/>
            <w:noWrap/>
            <w:vAlign w:val="center"/>
            <w:hideMark/>
          </w:tcPr>
          <w:p w14:paraId="553135A2" w14:textId="0026C8D9" w:rsidR="00736595" w:rsidRPr="00D92E20" w:rsidRDefault="00736595" w:rsidP="00736595">
            <w:pPr>
              <w:spacing w:after="0" w:line="240" w:lineRule="auto"/>
              <w:jc w:val="right"/>
              <w:rPr>
                <w:rFonts w:cs="Arial"/>
                <w:color w:val="000000"/>
                <w:sz w:val="16"/>
                <w:szCs w:val="16"/>
              </w:rPr>
            </w:pPr>
            <w:r>
              <w:rPr>
                <w:rFonts w:cs="Arial"/>
                <w:color w:val="000000"/>
                <w:sz w:val="16"/>
                <w:szCs w:val="16"/>
              </w:rPr>
              <w:t>15,7</w:t>
            </w:r>
          </w:p>
        </w:tc>
      </w:tr>
      <w:tr w:rsidR="00736595" w:rsidRPr="00D92E20" w14:paraId="67B8BE53" w14:textId="77777777" w:rsidTr="00E371CF">
        <w:trPr>
          <w:trHeight w:val="300"/>
        </w:trPr>
        <w:tc>
          <w:tcPr>
            <w:tcW w:w="4195" w:type="dxa"/>
            <w:tcBorders>
              <w:top w:val="nil"/>
              <w:left w:val="nil"/>
              <w:bottom w:val="nil"/>
              <w:right w:val="nil"/>
            </w:tcBorders>
            <w:shd w:val="clear" w:color="auto" w:fill="auto"/>
            <w:noWrap/>
            <w:vAlign w:val="center"/>
            <w:hideMark/>
          </w:tcPr>
          <w:p w14:paraId="45ED2DCE" w14:textId="0C4B182B" w:rsidR="00736595" w:rsidRPr="00D92E20" w:rsidRDefault="00736595" w:rsidP="00736595">
            <w:pPr>
              <w:spacing w:after="0" w:line="240" w:lineRule="auto"/>
              <w:ind w:firstLineChars="200" w:firstLine="320"/>
              <w:rPr>
                <w:rFonts w:cs="Arial"/>
                <w:color w:val="000000"/>
                <w:sz w:val="16"/>
                <w:szCs w:val="16"/>
              </w:rPr>
            </w:pPr>
            <w:r>
              <w:rPr>
                <w:rFonts w:cs="Arial"/>
                <w:sz w:val="16"/>
                <w:szCs w:val="16"/>
              </w:rPr>
              <w:t xml:space="preserve">      – chronické nemoci dolních dýchacích cest</w:t>
            </w:r>
          </w:p>
        </w:tc>
        <w:tc>
          <w:tcPr>
            <w:tcW w:w="907" w:type="dxa"/>
            <w:tcBorders>
              <w:top w:val="nil"/>
              <w:left w:val="single" w:sz="4" w:space="0" w:color="auto"/>
              <w:bottom w:val="nil"/>
              <w:right w:val="nil"/>
            </w:tcBorders>
            <w:shd w:val="clear" w:color="auto" w:fill="auto"/>
            <w:noWrap/>
            <w:vAlign w:val="center"/>
            <w:hideMark/>
          </w:tcPr>
          <w:p w14:paraId="37031D84" w14:textId="29D6FE07" w:rsidR="00736595" w:rsidRPr="00D92E20" w:rsidRDefault="00736595" w:rsidP="00736595">
            <w:pPr>
              <w:spacing w:after="0" w:line="240" w:lineRule="auto"/>
              <w:jc w:val="right"/>
              <w:rPr>
                <w:rFonts w:cs="Arial"/>
                <w:color w:val="000000"/>
                <w:sz w:val="16"/>
                <w:szCs w:val="16"/>
              </w:rPr>
            </w:pPr>
            <w:r>
              <w:rPr>
                <w:rFonts w:cs="Arial"/>
                <w:color w:val="000000"/>
                <w:sz w:val="16"/>
                <w:szCs w:val="16"/>
              </w:rPr>
              <w:t>6,0</w:t>
            </w:r>
          </w:p>
        </w:tc>
        <w:tc>
          <w:tcPr>
            <w:tcW w:w="907" w:type="dxa"/>
            <w:tcBorders>
              <w:top w:val="nil"/>
              <w:left w:val="nil"/>
              <w:bottom w:val="nil"/>
              <w:right w:val="nil"/>
            </w:tcBorders>
            <w:shd w:val="clear" w:color="auto" w:fill="auto"/>
            <w:noWrap/>
            <w:vAlign w:val="center"/>
            <w:hideMark/>
          </w:tcPr>
          <w:p w14:paraId="0D901717" w14:textId="134C4C89" w:rsidR="00736595" w:rsidRPr="00D92E20" w:rsidRDefault="00736595" w:rsidP="00736595">
            <w:pPr>
              <w:spacing w:after="0" w:line="240" w:lineRule="auto"/>
              <w:jc w:val="right"/>
              <w:rPr>
                <w:rFonts w:cs="Arial"/>
                <w:color w:val="000000"/>
                <w:sz w:val="16"/>
                <w:szCs w:val="16"/>
              </w:rPr>
            </w:pPr>
            <w:r>
              <w:rPr>
                <w:rFonts w:cs="Arial"/>
                <w:color w:val="000000"/>
                <w:sz w:val="16"/>
                <w:szCs w:val="16"/>
              </w:rPr>
              <w:t>2,7</w:t>
            </w:r>
          </w:p>
        </w:tc>
        <w:tc>
          <w:tcPr>
            <w:tcW w:w="907" w:type="dxa"/>
            <w:tcBorders>
              <w:top w:val="nil"/>
              <w:left w:val="nil"/>
              <w:bottom w:val="nil"/>
              <w:right w:val="single" w:sz="4" w:space="0" w:color="auto"/>
            </w:tcBorders>
            <w:shd w:val="clear" w:color="auto" w:fill="auto"/>
            <w:noWrap/>
            <w:vAlign w:val="center"/>
            <w:hideMark/>
          </w:tcPr>
          <w:p w14:paraId="6BD2816E" w14:textId="17BFB197" w:rsidR="00736595" w:rsidRPr="00D92E20" w:rsidRDefault="00736595" w:rsidP="00736595">
            <w:pPr>
              <w:spacing w:after="0" w:line="240" w:lineRule="auto"/>
              <w:jc w:val="right"/>
              <w:rPr>
                <w:rFonts w:cs="Arial"/>
                <w:color w:val="000000"/>
                <w:sz w:val="16"/>
                <w:szCs w:val="16"/>
              </w:rPr>
            </w:pPr>
            <w:r>
              <w:rPr>
                <w:rFonts w:cs="Arial"/>
                <w:color w:val="000000"/>
                <w:sz w:val="16"/>
                <w:szCs w:val="16"/>
              </w:rPr>
              <w:t>3,2</w:t>
            </w:r>
          </w:p>
        </w:tc>
        <w:tc>
          <w:tcPr>
            <w:tcW w:w="907" w:type="dxa"/>
            <w:tcBorders>
              <w:top w:val="nil"/>
              <w:left w:val="nil"/>
              <w:bottom w:val="nil"/>
              <w:right w:val="nil"/>
            </w:tcBorders>
            <w:shd w:val="clear" w:color="auto" w:fill="auto"/>
            <w:noWrap/>
            <w:vAlign w:val="center"/>
            <w:hideMark/>
          </w:tcPr>
          <w:p w14:paraId="05BC3C05" w14:textId="7247EC83" w:rsidR="00736595" w:rsidRPr="00D92E20" w:rsidRDefault="00736595" w:rsidP="00736595">
            <w:pPr>
              <w:spacing w:after="0" w:line="240" w:lineRule="auto"/>
              <w:jc w:val="right"/>
              <w:rPr>
                <w:rFonts w:cs="Arial"/>
                <w:color w:val="000000"/>
                <w:sz w:val="16"/>
                <w:szCs w:val="16"/>
              </w:rPr>
            </w:pPr>
            <w:r>
              <w:rPr>
                <w:rFonts w:cs="Arial"/>
                <w:color w:val="000000"/>
                <w:sz w:val="16"/>
                <w:szCs w:val="16"/>
              </w:rPr>
              <w:t>51,1</w:t>
            </w:r>
          </w:p>
        </w:tc>
        <w:tc>
          <w:tcPr>
            <w:tcW w:w="907" w:type="dxa"/>
            <w:tcBorders>
              <w:top w:val="nil"/>
              <w:left w:val="nil"/>
              <w:bottom w:val="nil"/>
              <w:right w:val="nil"/>
            </w:tcBorders>
            <w:shd w:val="clear" w:color="auto" w:fill="auto"/>
            <w:noWrap/>
            <w:vAlign w:val="center"/>
            <w:hideMark/>
          </w:tcPr>
          <w:p w14:paraId="21574464" w14:textId="3110FB00" w:rsidR="00736595" w:rsidRPr="00D92E20" w:rsidRDefault="00736595" w:rsidP="00736595">
            <w:pPr>
              <w:spacing w:after="0" w:line="240" w:lineRule="auto"/>
              <w:jc w:val="right"/>
              <w:rPr>
                <w:rFonts w:cs="Arial"/>
                <w:color w:val="000000"/>
                <w:sz w:val="16"/>
                <w:szCs w:val="16"/>
              </w:rPr>
            </w:pPr>
            <w:r>
              <w:rPr>
                <w:rFonts w:cs="Arial"/>
                <w:color w:val="000000"/>
                <w:sz w:val="16"/>
                <w:szCs w:val="16"/>
              </w:rPr>
              <w:t>54,4</w:t>
            </w:r>
          </w:p>
        </w:tc>
        <w:tc>
          <w:tcPr>
            <w:tcW w:w="907" w:type="dxa"/>
            <w:tcBorders>
              <w:top w:val="nil"/>
              <w:left w:val="nil"/>
              <w:bottom w:val="nil"/>
              <w:right w:val="nil"/>
            </w:tcBorders>
            <w:shd w:val="clear" w:color="auto" w:fill="auto"/>
            <w:noWrap/>
            <w:vAlign w:val="center"/>
            <w:hideMark/>
          </w:tcPr>
          <w:p w14:paraId="2BE76920" w14:textId="2A72E022" w:rsidR="00736595" w:rsidRPr="00D92E20" w:rsidRDefault="00736595" w:rsidP="00736595">
            <w:pPr>
              <w:spacing w:after="0" w:line="240" w:lineRule="auto"/>
              <w:jc w:val="right"/>
              <w:rPr>
                <w:rFonts w:cs="Arial"/>
                <w:color w:val="000000"/>
                <w:sz w:val="16"/>
                <w:szCs w:val="16"/>
              </w:rPr>
            </w:pPr>
            <w:r>
              <w:rPr>
                <w:rFonts w:cs="Arial"/>
                <w:color w:val="000000"/>
                <w:sz w:val="16"/>
                <w:szCs w:val="16"/>
              </w:rPr>
              <w:t>48,4</w:t>
            </w:r>
          </w:p>
        </w:tc>
      </w:tr>
      <w:tr w:rsidR="00736595" w:rsidRPr="00D92E20" w14:paraId="75AC1603" w14:textId="77777777" w:rsidTr="00E371CF">
        <w:trPr>
          <w:trHeight w:val="300"/>
        </w:trPr>
        <w:tc>
          <w:tcPr>
            <w:tcW w:w="4195" w:type="dxa"/>
            <w:tcBorders>
              <w:top w:val="nil"/>
              <w:left w:val="nil"/>
              <w:bottom w:val="nil"/>
              <w:right w:val="nil"/>
            </w:tcBorders>
            <w:shd w:val="clear" w:color="auto" w:fill="auto"/>
            <w:noWrap/>
            <w:vAlign w:val="center"/>
            <w:hideMark/>
          </w:tcPr>
          <w:p w14:paraId="356A5DDB" w14:textId="2A643D25" w:rsidR="00736595" w:rsidRPr="00D92E20" w:rsidRDefault="00736595" w:rsidP="00736595">
            <w:pPr>
              <w:spacing w:after="0" w:line="240" w:lineRule="auto"/>
              <w:ind w:firstLineChars="200" w:firstLine="320"/>
              <w:rPr>
                <w:rFonts w:cs="Arial"/>
                <w:color w:val="000000"/>
                <w:sz w:val="16"/>
                <w:szCs w:val="16"/>
              </w:rPr>
            </w:pPr>
            <w:r>
              <w:rPr>
                <w:rFonts w:cs="Arial"/>
                <w:sz w:val="16"/>
                <w:szCs w:val="16"/>
              </w:rPr>
              <w:t xml:space="preserve">      – jiné nemoci dýchacích cest</w:t>
            </w:r>
          </w:p>
        </w:tc>
        <w:tc>
          <w:tcPr>
            <w:tcW w:w="907" w:type="dxa"/>
            <w:tcBorders>
              <w:top w:val="nil"/>
              <w:left w:val="single" w:sz="4" w:space="0" w:color="auto"/>
              <w:bottom w:val="nil"/>
              <w:right w:val="nil"/>
            </w:tcBorders>
            <w:shd w:val="clear" w:color="auto" w:fill="auto"/>
            <w:noWrap/>
            <w:vAlign w:val="center"/>
            <w:hideMark/>
          </w:tcPr>
          <w:p w14:paraId="4C9F5D05" w14:textId="5D987929" w:rsidR="00736595" w:rsidRPr="00D92E20" w:rsidRDefault="00736595" w:rsidP="00736595">
            <w:pPr>
              <w:spacing w:after="0" w:line="240" w:lineRule="auto"/>
              <w:jc w:val="right"/>
              <w:rPr>
                <w:rFonts w:cs="Arial"/>
                <w:color w:val="000000"/>
                <w:sz w:val="16"/>
                <w:szCs w:val="16"/>
              </w:rPr>
            </w:pPr>
            <w:r>
              <w:rPr>
                <w:rFonts w:cs="Arial"/>
                <w:color w:val="000000"/>
                <w:sz w:val="16"/>
                <w:szCs w:val="16"/>
              </w:rPr>
              <w:t>5,4</w:t>
            </w:r>
          </w:p>
        </w:tc>
        <w:tc>
          <w:tcPr>
            <w:tcW w:w="907" w:type="dxa"/>
            <w:tcBorders>
              <w:top w:val="nil"/>
              <w:left w:val="nil"/>
              <w:bottom w:val="nil"/>
              <w:right w:val="nil"/>
            </w:tcBorders>
            <w:shd w:val="clear" w:color="auto" w:fill="auto"/>
            <w:noWrap/>
            <w:vAlign w:val="center"/>
            <w:hideMark/>
          </w:tcPr>
          <w:p w14:paraId="18C06714" w14:textId="1BEB55A3" w:rsidR="00736595" w:rsidRPr="00D92E20" w:rsidRDefault="00736595" w:rsidP="00736595">
            <w:pPr>
              <w:spacing w:after="0" w:line="240" w:lineRule="auto"/>
              <w:jc w:val="right"/>
              <w:rPr>
                <w:rFonts w:cs="Arial"/>
                <w:color w:val="000000"/>
                <w:sz w:val="16"/>
                <w:szCs w:val="16"/>
              </w:rPr>
            </w:pPr>
            <w:r>
              <w:rPr>
                <w:rFonts w:cs="Arial"/>
                <w:color w:val="000000"/>
                <w:sz w:val="16"/>
                <w:szCs w:val="16"/>
              </w:rPr>
              <w:t>2,8</w:t>
            </w:r>
          </w:p>
        </w:tc>
        <w:tc>
          <w:tcPr>
            <w:tcW w:w="907" w:type="dxa"/>
            <w:tcBorders>
              <w:top w:val="nil"/>
              <w:left w:val="nil"/>
              <w:bottom w:val="nil"/>
              <w:right w:val="single" w:sz="4" w:space="0" w:color="auto"/>
            </w:tcBorders>
            <w:shd w:val="clear" w:color="auto" w:fill="auto"/>
            <w:noWrap/>
            <w:vAlign w:val="center"/>
            <w:hideMark/>
          </w:tcPr>
          <w:p w14:paraId="283F3113" w14:textId="12C7887D" w:rsidR="00736595" w:rsidRPr="00D92E20" w:rsidRDefault="00736595" w:rsidP="00736595">
            <w:pPr>
              <w:spacing w:after="0" w:line="240" w:lineRule="auto"/>
              <w:jc w:val="right"/>
              <w:rPr>
                <w:rFonts w:cs="Arial"/>
                <w:color w:val="000000"/>
                <w:sz w:val="16"/>
                <w:szCs w:val="16"/>
              </w:rPr>
            </w:pPr>
            <w:r>
              <w:rPr>
                <w:rFonts w:cs="Arial"/>
                <w:color w:val="000000"/>
                <w:sz w:val="16"/>
                <w:szCs w:val="16"/>
              </w:rPr>
              <w:t>2,6</w:t>
            </w:r>
          </w:p>
        </w:tc>
        <w:tc>
          <w:tcPr>
            <w:tcW w:w="907" w:type="dxa"/>
            <w:tcBorders>
              <w:top w:val="nil"/>
              <w:left w:val="nil"/>
              <w:bottom w:val="nil"/>
              <w:right w:val="nil"/>
            </w:tcBorders>
            <w:shd w:val="clear" w:color="auto" w:fill="auto"/>
            <w:noWrap/>
            <w:vAlign w:val="center"/>
            <w:hideMark/>
          </w:tcPr>
          <w:p w14:paraId="1B4A7255" w14:textId="263351D0" w:rsidR="00736595" w:rsidRPr="00D92E20" w:rsidRDefault="00736595" w:rsidP="00736595">
            <w:pPr>
              <w:spacing w:after="0" w:line="240" w:lineRule="auto"/>
              <w:jc w:val="right"/>
              <w:rPr>
                <w:rFonts w:cs="Arial"/>
                <w:color w:val="000000"/>
                <w:sz w:val="16"/>
                <w:szCs w:val="16"/>
              </w:rPr>
            </w:pPr>
            <w:r>
              <w:rPr>
                <w:rFonts w:cs="Arial"/>
                <w:color w:val="000000"/>
                <w:sz w:val="16"/>
                <w:szCs w:val="16"/>
              </w:rPr>
              <w:t>31,8</w:t>
            </w:r>
          </w:p>
        </w:tc>
        <w:tc>
          <w:tcPr>
            <w:tcW w:w="907" w:type="dxa"/>
            <w:tcBorders>
              <w:top w:val="nil"/>
              <w:left w:val="nil"/>
              <w:bottom w:val="nil"/>
              <w:right w:val="nil"/>
            </w:tcBorders>
            <w:shd w:val="clear" w:color="auto" w:fill="auto"/>
            <w:noWrap/>
            <w:vAlign w:val="center"/>
            <w:hideMark/>
          </w:tcPr>
          <w:p w14:paraId="1210E4D9" w14:textId="4D8069AF" w:rsidR="00736595" w:rsidRPr="00D92E20" w:rsidRDefault="00736595" w:rsidP="00736595">
            <w:pPr>
              <w:spacing w:after="0" w:line="240" w:lineRule="auto"/>
              <w:jc w:val="right"/>
              <w:rPr>
                <w:rFonts w:cs="Arial"/>
                <w:color w:val="000000"/>
                <w:sz w:val="16"/>
                <w:szCs w:val="16"/>
              </w:rPr>
            </w:pPr>
            <w:r>
              <w:rPr>
                <w:rFonts w:cs="Arial"/>
                <w:color w:val="000000"/>
                <w:sz w:val="16"/>
                <w:szCs w:val="16"/>
              </w:rPr>
              <w:t>35,9</w:t>
            </w:r>
          </w:p>
        </w:tc>
        <w:tc>
          <w:tcPr>
            <w:tcW w:w="907" w:type="dxa"/>
            <w:tcBorders>
              <w:top w:val="nil"/>
              <w:left w:val="nil"/>
              <w:bottom w:val="nil"/>
              <w:right w:val="nil"/>
            </w:tcBorders>
            <w:shd w:val="clear" w:color="auto" w:fill="auto"/>
            <w:noWrap/>
            <w:vAlign w:val="center"/>
            <w:hideMark/>
          </w:tcPr>
          <w:p w14:paraId="2D2814A0" w14:textId="435B4D79" w:rsidR="00736595" w:rsidRPr="00D92E20" w:rsidRDefault="00736595" w:rsidP="00736595">
            <w:pPr>
              <w:spacing w:after="0" w:line="240" w:lineRule="auto"/>
              <w:jc w:val="right"/>
              <w:rPr>
                <w:rFonts w:cs="Arial"/>
                <w:color w:val="000000"/>
                <w:sz w:val="16"/>
                <w:szCs w:val="16"/>
              </w:rPr>
            </w:pPr>
            <w:r>
              <w:rPr>
                <w:rFonts w:cs="Arial"/>
                <w:color w:val="000000"/>
                <w:sz w:val="16"/>
                <w:szCs w:val="16"/>
              </w:rPr>
              <w:t>27,4</w:t>
            </w:r>
          </w:p>
        </w:tc>
      </w:tr>
      <w:tr w:rsidR="00736595" w:rsidRPr="00D92E20" w14:paraId="67EDE805" w14:textId="77777777" w:rsidTr="00E371CF">
        <w:trPr>
          <w:trHeight w:val="300"/>
        </w:trPr>
        <w:tc>
          <w:tcPr>
            <w:tcW w:w="4195" w:type="dxa"/>
            <w:tcBorders>
              <w:top w:val="nil"/>
              <w:left w:val="nil"/>
              <w:bottom w:val="nil"/>
              <w:right w:val="nil"/>
            </w:tcBorders>
            <w:shd w:val="clear" w:color="auto" w:fill="auto"/>
            <w:noWrap/>
            <w:vAlign w:val="center"/>
            <w:hideMark/>
          </w:tcPr>
          <w:p w14:paraId="65D573C3" w14:textId="64F323F7" w:rsidR="00736595" w:rsidRPr="00D92E20" w:rsidRDefault="00736595" w:rsidP="00736595">
            <w:pPr>
              <w:spacing w:after="0" w:line="240" w:lineRule="auto"/>
              <w:ind w:firstLineChars="100" w:firstLine="160"/>
              <w:rPr>
                <w:rFonts w:cs="Arial"/>
                <w:color w:val="000000"/>
                <w:sz w:val="16"/>
                <w:szCs w:val="16"/>
              </w:rPr>
            </w:pPr>
            <w:r>
              <w:rPr>
                <w:rFonts w:cs="Arial"/>
                <w:sz w:val="16"/>
                <w:szCs w:val="16"/>
              </w:rPr>
              <w:t xml:space="preserve">   Nemoci trávicí soustavy</w:t>
            </w:r>
          </w:p>
        </w:tc>
        <w:tc>
          <w:tcPr>
            <w:tcW w:w="907" w:type="dxa"/>
            <w:tcBorders>
              <w:top w:val="nil"/>
              <w:left w:val="single" w:sz="4" w:space="0" w:color="auto"/>
              <w:bottom w:val="nil"/>
              <w:right w:val="nil"/>
            </w:tcBorders>
            <w:shd w:val="clear" w:color="auto" w:fill="auto"/>
            <w:noWrap/>
            <w:vAlign w:val="center"/>
            <w:hideMark/>
          </w:tcPr>
          <w:p w14:paraId="48C6F7A6" w14:textId="4C9303A4" w:rsidR="00736595" w:rsidRPr="00D92E20" w:rsidRDefault="00736595" w:rsidP="00736595">
            <w:pPr>
              <w:spacing w:after="0" w:line="240" w:lineRule="auto"/>
              <w:jc w:val="right"/>
              <w:rPr>
                <w:rFonts w:cs="Arial"/>
                <w:color w:val="000000"/>
                <w:sz w:val="16"/>
                <w:szCs w:val="16"/>
              </w:rPr>
            </w:pPr>
            <w:r>
              <w:rPr>
                <w:rFonts w:cs="Arial"/>
                <w:color w:val="000000"/>
                <w:sz w:val="16"/>
                <w:szCs w:val="16"/>
              </w:rPr>
              <w:t>85,8</w:t>
            </w:r>
          </w:p>
        </w:tc>
        <w:tc>
          <w:tcPr>
            <w:tcW w:w="907" w:type="dxa"/>
            <w:tcBorders>
              <w:top w:val="nil"/>
              <w:left w:val="nil"/>
              <w:bottom w:val="nil"/>
              <w:right w:val="nil"/>
            </w:tcBorders>
            <w:shd w:val="clear" w:color="auto" w:fill="auto"/>
            <w:noWrap/>
            <w:vAlign w:val="center"/>
            <w:hideMark/>
          </w:tcPr>
          <w:p w14:paraId="14178628" w14:textId="6EB26A12" w:rsidR="00736595" w:rsidRPr="00D92E20" w:rsidRDefault="00736595" w:rsidP="00736595">
            <w:pPr>
              <w:spacing w:after="0" w:line="240" w:lineRule="auto"/>
              <w:jc w:val="right"/>
              <w:rPr>
                <w:rFonts w:cs="Arial"/>
                <w:color w:val="000000"/>
                <w:sz w:val="16"/>
                <w:szCs w:val="16"/>
              </w:rPr>
            </w:pPr>
            <w:r>
              <w:rPr>
                <w:rFonts w:cs="Arial"/>
                <w:color w:val="000000"/>
                <w:sz w:val="16"/>
                <w:szCs w:val="16"/>
              </w:rPr>
              <w:t>44,1</w:t>
            </w:r>
          </w:p>
        </w:tc>
        <w:tc>
          <w:tcPr>
            <w:tcW w:w="907" w:type="dxa"/>
            <w:tcBorders>
              <w:top w:val="nil"/>
              <w:left w:val="nil"/>
              <w:bottom w:val="nil"/>
              <w:right w:val="single" w:sz="4" w:space="0" w:color="auto"/>
            </w:tcBorders>
            <w:shd w:val="clear" w:color="auto" w:fill="auto"/>
            <w:noWrap/>
            <w:vAlign w:val="center"/>
            <w:hideMark/>
          </w:tcPr>
          <w:p w14:paraId="658260C1" w14:textId="7ADFC2F1" w:rsidR="00736595" w:rsidRPr="00D92E20" w:rsidRDefault="00736595" w:rsidP="00736595">
            <w:pPr>
              <w:spacing w:after="0" w:line="240" w:lineRule="auto"/>
              <w:jc w:val="right"/>
              <w:rPr>
                <w:rFonts w:cs="Arial"/>
                <w:color w:val="000000"/>
                <w:sz w:val="16"/>
                <w:szCs w:val="16"/>
              </w:rPr>
            </w:pPr>
            <w:r>
              <w:rPr>
                <w:rFonts w:cs="Arial"/>
                <w:color w:val="000000"/>
                <w:sz w:val="16"/>
                <w:szCs w:val="16"/>
              </w:rPr>
              <w:t>41,8</w:t>
            </w:r>
          </w:p>
        </w:tc>
        <w:tc>
          <w:tcPr>
            <w:tcW w:w="907" w:type="dxa"/>
            <w:tcBorders>
              <w:top w:val="nil"/>
              <w:left w:val="nil"/>
              <w:bottom w:val="nil"/>
              <w:right w:val="nil"/>
            </w:tcBorders>
            <w:shd w:val="clear" w:color="auto" w:fill="auto"/>
            <w:noWrap/>
            <w:vAlign w:val="center"/>
            <w:hideMark/>
          </w:tcPr>
          <w:p w14:paraId="55C6BD1B" w14:textId="2FCE3DB9" w:rsidR="00736595" w:rsidRPr="00D92E20" w:rsidRDefault="00736595" w:rsidP="00736595">
            <w:pPr>
              <w:spacing w:after="0" w:line="240" w:lineRule="auto"/>
              <w:jc w:val="right"/>
              <w:rPr>
                <w:rFonts w:cs="Arial"/>
                <w:color w:val="000000"/>
                <w:sz w:val="16"/>
                <w:szCs w:val="16"/>
              </w:rPr>
            </w:pPr>
            <w:r>
              <w:rPr>
                <w:rFonts w:cs="Arial"/>
                <w:color w:val="000000"/>
                <w:sz w:val="16"/>
                <w:szCs w:val="16"/>
              </w:rPr>
              <w:t>24,5</w:t>
            </w:r>
          </w:p>
        </w:tc>
        <w:tc>
          <w:tcPr>
            <w:tcW w:w="907" w:type="dxa"/>
            <w:tcBorders>
              <w:top w:val="nil"/>
              <w:left w:val="nil"/>
              <w:bottom w:val="nil"/>
              <w:right w:val="nil"/>
            </w:tcBorders>
            <w:shd w:val="clear" w:color="auto" w:fill="auto"/>
            <w:noWrap/>
            <w:vAlign w:val="center"/>
            <w:hideMark/>
          </w:tcPr>
          <w:p w14:paraId="44518B5A" w14:textId="49B81685" w:rsidR="00736595" w:rsidRPr="00D92E20" w:rsidRDefault="00736595" w:rsidP="00736595">
            <w:pPr>
              <w:spacing w:after="0" w:line="240" w:lineRule="auto"/>
              <w:jc w:val="right"/>
              <w:rPr>
                <w:rFonts w:cs="Arial"/>
                <w:color w:val="000000"/>
                <w:sz w:val="16"/>
                <w:szCs w:val="16"/>
              </w:rPr>
            </w:pPr>
            <w:r>
              <w:rPr>
                <w:rFonts w:cs="Arial"/>
                <w:color w:val="000000"/>
                <w:sz w:val="16"/>
                <w:szCs w:val="16"/>
              </w:rPr>
              <w:t>25,8</w:t>
            </w:r>
          </w:p>
        </w:tc>
        <w:tc>
          <w:tcPr>
            <w:tcW w:w="907" w:type="dxa"/>
            <w:tcBorders>
              <w:top w:val="nil"/>
              <w:left w:val="nil"/>
              <w:bottom w:val="nil"/>
              <w:right w:val="nil"/>
            </w:tcBorders>
            <w:shd w:val="clear" w:color="auto" w:fill="auto"/>
            <w:noWrap/>
            <w:vAlign w:val="center"/>
            <w:hideMark/>
          </w:tcPr>
          <w:p w14:paraId="075BCDAC" w14:textId="071C8216" w:rsidR="00736595" w:rsidRPr="00D92E20" w:rsidRDefault="00736595" w:rsidP="00736595">
            <w:pPr>
              <w:spacing w:after="0" w:line="240" w:lineRule="auto"/>
              <w:jc w:val="right"/>
              <w:rPr>
                <w:rFonts w:cs="Arial"/>
                <w:color w:val="000000"/>
                <w:sz w:val="16"/>
                <w:szCs w:val="16"/>
              </w:rPr>
            </w:pPr>
            <w:r>
              <w:rPr>
                <w:rFonts w:cs="Arial"/>
                <w:color w:val="000000"/>
                <w:sz w:val="16"/>
                <w:szCs w:val="16"/>
              </w:rPr>
              <w:t>23,1</w:t>
            </w:r>
          </w:p>
        </w:tc>
      </w:tr>
      <w:tr w:rsidR="00736595" w:rsidRPr="00D92E20" w14:paraId="6C3B12A6" w14:textId="77777777" w:rsidTr="00E371CF">
        <w:trPr>
          <w:trHeight w:val="300"/>
        </w:trPr>
        <w:tc>
          <w:tcPr>
            <w:tcW w:w="4195" w:type="dxa"/>
            <w:tcBorders>
              <w:top w:val="nil"/>
              <w:left w:val="nil"/>
              <w:bottom w:val="nil"/>
              <w:right w:val="nil"/>
            </w:tcBorders>
            <w:shd w:val="clear" w:color="auto" w:fill="auto"/>
            <w:noWrap/>
            <w:vAlign w:val="center"/>
            <w:hideMark/>
          </w:tcPr>
          <w:p w14:paraId="2CEAEBEC" w14:textId="6D8100C9" w:rsidR="00736595" w:rsidRPr="00D92E20" w:rsidRDefault="00736595" w:rsidP="00736595">
            <w:pPr>
              <w:spacing w:after="0" w:line="240" w:lineRule="auto"/>
              <w:ind w:firstLineChars="100" w:firstLine="160"/>
              <w:rPr>
                <w:rFonts w:cs="Arial"/>
                <w:color w:val="000000"/>
                <w:sz w:val="16"/>
                <w:szCs w:val="16"/>
              </w:rPr>
            </w:pPr>
            <w:r>
              <w:rPr>
                <w:rFonts w:cs="Arial"/>
                <w:sz w:val="16"/>
                <w:szCs w:val="16"/>
              </w:rPr>
              <w:t xml:space="preserve">   Nemoci kůže</w:t>
            </w:r>
          </w:p>
        </w:tc>
        <w:tc>
          <w:tcPr>
            <w:tcW w:w="907" w:type="dxa"/>
            <w:tcBorders>
              <w:top w:val="nil"/>
              <w:left w:val="single" w:sz="4" w:space="0" w:color="auto"/>
              <w:bottom w:val="nil"/>
              <w:right w:val="nil"/>
            </w:tcBorders>
            <w:shd w:val="clear" w:color="auto" w:fill="auto"/>
            <w:noWrap/>
            <w:vAlign w:val="center"/>
            <w:hideMark/>
          </w:tcPr>
          <w:p w14:paraId="4B6989FC" w14:textId="705AF44C" w:rsidR="00736595" w:rsidRPr="00D92E20" w:rsidRDefault="00736595" w:rsidP="00736595">
            <w:pPr>
              <w:spacing w:after="0" w:line="240" w:lineRule="auto"/>
              <w:jc w:val="right"/>
              <w:rPr>
                <w:rFonts w:cs="Arial"/>
                <w:color w:val="000000"/>
                <w:sz w:val="16"/>
                <w:szCs w:val="16"/>
              </w:rPr>
            </w:pPr>
            <w:r>
              <w:rPr>
                <w:rFonts w:cs="Arial"/>
                <w:color w:val="000000"/>
                <w:sz w:val="16"/>
                <w:szCs w:val="16"/>
              </w:rPr>
              <w:t>16,2</w:t>
            </w:r>
          </w:p>
        </w:tc>
        <w:tc>
          <w:tcPr>
            <w:tcW w:w="907" w:type="dxa"/>
            <w:tcBorders>
              <w:top w:val="nil"/>
              <w:left w:val="nil"/>
              <w:bottom w:val="nil"/>
              <w:right w:val="nil"/>
            </w:tcBorders>
            <w:shd w:val="clear" w:color="auto" w:fill="auto"/>
            <w:noWrap/>
            <w:vAlign w:val="center"/>
            <w:hideMark/>
          </w:tcPr>
          <w:p w14:paraId="2ADF6CCD" w14:textId="77C6B0A8" w:rsidR="00736595" w:rsidRPr="00D92E20" w:rsidRDefault="00736595" w:rsidP="00736595">
            <w:pPr>
              <w:spacing w:after="0" w:line="240" w:lineRule="auto"/>
              <w:jc w:val="right"/>
              <w:rPr>
                <w:rFonts w:cs="Arial"/>
                <w:color w:val="000000"/>
                <w:sz w:val="16"/>
                <w:szCs w:val="16"/>
              </w:rPr>
            </w:pPr>
            <w:r>
              <w:rPr>
                <w:rFonts w:cs="Arial"/>
                <w:color w:val="000000"/>
                <w:sz w:val="16"/>
                <w:szCs w:val="16"/>
              </w:rPr>
              <w:t>9,3</w:t>
            </w:r>
          </w:p>
        </w:tc>
        <w:tc>
          <w:tcPr>
            <w:tcW w:w="907" w:type="dxa"/>
            <w:tcBorders>
              <w:top w:val="nil"/>
              <w:left w:val="nil"/>
              <w:bottom w:val="nil"/>
              <w:right w:val="single" w:sz="4" w:space="0" w:color="auto"/>
            </w:tcBorders>
            <w:shd w:val="clear" w:color="auto" w:fill="auto"/>
            <w:noWrap/>
            <w:vAlign w:val="center"/>
            <w:hideMark/>
          </w:tcPr>
          <w:p w14:paraId="585DCFA9" w14:textId="2BC66D3D" w:rsidR="00736595" w:rsidRPr="00D92E20" w:rsidRDefault="00736595" w:rsidP="00736595">
            <w:pPr>
              <w:spacing w:after="0" w:line="240" w:lineRule="auto"/>
              <w:jc w:val="right"/>
              <w:rPr>
                <w:rFonts w:cs="Arial"/>
                <w:color w:val="000000"/>
                <w:sz w:val="16"/>
                <w:szCs w:val="16"/>
              </w:rPr>
            </w:pPr>
            <w:r>
              <w:rPr>
                <w:rFonts w:cs="Arial"/>
                <w:color w:val="000000"/>
                <w:sz w:val="16"/>
                <w:szCs w:val="16"/>
              </w:rPr>
              <w:t>6,8</w:t>
            </w:r>
          </w:p>
        </w:tc>
        <w:tc>
          <w:tcPr>
            <w:tcW w:w="907" w:type="dxa"/>
            <w:tcBorders>
              <w:top w:val="nil"/>
              <w:left w:val="nil"/>
              <w:bottom w:val="nil"/>
              <w:right w:val="nil"/>
            </w:tcBorders>
            <w:shd w:val="clear" w:color="auto" w:fill="auto"/>
            <w:noWrap/>
            <w:vAlign w:val="center"/>
            <w:hideMark/>
          </w:tcPr>
          <w:p w14:paraId="21F46269" w14:textId="6250F738" w:rsidR="00736595" w:rsidRPr="00D92E20" w:rsidRDefault="00736595" w:rsidP="00736595">
            <w:pPr>
              <w:spacing w:after="0" w:line="240" w:lineRule="auto"/>
              <w:jc w:val="right"/>
              <w:rPr>
                <w:rFonts w:cs="Arial"/>
                <w:color w:val="000000"/>
                <w:sz w:val="16"/>
                <w:szCs w:val="16"/>
              </w:rPr>
            </w:pPr>
            <w:r>
              <w:rPr>
                <w:rFonts w:cs="Arial"/>
                <w:color w:val="000000"/>
                <w:sz w:val="16"/>
                <w:szCs w:val="16"/>
              </w:rPr>
              <w:t>31,3</w:t>
            </w:r>
          </w:p>
        </w:tc>
        <w:tc>
          <w:tcPr>
            <w:tcW w:w="907" w:type="dxa"/>
            <w:tcBorders>
              <w:top w:val="nil"/>
              <w:left w:val="nil"/>
              <w:bottom w:val="nil"/>
              <w:right w:val="nil"/>
            </w:tcBorders>
            <w:shd w:val="clear" w:color="auto" w:fill="auto"/>
            <w:noWrap/>
            <w:vAlign w:val="center"/>
            <w:hideMark/>
          </w:tcPr>
          <w:p w14:paraId="37700BB8" w14:textId="5BD4FBC2" w:rsidR="00736595" w:rsidRPr="00D92E20" w:rsidRDefault="00736595" w:rsidP="00736595">
            <w:pPr>
              <w:spacing w:after="0" w:line="240" w:lineRule="auto"/>
              <w:jc w:val="right"/>
              <w:rPr>
                <w:rFonts w:cs="Arial"/>
                <w:color w:val="000000"/>
                <w:sz w:val="16"/>
                <w:szCs w:val="16"/>
              </w:rPr>
            </w:pPr>
            <w:r>
              <w:rPr>
                <w:rFonts w:cs="Arial"/>
                <w:color w:val="000000"/>
                <w:sz w:val="16"/>
                <w:szCs w:val="16"/>
              </w:rPr>
              <w:t>32,0</w:t>
            </w:r>
          </w:p>
        </w:tc>
        <w:tc>
          <w:tcPr>
            <w:tcW w:w="907" w:type="dxa"/>
            <w:tcBorders>
              <w:top w:val="nil"/>
              <w:left w:val="nil"/>
              <w:bottom w:val="nil"/>
              <w:right w:val="nil"/>
            </w:tcBorders>
            <w:shd w:val="clear" w:color="auto" w:fill="auto"/>
            <w:noWrap/>
            <w:vAlign w:val="center"/>
            <w:hideMark/>
          </w:tcPr>
          <w:p w14:paraId="607E66D0" w14:textId="531113FD" w:rsidR="00736595" w:rsidRPr="00D92E20" w:rsidRDefault="00736595" w:rsidP="00736595">
            <w:pPr>
              <w:spacing w:after="0" w:line="240" w:lineRule="auto"/>
              <w:jc w:val="right"/>
              <w:rPr>
                <w:rFonts w:cs="Arial"/>
                <w:color w:val="000000"/>
                <w:sz w:val="16"/>
                <w:szCs w:val="16"/>
              </w:rPr>
            </w:pPr>
            <w:r>
              <w:rPr>
                <w:rFonts w:cs="Arial"/>
                <w:color w:val="000000"/>
                <w:sz w:val="16"/>
                <w:szCs w:val="16"/>
              </w:rPr>
              <w:t>30,4</w:t>
            </w:r>
          </w:p>
        </w:tc>
      </w:tr>
      <w:tr w:rsidR="00736595" w:rsidRPr="00D92E20" w14:paraId="1BC1C619" w14:textId="77777777" w:rsidTr="00E371CF">
        <w:trPr>
          <w:trHeight w:val="300"/>
        </w:trPr>
        <w:tc>
          <w:tcPr>
            <w:tcW w:w="4195" w:type="dxa"/>
            <w:tcBorders>
              <w:top w:val="nil"/>
              <w:left w:val="nil"/>
              <w:bottom w:val="nil"/>
              <w:right w:val="nil"/>
            </w:tcBorders>
            <w:shd w:val="clear" w:color="auto" w:fill="auto"/>
            <w:noWrap/>
            <w:vAlign w:val="center"/>
            <w:hideMark/>
          </w:tcPr>
          <w:p w14:paraId="31476962" w14:textId="59523478" w:rsidR="00736595" w:rsidRPr="00D92E20" w:rsidRDefault="00736595" w:rsidP="00736595">
            <w:pPr>
              <w:spacing w:after="0" w:line="240" w:lineRule="auto"/>
              <w:ind w:firstLineChars="100" w:firstLine="160"/>
              <w:rPr>
                <w:rFonts w:cs="Arial"/>
                <w:color w:val="000000"/>
                <w:sz w:val="16"/>
                <w:szCs w:val="16"/>
              </w:rPr>
            </w:pPr>
            <w:r>
              <w:rPr>
                <w:rFonts w:cs="Arial"/>
                <w:sz w:val="16"/>
                <w:szCs w:val="16"/>
              </w:rPr>
              <w:t xml:space="preserve">   Nemoci pohybové soustavy</w:t>
            </w:r>
          </w:p>
        </w:tc>
        <w:tc>
          <w:tcPr>
            <w:tcW w:w="907" w:type="dxa"/>
            <w:tcBorders>
              <w:top w:val="nil"/>
              <w:left w:val="single" w:sz="4" w:space="0" w:color="auto"/>
              <w:bottom w:val="nil"/>
              <w:right w:val="nil"/>
            </w:tcBorders>
            <w:shd w:val="clear" w:color="auto" w:fill="auto"/>
            <w:noWrap/>
            <w:vAlign w:val="center"/>
            <w:hideMark/>
          </w:tcPr>
          <w:p w14:paraId="1BA2B0D7" w14:textId="0623979D" w:rsidR="00736595" w:rsidRPr="00D92E20" w:rsidRDefault="00736595" w:rsidP="00736595">
            <w:pPr>
              <w:spacing w:after="0" w:line="240" w:lineRule="auto"/>
              <w:jc w:val="right"/>
              <w:rPr>
                <w:rFonts w:cs="Arial"/>
                <w:color w:val="000000"/>
                <w:sz w:val="16"/>
                <w:szCs w:val="16"/>
              </w:rPr>
            </w:pPr>
            <w:r>
              <w:rPr>
                <w:rFonts w:cs="Arial"/>
                <w:color w:val="000000"/>
                <w:sz w:val="16"/>
                <w:szCs w:val="16"/>
              </w:rPr>
              <w:t>207,5</w:t>
            </w:r>
          </w:p>
        </w:tc>
        <w:tc>
          <w:tcPr>
            <w:tcW w:w="907" w:type="dxa"/>
            <w:tcBorders>
              <w:top w:val="nil"/>
              <w:left w:val="nil"/>
              <w:bottom w:val="nil"/>
              <w:right w:val="nil"/>
            </w:tcBorders>
            <w:shd w:val="clear" w:color="auto" w:fill="auto"/>
            <w:noWrap/>
            <w:vAlign w:val="center"/>
            <w:hideMark/>
          </w:tcPr>
          <w:p w14:paraId="4B66F295" w14:textId="1C1AF431" w:rsidR="00736595" w:rsidRPr="00D92E20" w:rsidRDefault="00736595" w:rsidP="00736595">
            <w:pPr>
              <w:spacing w:after="0" w:line="240" w:lineRule="auto"/>
              <w:jc w:val="right"/>
              <w:rPr>
                <w:rFonts w:cs="Arial"/>
                <w:color w:val="000000"/>
                <w:sz w:val="16"/>
                <w:szCs w:val="16"/>
              </w:rPr>
            </w:pPr>
            <w:r>
              <w:rPr>
                <w:rFonts w:cs="Arial"/>
                <w:color w:val="000000"/>
                <w:sz w:val="16"/>
                <w:szCs w:val="16"/>
              </w:rPr>
              <w:t>105,6</w:t>
            </w:r>
          </w:p>
        </w:tc>
        <w:tc>
          <w:tcPr>
            <w:tcW w:w="907" w:type="dxa"/>
            <w:tcBorders>
              <w:top w:val="nil"/>
              <w:left w:val="nil"/>
              <w:bottom w:val="nil"/>
              <w:right w:val="single" w:sz="4" w:space="0" w:color="auto"/>
            </w:tcBorders>
            <w:shd w:val="clear" w:color="auto" w:fill="auto"/>
            <w:noWrap/>
            <w:vAlign w:val="center"/>
            <w:hideMark/>
          </w:tcPr>
          <w:p w14:paraId="47752D19" w14:textId="704EB171" w:rsidR="00736595" w:rsidRPr="00D92E20" w:rsidRDefault="00736595" w:rsidP="00736595">
            <w:pPr>
              <w:spacing w:after="0" w:line="240" w:lineRule="auto"/>
              <w:jc w:val="right"/>
              <w:rPr>
                <w:rFonts w:cs="Arial"/>
                <w:color w:val="000000"/>
                <w:sz w:val="16"/>
                <w:szCs w:val="16"/>
              </w:rPr>
            </w:pPr>
            <w:r>
              <w:rPr>
                <w:rFonts w:cs="Arial"/>
                <w:color w:val="000000"/>
                <w:sz w:val="16"/>
                <w:szCs w:val="16"/>
              </w:rPr>
              <w:t>102,0</w:t>
            </w:r>
          </w:p>
        </w:tc>
        <w:tc>
          <w:tcPr>
            <w:tcW w:w="907" w:type="dxa"/>
            <w:tcBorders>
              <w:top w:val="nil"/>
              <w:left w:val="nil"/>
              <w:bottom w:val="nil"/>
              <w:right w:val="nil"/>
            </w:tcBorders>
            <w:shd w:val="clear" w:color="auto" w:fill="auto"/>
            <w:noWrap/>
            <w:vAlign w:val="center"/>
            <w:hideMark/>
          </w:tcPr>
          <w:p w14:paraId="754FF24B" w14:textId="3B22E428" w:rsidR="00736595" w:rsidRPr="00D92E20" w:rsidRDefault="00736595" w:rsidP="00736595">
            <w:pPr>
              <w:spacing w:after="0" w:line="240" w:lineRule="auto"/>
              <w:jc w:val="right"/>
              <w:rPr>
                <w:rFonts w:cs="Arial"/>
                <w:color w:val="000000"/>
                <w:sz w:val="16"/>
                <w:szCs w:val="16"/>
              </w:rPr>
            </w:pPr>
            <w:r>
              <w:rPr>
                <w:rFonts w:cs="Arial"/>
                <w:color w:val="000000"/>
                <w:sz w:val="16"/>
                <w:szCs w:val="16"/>
              </w:rPr>
              <w:t>66,4</w:t>
            </w:r>
          </w:p>
        </w:tc>
        <w:tc>
          <w:tcPr>
            <w:tcW w:w="907" w:type="dxa"/>
            <w:tcBorders>
              <w:top w:val="nil"/>
              <w:left w:val="nil"/>
              <w:bottom w:val="nil"/>
              <w:right w:val="nil"/>
            </w:tcBorders>
            <w:shd w:val="clear" w:color="auto" w:fill="auto"/>
            <w:noWrap/>
            <w:vAlign w:val="center"/>
            <w:hideMark/>
          </w:tcPr>
          <w:p w14:paraId="170F1BC3" w14:textId="06B74CFA" w:rsidR="00736595" w:rsidRPr="00D92E20" w:rsidRDefault="00736595" w:rsidP="00736595">
            <w:pPr>
              <w:spacing w:after="0" w:line="240" w:lineRule="auto"/>
              <w:jc w:val="right"/>
              <w:rPr>
                <w:rFonts w:cs="Arial"/>
                <w:color w:val="000000"/>
                <w:sz w:val="16"/>
                <w:szCs w:val="16"/>
              </w:rPr>
            </w:pPr>
            <w:r>
              <w:rPr>
                <w:rFonts w:cs="Arial"/>
                <w:color w:val="000000"/>
                <w:sz w:val="16"/>
                <w:szCs w:val="16"/>
              </w:rPr>
              <w:t>62,2</w:t>
            </w:r>
          </w:p>
        </w:tc>
        <w:tc>
          <w:tcPr>
            <w:tcW w:w="907" w:type="dxa"/>
            <w:tcBorders>
              <w:top w:val="nil"/>
              <w:left w:val="nil"/>
              <w:bottom w:val="nil"/>
              <w:right w:val="nil"/>
            </w:tcBorders>
            <w:shd w:val="clear" w:color="auto" w:fill="auto"/>
            <w:noWrap/>
            <w:vAlign w:val="center"/>
            <w:hideMark/>
          </w:tcPr>
          <w:p w14:paraId="39A8CCB3" w14:textId="3AEA8AE9" w:rsidR="00736595" w:rsidRPr="00D92E20" w:rsidRDefault="00736595" w:rsidP="00736595">
            <w:pPr>
              <w:spacing w:after="0" w:line="240" w:lineRule="auto"/>
              <w:jc w:val="right"/>
              <w:rPr>
                <w:rFonts w:cs="Arial"/>
                <w:color w:val="000000"/>
                <w:sz w:val="16"/>
                <w:szCs w:val="16"/>
              </w:rPr>
            </w:pPr>
            <w:r>
              <w:rPr>
                <w:rFonts w:cs="Arial"/>
                <w:color w:val="000000"/>
                <w:sz w:val="16"/>
                <w:szCs w:val="16"/>
              </w:rPr>
              <w:t>70,8</w:t>
            </w:r>
          </w:p>
        </w:tc>
      </w:tr>
      <w:tr w:rsidR="00736595" w:rsidRPr="00D92E20" w14:paraId="1CC708E5" w14:textId="77777777" w:rsidTr="00E371CF">
        <w:trPr>
          <w:trHeight w:val="300"/>
        </w:trPr>
        <w:tc>
          <w:tcPr>
            <w:tcW w:w="4195" w:type="dxa"/>
            <w:tcBorders>
              <w:top w:val="nil"/>
              <w:left w:val="nil"/>
              <w:bottom w:val="nil"/>
              <w:right w:val="nil"/>
            </w:tcBorders>
            <w:shd w:val="clear" w:color="auto" w:fill="auto"/>
            <w:noWrap/>
            <w:vAlign w:val="center"/>
            <w:hideMark/>
          </w:tcPr>
          <w:p w14:paraId="73D9631A" w14:textId="63DBFC49" w:rsidR="00736595" w:rsidRPr="00D92E20" w:rsidRDefault="00736595" w:rsidP="00736595">
            <w:pPr>
              <w:spacing w:after="0" w:line="240" w:lineRule="auto"/>
              <w:ind w:firstLineChars="200" w:firstLine="320"/>
              <w:rPr>
                <w:rFonts w:cs="Arial"/>
                <w:color w:val="000000"/>
                <w:sz w:val="16"/>
                <w:szCs w:val="16"/>
              </w:rPr>
            </w:pPr>
            <w:r>
              <w:rPr>
                <w:rFonts w:cs="Arial"/>
                <w:sz w:val="16"/>
                <w:szCs w:val="16"/>
              </w:rPr>
              <w:t xml:space="preserve">      – nemoci páteře</w:t>
            </w:r>
          </w:p>
        </w:tc>
        <w:tc>
          <w:tcPr>
            <w:tcW w:w="907" w:type="dxa"/>
            <w:tcBorders>
              <w:top w:val="nil"/>
              <w:left w:val="single" w:sz="4" w:space="0" w:color="auto"/>
              <w:bottom w:val="nil"/>
              <w:right w:val="nil"/>
            </w:tcBorders>
            <w:shd w:val="clear" w:color="auto" w:fill="auto"/>
            <w:noWrap/>
            <w:vAlign w:val="center"/>
            <w:hideMark/>
          </w:tcPr>
          <w:p w14:paraId="75BBDB39" w14:textId="7479FF1E" w:rsidR="00736595" w:rsidRPr="00D92E20" w:rsidRDefault="00736595" w:rsidP="00736595">
            <w:pPr>
              <w:spacing w:after="0" w:line="240" w:lineRule="auto"/>
              <w:jc w:val="right"/>
              <w:rPr>
                <w:rFonts w:cs="Arial"/>
                <w:color w:val="000000"/>
                <w:sz w:val="16"/>
                <w:szCs w:val="16"/>
              </w:rPr>
            </w:pPr>
            <w:r>
              <w:rPr>
                <w:rFonts w:cs="Arial"/>
                <w:color w:val="000000"/>
                <w:sz w:val="16"/>
                <w:szCs w:val="16"/>
              </w:rPr>
              <w:t>136,9</w:t>
            </w:r>
          </w:p>
        </w:tc>
        <w:tc>
          <w:tcPr>
            <w:tcW w:w="907" w:type="dxa"/>
            <w:tcBorders>
              <w:top w:val="nil"/>
              <w:left w:val="nil"/>
              <w:bottom w:val="nil"/>
              <w:right w:val="nil"/>
            </w:tcBorders>
            <w:shd w:val="clear" w:color="auto" w:fill="auto"/>
            <w:noWrap/>
            <w:vAlign w:val="center"/>
            <w:hideMark/>
          </w:tcPr>
          <w:p w14:paraId="42D6006F" w14:textId="4F99EDE2" w:rsidR="00736595" w:rsidRPr="00D92E20" w:rsidRDefault="00736595" w:rsidP="00736595">
            <w:pPr>
              <w:spacing w:after="0" w:line="240" w:lineRule="auto"/>
              <w:jc w:val="right"/>
              <w:rPr>
                <w:rFonts w:cs="Arial"/>
                <w:color w:val="000000"/>
                <w:sz w:val="16"/>
                <w:szCs w:val="16"/>
              </w:rPr>
            </w:pPr>
            <w:r>
              <w:rPr>
                <w:rFonts w:cs="Arial"/>
                <w:color w:val="000000"/>
                <w:sz w:val="16"/>
                <w:szCs w:val="16"/>
              </w:rPr>
              <w:t>69,3</w:t>
            </w:r>
          </w:p>
        </w:tc>
        <w:tc>
          <w:tcPr>
            <w:tcW w:w="907" w:type="dxa"/>
            <w:tcBorders>
              <w:top w:val="nil"/>
              <w:left w:val="nil"/>
              <w:bottom w:val="nil"/>
              <w:right w:val="single" w:sz="4" w:space="0" w:color="auto"/>
            </w:tcBorders>
            <w:shd w:val="clear" w:color="auto" w:fill="auto"/>
            <w:noWrap/>
            <w:vAlign w:val="center"/>
            <w:hideMark/>
          </w:tcPr>
          <w:p w14:paraId="26DB7D5D" w14:textId="62E50B2D" w:rsidR="00736595" w:rsidRPr="00D92E20" w:rsidRDefault="00736595" w:rsidP="00736595">
            <w:pPr>
              <w:spacing w:after="0" w:line="240" w:lineRule="auto"/>
              <w:jc w:val="right"/>
              <w:rPr>
                <w:rFonts w:cs="Arial"/>
                <w:color w:val="000000"/>
                <w:sz w:val="16"/>
                <w:szCs w:val="16"/>
              </w:rPr>
            </w:pPr>
            <w:r>
              <w:rPr>
                <w:rFonts w:cs="Arial"/>
                <w:color w:val="000000"/>
                <w:sz w:val="16"/>
                <w:szCs w:val="16"/>
              </w:rPr>
              <w:t>67,6</w:t>
            </w:r>
          </w:p>
        </w:tc>
        <w:tc>
          <w:tcPr>
            <w:tcW w:w="907" w:type="dxa"/>
            <w:tcBorders>
              <w:top w:val="nil"/>
              <w:left w:val="nil"/>
              <w:bottom w:val="nil"/>
              <w:right w:val="nil"/>
            </w:tcBorders>
            <w:shd w:val="clear" w:color="auto" w:fill="auto"/>
            <w:noWrap/>
            <w:vAlign w:val="center"/>
            <w:hideMark/>
          </w:tcPr>
          <w:p w14:paraId="4D6526DC" w14:textId="4FA827BC" w:rsidR="00736595" w:rsidRPr="00D92E20" w:rsidRDefault="00736595" w:rsidP="00736595">
            <w:pPr>
              <w:spacing w:after="0" w:line="240" w:lineRule="auto"/>
              <w:jc w:val="right"/>
              <w:rPr>
                <w:rFonts w:cs="Arial"/>
                <w:color w:val="000000"/>
                <w:sz w:val="16"/>
                <w:szCs w:val="16"/>
              </w:rPr>
            </w:pPr>
            <w:r>
              <w:rPr>
                <w:rFonts w:cs="Arial"/>
                <w:color w:val="000000"/>
                <w:sz w:val="16"/>
                <w:szCs w:val="16"/>
              </w:rPr>
              <w:t>61,9</w:t>
            </w:r>
          </w:p>
        </w:tc>
        <w:tc>
          <w:tcPr>
            <w:tcW w:w="907" w:type="dxa"/>
            <w:tcBorders>
              <w:top w:val="nil"/>
              <w:left w:val="nil"/>
              <w:bottom w:val="nil"/>
              <w:right w:val="nil"/>
            </w:tcBorders>
            <w:shd w:val="clear" w:color="auto" w:fill="auto"/>
            <w:noWrap/>
            <w:vAlign w:val="center"/>
            <w:hideMark/>
          </w:tcPr>
          <w:p w14:paraId="3C90AA1A" w14:textId="5B01E29D" w:rsidR="00736595" w:rsidRPr="00D92E20" w:rsidRDefault="00736595" w:rsidP="00736595">
            <w:pPr>
              <w:spacing w:after="0" w:line="240" w:lineRule="auto"/>
              <w:jc w:val="right"/>
              <w:rPr>
                <w:rFonts w:cs="Arial"/>
                <w:color w:val="000000"/>
                <w:sz w:val="16"/>
                <w:szCs w:val="16"/>
              </w:rPr>
            </w:pPr>
            <w:r>
              <w:rPr>
                <w:rFonts w:cs="Arial"/>
                <w:color w:val="000000"/>
                <w:sz w:val="16"/>
                <w:szCs w:val="16"/>
              </w:rPr>
              <w:t>57,6</w:t>
            </w:r>
          </w:p>
        </w:tc>
        <w:tc>
          <w:tcPr>
            <w:tcW w:w="907" w:type="dxa"/>
            <w:tcBorders>
              <w:top w:val="nil"/>
              <w:left w:val="nil"/>
              <w:bottom w:val="nil"/>
              <w:right w:val="nil"/>
            </w:tcBorders>
            <w:shd w:val="clear" w:color="auto" w:fill="auto"/>
            <w:noWrap/>
            <w:vAlign w:val="center"/>
            <w:hideMark/>
          </w:tcPr>
          <w:p w14:paraId="14DA7BAB" w14:textId="584C6EB8" w:rsidR="00736595" w:rsidRPr="00D92E20" w:rsidRDefault="00736595" w:rsidP="00736595">
            <w:pPr>
              <w:spacing w:after="0" w:line="240" w:lineRule="auto"/>
              <w:jc w:val="right"/>
              <w:rPr>
                <w:rFonts w:cs="Arial"/>
                <w:color w:val="000000"/>
                <w:sz w:val="16"/>
                <w:szCs w:val="16"/>
              </w:rPr>
            </w:pPr>
            <w:r>
              <w:rPr>
                <w:rFonts w:cs="Arial"/>
                <w:color w:val="000000"/>
                <w:sz w:val="16"/>
                <w:szCs w:val="16"/>
              </w:rPr>
              <w:t>66,3</w:t>
            </w:r>
          </w:p>
        </w:tc>
      </w:tr>
      <w:tr w:rsidR="00736595" w:rsidRPr="00D92E20" w14:paraId="5E10E5AA" w14:textId="77777777" w:rsidTr="00E371CF">
        <w:trPr>
          <w:trHeight w:val="300"/>
        </w:trPr>
        <w:tc>
          <w:tcPr>
            <w:tcW w:w="4195" w:type="dxa"/>
            <w:tcBorders>
              <w:top w:val="nil"/>
              <w:left w:val="nil"/>
              <w:bottom w:val="nil"/>
              <w:right w:val="nil"/>
            </w:tcBorders>
            <w:shd w:val="clear" w:color="auto" w:fill="auto"/>
            <w:noWrap/>
            <w:vAlign w:val="center"/>
            <w:hideMark/>
          </w:tcPr>
          <w:p w14:paraId="1AACEE65" w14:textId="5927D27B" w:rsidR="00736595" w:rsidRPr="00D92E20" w:rsidRDefault="00736595" w:rsidP="00736595">
            <w:pPr>
              <w:spacing w:after="0" w:line="240" w:lineRule="auto"/>
              <w:ind w:firstLineChars="200" w:firstLine="320"/>
              <w:rPr>
                <w:rFonts w:cs="Arial"/>
                <w:color w:val="000000"/>
                <w:sz w:val="16"/>
                <w:szCs w:val="16"/>
              </w:rPr>
            </w:pPr>
            <w:r>
              <w:rPr>
                <w:rFonts w:cs="Arial"/>
                <w:sz w:val="16"/>
                <w:szCs w:val="16"/>
              </w:rPr>
              <w:t xml:space="preserve">      – jiné nemoci pohybové soustavy</w:t>
            </w:r>
          </w:p>
        </w:tc>
        <w:tc>
          <w:tcPr>
            <w:tcW w:w="907" w:type="dxa"/>
            <w:tcBorders>
              <w:top w:val="nil"/>
              <w:left w:val="single" w:sz="4" w:space="0" w:color="auto"/>
              <w:bottom w:val="nil"/>
              <w:right w:val="nil"/>
            </w:tcBorders>
            <w:shd w:val="clear" w:color="auto" w:fill="auto"/>
            <w:noWrap/>
            <w:vAlign w:val="center"/>
            <w:hideMark/>
          </w:tcPr>
          <w:p w14:paraId="77424AD1" w14:textId="4E838950" w:rsidR="00736595" w:rsidRPr="00D92E20" w:rsidRDefault="00736595" w:rsidP="00736595">
            <w:pPr>
              <w:spacing w:after="0" w:line="240" w:lineRule="auto"/>
              <w:jc w:val="right"/>
              <w:rPr>
                <w:rFonts w:cs="Arial"/>
                <w:color w:val="000000"/>
                <w:sz w:val="16"/>
                <w:szCs w:val="16"/>
              </w:rPr>
            </w:pPr>
            <w:r>
              <w:rPr>
                <w:rFonts w:cs="Arial"/>
                <w:color w:val="000000"/>
                <w:sz w:val="16"/>
                <w:szCs w:val="16"/>
              </w:rPr>
              <w:t>70,6</w:t>
            </w:r>
          </w:p>
        </w:tc>
        <w:tc>
          <w:tcPr>
            <w:tcW w:w="907" w:type="dxa"/>
            <w:tcBorders>
              <w:top w:val="nil"/>
              <w:left w:val="nil"/>
              <w:bottom w:val="nil"/>
              <w:right w:val="nil"/>
            </w:tcBorders>
            <w:shd w:val="clear" w:color="auto" w:fill="auto"/>
            <w:noWrap/>
            <w:vAlign w:val="center"/>
            <w:hideMark/>
          </w:tcPr>
          <w:p w14:paraId="453D219F" w14:textId="1A288CD1" w:rsidR="00736595" w:rsidRPr="00D92E20" w:rsidRDefault="00736595" w:rsidP="00736595">
            <w:pPr>
              <w:spacing w:after="0" w:line="240" w:lineRule="auto"/>
              <w:jc w:val="right"/>
              <w:rPr>
                <w:rFonts w:cs="Arial"/>
                <w:color w:val="000000"/>
                <w:sz w:val="16"/>
                <w:szCs w:val="16"/>
              </w:rPr>
            </w:pPr>
            <w:r>
              <w:rPr>
                <w:rFonts w:cs="Arial"/>
                <w:color w:val="000000"/>
                <w:sz w:val="16"/>
                <w:szCs w:val="16"/>
              </w:rPr>
              <w:t>36,2</w:t>
            </w:r>
          </w:p>
        </w:tc>
        <w:tc>
          <w:tcPr>
            <w:tcW w:w="907" w:type="dxa"/>
            <w:tcBorders>
              <w:top w:val="nil"/>
              <w:left w:val="nil"/>
              <w:bottom w:val="nil"/>
              <w:right w:val="single" w:sz="4" w:space="0" w:color="auto"/>
            </w:tcBorders>
            <w:shd w:val="clear" w:color="auto" w:fill="auto"/>
            <w:noWrap/>
            <w:vAlign w:val="center"/>
            <w:hideMark/>
          </w:tcPr>
          <w:p w14:paraId="553FA79A" w14:textId="74AA48CE" w:rsidR="00736595" w:rsidRPr="00D92E20" w:rsidRDefault="00736595" w:rsidP="00736595">
            <w:pPr>
              <w:spacing w:after="0" w:line="240" w:lineRule="auto"/>
              <w:jc w:val="right"/>
              <w:rPr>
                <w:rFonts w:cs="Arial"/>
                <w:color w:val="000000"/>
                <w:sz w:val="16"/>
                <w:szCs w:val="16"/>
              </w:rPr>
            </w:pPr>
            <w:r>
              <w:rPr>
                <w:rFonts w:cs="Arial"/>
                <w:color w:val="000000"/>
                <w:sz w:val="16"/>
                <w:szCs w:val="16"/>
              </w:rPr>
              <w:t>34,4</w:t>
            </w:r>
          </w:p>
        </w:tc>
        <w:tc>
          <w:tcPr>
            <w:tcW w:w="907" w:type="dxa"/>
            <w:tcBorders>
              <w:top w:val="nil"/>
              <w:left w:val="nil"/>
              <w:bottom w:val="nil"/>
              <w:right w:val="nil"/>
            </w:tcBorders>
            <w:shd w:val="clear" w:color="auto" w:fill="auto"/>
            <w:noWrap/>
            <w:vAlign w:val="center"/>
            <w:hideMark/>
          </w:tcPr>
          <w:p w14:paraId="060DACCB" w14:textId="04662E3B" w:rsidR="00736595" w:rsidRPr="00D92E20" w:rsidRDefault="00736595" w:rsidP="00736595">
            <w:pPr>
              <w:spacing w:after="0" w:line="240" w:lineRule="auto"/>
              <w:jc w:val="right"/>
              <w:rPr>
                <w:rFonts w:cs="Arial"/>
                <w:color w:val="000000"/>
                <w:sz w:val="16"/>
                <w:szCs w:val="16"/>
              </w:rPr>
            </w:pPr>
            <w:r>
              <w:rPr>
                <w:rFonts w:cs="Arial"/>
                <w:color w:val="000000"/>
                <w:sz w:val="16"/>
                <w:szCs w:val="16"/>
              </w:rPr>
              <w:t>75,2</w:t>
            </w:r>
          </w:p>
        </w:tc>
        <w:tc>
          <w:tcPr>
            <w:tcW w:w="907" w:type="dxa"/>
            <w:tcBorders>
              <w:top w:val="nil"/>
              <w:left w:val="nil"/>
              <w:bottom w:val="nil"/>
              <w:right w:val="nil"/>
            </w:tcBorders>
            <w:shd w:val="clear" w:color="auto" w:fill="auto"/>
            <w:noWrap/>
            <w:vAlign w:val="center"/>
            <w:hideMark/>
          </w:tcPr>
          <w:p w14:paraId="55AAA629" w14:textId="5AA65CB4" w:rsidR="00736595" w:rsidRPr="00D92E20" w:rsidRDefault="00736595" w:rsidP="00736595">
            <w:pPr>
              <w:spacing w:after="0" w:line="240" w:lineRule="auto"/>
              <w:jc w:val="right"/>
              <w:rPr>
                <w:rFonts w:cs="Arial"/>
                <w:color w:val="000000"/>
                <w:sz w:val="16"/>
                <w:szCs w:val="16"/>
              </w:rPr>
            </w:pPr>
            <w:r>
              <w:rPr>
                <w:rFonts w:cs="Arial"/>
                <w:color w:val="000000"/>
                <w:sz w:val="16"/>
                <w:szCs w:val="16"/>
              </w:rPr>
              <w:t>71,0</w:t>
            </w:r>
          </w:p>
        </w:tc>
        <w:tc>
          <w:tcPr>
            <w:tcW w:w="907" w:type="dxa"/>
            <w:tcBorders>
              <w:top w:val="nil"/>
              <w:left w:val="nil"/>
              <w:bottom w:val="nil"/>
              <w:right w:val="nil"/>
            </w:tcBorders>
            <w:shd w:val="clear" w:color="auto" w:fill="auto"/>
            <w:noWrap/>
            <w:vAlign w:val="center"/>
            <w:hideMark/>
          </w:tcPr>
          <w:p w14:paraId="0EB55880" w14:textId="0632978C" w:rsidR="00736595" w:rsidRPr="00D92E20" w:rsidRDefault="00736595" w:rsidP="00736595">
            <w:pPr>
              <w:spacing w:after="0" w:line="240" w:lineRule="auto"/>
              <w:jc w:val="right"/>
              <w:rPr>
                <w:rFonts w:cs="Arial"/>
                <w:color w:val="000000"/>
                <w:sz w:val="16"/>
                <w:szCs w:val="16"/>
              </w:rPr>
            </w:pPr>
            <w:r>
              <w:rPr>
                <w:rFonts w:cs="Arial"/>
                <w:color w:val="000000"/>
                <w:sz w:val="16"/>
                <w:szCs w:val="16"/>
              </w:rPr>
              <w:t>79,6</w:t>
            </w:r>
          </w:p>
        </w:tc>
      </w:tr>
      <w:tr w:rsidR="00736595" w:rsidRPr="00D92E20" w14:paraId="3514D31D" w14:textId="77777777" w:rsidTr="00E371CF">
        <w:trPr>
          <w:trHeight w:val="300"/>
        </w:trPr>
        <w:tc>
          <w:tcPr>
            <w:tcW w:w="4195" w:type="dxa"/>
            <w:tcBorders>
              <w:top w:val="nil"/>
              <w:left w:val="nil"/>
              <w:bottom w:val="nil"/>
              <w:right w:val="nil"/>
            </w:tcBorders>
            <w:shd w:val="clear" w:color="auto" w:fill="auto"/>
            <w:noWrap/>
            <w:vAlign w:val="center"/>
            <w:hideMark/>
          </w:tcPr>
          <w:p w14:paraId="49478951" w14:textId="19DA3F33" w:rsidR="00736595" w:rsidRPr="00D92E20" w:rsidRDefault="00736595" w:rsidP="00736595">
            <w:pPr>
              <w:spacing w:after="0" w:line="240" w:lineRule="auto"/>
              <w:ind w:firstLineChars="100" w:firstLine="160"/>
              <w:rPr>
                <w:rFonts w:cs="Arial"/>
                <w:color w:val="000000"/>
                <w:sz w:val="16"/>
                <w:szCs w:val="16"/>
              </w:rPr>
            </w:pPr>
            <w:r>
              <w:rPr>
                <w:rFonts w:cs="Arial"/>
                <w:sz w:val="16"/>
                <w:szCs w:val="16"/>
              </w:rPr>
              <w:t xml:space="preserve">   Nemoci močové a pohlavní soustavy</w:t>
            </w:r>
          </w:p>
        </w:tc>
        <w:tc>
          <w:tcPr>
            <w:tcW w:w="907" w:type="dxa"/>
            <w:tcBorders>
              <w:top w:val="nil"/>
              <w:left w:val="single" w:sz="4" w:space="0" w:color="auto"/>
              <w:bottom w:val="nil"/>
              <w:right w:val="nil"/>
            </w:tcBorders>
            <w:shd w:val="clear" w:color="auto" w:fill="auto"/>
            <w:noWrap/>
            <w:vAlign w:val="center"/>
            <w:hideMark/>
          </w:tcPr>
          <w:p w14:paraId="586BCB1B" w14:textId="55D65FFE" w:rsidR="00736595" w:rsidRPr="00D92E20" w:rsidRDefault="00736595" w:rsidP="00736595">
            <w:pPr>
              <w:spacing w:after="0" w:line="240" w:lineRule="auto"/>
              <w:jc w:val="right"/>
              <w:rPr>
                <w:rFonts w:cs="Arial"/>
                <w:color w:val="000000"/>
                <w:sz w:val="16"/>
                <w:szCs w:val="16"/>
              </w:rPr>
            </w:pPr>
            <w:r>
              <w:rPr>
                <w:rFonts w:cs="Arial"/>
                <w:color w:val="000000"/>
                <w:sz w:val="16"/>
                <w:szCs w:val="16"/>
              </w:rPr>
              <w:t>43,1</w:t>
            </w:r>
          </w:p>
        </w:tc>
        <w:tc>
          <w:tcPr>
            <w:tcW w:w="907" w:type="dxa"/>
            <w:tcBorders>
              <w:top w:val="nil"/>
              <w:left w:val="nil"/>
              <w:bottom w:val="nil"/>
              <w:right w:val="nil"/>
            </w:tcBorders>
            <w:shd w:val="clear" w:color="auto" w:fill="auto"/>
            <w:noWrap/>
            <w:vAlign w:val="center"/>
            <w:hideMark/>
          </w:tcPr>
          <w:p w14:paraId="3A5BAD1D" w14:textId="15F660C1" w:rsidR="00736595" w:rsidRPr="00D92E20" w:rsidRDefault="00736595" w:rsidP="00736595">
            <w:pPr>
              <w:spacing w:after="0" w:line="240" w:lineRule="auto"/>
              <w:jc w:val="right"/>
              <w:rPr>
                <w:rFonts w:cs="Arial"/>
                <w:color w:val="000000"/>
                <w:sz w:val="16"/>
                <w:szCs w:val="16"/>
              </w:rPr>
            </w:pPr>
            <w:r>
              <w:rPr>
                <w:rFonts w:cs="Arial"/>
                <w:color w:val="000000"/>
                <w:sz w:val="16"/>
                <w:szCs w:val="16"/>
              </w:rPr>
              <w:t>9,7</w:t>
            </w:r>
          </w:p>
        </w:tc>
        <w:tc>
          <w:tcPr>
            <w:tcW w:w="907" w:type="dxa"/>
            <w:tcBorders>
              <w:top w:val="nil"/>
              <w:left w:val="nil"/>
              <w:bottom w:val="nil"/>
              <w:right w:val="single" w:sz="4" w:space="0" w:color="auto"/>
            </w:tcBorders>
            <w:shd w:val="clear" w:color="auto" w:fill="auto"/>
            <w:noWrap/>
            <w:vAlign w:val="center"/>
            <w:hideMark/>
          </w:tcPr>
          <w:p w14:paraId="6A0D175C" w14:textId="69DFF904" w:rsidR="00736595" w:rsidRPr="00D92E20" w:rsidRDefault="00736595" w:rsidP="00736595">
            <w:pPr>
              <w:spacing w:after="0" w:line="240" w:lineRule="auto"/>
              <w:jc w:val="right"/>
              <w:rPr>
                <w:rFonts w:cs="Arial"/>
                <w:color w:val="000000"/>
                <w:sz w:val="16"/>
                <w:szCs w:val="16"/>
              </w:rPr>
            </w:pPr>
            <w:r>
              <w:rPr>
                <w:rFonts w:cs="Arial"/>
                <w:color w:val="000000"/>
                <w:sz w:val="16"/>
                <w:szCs w:val="16"/>
              </w:rPr>
              <w:t>33,4</w:t>
            </w:r>
          </w:p>
        </w:tc>
        <w:tc>
          <w:tcPr>
            <w:tcW w:w="907" w:type="dxa"/>
            <w:tcBorders>
              <w:top w:val="nil"/>
              <w:left w:val="nil"/>
              <w:bottom w:val="nil"/>
              <w:right w:val="nil"/>
            </w:tcBorders>
            <w:shd w:val="clear" w:color="auto" w:fill="auto"/>
            <w:noWrap/>
            <w:vAlign w:val="center"/>
            <w:hideMark/>
          </w:tcPr>
          <w:p w14:paraId="13461EDC" w14:textId="35D83C13" w:rsidR="00736595" w:rsidRPr="00D92E20" w:rsidRDefault="00736595" w:rsidP="00736595">
            <w:pPr>
              <w:spacing w:after="0" w:line="240" w:lineRule="auto"/>
              <w:jc w:val="right"/>
              <w:rPr>
                <w:rFonts w:cs="Arial"/>
                <w:color w:val="000000"/>
                <w:sz w:val="16"/>
                <w:szCs w:val="16"/>
              </w:rPr>
            </w:pPr>
            <w:r>
              <w:rPr>
                <w:rFonts w:cs="Arial"/>
                <w:color w:val="000000"/>
                <w:sz w:val="16"/>
                <w:szCs w:val="16"/>
              </w:rPr>
              <w:t>31,1</w:t>
            </w:r>
          </w:p>
        </w:tc>
        <w:tc>
          <w:tcPr>
            <w:tcW w:w="907" w:type="dxa"/>
            <w:tcBorders>
              <w:top w:val="nil"/>
              <w:left w:val="nil"/>
              <w:bottom w:val="nil"/>
              <w:right w:val="nil"/>
            </w:tcBorders>
            <w:shd w:val="clear" w:color="auto" w:fill="auto"/>
            <w:noWrap/>
            <w:vAlign w:val="center"/>
            <w:hideMark/>
          </w:tcPr>
          <w:p w14:paraId="041A89C2" w14:textId="73FFE952" w:rsidR="00736595" w:rsidRPr="00D92E20" w:rsidRDefault="00736595" w:rsidP="00736595">
            <w:pPr>
              <w:spacing w:after="0" w:line="240" w:lineRule="auto"/>
              <w:jc w:val="right"/>
              <w:rPr>
                <w:rFonts w:cs="Arial"/>
                <w:color w:val="000000"/>
                <w:sz w:val="16"/>
                <w:szCs w:val="16"/>
              </w:rPr>
            </w:pPr>
            <w:r>
              <w:rPr>
                <w:rFonts w:cs="Arial"/>
                <w:color w:val="000000"/>
                <w:sz w:val="16"/>
                <w:szCs w:val="16"/>
              </w:rPr>
              <w:t>34,9</w:t>
            </w:r>
          </w:p>
        </w:tc>
        <w:tc>
          <w:tcPr>
            <w:tcW w:w="907" w:type="dxa"/>
            <w:tcBorders>
              <w:top w:val="nil"/>
              <w:left w:val="nil"/>
              <w:bottom w:val="nil"/>
              <w:right w:val="nil"/>
            </w:tcBorders>
            <w:shd w:val="clear" w:color="auto" w:fill="auto"/>
            <w:noWrap/>
            <w:vAlign w:val="center"/>
            <w:hideMark/>
          </w:tcPr>
          <w:p w14:paraId="092394EC" w14:textId="0D650106" w:rsidR="00736595" w:rsidRPr="00D92E20" w:rsidRDefault="00736595" w:rsidP="00736595">
            <w:pPr>
              <w:spacing w:after="0" w:line="240" w:lineRule="auto"/>
              <w:jc w:val="right"/>
              <w:rPr>
                <w:rFonts w:cs="Arial"/>
                <w:color w:val="000000"/>
                <w:sz w:val="16"/>
                <w:szCs w:val="16"/>
              </w:rPr>
            </w:pPr>
            <w:r>
              <w:rPr>
                <w:rFonts w:cs="Arial"/>
                <w:color w:val="000000"/>
                <w:sz w:val="16"/>
                <w:szCs w:val="16"/>
              </w:rPr>
              <w:t>30,0</w:t>
            </w:r>
          </w:p>
        </w:tc>
      </w:tr>
      <w:tr w:rsidR="00736595" w:rsidRPr="00D92E20" w14:paraId="32B14331" w14:textId="77777777" w:rsidTr="00E371CF">
        <w:trPr>
          <w:trHeight w:val="300"/>
        </w:trPr>
        <w:tc>
          <w:tcPr>
            <w:tcW w:w="4195" w:type="dxa"/>
            <w:tcBorders>
              <w:top w:val="nil"/>
              <w:left w:val="nil"/>
              <w:bottom w:val="nil"/>
              <w:right w:val="nil"/>
            </w:tcBorders>
            <w:shd w:val="clear" w:color="auto" w:fill="auto"/>
            <w:noWrap/>
            <w:vAlign w:val="center"/>
            <w:hideMark/>
          </w:tcPr>
          <w:p w14:paraId="7AF3CDE8" w14:textId="212AE9AF" w:rsidR="00736595" w:rsidRPr="00D92E20" w:rsidRDefault="00736595" w:rsidP="00736595">
            <w:pPr>
              <w:spacing w:after="0" w:line="240" w:lineRule="auto"/>
              <w:ind w:firstLineChars="100" w:firstLine="160"/>
              <w:rPr>
                <w:rFonts w:cs="Arial"/>
                <w:color w:val="000000"/>
                <w:sz w:val="16"/>
                <w:szCs w:val="16"/>
              </w:rPr>
            </w:pPr>
            <w:r>
              <w:rPr>
                <w:rFonts w:cs="Arial"/>
                <w:sz w:val="16"/>
                <w:szCs w:val="16"/>
              </w:rPr>
              <w:t xml:space="preserve">   Těhotenství, porod, šestinedělí</w:t>
            </w:r>
          </w:p>
        </w:tc>
        <w:tc>
          <w:tcPr>
            <w:tcW w:w="907" w:type="dxa"/>
            <w:tcBorders>
              <w:top w:val="nil"/>
              <w:left w:val="single" w:sz="4" w:space="0" w:color="auto"/>
              <w:bottom w:val="nil"/>
              <w:right w:val="nil"/>
            </w:tcBorders>
            <w:shd w:val="clear" w:color="auto" w:fill="auto"/>
            <w:noWrap/>
            <w:vAlign w:val="center"/>
            <w:hideMark/>
          </w:tcPr>
          <w:p w14:paraId="762F3D55" w14:textId="477B8C5A" w:rsidR="00736595" w:rsidRPr="00D92E20" w:rsidRDefault="00736595" w:rsidP="00736595">
            <w:pPr>
              <w:spacing w:after="0" w:line="240" w:lineRule="auto"/>
              <w:jc w:val="right"/>
              <w:rPr>
                <w:rFonts w:cs="Arial"/>
                <w:color w:val="000000"/>
                <w:sz w:val="16"/>
                <w:szCs w:val="16"/>
              </w:rPr>
            </w:pPr>
            <w:r>
              <w:rPr>
                <w:rFonts w:cs="Arial"/>
                <w:color w:val="000000"/>
                <w:sz w:val="16"/>
                <w:szCs w:val="16"/>
              </w:rPr>
              <w:t>15,1</w:t>
            </w:r>
          </w:p>
        </w:tc>
        <w:tc>
          <w:tcPr>
            <w:tcW w:w="907" w:type="dxa"/>
            <w:tcBorders>
              <w:top w:val="nil"/>
              <w:left w:val="nil"/>
              <w:bottom w:val="nil"/>
              <w:right w:val="nil"/>
            </w:tcBorders>
            <w:shd w:val="clear" w:color="auto" w:fill="auto"/>
            <w:noWrap/>
            <w:vAlign w:val="center"/>
            <w:hideMark/>
          </w:tcPr>
          <w:p w14:paraId="0D50D00E" w14:textId="26C24438" w:rsidR="00736595" w:rsidRPr="00D92E20" w:rsidRDefault="00736595" w:rsidP="00736595">
            <w:pPr>
              <w:spacing w:after="0" w:line="240" w:lineRule="auto"/>
              <w:jc w:val="right"/>
              <w:rPr>
                <w:rFonts w:ascii="Calibri" w:hAnsi="Calibri" w:cs="Calibri"/>
                <w:color w:val="000000"/>
                <w:sz w:val="16"/>
                <w:szCs w:val="16"/>
              </w:rPr>
            </w:pPr>
            <w:r>
              <w:rPr>
                <w:rFonts w:cs="Arial"/>
                <w:sz w:val="16"/>
                <w:szCs w:val="16"/>
              </w:rPr>
              <w:t>x</w:t>
            </w:r>
          </w:p>
        </w:tc>
        <w:tc>
          <w:tcPr>
            <w:tcW w:w="907" w:type="dxa"/>
            <w:tcBorders>
              <w:top w:val="nil"/>
              <w:left w:val="nil"/>
              <w:bottom w:val="nil"/>
              <w:right w:val="single" w:sz="4" w:space="0" w:color="auto"/>
            </w:tcBorders>
            <w:shd w:val="clear" w:color="auto" w:fill="auto"/>
            <w:noWrap/>
            <w:vAlign w:val="center"/>
            <w:hideMark/>
          </w:tcPr>
          <w:p w14:paraId="704A6B65" w14:textId="2D9E5F10" w:rsidR="00736595" w:rsidRPr="00D92E20" w:rsidRDefault="00736595" w:rsidP="00736595">
            <w:pPr>
              <w:spacing w:after="0" w:line="240" w:lineRule="auto"/>
              <w:jc w:val="right"/>
              <w:rPr>
                <w:rFonts w:cs="Arial"/>
                <w:color w:val="000000"/>
                <w:sz w:val="16"/>
                <w:szCs w:val="16"/>
              </w:rPr>
            </w:pPr>
            <w:r>
              <w:rPr>
                <w:rFonts w:cs="Arial"/>
                <w:color w:val="000000"/>
                <w:sz w:val="16"/>
                <w:szCs w:val="16"/>
              </w:rPr>
              <w:t>15,1</w:t>
            </w:r>
          </w:p>
        </w:tc>
        <w:tc>
          <w:tcPr>
            <w:tcW w:w="907" w:type="dxa"/>
            <w:tcBorders>
              <w:top w:val="nil"/>
              <w:left w:val="nil"/>
              <w:bottom w:val="nil"/>
              <w:right w:val="nil"/>
            </w:tcBorders>
            <w:shd w:val="clear" w:color="auto" w:fill="auto"/>
            <w:noWrap/>
            <w:vAlign w:val="center"/>
            <w:hideMark/>
          </w:tcPr>
          <w:p w14:paraId="7206F860" w14:textId="4CD3C866" w:rsidR="00736595" w:rsidRPr="00D92E20" w:rsidRDefault="00736595" w:rsidP="00736595">
            <w:pPr>
              <w:spacing w:after="0" w:line="240" w:lineRule="auto"/>
              <w:jc w:val="right"/>
              <w:rPr>
                <w:rFonts w:cs="Arial"/>
                <w:color w:val="000000"/>
                <w:sz w:val="16"/>
                <w:szCs w:val="16"/>
              </w:rPr>
            </w:pPr>
            <w:r>
              <w:rPr>
                <w:rFonts w:cs="Arial"/>
                <w:color w:val="000000"/>
                <w:sz w:val="16"/>
                <w:szCs w:val="16"/>
              </w:rPr>
              <w:t>99,8</w:t>
            </w:r>
          </w:p>
        </w:tc>
        <w:tc>
          <w:tcPr>
            <w:tcW w:w="907" w:type="dxa"/>
            <w:tcBorders>
              <w:top w:val="nil"/>
              <w:left w:val="nil"/>
              <w:bottom w:val="nil"/>
              <w:right w:val="nil"/>
            </w:tcBorders>
            <w:shd w:val="clear" w:color="auto" w:fill="auto"/>
            <w:noWrap/>
            <w:vAlign w:val="center"/>
            <w:hideMark/>
          </w:tcPr>
          <w:p w14:paraId="1073704A" w14:textId="05C28C1C" w:rsidR="00736595" w:rsidRPr="00D92E20" w:rsidRDefault="00736595" w:rsidP="00736595">
            <w:pPr>
              <w:spacing w:after="0" w:line="240" w:lineRule="auto"/>
              <w:jc w:val="right"/>
              <w:rPr>
                <w:rFonts w:ascii="Calibri" w:hAnsi="Calibri" w:cs="Calibri"/>
                <w:color w:val="000000"/>
                <w:sz w:val="16"/>
                <w:szCs w:val="16"/>
              </w:rPr>
            </w:pPr>
            <w:r>
              <w:rPr>
                <w:rFonts w:cs="Arial"/>
                <w:sz w:val="16"/>
                <w:szCs w:val="16"/>
              </w:rPr>
              <w:t>x</w:t>
            </w:r>
          </w:p>
        </w:tc>
        <w:tc>
          <w:tcPr>
            <w:tcW w:w="907" w:type="dxa"/>
            <w:tcBorders>
              <w:top w:val="nil"/>
              <w:left w:val="nil"/>
              <w:bottom w:val="nil"/>
              <w:right w:val="nil"/>
            </w:tcBorders>
            <w:shd w:val="clear" w:color="auto" w:fill="auto"/>
            <w:noWrap/>
            <w:vAlign w:val="center"/>
            <w:hideMark/>
          </w:tcPr>
          <w:p w14:paraId="37A792A3" w14:textId="0D6E4E76" w:rsidR="00736595" w:rsidRPr="00D92E20" w:rsidRDefault="00736595" w:rsidP="00736595">
            <w:pPr>
              <w:spacing w:after="0" w:line="240" w:lineRule="auto"/>
              <w:jc w:val="right"/>
              <w:rPr>
                <w:rFonts w:cs="Arial"/>
                <w:color w:val="000000"/>
                <w:sz w:val="16"/>
                <w:szCs w:val="16"/>
              </w:rPr>
            </w:pPr>
            <w:r>
              <w:rPr>
                <w:rFonts w:cs="Arial"/>
                <w:color w:val="000000"/>
                <w:sz w:val="16"/>
                <w:szCs w:val="16"/>
              </w:rPr>
              <w:t>99,8</w:t>
            </w:r>
          </w:p>
        </w:tc>
      </w:tr>
      <w:tr w:rsidR="00736595" w:rsidRPr="00D92E20" w14:paraId="37471E0A" w14:textId="77777777" w:rsidTr="00E371CF">
        <w:trPr>
          <w:trHeight w:val="300"/>
        </w:trPr>
        <w:tc>
          <w:tcPr>
            <w:tcW w:w="4195" w:type="dxa"/>
            <w:tcBorders>
              <w:top w:val="nil"/>
              <w:left w:val="nil"/>
              <w:bottom w:val="nil"/>
              <w:right w:val="nil"/>
            </w:tcBorders>
            <w:shd w:val="clear" w:color="auto" w:fill="auto"/>
            <w:noWrap/>
            <w:vAlign w:val="center"/>
            <w:hideMark/>
          </w:tcPr>
          <w:p w14:paraId="556B8FAF" w14:textId="0B753742" w:rsidR="00736595" w:rsidRPr="00D92E20" w:rsidRDefault="00736595" w:rsidP="00736595">
            <w:pPr>
              <w:spacing w:after="0" w:line="240" w:lineRule="auto"/>
              <w:ind w:firstLineChars="100" w:firstLine="160"/>
              <w:rPr>
                <w:rFonts w:cs="Arial"/>
                <w:color w:val="000000"/>
                <w:sz w:val="16"/>
                <w:szCs w:val="16"/>
              </w:rPr>
            </w:pPr>
            <w:r>
              <w:rPr>
                <w:rFonts w:cs="Arial"/>
                <w:sz w:val="16"/>
                <w:szCs w:val="16"/>
              </w:rPr>
              <w:t xml:space="preserve">   Úrazy, otravy</w:t>
            </w:r>
          </w:p>
        </w:tc>
        <w:tc>
          <w:tcPr>
            <w:tcW w:w="907" w:type="dxa"/>
            <w:tcBorders>
              <w:top w:val="nil"/>
              <w:left w:val="single" w:sz="4" w:space="0" w:color="auto"/>
              <w:bottom w:val="nil"/>
              <w:right w:val="nil"/>
            </w:tcBorders>
            <w:shd w:val="clear" w:color="auto" w:fill="auto"/>
            <w:noWrap/>
            <w:vAlign w:val="center"/>
            <w:hideMark/>
          </w:tcPr>
          <w:p w14:paraId="1A740119" w14:textId="2816F4A8" w:rsidR="00736595" w:rsidRPr="00D92E20" w:rsidRDefault="00736595" w:rsidP="00736595">
            <w:pPr>
              <w:spacing w:after="0" w:line="240" w:lineRule="auto"/>
              <w:jc w:val="right"/>
              <w:rPr>
                <w:rFonts w:cs="Arial"/>
                <w:color w:val="000000"/>
                <w:sz w:val="16"/>
                <w:szCs w:val="16"/>
              </w:rPr>
            </w:pPr>
            <w:r>
              <w:rPr>
                <w:rFonts w:cs="Arial"/>
                <w:color w:val="000000"/>
                <w:sz w:val="16"/>
                <w:szCs w:val="16"/>
              </w:rPr>
              <w:t>103,9</w:t>
            </w:r>
          </w:p>
        </w:tc>
        <w:tc>
          <w:tcPr>
            <w:tcW w:w="907" w:type="dxa"/>
            <w:tcBorders>
              <w:top w:val="nil"/>
              <w:left w:val="nil"/>
              <w:bottom w:val="nil"/>
              <w:right w:val="nil"/>
            </w:tcBorders>
            <w:shd w:val="clear" w:color="auto" w:fill="auto"/>
            <w:noWrap/>
            <w:vAlign w:val="center"/>
            <w:hideMark/>
          </w:tcPr>
          <w:p w14:paraId="6F5ACB5C" w14:textId="10D32F50" w:rsidR="00736595" w:rsidRPr="00D92E20" w:rsidRDefault="00736595" w:rsidP="00736595">
            <w:pPr>
              <w:spacing w:after="0" w:line="240" w:lineRule="auto"/>
              <w:jc w:val="right"/>
              <w:rPr>
                <w:rFonts w:cs="Arial"/>
                <w:color w:val="000000"/>
                <w:sz w:val="16"/>
                <w:szCs w:val="16"/>
              </w:rPr>
            </w:pPr>
            <w:r>
              <w:rPr>
                <w:rFonts w:cs="Arial"/>
                <w:color w:val="000000"/>
                <w:sz w:val="16"/>
                <w:szCs w:val="16"/>
              </w:rPr>
              <w:t>64,6</w:t>
            </w:r>
          </w:p>
        </w:tc>
        <w:tc>
          <w:tcPr>
            <w:tcW w:w="907" w:type="dxa"/>
            <w:tcBorders>
              <w:top w:val="nil"/>
              <w:left w:val="nil"/>
              <w:bottom w:val="nil"/>
              <w:right w:val="single" w:sz="4" w:space="0" w:color="auto"/>
            </w:tcBorders>
            <w:shd w:val="clear" w:color="auto" w:fill="auto"/>
            <w:noWrap/>
            <w:vAlign w:val="center"/>
            <w:hideMark/>
          </w:tcPr>
          <w:p w14:paraId="093879DE" w14:textId="4FE9FDB7" w:rsidR="00736595" w:rsidRPr="00D92E20" w:rsidRDefault="00736595" w:rsidP="00736595">
            <w:pPr>
              <w:spacing w:after="0" w:line="240" w:lineRule="auto"/>
              <w:jc w:val="right"/>
              <w:rPr>
                <w:rFonts w:cs="Arial"/>
                <w:color w:val="000000"/>
                <w:sz w:val="16"/>
                <w:szCs w:val="16"/>
              </w:rPr>
            </w:pPr>
            <w:r>
              <w:rPr>
                <w:rFonts w:cs="Arial"/>
                <w:color w:val="000000"/>
                <w:sz w:val="16"/>
                <w:szCs w:val="16"/>
              </w:rPr>
              <w:t>39,4</w:t>
            </w:r>
          </w:p>
        </w:tc>
        <w:tc>
          <w:tcPr>
            <w:tcW w:w="907" w:type="dxa"/>
            <w:tcBorders>
              <w:top w:val="nil"/>
              <w:left w:val="nil"/>
              <w:bottom w:val="nil"/>
              <w:right w:val="nil"/>
            </w:tcBorders>
            <w:shd w:val="clear" w:color="auto" w:fill="auto"/>
            <w:noWrap/>
            <w:vAlign w:val="center"/>
            <w:hideMark/>
          </w:tcPr>
          <w:p w14:paraId="56A7ED6C" w14:textId="3579A4A2" w:rsidR="00736595" w:rsidRPr="00D92E20" w:rsidRDefault="00736595" w:rsidP="00736595">
            <w:pPr>
              <w:spacing w:after="0" w:line="240" w:lineRule="auto"/>
              <w:jc w:val="right"/>
              <w:rPr>
                <w:rFonts w:cs="Arial"/>
                <w:color w:val="000000"/>
                <w:sz w:val="16"/>
                <w:szCs w:val="16"/>
              </w:rPr>
            </w:pPr>
            <w:r>
              <w:rPr>
                <w:rFonts w:cs="Arial"/>
                <w:color w:val="000000"/>
                <w:sz w:val="16"/>
                <w:szCs w:val="16"/>
              </w:rPr>
              <w:t>53,2</w:t>
            </w:r>
          </w:p>
        </w:tc>
        <w:tc>
          <w:tcPr>
            <w:tcW w:w="907" w:type="dxa"/>
            <w:tcBorders>
              <w:top w:val="nil"/>
              <w:left w:val="nil"/>
              <w:bottom w:val="nil"/>
              <w:right w:val="nil"/>
            </w:tcBorders>
            <w:shd w:val="clear" w:color="auto" w:fill="auto"/>
            <w:noWrap/>
            <w:vAlign w:val="center"/>
            <w:hideMark/>
          </w:tcPr>
          <w:p w14:paraId="034C35C9" w14:textId="1FF7079D" w:rsidR="00736595" w:rsidRPr="00D92E20" w:rsidRDefault="00736595" w:rsidP="00736595">
            <w:pPr>
              <w:spacing w:after="0" w:line="240" w:lineRule="auto"/>
              <w:jc w:val="right"/>
              <w:rPr>
                <w:rFonts w:cs="Arial"/>
                <w:color w:val="000000"/>
                <w:sz w:val="16"/>
                <w:szCs w:val="16"/>
              </w:rPr>
            </w:pPr>
            <w:r>
              <w:rPr>
                <w:rFonts w:cs="Arial"/>
                <w:color w:val="000000"/>
                <w:sz w:val="16"/>
                <w:szCs w:val="16"/>
              </w:rPr>
              <w:t>52,0</w:t>
            </w:r>
          </w:p>
        </w:tc>
        <w:tc>
          <w:tcPr>
            <w:tcW w:w="907" w:type="dxa"/>
            <w:tcBorders>
              <w:top w:val="nil"/>
              <w:left w:val="nil"/>
              <w:bottom w:val="nil"/>
              <w:right w:val="nil"/>
            </w:tcBorders>
            <w:shd w:val="clear" w:color="auto" w:fill="auto"/>
            <w:noWrap/>
            <w:vAlign w:val="center"/>
            <w:hideMark/>
          </w:tcPr>
          <w:p w14:paraId="1DB80290" w14:textId="0DCAD8D0" w:rsidR="00736595" w:rsidRPr="00D92E20" w:rsidRDefault="00736595" w:rsidP="00736595">
            <w:pPr>
              <w:spacing w:after="0" w:line="240" w:lineRule="auto"/>
              <w:jc w:val="right"/>
              <w:rPr>
                <w:rFonts w:cs="Arial"/>
                <w:color w:val="000000"/>
                <w:sz w:val="16"/>
                <w:szCs w:val="16"/>
              </w:rPr>
            </w:pPr>
            <w:r>
              <w:rPr>
                <w:rFonts w:cs="Arial"/>
                <w:color w:val="000000"/>
                <w:sz w:val="16"/>
                <w:szCs w:val="16"/>
              </w:rPr>
              <w:t>55,2</w:t>
            </w:r>
          </w:p>
        </w:tc>
      </w:tr>
      <w:tr w:rsidR="00736595" w:rsidRPr="00D92E20" w14:paraId="18566DD8" w14:textId="77777777" w:rsidTr="00E371CF">
        <w:trPr>
          <w:trHeight w:val="300"/>
        </w:trPr>
        <w:tc>
          <w:tcPr>
            <w:tcW w:w="4195" w:type="dxa"/>
            <w:tcBorders>
              <w:top w:val="nil"/>
              <w:left w:val="nil"/>
              <w:bottom w:val="nil"/>
              <w:right w:val="nil"/>
            </w:tcBorders>
            <w:shd w:val="clear" w:color="auto" w:fill="auto"/>
            <w:noWrap/>
            <w:vAlign w:val="center"/>
            <w:hideMark/>
          </w:tcPr>
          <w:p w14:paraId="3E583A4D" w14:textId="1363B536" w:rsidR="00736595" w:rsidRPr="00D92E20" w:rsidRDefault="00736595" w:rsidP="00736595">
            <w:pPr>
              <w:spacing w:after="0" w:line="240" w:lineRule="auto"/>
              <w:ind w:firstLineChars="100" w:firstLine="160"/>
              <w:rPr>
                <w:rFonts w:cs="Arial"/>
                <w:color w:val="000000"/>
                <w:sz w:val="16"/>
                <w:szCs w:val="16"/>
              </w:rPr>
            </w:pPr>
            <w:r>
              <w:rPr>
                <w:rFonts w:cs="Arial"/>
                <w:sz w:val="16"/>
                <w:szCs w:val="16"/>
              </w:rPr>
              <w:t xml:space="preserve">   Nemoci ostatní</w:t>
            </w:r>
          </w:p>
        </w:tc>
        <w:tc>
          <w:tcPr>
            <w:tcW w:w="907" w:type="dxa"/>
            <w:tcBorders>
              <w:top w:val="nil"/>
              <w:left w:val="single" w:sz="4" w:space="0" w:color="auto"/>
              <w:bottom w:val="nil"/>
              <w:right w:val="nil"/>
            </w:tcBorders>
            <w:shd w:val="clear" w:color="auto" w:fill="auto"/>
            <w:noWrap/>
            <w:vAlign w:val="center"/>
            <w:hideMark/>
          </w:tcPr>
          <w:p w14:paraId="59C17F8D" w14:textId="3A38B34A" w:rsidR="00736595" w:rsidRPr="00D92E20" w:rsidRDefault="00736595" w:rsidP="00736595">
            <w:pPr>
              <w:spacing w:after="0" w:line="240" w:lineRule="auto"/>
              <w:jc w:val="right"/>
              <w:rPr>
                <w:rFonts w:cs="Arial"/>
                <w:color w:val="000000"/>
                <w:sz w:val="16"/>
                <w:szCs w:val="16"/>
              </w:rPr>
            </w:pPr>
            <w:r>
              <w:rPr>
                <w:rFonts w:cs="Arial"/>
                <w:color w:val="000000"/>
                <w:sz w:val="16"/>
                <w:szCs w:val="16"/>
              </w:rPr>
              <w:t>1 066,1</w:t>
            </w:r>
          </w:p>
        </w:tc>
        <w:tc>
          <w:tcPr>
            <w:tcW w:w="907" w:type="dxa"/>
            <w:tcBorders>
              <w:top w:val="nil"/>
              <w:left w:val="nil"/>
              <w:bottom w:val="nil"/>
              <w:right w:val="nil"/>
            </w:tcBorders>
            <w:shd w:val="clear" w:color="auto" w:fill="auto"/>
            <w:noWrap/>
            <w:vAlign w:val="center"/>
            <w:hideMark/>
          </w:tcPr>
          <w:p w14:paraId="6F472D6B" w14:textId="1EEFD3D9" w:rsidR="00736595" w:rsidRPr="00D92E20" w:rsidRDefault="00736595" w:rsidP="00736595">
            <w:pPr>
              <w:spacing w:after="0" w:line="240" w:lineRule="auto"/>
              <w:jc w:val="right"/>
              <w:rPr>
                <w:rFonts w:cs="Arial"/>
                <w:color w:val="000000"/>
                <w:sz w:val="16"/>
                <w:szCs w:val="16"/>
              </w:rPr>
            </w:pPr>
            <w:r>
              <w:rPr>
                <w:rFonts w:cs="Arial"/>
                <w:color w:val="000000"/>
                <w:sz w:val="16"/>
                <w:szCs w:val="16"/>
              </w:rPr>
              <w:t>488,5</w:t>
            </w:r>
          </w:p>
        </w:tc>
        <w:tc>
          <w:tcPr>
            <w:tcW w:w="907" w:type="dxa"/>
            <w:tcBorders>
              <w:top w:val="nil"/>
              <w:left w:val="nil"/>
              <w:bottom w:val="nil"/>
              <w:right w:val="single" w:sz="4" w:space="0" w:color="auto"/>
            </w:tcBorders>
            <w:shd w:val="clear" w:color="auto" w:fill="auto"/>
            <w:noWrap/>
            <w:vAlign w:val="center"/>
            <w:hideMark/>
          </w:tcPr>
          <w:p w14:paraId="18A662FA" w14:textId="7A4DC450" w:rsidR="00736595" w:rsidRPr="00D92E20" w:rsidRDefault="00736595" w:rsidP="00736595">
            <w:pPr>
              <w:spacing w:after="0" w:line="240" w:lineRule="auto"/>
              <w:jc w:val="right"/>
              <w:rPr>
                <w:rFonts w:cs="Arial"/>
                <w:color w:val="000000"/>
                <w:sz w:val="16"/>
                <w:szCs w:val="16"/>
              </w:rPr>
            </w:pPr>
            <w:r>
              <w:rPr>
                <w:rFonts w:cs="Arial"/>
                <w:color w:val="000000"/>
                <w:sz w:val="16"/>
                <w:szCs w:val="16"/>
              </w:rPr>
              <w:t>577,6</w:t>
            </w:r>
          </w:p>
        </w:tc>
        <w:tc>
          <w:tcPr>
            <w:tcW w:w="907" w:type="dxa"/>
            <w:tcBorders>
              <w:top w:val="nil"/>
              <w:left w:val="nil"/>
              <w:bottom w:val="nil"/>
              <w:right w:val="nil"/>
            </w:tcBorders>
            <w:shd w:val="clear" w:color="auto" w:fill="auto"/>
            <w:noWrap/>
            <w:vAlign w:val="center"/>
            <w:hideMark/>
          </w:tcPr>
          <w:p w14:paraId="422FC319" w14:textId="52E0ED74" w:rsidR="00736595" w:rsidRPr="00D92E20" w:rsidRDefault="00736595" w:rsidP="00736595">
            <w:pPr>
              <w:spacing w:after="0" w:line="240" w:lineRule="auto"/>
              <w:jc w:val="right"/>
              <w:rPr>
                <w:rFonts w:cs="Arial"/>
                <w:color w:val="000000"/>
                <w:sz w:val="16"/>
                <w:szCs w:val="16"/>
              </w:rPr>
            </w:pPr>
            <w:r>
              <w:rPr>
                <w:rFonts w:cs="Arial"/>
                <w:color w:val="000000"/>
                <w:sz w:val="16"/>
                <w:szCs w:val="16"/>
              </w:rPr>
              <w:t>12,6</w:t>
            </w:r>
          </w:p>
        </w:tc>
        <w:tc>
          <w:tcPr>
            <w:tcW w:w="907" w:type="dxa"/>
            <w:tcBorders>
              <w:top w:val="nil"/>
              <w:left w:val="nil"/>
              <w:bottom w:val="nil"/>
              <w:right w:val="nil"/>
            </w:tcBorders>
            <w:shd w:val="clear" w:color="auto" w:fill="auto"/>
            <w:noWrap/>
            <w:vAlign w:val="center"/>
            <w:hideMark/>
          </w:tcPr>
          <w:p w14:paraId="3D5C6B5A" w14:textId="670A0CC6" w:rsidR="00736595" w:rsidRPr="00D92E20" w:rsidRDefault="00736595" w:rsidP="00736595">
            <w:pPr>
              <w:spacing w:after="0" w:line="240" w:lineRule="auto"/>
              <w:jc w:val="right"/>
              <w:rPr>
                <w:rFonts w:cs="Arial"/>
                <w:color w:val="000000"/>
                <w:sz w:val="16"/>
                <w:szCs w:val="16"/>
              </w:rPr>
            </w:pPr>
            <w:r>
              <w:rPr>
                <w:rFonts w:cs="Arial"/>
                <w:color w:val="000000"/>
                <w:sz w:val="16"/>
                <w:szCs w:val="16"/>
              </w:rPr>
              <w:t>11,5</w:t>
            </w:r>
          </w:p>
        </w:tc>
        <w:tc>
          <w:tcPr>
            <w:tcW w:w="907" w:type="dxa"/>
            <w:tcBorders>
              <w:top w:val="nil"/>
              <w:left w:val="nil"/>
              <w:bottom w:val="nil"/>
              <w:right w:val="nil"/>
            </w:tcBorders>
            <w:shd w:val="clear" w:color="auto" w:fill="auto"/>
            <w:noWrap/>
            <w:vAlign w:val="center"/>
            <w:hideMark/>
          </w:tcPr>
          <w:p w14:paraId="1D8F2A4C" w14:textId="1480B609" w:rsidR="00736595" w:rsidRPr="00D92E20" w:rsidRDefault="00736595" w:rsidP="00736595">
            <w:pPr>
              <w:spacing w:after="0" w:line="240" w:lineRule="auto"/>
              <w:jc w:val="right"/>
              <w:rPr>
                <w:rFonts w:cs="Arial"/>
                <w:color w:val="000000"/>
                <w:sz w:val="16"/>
                <w:szCs w:val="16"/>
              </w:rPr>
            </w:pPr>
            <w:r>
              <w:rPr>
                <w:rFonts w:cs="Arial"/>
                <w:color w:val="000000"/>
                <w:sz w:val="16"/>
                <w:szCs w:val="16"/>
              </w:rPr>
              <w:t>13,5</w:t>
            </w:r>
          </w:p>
        </w:tc>
      </w:tr>
    </w:tbl>
    <w:p w14:paraId="46C0AED7" w14:textId="54994A80" w:rsidR="005A63A4" w:rsidRPr="00D92E20" w:rsidRDefault="0070383F" w:rsidP="00000A90">
      <w:pPr>
        <w:spacing w:before="120" w:after="120"/>
        <w:rPr>
          <w:sz w:val="16"/>
        </w:rPr>
      </w:pPr>
      <w:r w:rsidRPr="00D92E20">
        <w:rPr>
          <w:sz w:val="16"/>
        </w:rPr>
        <w:t>Zdroj: ČSSZ</w:t>
      </w:r>
    </w:p>
    <w:p w14:paraId="49C60461" w14:textId="77777777" w:rsidR="00D72727" w:rsidRDefault="00D72727">
      <w:pPr>
        <w:spacing w:after="0" w:line="240" w:lineRule="auto"/>
        <w:rPr>
          <w:b/>
          <w:spacing w:val="-4"/>
        </w:rPr>
      </w:pPr>
      <w:r>
        <w:rPr>
          <w:b/>
          <w:spacing w:val="-4"/>
        </w:rPr>
        <w:br w:type="page"/>
      </w:r>
    </w:p>
    <w:p w14:paraId="08108188" w14:textId="28AF0B72" w:rsidR="005A63A4" w:rsidRPr="00D92E20" w:rsidRDefault="005A63A4" w:rsidP="000B190B">
      <w:pPr>
        <w:spacing w:after="0"/>
        <w:jc w:val="both"/>
        <w:rPr>
          <w:sz w:val="16"/>
        </w:rPr>
      </w:pPr>
      <w:r w:rsidRPr="000B190B">
        <w:rPr>
          <w:b/>
          <w:spacing w:val="-4"/>
        </w:rPr>
        <w:lastRenderedPageBreak/>
        <w:t xml:space="preserve">Graf 3.1: Struktura ukončených případů dočasné pracovní neschopnosti podle skupin diagnóz, </w:t>
      </w:r>
      <w:r w:rsidR="00736595">
        <w:rPr>
          <w:b/>
          <w:spacing w:val="-4"/>
        </w:rPr>
        <w:t>1. pol. 2022</w:t>
      </w:r>
      <w:r w:rsidR="000B190B" w:rsidRPr="000B190B">
        <w:rPr>
          <w:b/>
        </w:rPr>
        <w:t xml:space="preserve"> </w:t>
      </w:r>
    </w:p>
    <w:p w14:paraId="2645095E" w14:textId="54501C76" w:rsidR="005A63A4" w:rsidRPr="00D92E20" w:rsidRDefault="00736595" w:rsidP="005A63A4">
      <w:pPr>
        <w:spacing w:before="120" w:after="120"/>
        <w:rPr>
          <w:sz w:val="16"/>
        </w:rPr>
      </w:pPr>
      <w:r>
        <w:rPr>
          <w:noProof/>
        </w:rPr>
        <w:drawing>
          <wp:inline distT="0" distB="0" distL="0" distR="0" wp14:anchorId="2060CE42" wp14:editId="5C30189D">
            <wp:extent cx="6120130" cy="2952750"/>
            <wp:effectExtent l="0" t="0" r="13970" b="0"/>
            <wp:docPr id="20" name="Graf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r w:rsidR="000B190B" w:rsidRPr="00D92E20">
        <w:rPr>
          <w:sz w:val="16"/>
        </w:rPr>
        <w:t xml:space="preserve"> </w:t>
      </w:r>
      <w:r w:rsidR="005A63A4" w:rsidRPr="00D92E20">
        <w:rPr>
          <w:sz w:val="16"/>
        </w:rPr>
        <w:t>Zdroj: ČSSZ</w:t>
      </w:r>
    </w:p>
    <w:p w14:paraId="690050DC" w14:textId="0E685645" w:rsidR="009F0B87" w:rsidRPr="00D92E20" w:rsidRDefault="009F0B87" w:rsidP="00000A90">
      <w:pPr>
        <w:pStyle w:val="Nadpis3"/>
        <w:numPr>
          <w:ilvl w:val="1"/>
          <w:numId w:val="5"/>
        </w:numPr>
        <w:spacing w:after="120"/>
        <w:ind w:left="426" w:hanging="403"/>
      </w:pPr>
      <w:bookmarkStart w:id="24" w:name="_Toc54262804"/>
      <w:bookmarkStart w:id="25" w:name="_Toc117774432"/>
      <w:r w:rsidRPr="00D92E20">
        <w:t xml:space="preserve">Výdaje na </w:t>
      </w:r>
      <w:r w:rsidR="0062225A">
        <w:t xml:space="preserve">dávky </w:t>
      </w:r>
      <w:r w:rsidRPr="00D92E20">
        <w:t>nemocenské</w:t>
      </w:r>
      <w:bookmarkEnd w:id="24"/>
      <w:r w:rsidR="0062225A">
        <w:t>ho pojištění</w:t>
      </w:r>
      <w:bookmarkEnd w:id="25"/>
    </w:p>
    <w:p w14:paraId="4C2AF132" w14:textId="77777777" w:rsidR="009F0B87" w:rsidRPr="00DD0824" w:rsidRDefault="009F0B87" w:rsidP="00000A90">
      <w:pPr>
        <w:spacing w:before="120" w:after="120"/>
        <w:jc w:val="both"/>
      </w:pPr>
      <w:r w:rsidRPr="00DD0824">
        <w:t>Systém nemocenského pojištění je určen pro výdělečně činné osoby, které při ztrátě příjmu v případech tzv. krátkodobých sociálních událostí zabezpečuje peněžitými dávkami nemocenského pojištění.</w:t>
      </w:r>
    </w:p>
    <w:p w14:paraId="2673ECDF" w14:textId="77777777" w:rsidR="009F0B87" w:rsidRPr="00DD0824" w:rsidRDefault="009F0B87" w:rsidP="00000A90">
      <w:pPr>
        <w:spacing w:after="60"/>
        <w:jc w:val="both"/>
      </w:pPr>
      <w:r w:rsidRPr="00DD0824">
        <w:t>Z nemocenského pojištění se poskytuje 6 peněžitých dávek, a to:</w:t>
      </w:r>
    </w:p>
    <w:p w14:paraId="4852FB75" w14:textId="08825E5D" w:rsidR="009F0B87" w:rsidRPr="00DD0824" w:rsidRDefault="00E34258" w:rsidP="00277304">
      <w:pPr>
        <w:pStyle w:val="Odstavecseseznamem"/>
        <w:numPr>
          <w:ilvl w:val="0"/>
          <w:numId w:val="15"/>
        </w:numPr>
        <w:spacing w:after="0"/>
        <w:jc w:val="both"/>
      </w:pPr>
      <w:r>
        <w:t>n</w:t>
      </w:r>
      <w:r w:rsidR="009F0B87" w:rsidRPr="00DD0824">
        <w:t>emocenské,</w:t>
      </w:r>
    </w:p>
    <w:p w14:paraId="3285862E" w14:textId="65AA47F4" w:rsidR="009F0B87" w:rsidRPr="00DD0824" w:rsidRDefault="00E34258" w:rsidP="00277304">
      <w:pPr>
        <w:pStyle w:val="Odstavecseseznamem"/>
        <w:numPr>
          <w:ilvl w:val="0"/>
          <w:numId w:val="15"/>
        </w:numPr>
        <w:spacing w:after="0"/>
        <w:jc w:val="both"/>
      </w:pPr>
      <w:r>
        <w:t>p</w:t>
      </w:r>
      <w:r w:rsidR="009F0B87" w:rsidRPr="00DD0824">
        <w:t>eněžitá pomoc v mateřství,</w:t>
      </w:r>
    </w:p>
    <w:p w14:paraId="477961E9" w14:textId="568152A9" w:rsidR="009F0B87" w:rsidRPr="00DD0824" w:rsidRDefault="00E34258" w:rsidP="00277304">
      <w:pPr>
        <w:pStyle w:val="Odstavecseseznamem"/>
        <w:numPr>
          <w:ilvl w:val="0"/>
          <w:numId w:val="15"/>
        </w:numPr>
        <w:spacing w:after="0"/>
        <w:jc w:val="both"/>
      </w:pPr>
      <w:r>
        <w:t>o</w:t>
      </w:r>
      <w:r w:rsidR="009F0B87" w:rsidRPr="00DD0824">
        <w:t>šetřovné,</w:t>
      </w:r>
    </w:p>
    <w:p w14:paraId="16AE0143" w14:textId="585AFE01" w:rsidR="009F0B87" w:rsidRPr="00DD0824" w:rsidRDefault="00E34258" w:rsidP="00277304">
      <w:pPr>
        <w:pStyle w:val="Odstavecseseznamem"/>
        <w:numPr>
          <w:ilvl w:val="0"/>
          <w:numId w:val="15"/>
        </w:numPr>
        <w:spacing w:after="0"/>
        <w:jc w:val="both"/>
      </w:pPr>
      <w:r>
        <w:t>v</w:t>
      </w:r>
      <w:r w:rsidR="009F0B87" w:rsidRPr="00DD0824">
        <w:t>yrovnávací příspěvek v těhotenství a mateřství,</w:t>
      </w:r>
    </w:p>
    <w:p w14:paraId="2C73241C" w14:textId="64E3110D" w:rsidR="009F0B87" w:rsidRPr="00DD0824" w:rsidRDefault="00E34258" w:rsidP="00277304">
      <w:pPr>
        <w:pStyle w:val="Odstavecseseznamem"/>
        <w:numPr>
          <w:ilvl w:val="0"/>
          <w:numId w:val="15"/>
        </w:numPr>
        <w:spacing w:after="0"/>
        <w:jc w:val="both"/>
      </w:pPr>
      <w:r>
        <w:t>d</w:t>
      </w:r>
      <w:r w:rsidR="009F0B87" w:rsidRPr="00DD0824">
        <w:t>ávka otcovské poporodní péče (tzv. otcovská),</w:t>
      </w:r>
    </w:p>
    <w:p w14:paraId="583D058F" w14:textId="2DA8A897" w:rsidR="009F0B87" w:rsidRPr="00DD0824" w:rsidRDefault="00E34258" w:rsidP="00000A90">
      <w:pPr>
        <w:pStyle w:val="Odstavecseseznamem"/>
        <w:numPr>
          <w:ilvl w:val="0"/>
          <w:numId w:val="15"/>
        </w:numPr>
        <w:spacing w:after="60"/>
        <w:ind w:left="714" w:hanging="357"/>
        <w:contextualSpacing w:val="0"/>
        <w:jc w:val="both"/>
      </w:pPr>
      <w:r>
        <w:t>d</w:t>
      </w:r>
      <w:r w:rsidR="009F0B87" w:rsidRPr="00DD0824">
        <w:t>louhodobé ošetřovné.</w:t>
      </w:r>
    </w:p>
    <w:p w14:paraId="380B326A" w14:textId="1EB7149B" w:rsidR="009F0B87" w:rsidRPr="00DD0824" w:rsidRDefault="009F0B87" w:rsidP="00000A90">
      <w:pPr>
        <w:spacing w:before="120" w:after="120"/>
        <w:jc w:val="both"/>
      </w:pPr>
      <w:r w:rsidRPr="00DD0824">
        <w:t xml:space="preserve">Výše dávek nemocenského pojištění </w:t>
      </w:r>
      <w:r w:rsidRPr="00DD0824">
        <w:rPr>
          <w:b/>
        </w:rPr>
        <w:t>závisí</w:t>
      </w:r>
      <w:r w:rsidRPr="00DD0824">
        <w:t xml:space="preserve"> na dosahovaném </w:t>
      </w:r>
      <w:r w:rsidRPr="00DD0824">
        <w:rPr>
          <w:b/>
        </w:rPr>
        <w:t>výdělku, redukčních hranicích</w:t>
      </w:r>
      <w:r w:rsidRPr="00DD0824">
        <w:t xml:space="preserve"> pro redukci denního vyměřovacího základu, </w:t>
      </w:r>
      <w:r w:rsidRPr="00DD0824">
        <w:rPr>
          <w:b/>
        </w:rPr>
        <w:t xml:space="preserve">redukci mezi </w:t>
      </w:r>
      <w:r w:rsidRPr="00DD0824">
        <w:t xml:space="preserve">jednotlivými redukčními </w:t>
      </w:r>
      <w:r w:rsidRPr="00DD0824">
        <w:rPr>
          <w:b/>
        </w:rPr>
        <w:t>hranicemi</w:t>
      </w:r>
      <w:r w:rsidRPr="00DD0824">
        <w:t xml:space="preserve"> a na </w:t>
      </w:r>
      <w:r w:rsidRPr="00DD0824">
        <w:rPr>
          <w:b/>
        </w:rPr>
        <w:t>procentní sazbě</w:t>
      </w:r>
      <w:r w:rsidRPr="00DD0824">
        <w:t xml:space="preserve"> pro</w:t>
      </w:r>
      <w:r w:rsidR="00CD63E8">
        <w:t> </w:t>
      </w:r>
      <w:r w:rsidRPr="00DD0824">
        <w:t>jednotlivé dávky.</w:t>
      </w:r>
    </w:p>
    <w:p w14:paraId="2099E2D4" w14:textId="77777777" w:rsidR="009F0B87" w:rsidRPr="00DD0824" w:rsidRDefault="009F0B87" w:rsidP="00000A90">
      <w:pPr>
        <w:spacing w:before="120" w:after="120"/>
        <w:jc w:val="both"/>
      </w:pPr>
      <w:r w:rsidRPr="00DD0824">
        <w:t>Všechny dávky nemocenského pojištění vyplácí okresní správa sociálního zabezpečení a hradí se ze státního rozpočtu (z příjmů z pojistného). Dávky nemocenského pojištění se vyplácejí za kalendářní dny.</w:t>
      </w:r>
    </w:p>
    <w:p w14:paraId="4A9F9C15" w14:textId="77777777" w:rsidR="009F0B87" w:rsidRPr="00DD0824" w:rsidRDefault="009F0B87" w:rsidP="00000A90">
      <w:pPr>
        <w:pStyle w:val="Box1"/>
        <w:spacing w:before="120" w:after="120"/>
        <w:ind w:left="0"/>
        <w:contextualSpacing w:val="0"/>
        <w:jc w:val="both"/>
        <w:rPr>
          <w:i/>
        </w:rPr>
      </w:pPr>
      <w:r w:rsidRPr="00DD0824">
        <w:rPr>
          <w:b/>
          <w:i/>
        </w:rPr>
        <w:t xml:space="preserve">Nemocenské </w:t>
      </w:r>
      <w:r w:rsidRPr="00DD0824">
        <w:rPr>
          <w:i/>
        </w:rPr>
        <w:t>– je základní peněžitou dávkou systému nemocenského pojištění. Na nemocenské má nárok pojištěnec, který je uznán ošetřujícím lékařem dočasně práce neschopným, a to od 15. kalendářního dne trvání jeho dočasné pracovní neschopnosti do konce dočasné pracovní neschopnosti, maximálně však 380 kalendářních dnů počítaných od vzniku dočasné pracovní neschopnosti.</w:t>
      </w:r>
    </w:p>
    <w:p w14:paraId="6833ACE4" w14:textId="64F44022" w:rsidR="003B04F2" w:rsidRPr="00277F3A" w:rsidRDefault="009F0B87" w:rsidP="00000A90">
      <w:pPr>
        <w:pStyle w:val="Default"/>
        <w:spacing w:before="120" w:after="120" w:line="288" w:lineRule="auto"/>
        <w:jc w:val="both"/>
        <w:rPr>
          <w:rFonts w:eastAsia="Times New Roman" w:cs="Times New Roman"/>
          <w:color w:val="auto"/>
          <w:sz w:val="20"/>
          <w:highlight w:val="yellow"/>
          <w:lang w:eastAsia="cs-CZ"/>
        </w:rPr>
      </w:pPr>
      <w:r w:rsidRPr="00277F3A">
        <w:rPr>
          <w:rFonts w:eastAsia="Times New Roman" w:cs="Times New Roman"/>
          <w:b/>
          <w:color w:val="auto"/>
          <w:sz w:val="20"/>
          <w:lang w:eastAsia="cs-CZ"/>
        </w:rPr>
        <w:t>Výdaje na dávky nemocenského</w:t>
      </w:r>
      <w:r w:rsidRPr="00277F3A">
        <w:rPr>
          <w:rFonts w:eastAsia="Times New Roman" w:cs="Times New Roman"/>
          <w:color w:val="auto"/>
          <w:sz w:val="20"/>
          <w:lang w:eastAsia="cs-CZ"/>
        </w:rPr>
        <w:t xml:space="preserve"> </w:t>
      </w:r>
      <w:r w:rsidRPr="00277F3A">
        <w:rPr>
          <w:rFonts w:eastAsia="Times New Roman" w:cs="Times New Roman"/>
          <w:b/>
          <w:color w:val="auto"/>
          <w:sz w:val="20"/>
          <w:lang w:eastAsia="cs-CZ"/>
        </w:rPr>
        <w:t>pojištění</w:t>
      </w:r>
      <w:r w:rsidRPr="00277F3A">
        <w:rPr>
          <w:rFonts w:eastAsia="Times New Roman" w:cs="Times New Roman"/>
          <w:color w:val="auto"/>
          <w:sz w:val="20"/>
          <w:lang w:eastAsia="cs-CZ"/>
        </w:rPr>
        <w:t xml:space="preserve"> za </w:t>
      </w:r>
      <w:r w:rsidR="00DD0824" w:rsidRPr="00277F3A">
        <w:rPr>
          <w:rFonts w:eastAsia="Times New Roman" w:cs="Times New Roman"/>
          <w:color w:val="auto"/>
          <w:sz w:val="20"/>
          <w:lang w:eastAsia="cs-CZ"/>
        </w:rPr>
        <w:t>1. pol. 202</w:t>
      </w:r>
      <w:r w:rsidR="00277F3A" w:rsidRPr="00277F3A">
        <w:rPr>
          <w:rFonts w:eastAsia="Times New Roman" w:cs="Times New Roman"/>
          <w:color w:val="auto"/>
          <w:sz w:val="20"/>
          <w:lang w:eastAsia="cs-CZ"/>
        </w:rPr>
        <w:t>2</w:t>
      </w:r>
      <w:r w:rsidRPr="00277F3A">
        <w:rPr>
          <w:rFonts w:eastAsia="Times New Roman" w:cs="Times New Roman"/>
          <w:color w:val="auto"/>
          <w:sz w:val="20"/>
          <w:lang w:eastAsia="cs-CZ"/>
        </w:rPr>
        <w:t xml:space="preserve"> činily </w:t>
      </w:r>
      <w:r w:rsidR="00277F3A" w:rsidRPr="00277F3A">
        <w:rPr>
          <w:rFonts w:eastAsia="Times New Roman" w:cs="Times New Roman"/>
          <w:color w:val="auto"/>
          <w:sz w:val="20"/>
          <w:lang w:eastAsia="cs-CZ"/>
        </w:rPr>
        <w:t>2</w:t>
      </w:r>
      <w:r w:rsidR="00DD0824" w:rsidRPr="00277F3A">
        <w:rPr>
          <w:rFonts w:eastAsia="Times New Roman" w:cs="Times New Roman"/>
          <w:color w:val="auto"/>
          <w:sz w:val="20"/>
          <w:lang w:eastAsia="cs-CZ"/>
        </w:rPr>
        <w:t>5</w:t>
      </w:r>
      <w:r w:rsidR="00277F3A" w:rsidRPr="00277F3A">
        <w:rPr>
          <w:rFonts w:eastAsia="Times New Roman" w:cs="Times New Roman"/>
          <w:color w:val="auto"/>
          <w:sz w:val="20"/>
          <w:lang w:eastAsia="cs-CZ"/>
        </w:rPr>
        <w:t>,4</w:t>
      </w:r>
      <w:r w:rsidRPr="00277F3A">
        <w:rPr>
          <w:rFonts w:eastAsia="Times New Roman" w:cs="Times New Roman"/>
          <w:color w:val="auto"/>
          <w:sz w:val="20"/>
          <w:lang w:eastAsia="cs-CZ"/>
        </w:rPr>
        <w:t xml:space="preserve"> mld. Kč, tedy o </w:t>
      </w:r>
      <w:r w:rsidR="00277F3A" w:rsidRPr="00277F3A">
        <w:rPr>
          <w:rFonts w:eastAsia="Times New Roman" w:cs="Times New Roman"/>
          <w:color w:val="auto"/>
          <w:sz w:val="20"/>
          <w:lang w:eastAsia="cs-CZ"/>
        </w:rPr>
        <w:t>3</w:t>
      </w:r>
      <w:r w:rsidRPr="00277F3A">
        <w:rPr>
          <w:rFonts w:eastAsia="Times New Roman" w:cs="Times New Roman"/>
          <w:color w:val="auto"/>
          <w:sz w:val="20"/>
          <w:lang w:eastAsia="cs-CZ"/>
        </w:rPr>
        <w:t xml:space="preserve"> mld. Kč </w:t>
      </w:r>
      <w:r w:rsidR="00DD0824" w:rsidRPr="00277F3A">
        <w:rPr>
          <w:rFonts w:eastAsia="Times New Roman" w:cs="Times New Roman"/>
          <w:color w:val="auto"/>
          <w:sz w:val="20"/>
          <w:lang w:eastAsia="cs-CZ"/>
        </w:rPr>
        <w:t>méně</w:t>
      </w:r>
      <w:r w:rsidRPr="00277F3A">
        <w:rPr>
          <w:rFonts w:eastAsia="Times New Roman" w:cs="Times New Roman"/>
          <w:color w:val="auto"/>
          <w:sz w:val="20"/>
          <w:lang w:eastAsia="cs-CZ"/>
        </w:rPr>
        <w:t xml:space="preserve"> než </w:t>
      </w:r>
      <w:r w:rsidR="00DD0824" w:rsidRPr="00277F3A">
        <w:rPr>
          <w:rFonts w:eastAsia="Times New Roman" w:cs="Times New Roman"/>
          <w:color w:val="auto"/>
          <w:sz w:val="20"/>
          <w:lang w:eastAsia="cs-CZ"/>
        </w:rPr>
        <w:t xml:space="preserve">za stejné období </w:t>
      </w:r>
      <w:r w:rsidRPr="00277F3A">
        <w:rPr>
          <w:rFonts w:eastAsia="Times New Roman" w:cs="Times New Roman"/>
          <w:color w:val="auto"/>
          <w:sz w:val="20"/>
          <w:lang w:eastAsia="cs-CZ"/>
        </w:rPr>
        <w:t xml:space="preserve">před rokem. </w:t>
      </w:r>
      <w:r w:rsidRPr="00277F3A">
        <w:rPr>
          <w:rFonts w:eastAsia="Times New Roman" w:cs="Times New Roman"/>
          <w:b/>
          <w:color w:val="auto"/>
          <w:sz w:val="20"/>
          <w:lang w:eastAsia="cs-CZ"/>
        </w:rPr>
        <w:t xml:space="preserve">Výdaje </w:t>
      </w:r>
      <w:r w:rsidRPr="00277F3A">
        <w:rPr>
          <w:rFonts w:eastAsia="Times New Roman" w:cs="Times New Roman"/>
          <w:color w:val="auto"/>
          <w:sz w:val="20"/>
          <w:lang w:eastAsia="cs-CZ"/>
        </w:rPr>
        <w:t xml:space="preserve">na objemově </w:t>
      </w:r>
      <w:r w:rsidRPr="00277F3A">
        <w:rPr>
          <w:rFonts w:eastAsia="Times New Roman" w:cs="Times New Roman"/>
          <w:b/>
          <w:color w:val="auto"/>
          <w:sz w:val="20"/>
          <w:lang w:eastAsia="cs-CZ"/>
        </w:rPr>
        <w:t>nejvýznamnější dávku</w:t>
      </w:r>
      <w:r w:rsidRPr="00277F3A">
        <w:rPr>
          <w:rFonts w:eastAsia="Times New Roman" w:cs="Times New Roman"/>
          <w:color w:val="auto"/>
          <w:sz w:val="20"/>
          <w:lang w:eastAsia="cs-CZ"/>
        </w:rPr>
        <w:t xml:space="preserve"> – </w:t>
      </w:r>
      <w:r w:rsidRPr="00277F3A">
        <w:rPr>
          <w:rFonts w:eastAsia="Times New Roman" w:cs="Times New Roman"/>
          <w:b/>
          <w:color w:val="auto"/>
          <w:sz w:val="20"/>
          <w:lang w:eastAsia="cs-CZ"/>
        </w:rPr>
        <w:t>nemocenské</w:t>
      </w:r>
      <w:r w:rsidRPr="00277F3A">
        <w:rPr>
          <w:rFonts w:eastAsia="Times New Roman" w:cs="Times New Roman"/>
          <w:color w:val="auto"/>
          <w:sz w:val="20"/>
          <w:lang w:eastAsia="cs-CZ"/>
        </w:rPr>
        <w:t xml:space="preserve"> – meziročně </w:t>
      </w:r>
      <w:r w:rsidR="00277F3A" w:rsidRPr="00277F3A">
        <w:rPr>
          <w:rFonts w:eastAsia="Times New Roman" w:cs="Times New Roman"/>
          <w:color w:val="auto"/>
          <w:sz w:val="20"/>
          <w:lang w:eastAsia="cs-CZ"/>
        </w:rPr>
        <w:t>poklesly</w:t>
      </w:r>
      <w:r w:rsidRPr="00277F3A">
        <w:rPr>
          <w:rFonts w:eastAsia="Times New Roman" w:cs="Times New Roman"/>
          <w:color w:val="auto"/>
          <w:sz w:val="20"/>
          <w:lang w:eastAsia="cs-CZ"/>
        </w:rPr>
        <w:t xml:space="preserve"> o </w:t>
      </w:r>
      <w:r w:rsidR="00277F3A" w:rsidRPr="00277F3A">
        <w:rPr>
          <w:rFonts w:eastAsia="Times New Roman" w:cs="Times New Roman"/>
          <w:color w:val="auto"/>
          <w:sz w:val="20"/>
          <w:lang w:eastAsia="cs-CZ"/>
        </w:rPr>
        <w:t>735 mil</w:t>
      </w:r>
      <w:r w:rsidRPr="00277F3A">
        <w:rPr>
          <w:rFonts w:eastAsia="Times New Roman" w:cs="Times New Roman"/>
          <w:color w:val="auto"/>
          <w:sz w:val="20"/>
          <w:lang w:eastAsia="cs-CZ"/>
        </w:rPr>
        <w:t>. Kč, tj.</w:t>
      </w:r>
      <w:r w:rsidR="00C02C40" w:rsidRPr="00277F3A">
        <w:rPr>
          <w:rFonts w:eastAsia="Times New Roman" w:cs="Times New Roman"/>
          <w:color w:val="auto"/>
          <w:sz w:val="20"/>
          <w:lang w:eastAsia="cs-CZ"/>
        </w:rPr>
        <w:t> </w:t>
      </w:r>
      <w:r w:rsidRPr="00277F3A">
        <w:rPr>
          <w:rFonts w:eastAsia="Times New Roman" w:cs="Times New Roman"/>
          <w:color w:val="auto"/>
          <w:sz w:val="20"/>
          <w:lang w:eastAsia="cs-CZ"/>
        </w:rPr>
        <w:t>o</w:t>
      </w:r>
      <w:r w:rsidR="00C02C40" w:rsidRPr="00277F3A">
        <w:rPr>
          <w:rFonts w:eastAsia="Times New Roman" w:cs="Times New Roman"/>
          <w:color w:val="auto"/>
          <w:sz w:val="20"/>
          <w:lang w:eastAsia="cs-CZ"/>
        </w:rPr>
        <w:t> </w:t>
      </w:r>
      <w:r w:rsidR="00277F3A" w:rsidRPr="00277F3A">
        <w:rPr>
          <w:rFonts w:eastAsia="Times New Roman" w:cs="Times New Roman"/>
          <w:color w:val="auto"/>
          <w:sz w:val="20"/>
          <w:lang w:eastAsia="cs-CZ"/>
        </w:rPr>
        <w:t>4</w:t>
      </w:r>
      <w:r w:rsidR="00C02C40" w:rsidRPr="00277F3A">
        <w:rPr>
          <w:rFonts w:eastAsia="Times New Roman" w:cs="Times New Roman"/>
          <w:color w:val="auto"/>
          <w:sz w:val="20"/>
          <w:lang w:eastAsia="cs-CZ"/>
        </w:rPr>
        <w:t> </w:t>
      </w:r>
      <w:r w:rsidR="00DD0824" w:rsidRPr="00277F3A">
        <w:rPr>
          <w:rFonts w:eastAsia="Times New Roman" w:cs="Times New Roman"/>
          <w:color w:val="auto"/>
          <w:sz w:val="20"/>
          <w:lang w:eastAsia="cs-CZ"/>
        </w:rPr>
        <w:t>%. Činily</w:t>
      </w:r>
      <w:r w:rsidRPr="00277F3A">
        <w:rPr>
          <w:rFonts w:eastAsia="Times New Roman" w:cs="Times New Roman"/>
          <w:color w:val="auto"/>
          <w:sz w:val="20"/>
          <w:lang w:eastAsia="cs-CZ"/>
        </w:rPr>
        <w:t xml:space="preserve"> </w:t>
      </w:r>
      <w:r w:rsidR="00DD0824" w:rsidRPr="00277F3A">
        <w:rPr>
          <w:rFonts w:eastAsia="Times New Roman" w:cs="Times New Roman"/>
          <w:color w:val="auto"/>
          <w:sz w:val="20"/>
          <w:lang w:eastAsia="cs-CZ"/>
        </w:rPr>
        <w:t>1</w:t>
      </w:r>
      <w:r w:rsidR="00277F3A" w:rsidRPr="00277F3A">
        <w:rPr>
          <w:rFonts w:eastAsia="Times New Roman" w:cs="Times New Roman"/>
          <w:color w:val="auto"/>
          <w:sz w:val="20"/>
          <w:lang w:eastAsia="cs-CZ"/>
        </w:rPr>
        <w:t>7,7</w:t>
      </w:r>
      <w:r w:rsidRPr="00277F3A">
        <w:rPr>
          <w:rFonts w:eastAsia="Times New Roman" w:cs="Times New Roman"/>
          <w:color w:val="auto"/>
          <w:sz w:val="20"/>
          <w:lang w:eastAsia="cs-CZ"/>
        </w:rPr>
        <w:t xml:space="preserve"> mld. Kč. </w:t>
      </w:r>
      <w:r w:rsidR="00FF302A" w:rsidRPr="00A6186A">
        <w:rPr>
          <w:rFonts w:eastAsia="Times New Roman" w:cs="Times New Roman"/>
          <w:color w:val="auto"/>
          <w:sz w:val="20"/>
          <w:lang w:eastAsia="cs-CZ"/>
        </w:rPr>
        <w:t xml:space="preserve">Meziroční </w:t>
      </w:r>
      <w:r w:rsidR="00A6186A" w:rsidRPr="00A6186A">
        <w:rPr>
          <w:rFonts w:eastAsia="Times New Roman" w:cs="Times New Roman"/>
          <w:color w:val="auto"/>
          <w:sz w:val="20"/>
          <w:lang w:eastAsia="cs-CZ"/>
        </w:rPr>
        <w:t>pokles</w:t>
      </w:r>
      <w:r w:rsidR="00FF302A" w:rsidRPr="00A6186A">
        <w:rPr>
          <w:rFonts w:eastAsia="Times New Roman" w:cs="Times New Roman"/>
          <w:color w:val="auto"/>
          <w:sz w:val="20"/>
          <w:lang w:eastAsia="cs-CZ"/>
        </w:rPr>
        <w:t xml:space="preserve"> výdajů na nemocenské byl způsoben</w:t>
      </w:r>
      <w:r w:rsidRPr="00A6186A">
        <w:rPr>
          <w:rFonts w:eastAsia="Times New Roman" w:cs="Times New Roman"/>
          <w:color w:val="auto"/>
          <w:sz w:val="20"/>
          <w:lang w:eastAsia="cs-CZ"/>
        </w:rPr>
        <w:t xml:space="preserve"> zejména </w:t>
      </w:r>
      <w:r w:rsidR="00A6186A" w:rsidRPr="00A6186A">
        <w:rPr>
          <w:rFonts w:eastAsia="Times New Roman" w:cs="Times New Roman"/>
          <w:color w:val="auto"/>
          <w:sz w:val="20"/>
          <w:lang w:eastAsia="cs-CZ"/>
        </w:rPr>
        <w:t>poklesem</w:t>
      </w:r>
      <w:r w:rsidR="00FF302A" w:rsidRPr="00A6186A">
        <w:rPr>
          <w:rFonts w:eastAsia="Times New Roman" w:cs="Times New Roman"/>
          <w:color w:val="auto"/>
          <w:sz w:val="20"/>
          <w:lang w:eastAsia="cs-CZ"/>
        </w:rPr>
        <w:t xml:space="preserve"> počtu</w:t>
      </w:r>
      <w:r w:rsidRPr="00A6186A">
        <w:rPr>
          <w:rFonts w:eastAsia="Times New Roman" w:cs="Times New Roman"/>
          <w:color w:val="auto"/>
          <w:sz w:val="20"/>
          <w:lang w:eastAsia="cs-CZ"/>
        </w:rPr>
        <w:t xml:space="preserve"> proplacených dnů. Výše průměrné denní dávky nemocenského v</w:t>
      </w:r>
      <w:r w:rsidR="005D57CF" w:rsidRPr="00A6186A">
        <w:rPr>
          <w:rFonts w:eastAsia="Times New Roman" w:cs="Times New Roman"/>
          <w:color w:val="auto"/>
          <w:sz w:val="20"/>
          <w:lang w:eastAsia="cs-CZ"/>
        </w:rPr>
        <w:t> 1. pol. 202</w:t>
      </w:r>
      <w:r w:rsidR="00A6186A" w:rsidRPr="00A6186A">
        <w:rPr>
          <w:rFonts w:eastAsia="Times New Roman" w:cs="Times New Roman"/>
          <w:color w:val="auto"/>
          <w:sz w:val="20"/>
          <w:lang w:eastAsia="cs-CZ"/>
        </w:rPr>
        <w:t>2</w:t>
      </w:r>
      <w:r w:rsidRPr="00A6186A">
        <w:rPr>
          <w:rFonts w:eastAsia="Times New Roman" w:cs="Times New Roman"/>
          <w:color w:val="auto"/>
          <w:sz w:val="20"/>
          <w:lang w:eastAsia="cs-CZ"/>
        </w:rPr>
        <w:t xml:space="preserve"> </w:t>
      </w:r>
      <w:r w:rsidR="00A6186A" w:rsidRPr="00A6186A">
        <w:rPr>
          <w:rFonts w:eastAsia="Times New Roman" w:cs="Times New Roman"/>
          <w:color w:val="auto"/>
          <w:sz w:val="20"/>
          <w:lang w:eastAsia="cs-CZ"/>
        </w:rPr>
        <w:t>představovala</w:t>
      </w:r>
      <w:r w:rsidRPr="00A6186A">
        <w:rPr>
          <w:rFonts w:eastAsia="Times New Roman" w:cs="Times New Roman"/>
          <w:color w:val="auto"/>
          <w:sz w:val="20"/>
          <w:lang w:eastAsia="cs-CZ"/>
        </w:rPr>
        <w:t xml:space="preserve"> 5</w:t>
      </w:r>
      <w:r w:rsidR="00A6186A" w:rsidRPr="00A6186A">
        <w:rPr>
          <w:rFonts w:eastAsia="Times New Roman" w:cs="Times New Roman"/>
          <w:color w:val="auto"/>
          <w:sz w:val="20"/>
          <w:lang w:eastAsia="cs-CZ"/>
        </w:rPr>
        <w:t>74</w:t>
      </w:r>
      <w:r w:rsidRPr="00A6186A">
        <w:rPr>
          <w:rFonts w:eastAsia="Times New Roman" w:cs="Times New Roman"/>
          <w:color w:val="auto"/>
          <w:sz w:val="20"/>
          <w:lang w:eastAsia="cs-CZ"/>
        </w:rPr>
        <w:t xml:space="preserve"> Kč. </w:t>
      </w:r>
      <w:r w:rsidR="005D57CF" w:rsidRPr="00A6186A">
        <w:rPr>
          <w:rFonts w:eastAsia="Times New Roman" w:cs="Times New Roman"/>
          <w:color w:val="auto"/>
          <w:sz w:val="20"/>
          <w:lang w:eastAsia="cs-CZ"/>
        </w:rPr>
        <w:t>V 1. pol. 202</w:t>
      </w:r>
      <w:r w:rsidR="00A6186A" w:rsidRPr="00A6186A">
        <w:rPr>
          <w:rFonts w:eastAsia="Times New Roman" w:cs="Times New Roman"/>
          <w:color w:val="auto"/>
          <w:sz w:val="20"/>
          <w:lang w:eastAsia="cs-CZ"/>
        </w:rPr>
        <w:t>1</w:t>
      </w:r>
      <w:r w:rsidRPr="00A6186A">
        <w:rPr>
          <w:rFonts w:eastAsia="Times New Roman" w:cs="Times New Roman"/>
          <w:color w:val="auto"/>
          <w:sz w:val="20"/>
          <w:lang w:eastAsia="cs-CZ"/>
        </w:rPr>
        <w:t xml:space="preserve"> byla průměrná denní dávka nemocenského ve výši </w:t>
      </w:r>
      <w:r w:rsidR="005D57CF" w:rsidRPr="00A6186A">
        <w:rPr>
          <w:rFonts w:eastAsia="Times New Roman" w:cs="Times New Roman"/>
          <w:color w:val="auto"/>
          <w:sz w:val="20"/>
          <w:lang w:eastAsia="cs-CZ"/>
        </w:rPr>
        <w:t>5</w:t>
      </w:r>
      <w:r w:rsidR="00A6186A" w:rsidRPr="00A6186A">
        <w:rPr>
          <w:rFonts w:eastAsia="Times New Roman" w:cs="Times New Roman"/>
          <w:color w:val="auto"/>
          <w:sz w:val="20"/>
          <w:lang w:eastAsia="cs-CZ"/>
        </w:rPr>
        <w:t>40</w:t>
      </w:r>
      <w:r w:rsidRPr="00A6186A">
        <w:rPr>
          <w:rFonts w:eastAsia="Times New Roman" w:cs="Times New Roman"/>
          <w:color w:val="auto"/>
          <w:sz w:val="20"/>
          <w:lang w:eastAsia="cs-CZ"/>
        </w:rPr>
        <w:t xml:space="preserve"> Kč, což je o </w:t>
      </w:r>
      <w:r w:rsidR="00A6186A" w:rsidRPr="00A6186A">
        <w:rPr>
          <w:rFonts w:eastAsia="Times New Roman" w:cs="Times New Roman"/>
          <w:color w:val="auto"/>
          <w:sz w:val="20"/>
          <w:lang w:eastAsia="cs-CZ"/>
        </w:rPr>
        <w:t>6</w:t>
      </w:r>
      <w:r w:rsidRPr="00A6186A">
        <w:rPr>
          <w:rFonts w:eastAsia="Times New Roman" w:cs="Times New Roman"/>
          <w:color w:val="auto"/>
          <w:sz w:val="20"/>
          <w:lang w:eastAsia="cs-CZ"/>
        </w:rPr>
        <w:t xml:space="preserve"> % méně.</w:t>
      </w:r>
      <w:r w:rsidR="008B7D64" w:rsidRPr="00A6186A">
        <w:rPr>
          <w:rFonts w:eastAsia="Times New Roman" w:cs="Times New Roman"/>
          <w:color w:val="auto"/>
          <w:sz w:val="20"/>
          <w:lang w:eastAsia="cs-CZ"/>
        </w:rPr>
        <w:t xml:space="preserve"> Výdaje</w:t>
      </w:r>
      <w:r w:rsidR="00A6186A" w:rsidRPr="00A6186A">
        <w:rPr>
          <w:rFonts w:eastAsia="Times New Roman" w:cs="Times New Roman"/>
          <w:color w:val="auto"/>
          <w:sz w:val="20"/>
          <w:lang w:eastAsia="cs-CZ"/>
        </w:rPr>
        <w:t xml:space="preserve"> </w:t>
      </w:r>
      <w:r w:rsidR="008B7D64" w:rsidRPr="00A6186A">
        <w:rPr>
          <w:rFonts w:eastAsia="Times New Roman" w:cs="Times New Roman"/>
          <w:color w:val="auto"/>
          <w:sz w:val="20"/>
          <w:lang w:eastAsia="cs-CZ"/>
        </w:rPr>
        <w:t xml:space="preserve">na nemocenské v přepočtu na jednoho pojištěnce </w:t>
      </w:r>
      <w:r w:rsidR="00DD0824" w:rsidRPr="00A6186A">
        <w:rPr>
          <w:rFonts w:eastAsia="Times New Roman" w:cs="Times New Roman"/>
          <w:color w:val="auto"/>
          <w:sz w:val="20"/>
          <w:lang w:eastAsia="cs-CZ"/>
        </w:rPr>
        <w:t>v 1. pol. 202</w:t>
      </w:r>
      <w:r w:rsidR="00A6186A" w:rsidRPr="00A6186A">
        <w:rPr>
          <w:rFonts w:eastAsia="Times New Roman" w:cs="Times New Roman"/>
          <w:color w:val="auto"/>
          <w:sz w:val="20"/>
          <w:lang w:eastAsia="cs-CZ"/>
        </w:rPr>
        <w:t>2</w:t>
      </w:r>
      <w:r w:rsidR="008B7D64" w:rsidRPr="00A6186A">
        <w:rPr>
          <w:rFonts w:eastAsia="Times New Roman" w:cs="Times New Roman"/>
          <w:color w:val="auto"/>
          <w:sz w:val="20"/>
          <w:lang w:eastAsia="cs-CZ"/>
        </w:rPr>
        <w:t xml:space="preserve"> </w:t>
      </w:r>
      <w:r w:rsidR="00A6186A" w:rsidRPr="00A6186A">
        <w:rPr>
          <w:rFonts w:eastAsia="Times New Roman" w:cs="Times New Roman"/>
          <w:color w:val="auto"/>
          <w:sz w:val="20"/>
          <w:lang w:eastAsia="cs-CZ"/>
        </w:rPr>
        <w:t>činily</w:t>
      </w:r>
      <w:r w:rsidR="008B7D64" w:rsidRPr="00A6186A">
        <w:rPr>
          <w:rFonts w:eastAsia="Times New Roman" w:cs="Times New Roman"/>
          <w:color w:val="auto"/>
          <w:sz w:val="20"/>
          <w:lang w:eastAsia="cs-CZ"/>
        </w:rPr>
        <w:t xml:space="preserve"> </w:t>
      </w:r>
      <w:r w:rsidR="00A6186A" w:rsidRPr="00A6186A">
        <w:rPr>
          <w:rFonts w:eastAsia="Times New Roman" w:cs="Times New Roman"/>
          <w:color w:val="auto"/>
          <w:sz w:val="20"/>
          <w:lang w:eastAsia="cs-CZ"/>
        </w:rPr>
        <w:t>3 740</w:t>
      </w:r>
      <w:r w:rsidR="008B7D64" w:rsidRPr="00A6186A">
        <w:rPr>
          <w:rFonts w:eastAsia="Times New Roman" w:cs="Times New Roman"/>
          <w:color w:val="auto"/>
          <w:sz w:val="20"/>
          <w:lang w:eastAsia="cs-CZ"/>
        </w:rPr>
        <w:t xml:space="preserve"> Kč.</w:t>
      </w:r>
    </w:p>
    <w:p w14:paraId="399FDF0E" w14:textId="74D54BD0" w:rsidR="00D91258" w:rsidRDefault="00591005" w:rsidP="00000A90">
      <w:pPr>
        <w:spacing w:before="120" w:after="120"/>
        <w:jc w:val="both"/>
      </w:pPr>
      <w:r w:rsidRPr="00277F3A">
        <w:t xml:space="preserve">Je zřejmé, že za enormní nárůst výdajů na dávky nemocenského pojištění mezi prvními pololetími 2019 a 2020, resp. 2021 mohou </w:t>
      </w:r>
      <w:r w:rsidRPr="00277F3A">
        <w:rPr>
          <w:b/>
        </w:rPr>
        <w:t xml:space="preserve">finanční kompenzace </w:t>
      </w:r>
      <w:r w:rsidRPr="00277F3A">
        <w:t xml:space="preserve">vyplacené v souvislosti </w:t>
      </w:r>
      <w:r w:rsidRPr="00277F3A">
        <w:rPr>
          <w:b/>
        </w:rPr>
        <w:t>s</w:t>
      </w:r>
      <w:r w:rsidRPr="00277F3A">
        <w:t> </w:t>
      </w:r>
      <w:r w:rsidRPr="00277F3A">
        <w:rPr>
          <w:b/>
        </w:rPr>
        <w:t>onemocněním</w:t>
      </w:r>
      <w:r w:rsidRPr="00277F3A">
        <w:t xml:space="preserve"> </w:t>
      </w:r>
      <w:r w:rsidRPr="00277F3A">
        <w:rPr>
          <w:b/>
        </w:rPr>
        <w:t>covid-19</w:t>
      </w:r>
      <w:r w:rsidRPr="00277F3A">
        <w:t xml:space="preserve">. Ať už </w:t>
      </w:r>
      <w:r w:rsidRPr="00277F3A">
        <w:lastRenderedPageBreak/>
        <w:t>jde o nemocenské nebo ošetřovné.</w:t>
      </w:r>
      <w:r w:rsidRPr="00591005">
        <w:t xml:space="preserve"> </w:t>
      </w:r>
      <w:r w:rsidR="00277F3A">
        <w:t>Výdaje na ošetřovné v 1. pol. 2022 s hodnotou 1,8 mld. Kč už se blížily výši z 1. pol. 2019, kdy činily 1,0 mld. Kč.</w:t>
      </w:r>
      <w:r w:rsidR="008E7461">
        <w:t xml:space="preserve"> Po letech 2020 a 2021 v 1. pol. 2022 </w:t>
      </w:r>
      <w:r w:rsidR="00E34258">
        <w:t>nebyly plošně uzavírány</w:t>
      </w:r>
      <w:r w:rsidR="008E7461">
        <w:t xml:space="preserve"> škol</w:t>
      </w:r>
      <w:r w:rsidR="00E34258">
        <w:t>y</w:t>
      </w:r>
      <w:r w:rsidR="008E7461">
        <w:t xml:space="preserve">. </w:t>
      </w:r>
    </w:p>
    <w:p w14:paraId="217C89D0" w14:textId="304156CC" w:rsidR="003B04F2" w:rsidRPr="008B012A" w:rsidRDefault="00591005" w:rsidP="00000A90">
      <w:pPr>
        <w:spacing w:before="120" w:after="120"/>
        <w:jc w:val="both"/>
      </w:pPr>
      <w:r w:rsidRPr="008B012A">
        <w:t xml:space="preserve">K významnému zvýšení </w:t>
      </w:r>
      <w:r w:rsidR="008B012A" w:rsidRPr="008B012A">
        <w:t>výdajů na dávky nemocenského pojištění</w:t>
      </w:r>
      <w:r w:rsidRPr="008B012A">
        <w:t xml:space="preserve"> došlo </w:t>
      </w:r>
      <w:r w:rsidR="008B012A" w:rsidRPr="008B012A">
        <w:t xml:space="preserve">už </w:t>
      </w:r>
      <w:r w:rsidRPr="008B012A">
        <w:t xml:space="preserve">i v 1. pol. 2018. </w:t>
      </w:r>
      <w:r w:rsidR="003B04F2" w:rsidRPr="008B012A">
        <w:t xml:space="preserve">V roce 2017 </w:t>
      </w:r>
      <w:r w:rsidR="003B04F2" w:rsidRPr="008B012A">
        <w:rPr>
          <w:b/>
        </w:rPr>
        <w:t xml:space="preserve">bylo </w:t>
      </w:r>
      <w:r w:rsidRPr="008B012A">
        <w:t xml:space="preserve">totiž </w:t>
      </w:r>
      <w:r w:rsidR="003B04F2" w:rsidRPr="008B012A">
        <w:rPr>
          <w:b/>
        </w:rPr>
        <w:t>přijato několik významných legislativních opatření</w:t>
      </w:r>
      <w:r w:rsidR="003B04F2" w:rsidRPr="008B012A">
        <w:t xml:space="preserve"> v oblasti nemocenského pojištění, </w:t>
      </w:r>
      <w:r w:rsidR="003B04F2" w:rsidRPr="008B012A">
        <w:rPr>
          <w:b/>
        </w:rPr>
        <w:t>s účinností od roku 2018</w:t>
      </w:r>
      <w:r w:rsidR="003B04F2" w:rsidRPr="008B012A">
        <w:t xml:space="preserve">, která zásadním způsobem ovlivnila jeho finanční bilanci. Jednalo se o </w:t>
      </w:r>
      <w:r w:rsidR="003B04F2" w:rsidRPr="008B012A">
        <w:rPr>
          <w:b/>
        </w:rPr>
        <w:t>zvýšení nemocenského od 31. kalendářního dne DPN</w:t>
      </w:r>
      <w:r w:rsidR="003657FA" w:rsidRPr="008B012A">
        <w:t xml:space="preserve"> </w:t>
      </w:r>
      <w:r w:rsidR="003B04F2" w:rsidRPr="008B012A">
        <w:t>nebo karantény z 60 % na 66 % redukovaného denního vyměřovacího základu a od</w:t>
      </w:r>
      <w:r w:rsidR="003B04F2" w:rsidRPr="008B012A">
        <w:rPr>
          <w:b/>
        </w:rPr>
        <w:t xml:space="preserve"> 61. kalendářního dne DPN</w:t>
      </w:r>
      <w:r w:rsidR="003B04F2" w:rsidRPr="008B012A">
        <w:t xml:space="preserve"> nebo karantény z 60 % na 72 % redukovaného denního vyměřovacího základu </w:t>
      </w:r>
      <w:r w:rsidR="003657FA" w:rsidRPr="008B012A">
        <w:t>s účinností od</w:t>
      </w:r>
      <w:r w:rsidR="00CD63E8" w:rsidRPr="008B012A">
        <w:t> </w:t>
      </w:r>
      <w:r w:rsidR="003657FA" w:rsidRPr="008B012A">
        <w:t>1.</w:t>
      </w:r>
      <w:r w:rsidR="00CD63E8" w:rsidRPr="008B012A">
        <w:t> </w:t>
      </w:r>
      <w:r w:rsidR="003657FA" w:rsidRPr="008B012A">
        <w:t xml:space="preserve">ledna 2018. </w:t>
      </w:r>
      <w:r w:rsidR="00D91258" w:rsidRPr="008B012A">
        <w:t xml:space="preserve">Kromě toho, ovšem s jen nepatrným vlivem na celkovou výši výdajů nemocenského pojištění, </w:t>
      </w:r>
      <w:r w:rsidR="003657FA" w:rsidRPr="008B012A">
        <w:t>byl rozšířen</w:t>
      </w:r>
      <w:r w:rsidR="003B04F2" w:rsidRPr="008B012A">
        <w:t xml:space="preserve"> okru</w:t>
      </w:r>
      <w:r w:rsidR="003657FA" w:rsidRPr="008B012A">
        <w:t>h</w:t>
      </w:r>
      <w:r w:rsidR="003B04F2" w:rsidRPr="008B012A">
        <w:t xml:space="preserve"> dávek poskytovaných z</w:t>
      </w:r>
      <w:r w:rsidR="00C02C40" w:rsidRPr="008B012A">
        <w:t> </w:t>
      </w:r>
      <w:r w:rsidR="003B04F2" w:rsidRPr="008B012A">
        <w:t>nemocenského pojištění o novou dávku otcovské poporodní péče (tzv. „otcovská“) s účinností od 1. února 2018 a dávku dlouhodobého ošetřovného s</w:t>
      </w:r>
      <w:r w:rsidR="008B012A">
        <w:t> </w:t>
      </w:r>
      <w:r w:rsidR="003B04F2" w:rsidRPr="008B012A">
        <w:t>účinností od 1. června 2018.</w:t>
      </w:r>
    </w:p>
    <w:p w14:paraId="41BFA204" w14:textId="6397D236" w:rsidR="003B04F2" w:rsidRPr="008B012A" w:rsidRDefault="00591005" w:rsidP="00000A90">
      <w:pPr>
        <w:spacing w:before="120" w:after="120"/>
        <w:jc w:val="both"/>
      </w:pPr>
      <w:r w:rsidRPr="008B012A">
        <w:t>Pokud půjdeme ještě dále do historie, zjistíme, že k</w:t>
      </w:r>
      <w:r w:rsidR="003B04F2" w:rsidRPr="008B012A">
        <w:t> zásadním změnám v úrovni výdajů na nemocenské došlo v roce 2009 v souvislosti s</w:t>
      </w:r>
      <w:r w:rsidR="00D91258" w:rsidRPr="008B012A">
        <w:t xml:space="preserve"> komplexní </w:t>
      </w:r>
      <w:r w:rsidR="003B04F2" w:rsidRPr="008B012A">
        <w:t>legislativní úpravou nemocenského pojištění. Nový zákon o</w:t>
      </w:r>
      <w:r w:rsidR="00CD63E8" w:rsidRPr="008B012A">
        <w:t> </w:t>
      </w:r>
      <w:r w:rsidR="003B04F2" w:rsidRPr="008B012A">
        <w:t>nemocenském pojištění znatelně snížil výši dávek nemocenského pojištění a zejména stanovil, že po dobu prvních 14 dnů pracovní neschopnosti je zaměstnanec zabezpečen náhradou mzdy nebo platu, kterou mu poskytuje zaměstnavatel (do 1. 7. 2019 s výjimkou prvních 3 pracovních dnů). Poskytování náhrady mzdy nebo platu zaměstnavatelem bylo přijetím úsporných opatření v letech 2011 až 2013 dočasně prodlouženo z prvních 14</w:t>
      </w:r>
      <w:r w:rsidRPr="008B012A">
        <w:t> </w:t>
      </w:r>
      <w:r w:rsidR="003B04F2" w:rsidRPr="008B012A">
        <w:t xml:space="preserve">na 21 dnů pracovní neschopnosti. V důsledku těchto legislativních změn došlo k rapidnímu poklesu </w:t>
      </w:r>
      <w:r w:rsidR="00D91258" w:rsidRPr="008B012A">
        <w:t>pracovní neschopnosti</w:t>
      </w:r>
      <w:r w:rsidR="003B04F2" w:rsidRPr="008B012A">
        <w:t xml:space="preserve">, což rovněž mělo vliv na pokles výdajů na nemocenské. Oproti </w:t>
      </w:r>
      <w:r w:rsidRPr="008B012A">
        <w:t>1. pol. 2012</w:t>
      </w:r>
      <w:r w:rsidR="003B04F2" w:rsidRPr="008B012A">
        <w:t xml:space="preserve"> byly </w:t>
      </w:r>
      <w:r w:rsidR="0062225A" w:rsidRPr="008B012A">
        <w:t xml:space="preserve">tudíž </w:t>
      </w:r>
      <w:r w:rsidR="003B04F2" w:rsidRPr="008B012A">
        <w:t>výdaje na nemocenské v</w:t>
      </w:r>
      <w:r w:rsidRPr="008B012A">
        <w:t> 1. pol. 202</w:t>
      </w:r>
      <w:r w:rsidR="008B012A" w:rsidRPr="008B012A">
        <w:t>2</w:t>
      </w:r>
      <w:r w:rsidR="003B04F2" w:rsidRPr="008B012A">
        <w:t xml:space="preserve"> </w:t>
      </w:r>
      <w:r w:rsidR="0028392B" w:rsidRPr="008B012A">
        <w:t>téměř trojnásobné</w:t>
      </w:r>
      <w:r w:rsidR="003B04F2" w:rsidRPr="008B012A">
        <w:t>.</w:t>
      </w:r>
    </w:p>
    <w:p w14:paraId="65708FAD" w14:textId="2A14CAC9" w:rsidR="00FB50FB" w:rsidRPr="00D92E20" w:rsidRDefault="009F0B87" w:rsidP="00000A90">
      <w:pPr>
        <w:spacing w:after="0"/>
        <w:rPr>
          <w:b/>
        </w:rPr>
      </w:pPr>
      <w:r w:rsidRPr="00D92E20">
        <w:rPr>
          <w:b/>
        </w:rPr>
        <w:t xml:space="preserve">Tab. 4.1: Výdaje na dávky nemocenského pojištění, </w:t>
      </w:r>
      <w:r w:rsidR="009F34CD" w:rsidRPr="0050059C">
        <w:rPr>
          <w:b/>
          <w:spacing w:val="-2"/>
        </w:rPr>
        <w:t>1. pol. 201</w:t>
      </w:r>
      <w:r w:rsidR="009F34CD">
        <w:rPr>
          <w:b/>
          <w:spacing w:val="-2"/>
        </w:rPr>
        <w:t>2</w:t>
      </w:r>
      <w:r w:rsidR="009F34CD" w:rsidRPr="0050059C">
        <w:rPr>
          <w:b/>
          <w:spacing w:val="-2"/>
        </w:rPr>
        <w:t xml:space="preserve"> až 1. pol. 202</w:t>
      </w:r>
      <w:r w:rsidR="009F34CD">
        <w:rPr>
          <w:b/>
          <w:spacing w:val="-2"/>
        </w:rPr>
        <w:t>2</w:t>
      </w:r>
      <w:r w:rsidR="009F34CD" w:rsidRPr="00D92E20">
        <w:rPr>
          <w:b/>
        </w:rPr>
        <w:t xml:space="preserve"> </w:t>
      </w:r>
      <w:r w:rsidRPr="00D92E20">
        <w:rPr>
          <w:b/>
        </w:rPr>
        <w:t>(v mld. Kč)</w:t>
      </w:r>
    </w:p>
    <w:tbl>
      <w:tblPr>
        <w:tblW w:w="9736" w:type="dxa"/>
        <w:tblCellMar>
          <w:left w:w="70" w:type="dxa"/>
          <w:right w:w="70" w:type="dxa"/>
        </w:tblCellMar>
        <w:tblLook w:val="04A0" w:firstRow="1" w:lastRow="0" w:firstColumn="1" w:lastColumn="0" w:noHBand="0" w:noVBand="1"/>
      </w:tblPr>
      <w:tblGrid>
        <w:gridCol w:w="2333"/>
        <w:gridCol w:w="673"/>
        <w:gridCol w:w="673"/>
        <w:gridCol w:w="673"/>
        <w:gridCol w:w="673"/>
        <w:gridCol w:w="673"/>
        <w:gridCol w:w="673"/>
        <w:gridCol w:w="673"/>
        <w:gridCol w:w="673"/>
        <w:gridCol w:w="673"/>
        <w:gridCol w:w="673"/>
        <w:gridCol w:w="673"/>
      </w:tblGrid>
      <w:tr w:rsidR="00277F3A" w:rsidRPr="00D92E20" w14:paraId="1322F35D" w14:textId="77777777" w:rsidTr="009F0B87">
        <w:trPr>
          <w:trHeight w:val="315"/>
        </w:trPr>
        <w:tc>
          <w:tcPr>
            <w:tcW w:w="2333" w:type="dxa"/>
            <w:tcBorders>
              <w:top w:val="single" w:sz="4" w:space="0" w:color="auto"/>
              <w:left w:val="nil"/>
              <w:bottom w:val="single" w:sz="8" w:space="0" w:color="auto"/>
              <w:right w:val="single" w:sz="4" w:space="0" w:color="auto"/>
            </w:tcBorders>
            <w:shd w:val="clear" w:color="000000" w:fill="F5DADD"/>
            <w:vAlign w:val="center"/>
            <w:hideMark/>
          </w:tcPr>
          <w:p w14:paraId="2A44CA79" w14:textId="77777777" w:rsidR="00277F3A" w:rsidRPr="00D92E20" w:rsidRDefault="00277F3A" w:rsidP="00277F3A">
            <w:pPr>
              <w:spacing w:after="0" w:line="240" w:lineRule="auto"/>
              <w:rPr>
                <w:rFonts w:cs="Arial"/>
                <w:sz w:val="16"/>
                <w:szCs w:val="16"/>
              </w:rPr>
            </w:pPr>
            <w:r w:rsidRPr="00D92E20">
              <w:rPr>
                <w:rFonts w:cs="Arial"/>
                <w:sz w:val="16"/>
                <w:szCs w:val="16"/>
              </w:rPr>
              <w:t>Druh dávky</w:t>
            </w:r>
          </w:p>
        </w:tc>
        <w:tc>
          <w:tcPr>
            <w:tcW w:w="673" w:type="dxa"/>
            <w:tcBorders>
              <w:top w:val="single" w:sz="4" w:space="0" w:color="auto"/>
              <w:left w:val="nil"/>
              <w:bottom w:val="single" w:sz="8" w:space="0" w:color="auto"/>
              <w:right w:val="nil"/>
            </w:tcBorders>
            <w:shd w:val="clear" w:color="000000" w:fill="F5DADD"/>
            <w:noWrap/>
            <w:vAlign w:val="center"/>
            <w:hideMark/>
          </w:tcPr>
          <w:p w14:paraId="2C1849A4" w14:textId="1CEAE0B1" w:rsidR="00277F3A" w:rsidRPr="00D92E20" w:rsidRDefault="00277F3A" w:rsidP="00277F3A">
            <w:pPr>
              <w:spacing w:after="0" w:line="240" w:lineRule="auto"/>
              <w:jc w:val="center"/>
              <w:rPr>
                <w:rFonts w:cs="Arial"/>
                <w:sz w:val="16"/>
                <w:szCs w:val="16"/>
              </w:rPr>
            </w:pPr>
            <w:r>
              <w:rPr>
                <w:rFonts w:cs="Arial"/>
                <w:sz w:val="16"/>
                <w:szCs w:val="16"/>
              </w:rPr>
              <w:t xml:space="preserve">1. pol. </w:t>
            </w:r>
            <w:r>
              <w:rPr>
                <w:rFonts w:cs="Arial"/>
                <w:sz w:val="16"/>
                <w:szCs w:val="16"/>
              </w:rPr>
              <w:br/>
              <w:t>2012</w:t>
            </w:r>
          </w:p>
        </w:tc>
        <w:tc>
          <w:tcPr>
            <w:tcW w:w="673" w:type="dxa"/>
            <w:tcBorders>
              <w:top w:val="single" w:sz="4" w:space="0" w:color="auto"/>
              <w:left w:val="nil"/>
              <w:bottom w:val="single" w:sz="8" w:space="0" w:color="auto"/>
              <w:right w:val="nil"/>
            </w:tcBorders>
            <w:shd w:val="clear" w:color="000000" w:fill="F5DADD"/>
            <w:noWrap/>
            <w:vAlign w:val="center"/>
            <w:hideMark/>
          </w:tcPr>
          <w:p w14:paraId="3ACDEF92" w14:textId="08DD9F9F" w:rsidR="00277F3A" w:rsidRPr="00D92E20" w:rsidRDefault="00277F3A" w:rsidP="00277F3A">
            <w:pPr>
              <w:spacing w:after="0" w:line="240" w:lineRule="auto"/>
              <w:jc w:val="center"/>
              <w:rPr>
                <w:rFonts w:cs="Arial"/>
                <w:sz w:val="16"/>
                <w:szCs w:val="16"/>
              </w:rPr>
            </w:pPr>
            <w:r>
              <w:rPr>
                <w:rFonts w:cs="Arial"/>
                <w:sz w:val="16"/>
                <w:szCs w:val="16"/>
              </w:rPr>
              <w:t xml:space="preserve">1. pol. </w:t>
            </w:r>
            <w:r>
              <w:rPr>
                <w:rFonts w:cs="Arial"/>
                <w:sz w:val="16"/>
                <w:szCs w:val="16"/>
              </w:rPr>
              <w:br/>
              <w:t>2013</w:t>
            </w:r>
          </w:p>
        </w:tc>
        <w:tc>
          <w:tcPr>
            <w:tcW w:w="673" w:type="dxa"/>
            <w:tcBorders>
              <w:top w:val="single" w:sz="4" w:space="0" w:color="auto"/>
              <w:left w:val="nil"/>
              <w:bottom w:val="single" w:sz="8" w:space="0" w:color="auto"/>
              <w:right w:val="nil"/>
            </w:tcBorders>
            <w:shd w:val="clear" w:color="000000" w:fill="F5DADD"/>
            <w:noWrap/>
            <w:vAlign w:val="center"/>
            <w:hideMark/>
          </w:tcPr>
          <w:p w14:paraId="096C8976" w14:textId="186DDBF9" w:rsidR="00277F3A" w:rsidRPr="00D92E20" w:rsidRDefault="00277F3A" w:rsidP="00277F3A">
            <w:pPr>
              <w:spacing w:after="0" w:line="240" w:lineRule="auto"/>
              <w:jc w:val="center"/>
              <w:rPr>
                <w:rFonts w:cs="Arial"/>
                <w:sz w:val="16"/>
                <w:szCs w:val="16"/>
              </w:rPr>
            </w:pPr>
            <w:r>
              <w:rPr>
                <w:rFonts w:cs="Arial"/>
                <w:sz w:val="16"/>
                <w:szCs w:val="16"/>
              </w:rPr>
              <w:t xml:space="preserve">1. pol. </w:t>
            </w:r>
            <w:r>
              <w:rPr>
                <w:rFonts w:cs="Arial"/>
                <w:sz w:val="16"/>
                <w:szCs w:val="16"/>
              </w:rPr>
              <w:br/>
              <w:t>2014</w:t>
            </w:r>
          </w:p>
        </w:tc>
        <w:tc>
          <w:tcPr>
            <w:tcW w:w="673" w:type="dxa"/>
            <w:tcBorders>
              <w:top w:val="single" w:sz="4" w:space="0" w:color="auto"/>
              <w:left w:val="nil"/>
              <w:bottom w:val="single" w:sz="8" w:space="0" w:color="auto"/>
              <w:right w:val="nil"/>
            </w:tcBorders>
            <w:shd w:val="clear" w:color="000000" w:fill="F5DADD"/>
            <w:noWrap/>
            <w:vAlign w:val="center"/>
            <w:hideMark/>
          </w:tcPr>
          <w:p w14:paraId="23E22A0B" w14:textId="1930504E" w:rsidR="00277F3A" w:rsidRPr="00D92E20" w:rsidRDefault="00277F3A" w:rsidP="00277F3A">
            <w:pPr>
              <w:spacing w:after="0" w:line="240" w:lineRule="auto"/>
              <w:jc w:val="center"/>
              <w:rPr>
                <w:rFonts w:cs="Arial"/>
                <w:sz w:val="16"/>
                <w:szCs w:val="16"/>
              </w:rPr>
            </w:pPr>
            <w:r>
              <w:rPr>
                <w:rFonts w:cs="Arial"/>
                <w:sz w:val="16"/>
                <w:szCs w:val="16"/>
              </w:rPr>
              <w:t xml:space="preserve">1. pol. </w:t>
            </w:r>
            <w:r>
              <w:rPr>
                <w:rFonts w:cs="Arial"/>
                <w:sz w:val="16"/>
                <w:szCs w:val="16"/>
              </w:rPr>
              <w:br/>
              <w:t>2015</w:t>
            </w:r>
          </w:p>
        </w:tc>
        <w:tc>
          <w:tcPr>
            <w:tcW w:w="673" w:type="dxa"/>
            <w:tcBorders>
              <w:top w:val="single" w:sz="4" w:space="0" w:color="auto"/>
              <w:left w:val="nil"/>
              <w:bottom w:val="single" w:sz="8" w:space="0" w:color="auto"/>
              <w:right w:val="nil"/>
            </w:tcBorders>
            <w:shd w:val="clear" w:color="000000" w:fill="F5DADD"/>
            <w:noWrap/>
            <w:vAlign w:val="center"/>
            <w:hideMark/>
          </w:tcPr>
          <w:p w14:paraId="3673A7FC" w14:textId="37001E79" w:rsidR="00277F3A" w:rsidRPr="00D92E20" w:rsidRDefault="00277F3A" w:rsidP="00277F3A">
            <w:pPr>
              <w:spacing w:after="0" w:line="240" w:lineRule="auto"/>
              <w:jc w:val="center"/>
              <w:rPr>
                <w:rFonts w:cs="Arial"/>
                <w:sz w:val="16"/>
                <w:szCs w:val="16"/>
              </w:rPr>
            </w:pPr>
            <w:r>
              <w:rPr>
                <w:rFonts w:cs="Arial"/>
                <w:sz w:val="16"/>
                <w:szCs w:val="16"/>
              </w:rPr>
              <w:t xml:space="preserve">1. pol. </w:t>
            </w:r>
            <w:r>
              <w:rPr>
                <w:rFonts w:cs="Arial"/>
                <w:sz w:val="16"/>
                <w:szCs w:val="16"/>
              </w:rPr>
              <w:br/>
              <w:t>2016</w:t>
            </w:r>
          </w:p>
        </w:tc>
        <w:tc>
          <w:tcPr>
            <w:tcW w:w="673" w:type="dxa"/>
            <w:tcBorders>
              <w:top w:val="single" w:sz="4" w:space="0" w:color="auto"/>
              <w:left w:val="nil"/>
              <w:bottom w:val="single" w:sz="8" w:space="0" w:color="auto"/>
              <w:right w:val="nil"/>
            </w:tcBorders>
            <w:shd w:val="clear" w:color="000000" w:fill="F5DADD"/>
            <w:noWrap/>
            <w:vAlign w:val="center"/>
            <w:hideMark/>
          </w:tcPr>
          <w:p w14:paraId="0E004D09" w14:textId="33C4399D" w:rsidR="00277F3A" w:rsidRPr="00D92E20" w:rsidRDefault="00277F3A" w:rsidP="00277F3A">
            <w:pPr>
              <w:spacing w:after="0" w:line="240" w:lineRule="auto"/>
              <w:jc w:val="center"/>
              <w:rPr>
                <w:rFonts w:cs="Arial"/>
                <w:sz w:val="16"/>
                <w:szCs w:val="16"/>
              </w:rPr>
            </w:pPr>
            <w:r>
              <w:rPr>
                <w:rFonts w:cs="Arial"/>
                <w:sz w:val="16"/>
                <w:szCs w:val="16"/>
              </w:rPr>
              <w:t xml:space="preserve">1. pol. </w:t>
            </w:r>
            <w:r>
              <w:rPr>
                <w:rFonts w:cs="Arial"/>
                <w:sz w:val="16"/>
                <w:szCs w:val="16"/>
              </w:rPr>
              <w:br/>
              <w:t>2017</w:t>
            </w:r>
          </w:p>
        </w:tc>
        <w:tc>
          <w:tcPr>
            <w:tcW w:w="673" w:type="dxa"/>
            <w:tcBorders>
              <w:top w:val="single" w:sz="4" w:space="0" w:color="auto"/>
              <w:left w:val="nil"/>
              <w:bottom w:val="single" w:sz="8" w:space="0" w:color="auto"/>
              <w:right w:val="nil"/>
            </w:tcBorders>
            <w:shd w:val="clear" w:color="000000" w:fill="F5DADD"/>
            <w:noWrap/>
            <w:vAlign w:val="center"/>
            <w:hideMark/>
          </w:tcPr>
          <w:p w14:paraId="3C98079E" w14:textId="6591DDA7" w:rsidR="00277F3A" w:rsidRPr="00D92E20" w:rsidRDefault="00277F3A" w:rsidP="00277F3A">
            <w:pPr>
              <w:spacing w:after="0" w:line="240" w:lineRule="auto"/>
              <w:jc w:val="center"/>
              <w:rPr>
                <w:rFonts w:cs="Arial"/>
                <w:sz w:val="16"/>
                <w:szCs w:val="16"/>
              </w:rPr>
            </w:pPr>
            <w:r>
              <w:rPr>
                <w:rFonts w:cs="Arial"/>
                <w:sz w:val="16"/>
                <w:szCs w:val="16"/>
              </w:rPr>
              <w:t xml:space="preserve">1. pol. </w:t>
            </w:r>
            <w:r>
              <w:rPr>
                <w:rFonts w:cs="Arial"/>
                <w:sz w:val="16"/>
                <w:szCs w:val="16"/>
              </w:rPr>
              <w:br/>
              <w:t>2018</w:t>
            </w:r>
          </w:p>
        </w:tc>
        <w:tc>
          <w:tcPr>
            <w:tcW w:w="673" w:type="dxa"/>
            <w:tcBorders>
              <w:top w:val="single" w:sz="4" w:space="0" w:color="auto"/>
              <w:left w:val="nil"/>
              <w:bottom w:val="single" w:sz="8" w:space="0" w:color="auto"/>
              <w:right w:val="nil"/>
            </w:tcBorders>
            <w:shd w:val="clear" w:color="000000" w:fill="F5DADD"/>
            <w:noWrap/>
            <w:vAlign w:val="center"/>
            <w:hideMark/>
          </w:tcPr>
          <w:p w14:paraId="2F691ED4" w14:textId="6B4DA0D3" w:rsidR="00277F3A" w:rsidRPr="00D92E20" w:rsidRDefault="00277F3A" w:rsidP="00277F3A">
            <w:pPr>
              <w:spacing w:after="0" w:line="240" w:lineRule="auto"/>
              <w:jc w:val="center"/>
              <w:rPr>
                <w:rFonts w:cs="Arial"/>
                <w:sz w:val="16"/>
                <w:szCs w:val="16"/>
              </w:rPr>
            </w:pPr>
            <w:r>
              <w:rPr>
                <w:rFonts w:cs="Arial"/>
                <w:sz w:val="16"/>
                <w:szCs w:val="16"/>
              </w:rPr>
              <w:t>1. pol. 2019</w:t>
            </w:r>
          </w:p>
        </w:tc>
        <w:tc>
          <w:tcPr>
            <w:tcW w:w="673" w:type="dxa"/>
            <w:tcBorders>
              <w:top w:val="single" w:sz="4" w:space="0" w:color="auto"/>
              <w:left w:val="nil"/>
              <w:bottom w:val="single" w:sz="8" w:space="0" w:color="auto"/>
              <w:right w:val="nil"/>
            </w:tcBorders>
            <w:shd w:val="clear" w:color="000000" w:fill="F5DADD"/>
            <w:noWrap/>
            <w:vAlign w:val="center"/>
            <w:hideMark/>
          </w:tcPr>
          <w:p w14:paraId="6ED06A1A" w14:textId="07CFF5FC" w:rsidR="00277F3A" w:rsidRPr="00D92E20" w:rsidRDefault="00277F3A" w:rsidP="00277F3A">
            <w:pPr>
              <w:spacing w:after="0" w:line="240" w:lineRule="auto"/>
              <w:jc w:val="center"/>
              <w:rPr>
                <w:rFonts w:cs="Arial"/>
                <w:sz w:val="16"/>
                <w:szCs w:val="16"/>
              </w:rPr>
            </w:pPr>
            <w:r>
              <w:rPr>
                <w:rFonts w:cs="Arial"/>
                <w:sz w:val="16"/>
                <w:szCs w:val="16"/>
              </w:rPr>
              <w:t>1. pol. 2020</w:t>
            </w:r>
          </w:p>
        </w:tc>
        <w:tc>
          <w:tcPr>
            <w:tcW w:w="673" w:type="dxa"/>
            <w:tcBorders>
              <w:top w:val="single" w:sz="4" w:space="0" w:color="auto"/>
              <w:left w:val="nil"/>
              <w:bottom w:val="single" w:sz="8" w:space="0" w:color="auto"/>
              <w:right w:val="nil"/>
            </w:tcBorders>
            <w:shd w:val="clear" w:color="000000" w:fill="F5DADD"/>
            <w:noWrap/>
            <w:vAlign w:val="center"/>
            <w:hideMark/>
          </w:tcPr>
          <w:p w14:paraId="4C836566" w14:textId="6D77C3E5" w:rsidR="00277F3A" w:rsidRPr="00D92E20" w:rsidRDefault="00277F3A" w:rsidP="00277F3A">
            <w:pPr>
              <w:spacing w:after="0" w:line="240" w:lineRule="auto"/>
              <w:jc w:val="center"/>
              <w:rPr>
                <w:rFonts w:cs="Arial"/>
                <w:sz w:val="16"/>
                <w:szCs w:val="16"/>
              </w:rPr>
            </w:pPr>
            <w:r>
              <w:rPr>
                <w:rFonts w:cs="Arial"/>
                <w:sz w:val="16"/>
                <w:szCs w:val="16"/>
              </w:rPr>
              <w:t>1. pol. 2021</w:t>
            </w:r>
          </w:p>
        </w:tc>
        <w:tc>
          <w:tcPr>
            <w:tcW w:w="673" w:type="dxa"/>
            <w:tcBorders>
              <w:top w:val="single" w:sz="4" w:space="0" w:color="auto"/>
              <w:left w:val="nil"/>
              <w:bottom w:val="single" w:sz="8" w:space="0" w:color="auto"/>
              <w:right w:val="nil"/>
            </w:tcBorders>
            <w:shd w:val="clear" w:color="000000" w:fill="F5DADD"/>
            <w:noWrap/>
            <w:vAlign w:val="center"/>
            <w:hideMark/>
          </w:tcPr>
          <w:p w14:paraId="67D5E0EE" w14:textId="5A3DB470" w:rsidR="00277F3A" w:rsidRPr="00D92E20" w:rsidRDefault="00277F3A" w:rsidP="00277F3A">
            <w:pPr>
              <w:spacing w:after="0" w:line="240" w:lineRule="auto"/>
              <w:jc w:val="center"/>
              <w:rPr>
                <w:rFonts w:cs="Arial"/>
                <w:sz w:val="16"/>
                <w:szCs w:val="16"/>
              </w:rPr>
            </w:pPr>
            <w:r>
              <w:rPr>
                <w:rFonts w:cs="Arial"/>
                <w:sz w:val="16"/>
                <w:szCs w:val="16"/>
              </w:rPr>
              <w:t>1. pol. 2022</w:t>
            </w:r>
          </w:p>
        </w:tc>
      </w:tr>
      <w:tr w:rsidR="00277F3A" w:rsidRPr="00D92E20" w14:paraId="5663CD02" w14:textId="77777777" w:rsidTr="009F0B87">
        <w:trPr>
          <w:trHeight w:val="300"/>
        </w:trPr>
        <w:tc>
          <w:tcPr>
            <w:tcW w:w="2333" w:type="dxa"/>
            <w:tcBorders>
              <w:top w:val="nil"/>
              <w:left w:val="nil"/>
              <w:bottom w:val="nil"/>
              <w:right w:val="single" w:sz="4" w:space="0" w:color="auto"/>
            </w:tcBorders>
            <w:shd w:val="clear" w:color="auto" w:fill="auto"/>
            <w:vAlign w:val="center"/>
            <w:hideMark/>
          </w:tcPr>
          <w:p w14:paraId="3EDEF5A7" w14:textId="77777777" w:rsidR="00277F3A" w:rsidRPr="00D92E20" w:rsidRDefault="00277F3A" w:rsidP="00277F3A">
            <w:pPr>
              <w:spacing w:after="0" w:line="240" w:lineRule="auto"/>
              <w:rPr>
                <w:rFonts w:cs="Arial"/>
                <w:b/>
                <w:bCs/>
                <w:sz w:val="16"/>
                <w:szCs w:val="16"/>
              </w:rPr>
            </w:pPr>
            <w:r w:rsidRPr="00D92E20">
              <w:rPr>
                <w:rFonts w:cs="Arial"/>
                <w:b/>
                <w:bCs/>
                <w:sz w:val="16"/>
                <w:szCs w:val="16"/>
              </w:rPr>
              <w:t>Celkem</w:t>
            </w:r>
          </w:p>
        </w:tc>
        <w:tc>
          <w:tcPr>
            <w:tcW w:w="673" w:type="dxa"/>
            <w:tcBorders>
              <w:top w:val="nil"/>
              <w:left w:val="nil"/>
              <w:bottom w:val="nil"/>
              <w:right w:val="nil"/>
            </w:tcBorders>
            <w:shd w:val="clear" w:color="auto" w:fill="auto"/>
            <w:noWrap/>
            <w:vAlign w:val="center"/>
            <w:hideMark/>
          </w:tcPr>
          <w:p w14:paraId="0A82CA5C" w14:textId="1091CBD8" w:rsidR="00277F3A" w:rsidRPr="00D92E20" w:rsidRDefault="00277F3A" w:rsidP="00277F3A">
            <w:pPr>
              <w:spacing w:after="0" w:line="240" w:lineRule="auto"/>
              <w:jc w:val="right"/>
              <w:rPr>
                <w:rFonts w:cs="Arial"/>
                <w:b/>
                <w:bCs/>
                <w:sz w:val="16"/>
                <w:szCs w:val="16"/>
              </w:rPr>
            </w:pPr>
            <w:r>
              <w:rPr>
                <w:rFonts w:cs="Arial"/>
                <w:b/>
                <w:bCs/>
                <w:sz w:val="16"/>
                <w:szCs w:val="16"/>
              </w:rPr>
              <w:t>10,13</w:t>
            </w:r>
          </w:p>
        </w:tc>
        <w:tc>
          <w:tcPr>
            <w:tcW w:w="673" w:type="dxa"/>
            <w:tcBorders>
              <w:top w:val="nil"/>
              <w:left w:val="nil"/>
              <w:bottom w:val="nil"/>
              <w:right w:val="nil"/>
            </w:tcBorders>
            <w:shd w:val="clear" w:color="auto" w:fill="auto"/>
            <w:noWrap/>
            <w:vAlign w:val="center"/>
            <w:hideMark/>
          </w:tcPr>
          <w:p w14:paraId="5699D1DC" w14:textId="4913DB8E" w:rsidR="00277F3A" w:rsidRPr="00D92E20" w:rsidRDefault="00277F3A" w:rsidP="00277F3A">
            <w:pPr>
              <w:spacing w:after="0" w:line="240" w:lineRule="auto"/>
              <w:jc w:val="right"/>
              <w:rPr>
                <w:rFonts w:cs="Arial"/>
                <w:b/>
                <w:bCs/>
                <w:sz w:val="16"/>
                <w:szCs w:val="16"/>
              </w:rPr>
            </w:pPr>
            <w:r>
              <w:rPr>
                <w:rFonts w:cs="Arial"/>
                <w:b/>
                <w:bCs/>
                <w:sz w:val="16"/>
                <w:szCs w:val="16"/>
              </w:rPr>
              <w:t>10,50</w:t>
            </w:r>
          </w:p>
        </w:tc>
        <w:tc>
          <w:tcPr>
            <w:tcW w:w="673" w:type="dxa"/>
            <w:tcBorders>
              <w:top w:val="nil"/>
              <w:left w:val="nil"/>
              <w:bottom w:val="nil"/>
              <w:right w:val="nil"/>
            </w:tcBorders>
            <w:shd w:val="clear" w:color="auto" w:fill="auto"/>
            <w:noWrap/>
            <w:vAlign w:val="center"/>
            <w:hideMark/>
          </w:tcPr>
          <w:p w14:paraId="6614C5BA" w14:textId="761F3239" w:rsidR="00277F3A" w:rsidRPr="00D92E20" w:rsidRDefault="00277F3A" w:rsidP="00277F3A">
            <w:pPr>
              <w:spacing w:after="0" w:line="240" w:lineRule="auto"/>
              <w:jc w:val="right"/>
              <w:rPr>
                <w:rFonts w:cs="Arial"/>
                <w:b/>
                <w:bCs/>
                <w:sz w:val="16"/>
                <w:szCs w:val="16"/>
              </w:rPr>
            </w:pPr>
            <w:r>
              <w:rPr>
                <w:rFonts w:cs="Arial"/>
                <w:b/>
                <w:bCs/>
                <w:sz w:val="16"/>
                <w:szCs w:val="16"/>
              </w:rPr>
              <w:t>11,10</w:t>
            </w:r>
          </w:p>
        </w:tc>
        <w:tc>
          <w:tcPr>
            <w:tcW w:w="673" w:type="dxa"/>
            <w:tcBorders>
              <w:top w:val="nil"/>
              <w:left w:val="nil"/>
              <w:bottom w:val="nil"/>
              <w:right w:val="nil"/>
            </w:tcBorders>
            <w:shd w:val="clear" w:color="auto" w:fill="auto"/>
            <w:noWrap/>
            <w:vAlign w:val="center"/>
            <w:hideMark/>
          </w:tcPr>
          <w:p w14:paraId="45F2647C" w14:textId="37BF0DA3" w:rsidR="00277F3A" w:rsidRPr="00D92E20" w:rsidRDefault="00277F3A" w:rsidP="00277F3A">
            <w:pPr>
              <w:spacing w:after="0" w:line="240" w:lineRule="auto"/>
              <w:jc w:val="right"/>
              <w:rPr>
                <w:rFonts w:cs="Arial"/>
                <w:b/>
                <w:bCs/>
                <w:sz w:val="16"/>
                <w:szCs w:val="16"/>
              </w:rPr>
            </w:pPr>
            <w:r>
              <w:rPr>
                <w:rFonts w:cs="Arial"/>
                <w:b/>
                <w:bCs/>
                <w:sz w:val="16"/>
                <w:szCs w:val="16"/>
              </w:rPr>
              <w:t>12,32</w:t>
            </w:r>
          </w:p>
        </w:tc>
        <w:tc>
          <w:tcPr>
            <w:tcW w:w="673" w:type="dxa"/>
            <w:tcBorders>
              <w:top w:val="nil"/>
              <w:left w:val="nil"/>
              <w:bottom w:val="nil"/>
              <w:right w:val="nil"/>
            </w:tcBorders>
            <w:shd w:val="clear" w:color="auto" w:fill="auto"/>
            <w:noWrap/>
            <w:vAlign w:val="center"/>
            <w:hideMark/>
          </w:tcPr>
          <w:p w14:paraId="7F05C2CF" w14:textId="050B8745" w:rsidR="00277F3A" w:rsidRPr="00D92E20" w:rsidRDefault="00277F3A" w:rsidP="00277F3A">
            <w:pPr>
              <w:spacing w:after="0" w:line="240" w:lineRule="auto"/>
              <w:jc w:val="right"/>
              <w:rPr>
                <w:rFonts w:cs="Arial"/>
                <w:b/>
                <w:bCs/>
                <w:sz w:val="16"/>
                <w:szCs w:val="16"/>
              </w:rPr>
            </w:pPr>
            <w:r>
              <w:rPr>
                <w:rFonts w:cs="Arial"/>
                <w:b/>
                <w:bCs/>
                <w:sz w:val="16"/>
                <w:szCs w:val="16"/>
              </w:rPr>
              <w:t>13,46</w:t>
            </w:r>
          </w:p>
        </w:tc>
        <w:tc>
          <w:tcPr>
            <w:tcW w:w="673" w:type="dxa"/>
            <w:tcBorders>
              <w:top w:val="nil"/>
              <w:left w:val="nil"/>
              <w:bottom w:val="nil"/>
              <w:right w:val="nil"/>
            </w:tcBorders>
            <w:shd w:val="clear" w:color="auto" w:fill="auto"/>
            <w:noWrap/>
            <w:vAlign w:val="center"/>
            <w:hideMark/>
          </w:tcPr>
          <w:p w14:paraId="1B0F7045" w14:textId="1035A15A" w:rsidR="00277F3A" w:rsidRPr="00D92E20" w:rsidRDefault="00277F3A" w:rsidP="00277F3A">
            <w:pPr>
              <w:spacing w:after="0" w:line="240" w:lineRule="auto"/>
              <w:jc w:val="right"/>
              <w:rPr>
                <w:rFonts w:cs="Arial"/>
                <w:b/>
                <w:bCs/>
                <w:sz w:val="16"/>
                <w:szCs w:val="16"/>
              </w:rPr>
            </w:pPr>
            <w:r>
              <w:rPr>
                <w:rFonts w:cs="Arial"/>
                <w:b/>
                <w:bCs/>
                <w:sz w:val="16"/>
                <w:szCs w:val="16"/>
              </w:rPr>
              <w:t>14,63</w:t>
            </w:r>
          </w:p>
        </w:tc>
        <w:tc>
          <w:tcPr>
            <w:tcW w:w="673" w:type="dxa"/>
            <w:tcBorders>
              <w:top w:val="nil"/>
              <w:left w:val="nil"/>
              <w:bottom w:val="nil"/>
              <w:right w:val="nil"/>
            </w:tcBorders>
            <w:shd w:val="clear" w:color="auto" w:fill="auto"/>
            <w:noWrap/>
            <w:vAlign w:val="center"/>
            <w:hideMark/>
          </w:tcPr>
          <w:p w14:paraId="3A52BE4A" w14:textId="48925870" w:rsidR="00277F3A" w:rsidRPr="00D92E20" w:rsidRDefault="00277F3A" w:rsidP="00277F3A">
            <w:pPr>
              <w:spacing w:after="0" w:line="240" w:lineRule="auto"/>
              <w:jc w:val="right"/>
              <w:rPr>
                <w:rFonts w:cs="Arial"/>
                <w:b/>
                <w:bCs/>
                <w:sz w:val="16"/>
                <w:szCs w:val="16"/>
              </w:rPr>
            </w:pPr>
            <w:r>
              <w:rPr>
                <w:rFonts w:cs="Arial"/>
                <w:b/>
                <w:bCs/>
                <w:sz w:val="16"/>
                <w:szCs w:val="16"/>
              </w:rPr>
              <w:t>17,18</w:t>
            </w:r>
          </w:p>
        </w:tc>
        <w:tc>
          <w:tcPr>
            <w:tcW w:w="673" w:type="dxa"/>
            <w:tcBorders>
              <w:top w:val="nil"/>
              <w:left w:val="nil"/>
              <w:bottom w:val="nil"/>
              <w:right w:val="nil"/>
            </w:tcBorders>
            <w:shd w:val="clear" w:color="auto" w:fill="auto"/>
            <w:noWrap/>
            <w:vAlign w:val="center"/>
            <w:hideMark/>
          </w:tcPr>
          <w:p w14:paraId="135AF1B4" w14:textId="0BB59D5A" w:rsidR="00277F3A" w:rsidRPr="00D92E20" w:rsidRDefault="00277F3A" w:rsidP="00277F3A">
            <w:pPr>
              <w:spacing w:after="0" w:line="240" w:lineRule="auto"/>
              <w:jc w:val="right"/>
              <w:rPr>
                <w:rFonts w:cs="Arial"/>
                <w:b/>
                <w:bCs/>
                <w:sz w:val="16"/>
                <w:szCs w:val="16"/>
              </w:rPr>
            </w:pPr>
            <w:r>
              <w:rPr>
                <w:rFonts w:cs="Arial"/>
                <w:b/>
                <w:bCs/>
                <w:sz w:val="16"/>
                <w:szCs w:val="16"/>
              </w:rPr>
              <w:t>19,81</w:t>
            </w:r>
          </w:p>
        </w:tc>
        <w:tc>
          <w:tcPr>
            <w:tcW w:w="673" w:type="dxa"/>
            <w:tcBorders>
              <w:top w:val="nil"/>
              <w:left w:val="nil"/>
              <w:bottom w:val="nil"/>
              <w:right w:val="nil"/>
            </w:tcBorders>
            <w:shd w:val="clear" w:color="auto" w:fill="auto"/>
            <w:noWrap/>
            <w:vAlign w:val="center"/>
            <w:hideMark/>
          </w:tcPr>
          <w:p w14:paraId="22F7518C" w14:textId="41CA8C8D" w:rsidR="00277F3A" w:rsidRPr="00D92E20" w:rsidRDefault="00277F3A" w:rsidP="00277F3A">
            <w:pPr>
              <w:spacing w:after="0" w:line="240" w:lineRule="auto"/>
              <w:jc w:val="right"/>
              <w:rPr>
                <w:rFonts w:cs="Arial"/>
                <w:b/>
                <w:bCs/>
                <w:sz w:val="16"/>
                <w:szCs w:val="16"/>
              </w:rPr>
            </w:pPr>
            <w:r>
              <w:rPr>
                <w:rFonts w:cs="Arial"/>
                <w:b/>
                <w:bCs/>
                <w:sz w:val="16"/>
                <w:szCs w:val="16"/>
              </w:rPr>
              <w:t>30,00</w:t>
            </w:r>
          </w:p>
        </w:tc>
        <w:tc>
          <w:tcPr>
            <w:tcW w:w="673" w:type="dxa"/>
            <w:tcBorders>
              <w:top w:val="nil"/>
              <w:left w:val="nil"/>
              <w:bottom w:val="nil"/>
              <w:right w:val="nil"/>
            </w:tcBorders>
            <w:shd w:val="clear" w:color="auto" w:fill="auto"/>
            <w:noWrap/>
            <w:vAlign w:val="center"/>
            <w:hideMark/>
          </w:tcPr>
          <w:p w14:paraId="05002275" w14:textId="26C295D9" w:rsidR="00277F3A" w:rsidRPr="00D92E20" w:rsidRDefault="00277F3A" w:rsidP="00277F3A">
            <w:pPr>
              <w:spacing w:after="0" w:line="240" w:lineRule="auto"/>
              <w:jc w:val="right"/>
              <w:rPr>
                <w:rFonts w:cs="Arial"/>
                <w:b/>
                <w:bCs/>
                <w:sz w:val="16"/>
                <w:szCs w:val="16"/>
              </w:rPr>
            </w:pPr>
            <w:r>
              <w:rPr>
                <w:rFonts w:cs="Arial"/>
                <w:b/>
                <w:bCs/>
                <w:sz w:val="16"/>
                <w:szCs w:val="16"/>
              </w:rPr>
              <w:t>28,50</w:t>
            </w:r>
          </w:p>
        </w:tc>
        <w:tc>
          <w:tcPr>
            <w:tcW w:w="673" w:type="dxa"/>
            <w:tcBorders>
              <w:top w:val="nil"/>
              <w:left w:val="nil"/>
              <w:bottom w:val="nil"/>
              <w:right w:val="nil"/>
            </w:tcBorders>
            <w:shd w:val="clear" w:color="auto" w:fill="auto"/>
            <w:noWrap/>
            <w:vAlign w:val="center"/>
            <w:hideMark/>
          </w:tcPr>
          <w:p w14:paraId="713697A0" w14:textId="771BC9A3" w:rsidR="00277F3A" w:rsidRPr="00D92E20" w:rsidRDefault="00277F3A" w:rsidP="00277F3A">
            <w:pPr>
              <w:spacing w:after="0" w:line="240" w:lineRule="auto"/>
              <w:jc w:val="right"/>
              <w:rPr>
                <w:rFonts w:cs="Arial"/>
                <w:b/>
                <w:bCs/>
                <w:sz w:val="16"/>
                <w:szCs w:val="16"/>
              </w:rPr>
            </w:pPr>
            <w:r>
              <w:rPr>
                <w:rFonts w:cs="Arial"/>
                <w:b/>
                <w:bCs/>
                <w:sz w:val="16"/>
                <w:szCs w:val="16"/>
              </w:rPr>
              <w:t>25,41</w:t>
            </w:r>
          </w:p>
        </w:tc>
      </w:tr>
      <w:tr w:rsidR="00277F3A" w:rsidRPr="00D92E20" w14:paraId="5FE51748" w14:textId="77777777" w:rsidTr="009F0B87">
        <w:trPr>
          <w:trHeight w:val="300"/>
        </w:trPr>
        <w:tc>
          <w:tcPr>
            <w:tcW w:w="2333" w:type="dxa"/>
            <w:tcBorders>
              <w:top w:val="nil"/>
              <w:left w:val="nil"/>
              <w:bottom w:val="nil"/>
              <w:right w:val="single" w:sz="4" w:space="0" w:color="auto"/>
            </w:tcBorders>
            <w:shd w:val="clear" w:color="000000" w:fill="F5DADD"/>
            <w:vAlign w:val="center"/>
            <w:hideMark/>
          </w:tcPr>
          <w:p w14:paraId="4DBCB78B" w14:textId="77777777" w:rsidR="00277F3A" w:rsidRPr="00D92E20" w:rsidRDefault="00277F3A" w:rsidP="00277F3A">
            <w:pPr>
              <w:spacing w:after="0" w:line="240" w:lineRule="auto"/>
              <w:ind w:firstLineChars="100" w:firstLine="160"/>
              <w:rPr>
                <w:rFonts w:cs="Arial"/>
                <w:sz w:val="16"/>
                <w:szCs w:val="16"/>
              </w:rPr>
            </w:pPr>
            <w:r w:rsidRPr="00D92E20">
              <w:rPr>
                <w:rFonts w:cs="Arial"/>
                <w:sz w:val="16"/>
                <w:szCs w:val="16"/>
              </w:rPr>
              <w:t>nemocenské</w:t>
            </w:r>
          </w:p>
        </w:tc>
        <w:tc>
          <w:tcPr>
            <w:tcW w:w="673" w:type="dxa"/>
            <w:tcBorders>
              <w:top w:val="nil"/>
              <w:left w:val="nil"/>
              <w:bottom w:val="nil"/>
              <w:right w:val="nil"/>
            </w:tcBorders>
            <w:shd w:val="clear" w:color="000000" w:fill="F5DADD"/>
            <w:noWrap/>
            <w:vAlign w:val="center"/>
            <w:hideMark/>
          </w:tcPr>
          <w:p w14:paraId="5BDA25F6" w14:textId="05360354" w:rsidR="00277F3A" w:rsidRPr="00D92E20" w:rsidRDefault="00277F3A" w:rsidP="00277F3A">
            <w:pPr>
              <w:spacing w:after="0" w:line="240" w:lineRule="auto"/>
              <w:jc w:val="right"/>
              <w:rPr>
                <w:rFonts w:cs="Arial"/>
                <w:sz w:val="16"/>
                <w:szCs w:val="16"/>
              </w:rPr>
            </w:pPr>
            <w:r>
              <w:rPr>
                <w:rFonts w:cs="Arial"/>
                <w:sz w:val="16"/>
                <w:szCs w:val="16"/>
              </w:rPr>
              <w:t>6,21</w:t>
            </w:r>
          </w:p>
        </w:tc>
        <w:tc>
          <w:tcPr>
            <w:tcW w:w="673" w:type="dxa"/>
            <w:tcBorders>
              <w:top w:val="nil"/>
              <w:left w:val="nil"/>
              <w:bottom w:val="nil"/>
              <w:right w:val="nil"/>
            </w:tcBorders>
            <w:shd w:val="clear" w:color="000000" w:fill="F5DADD"/>
            <w:noWrap/>
            <w:vAlign w:val="center"/>
            <w:hideMark/>
          </w:tcPr>
          <w:p w14:paraId="5AEF3FBB" w14:textId="6964A943" w:rsidR="00277F3A" w:rsidRPr="00D92E20" w:rsidRDefault="00277F3A" w:rsidP="00277F3A">
            <w:pPr>
              <w:spacing w:after="0" w:line="240" w:lineRule="auto"/>
              <w:jc w:val="right"/>
              <w:rPr>
                <w:rFonts w:cs="Arial"/>
                <w:sz w:val="16"/>
                <w:szCs w:val="16"/>
              </w:rPr>
            </w:pPr>
            <w:r>
              <w:rPr>
                <w:rFonts w:cs="Arial"/>
                <w:sz w:val="16"/>
                <w:szCs w:val="16"/>
              </w:rPr>
              <w:t>6,45</w:t>
            </w:r>
          </w:p>
        </w:tc>
        <w:tc>
          <w:tcPr>
            <w:tcW w:w="673" w:type="dxa"/>
            <w:tcBorders>
              <w:top w:val="nil"/>
              <w:left w:val="nil"/>
              <w:bottom w:val="nil"/>
              <w:right w:val="nil"/>
            </w:tcBorders>
            <w:shd w:val="clear" w:color="000000" w:fill="F5DADD"/>
            <w:noWrap/>
            <w:vAlign w:val="center"/>
            <w:hideMark/>
          </w:tcPr>
          <w:p w14:paraId="276CE252" w14:textId="035DCD0E" w:rsidR="00277F3A" w:rsidRPr="00D92E20" w:rsidRDefault="00277F3A" w:rsidP="00277F3A">
            <w:pPr>
              <w:spacing w:after="0" w:line="240" w:lineRule="auto"/>
              <w:jc w:val="right"/>
              <w:rPr>
                <w:rFonts w:cs="Arial"/>
                <w:sz w:val="16"/>
                <w:szCs w:val="16"/>
              </w:rPr>
            </w:pPr>
            <w:r>
              <w:rPr>
                <w:rFonts w:cs="Arial"/>
                <w:sz w:val="16"/>
                <w:szCs w:val="16"/>
              </w:rPr>
              <w:t>7,10</w:t>
            </w:r>
          </w:p>
        </w:tc>
        <w:tc>
          <w:tcPr>
            <w:tcW w:w="673" w:type="dxa"/>
            <w:tcBorders>
              <w:top w:val="nil"/>
              <w:left w:val="nil"/>
              <w:bottom w:val="nil"/>
              <w:right w:val="nil"/>
            </w:tcBorders>
            <w:shd w:val="clear" w:color="000000" w:fill="F5DADD"/>
            <w:noWrap/>
            <w:vAlign w:val="center"/>
            <w:hideMark/>
          </w:tcPr>
          <w:p w14:paraId="17332128" w14:textId="7A78CF18" w:rsidR="00277F3A" w:rsidRPr="00D92E20" w:rsidRDefault="00277F3A" w:rsidP="00277F3A">
            <w:pPr>
              <w:spacing w:after="0" w:line="240" w:lineRule="auto"/>
              <w:jc w:val="right"/>
              <w:rPr>
                <w:rFonts w:cs="Arial"/>
                <w:sz w:val="16"/>
                <w:szCs w:val="16"/>
              </w:rPr>
            </w:pPr>
            <w:r>
              <w:rPr>
                <w:rFonts w:cs="Arial"/>
                <w:sz w:val="16"/>
                <w:szCs w:val="16"/>
              </w:rPr>
              <w:t>8,02</w:t>
            </w:r>
          </w:p>
        </w:tc>
        <w:tc>
          <w:tcPr>
            <w:tcW w:w="673" w:type="dxa"/>
            <w:tcBorders>
              <w:top w:val="nil"/>
              <w:left w:val="nil"/>
              <w:bottom w:val="nil"/>
              <w:right w:val="nil"/>
            </w:tcBorders>
            <w:shd w:val="clear" w:color="000000" w:fill="F5DADD"/>
            <w:noWrap/>
            <w:vAlign w:val="center"/>
            <w:hideMark/>
          </w:tcPr>
          <w:p w14:paraId="1F8BCC4E" w14:textId="2E3633EF" w:rsidR="00277F3A" w:rsidRPr="00D92E20" w:rsidRDefault="00277F3A" w:rsidP="00277F3A">
            <w:pPr>
              <w:spacing w:after="0" w:line="240" w:lineRule="auto"/>
              <w:jc w:val="right"/>
              <w:rPr>
                <w:rFonts w:cs="Arial"/>
                <w:sz w:val="16"/>
                <w:szCs w:val="16"/>
              </w:rPr>
            </w:pPr>
            <w:r>
              <w:rPr>
                <w:rFonts w:cs="Arial"/>
                <w:sz w:val="16"/>
                <w:szCs w:val="16"/>
              </w:rPr>
              <w:t>8,85</w:t>
            </w:r>
          </w:p>
        </w:tc>
        <w:tc>
          <w:tcPr>
            <w:tcW w:w="673" w:type="dxa"/>
            <w:tcBorders>
              <w:top w:val="nil"/>
              <w:left w:val="nil"/>
              <w:bottom w:val="nil"/>
              <w:right w:val="nil"/>
            </w:tcBorders>
            <w:shd w:val="clear" w:color="000000" w:fill="F5DADD"/>
            <w:noWrap/>
            <w:vAlign w:val="center"/>
            <w:hideMark/>
          </w:tcPr>
          <w:p w14:paraId="51299ED5" w14:textId="0ACCE065" w:rsidR="00277F3A" w:rsidRPr="00D92E20" w:rsidRDefault="00277F3A" w:rsidP="00277F3A">
            <w:pPr>
              <w:spacing w:after="0" w:line="240" w:lineRule="auto"/>
              <w:jc w:val="right"/>
              <w:rPr>
                <w:rFonts w:cs="Arial"/>
                <w:sz w:val="16"/>
                <w:szCs w:val="16"/>
              </w:rPr>
            </w:pPr>
            <w:r>
              <w:rPr>
                <w:rFonts w:cs="Arial"/>
                <w:sz w:val="16"/>
                <w:szCs w:val="16"/>
              </w:rPr>
              <w:t>9,68</w:t>
            </w:r>
          </w:p>
        </w:tc>
        <w:tc>
          <w:tcPr>
            <w:tcW w:w="673" w:type="dxa"/>
            <w:tcBorders>
              <w:top w:val="nil"/>
              <w:left w:val="nil"/>
              <w:bottom w:val="nil"/>
              <w:right w:val="nil"/>
            </w:tcBorders>
            <w:shd w:val="clear" w:color="000000" w:fill="F5DADD"/>
            <w:noWrap/>
            <w:vAlign w:val="center"/>
            <w:hideMark/>
          </w:tcPr>
          <w:p w14:paraId="44BF2AB2" w14:textId="733E1522" w:rsidR="00277F3A" w:rsidRPr="00D92E20" w:rsidRDefault="00277F3A" w:rsidP="00277F3A">
            <w:pPr>
              <w:spacing w:after="0" w:line="240" w:lineRule="auto"/>
              <w:jc w:val="right"/>
              <w:rPr>
                <w:rFonts w:cs="Arial"/>
                <w:sz w:val="16"/>
                <w:szCs w:val="16"/>
              </w:rPr>
            </w:pPr>
            <w:r>
              <w:rPr>
                <w:rFonts w:cs="Arial"/>
                <w:sz w:val="16"/>
                <w:szCs w:val="16"/>
              </w:rPr>
              <w:t>11,60</w:t>
            </w:r>
          </w:p>
        </w:tc>
        <w:tc>
          <w:tcPr>
            <w:tcW w:w="673" w:type="dxa"/>
            <w:tcBorders>
              <w:top w:val="nil"/>
              <w:left w:val="nil"/>
              <w:bottom w:val="nil"/>
              <w:right w:val="nil"/>
            </w:tcBorders>
            <w:shd w:val="clear" w:color="000000" w:fill="F5DADD"/>
            <w:noWrap/>
            <w:vAlign w:val="center"/>
            <w:hideMark/>
          </w:tcPr>
          <w:p w14:paraId="74D5B5EB" w14:textId="1BE35594" w:rsidR="00277F3A" w:rsidRPr="00D92E20" w:rsidRDefault="00277F3A" w:rsidP="00277F3A">
            <w:pPr>
              <w:spacing w:after="0" w:line="240" w:lineRule="auto"/>
              <w:jc w:val="right"/>
              <w:rPr>
                <w:rFonts w:cs="Arial"/>
                <w:color w:val="000000"/>
                <w:sz w:val="16"/>
                <w:szCs w:val="16"/>
              </w:rPr>
            </w:pPr>
            <w:r>
              <w:rPr>
                <w:rFonts w:cs="Arial"/>
                <w:sz w:val="16"/>
                <w:szCs w:val="16"/>
              </w:rPr>
              <w:t>13,78</w:t>
            </w:r>
          </w:p>
        </w:tc>
        <w:tc>
          <w:tcPr>
            <w:tcW w:w="673" w:type="dxa"/>
            <w:tcBorders>
              <w:top w:val="nil"/>
              <w:left w:val="nil"/>
              <w:bottom w:val="nil"/>
              <w:right w:val="nil"/>
            </w:tcBorders>
            <w:shd w:val="clear" w:color="000000" w:fill="F5DADD"/>
            <w:noWrap/>
            <w:vAlign w:val="center"/>
            <w:hideMark/>
          </w:tcPr>
          <w:p w14:paraId="45B0EE9C" w14:textId="4B77A9E9" w:rsidR="00277F3A" w:rsidRPr="00D92E20" w:rsidRDefault="00277F3A" w:rsidP="00277F3A">
            <w:pPr>
              <w:spacing w:after="0" w:line="240" w:lineRule="auto"/>
              <w:jc w:val="right"/>
              <w:rPr>
                <w:rFonts w:cs="Arial"/>
                <w:color w:val="000000"/>
                <w:sz w:val="16"/>
                <w:szCs w:val="16"/>
              </w:rPr>
            </w:pPr>
            <w:r>
              <w:rPr>
                <w:rFonts w:cs="Arial"/>
                <w:sz w:val="16"/>
                <w:szCs w:val="16"/>
              </w:rPr>
              <w:t>17,03</w:t>
            </w:r>
          </w:p>
        </w:tc>
        <w:tc>
          <w:tcPr>
            <w:tcW w:w="673" w:type="dxa"/>
            <w:tcBorders>
              <w:top w:val="nil"/>
              <w:left w:val="nil"/>
              <w:bottom w:val="nil"/>
              <w:right w:val="nil"/>
            </w:tcBorders>
            <w:shd w:val="clear" w:color="000000" w:fill="F5DADD"/>
            <w:noWrap/>
            <w:vAlign w:val="center"/>
            <w:hideMark/>
          </w:tcPr>
          <w:p w14:paraId="2FBEA26D" w14:textId="410E19F2" w:rsidR="00277F3A" w:rsidRPr="00D92E20" w:rsidRDefault="00277F3A" w:rsidP="00277F3A">
            <w:pPr>
              <w:spacing w:after="0" w:line="240" w:lineRule="auto"/>
              <w:jc w:val="right"/>
              <w:rPr>
                <w:rFonts w:cs="Arial"/>
                <w:color w:val="000000"/>
                <w:sz w:val="16"/>
                <w:szCs w:val="16"/>
              </w:rPr>
            </w:pPr>
            <w:r>
              <w:rPr>
                <w:rFonts w:cs="Arial"/>
                <w:sz w:val="16"/>
                <w:szCs w:val="16"/>
              </w:rPr>
              <w:t>18,39</w:t>
            </w:r>
          </w:p>
        </w:tc>
        <w:tc>
          <w:tcPr>
            <w:tcW w:w="673" w:type="dxa"/>
            <w:tcBorders>
              <w:top w:val="nil"/>
              <w:left w:val="nil"/>
              <w:bottom w:val="nil"/>
              <w:right w:val="nil"/>
            </w:tcBorders>
            <w:shd w:val="clear" w:color="000000" w:fill="F5DADD"/>
            <w:noWrap/>
            <w:vAlign w:val="center"/>
            <w:hideMark/>
          </w:tcPr>
          <w:p w14:paraId="3F69FB93" w14:textId="68B674B7" w:rsidR="00277F3A" w:rsidRPr="00D92E20" w:rsidRDefault="00277F3A" w:rsidP="00277F3A">
            <w:pPr>
              <w:spacing w:after="0" w:line="240" w:lineRule="auto"/>
              <w:jc w:val="right"/>
              <w:rPr>
                <w:rFonts w:cs="Arial"/>
                <w:color w:val="000000"/>
                <w:sz w:val="16"/>
                <w:szCs w:val="16"/>
              </w:rPr>
            </w:pPr>
            <w:r>
              <w:rPr>
                <w:rFonts w:cs="Arial"/>
                <w:sz w:val="16"/>
                <w:szCs w:val="16"/>
              </w:rPr>
              <w:t>17,65</w:t>
            </w:r>
          </w:p>
        </w:tc>
      </w:tr>
      <w:tr w:rsidR="00277F3A" w:rsidRPr="00D92E20" w14:paraId="70608900" w14:textId="77777777" w:rsidTr="009F0B87">
        <w:trPr>
          <w:trHeight w:val="300"/>
        </w:trPr>
        <w:tc>
          <w:tcPr>
            <w:tcW w:w="2333" w:type="dxa"/>
            <w:tcBorders>
              <w:top w:val="nil"/>
              <w:left w:val="nil"/>
              <w:bottom w:val="nil"/>
              <w:right w:val="single" w:sz="4" w:space="0" w:color="auto"/>
            </w:tcBorders>
            <w:shd w:val="clear" w:color="auto" w:fill="auto"/>
            <w:vAlign w:val="center"/>
            <w:hideMark/>
          </w:tcPr>
          <w:p w14:paraId="72BB2009" w14:textId="77777777" w:rsidR="00277F3A" w:rsidRPr="002B643E" w:rsidRDefault="00277F3A" w:rsidP="00277F3A">
            <w:pPr>
              <w:spacing w:after="0" w:line="240" w:lineRule="auto"/>
              <w:ind w:firstLineChars="100" w:firstLine="160"/>
              <w:rPr>
                <w:rFonts w:cs="Arial"/>
                <w:sz w:val="16"/>
                <w:szCs w:val="16"/>
              </w:rPr>
            </w:pPr>
            <w:r w:rsidRPr="002B643E">
              <w:rPr>
                <w:rFonts w:cs="Arial"/>
                <w:sz w:val="16"/>
                <w:szCs w:val="16"/>
              </w:rPr>
              <w:t>ošetřovné</w:t>
            </w:r>
          </w:p>
        </w:tc>
        <w:tc>
          <w:tcPr>
            <w:tcW w:w="673" w:type="dxa"/>
            <w:tcBorders>
              <w:top w:val="nil"/>
              <w:left w:val="nil"/>
              <w:bottom w:val="nil"/>
              <w:right w:val="nil"/>
            </w:tcBorders>
            <w:shd w:val="clear" w:color="auto" w:fill="auto"/>
            <w:noWrap/>
            <w:vAlign w:val="center"/>
            <w:hideMark/>
          </w:tcPr>
          <w:p w14:paraId="0FC8F547" w14:textId="6E36AD17" w:rsidR="00277F3A" w:rsidRPr="00D92E20" w:rsidRDefault="00277F3A" w:rsidP="00277F3A">
            <w:pPr>
              <w:spacing w:after="0" w:line="240" w:lineRule="auto"/>
              <w:jc w:val="right"/>
              <w:rPr>
                <w:rFonts w:cs="Arial"/>
                <w:b/>
                <w:sz w:val="16"/>
                <w:szCs w:val="16"/>
              </w:rPr>
            </w:pPr>
            <w:r>
              <w:rPr>
                <w:rFonts w:cs="Arial"/>
                <w:sz w:val="16"/>
                <w:szCs w:val="16"/>
              </w:rPr>
              <w:t>0,41</w:t>
            </w:r>
          </w:p>
        </w:tc>
        <w:tc>
          <w:tcPr>
            <w:tcW w:w="673" w:type="dxa"/>
            <w:tcBorders>
              <w:top w:val="nil"/>
              <w:left w:val="nil"/>
              <w:bottom w:val="nil"/>
              <w:right w:val="nil"/>
            </w:tcBorders>
            <w:shd w:val="clear" w:color="auto" w:fill="auto"/>
            <w:noWrap/>
            <w:vAlign w:val="center"/>
            <w:hideMark/>
          </w:tcPr>
          <w:p w14:paraId="2B766FF3" w14:textId="599A8B1C" w:rsidR="00277F3A" w:rsidRPr="00D92E20" w:rsidRDefault="00277F3A" w:rsidP="00277F3A">
            <w:pPr>
              <w:spacing w:after="0" w:line="240" w:lineRule="auto"/>
              <w:jc w:val="right"/>
              <w:rPr>
                <w:rFonts w:cs="Arial"/>
                <w:b/>
                <w:sz w:val="16"/>
                <w:szCs w:val="16"/>
              </w:rPr>
            </w:pPr>
            <w:r>
              <w:rPr>
                <w:rFonts w:cs="Arial"/>
                <w:sz w:val="16"/>
                <w:szCs w:val="16"/>
              </w:rPr>
              <w:t>0,50</w:t>
            </w:r>
          </w:p>
        </w:tc>
        <w:tc>
          <w:tcPr>
            <w:tcW w:w="673" w:type="dxa"/>
            <w:tcBorders>
              <w:top w:val="nil"/>
              <w:left w:val="nil"/>
              <w:bottom w:val="nil"/>
              <w:right w:val="nil"/>
            </w:tcBorders>
            <w:shd w:val="clear" w:color="auto" w:fill="auto"/>
            <w:noWrap/>
            <w:vAlign w:val="center"/>
            <w:hideMark/>
          </w:tcPr>
          <w:p w14:paraId="79B177DE" w14:textId="22C2C3D2" w:rsidR="00277F3A" w:rsidRPr="00D92E20" w:rsidRDefault="00277F3A" w:rsidP="00277F3A">
            <w:pPr>
              <w:spacing w:after="0" w:line="240" w:lineRule="auto"/>
              <w:jc w:val="right"/>
              <w:rPr>
                <w:rFonts w:cs="Arial"/>
                <w:b/>
                <w:sz w:val="16"/>
                <w:szCs w:val="16"/>
              </w:rPr>
            </w:pPr>
            <w:r>
              <w:rPr>
                <w:rFonts w:cs="Arial"/>
                <w:sz w:val="16"/>
                <w:szCs w:val="16"/>
              </w:rPr>
              <w:t>0,46</w:t>
            </w:r>
          </w:p>
        </w:tc>
        <w:tc>
          <w:tcPr>
            <w:tcW w:w="673" w:type="dxa"/>
            <w:tcBorders>
              <w:top w:val="nil"/>
              <w:left w:val="nil"/>
              <w:bottom w:val="nil"/>
              <w:right w:val="nil"/>
            </w:tcBorders>
            <w:shd w:val="clear" w:color="auto" w:fill="auto"/>
            <w:noWrap/>
            <w:vAlign w:val="center"/>
            <w:hideMark/>
          </w:tcPr>
          <w:p w14:paraId="28508180" w14:textId="1D17ACBF" w:rsidR="00277F3A" w:rsidRPr="00D92E20" w:rsidRDefault="00277F3A" w:rsidP="00277F3A">
            <w:pPr>
              <w:spacing w:after="0" w:line="240" w:lineRule="auto"/>
              <w:jc w:val="right"/>
              <w:rPr>
                <w:rFonts w:cs="Arial"/>
                <w:b/>
                <w:sz w:val="16"/>
                <w:szCs w:val="16"/>
              </w:rPr>
            </w:pPr>
            <w:r>
              <w:rPr>
                <w:rFonts w:cs="Arial"/>
                <w:sz w:val="16"/>
                <w:szCs w:val="16"/>
              </w:rPr>
              <w:t>0,63</w:t>
            </w:r>
          </w:p>
        </w:tc>
        <w:tc>
          <w:tcPr>
            <w:tcW w:w="673" w:type="dxa"/>
            <w:tcBorders>
              <w:top w:val="nil"/>
              <w:left w:val="nil"/>
              <w:bottom w:val="nil"/>
              <w:right w:val="nil"/>
            </w:tcBorders>
            <w:shd w:val="clear" w:color="auto" w:fill="auto"/>
            <w:noWrap/>
            <w:vAlign w:val="center"/>
            <w:hideMark/>
          </w:tcPr>
          <w:p w14:paraId="3384DD19" w14:textId="40B268AC" w:rsidR="00277F3A" w:rsidRPr="00D92E20" w:rsidRDefault="00277F3A" w:rsidP="00277F3A">
            <w:pPr>
              <w:spacing w:after="0" w:line="240" w:lineRule="auto"/>
              <w:jc w:val="right"/>
              <w:rPr>
                <w:rFonts w:cs="Arial"/>
                <w:b/>
                <w:sz w:val="16"/>
                <w:szCs w:val="16"/>
              </w:rPr>
            </w:pPr>
            <w:r>
              <w:rPr>
                <w:rFonts w:cs="Arial"/>
                <w:sz w:val="16"/>
                <w:szCs w:val="16"/>
              </w:rPr>
              <w:t>0,71</w:t>
            </w:r>
          </w:p>
        </w:tc>
        <w:tc>
          <w:tcPr>
            <w:tcW w:w="673" w:type="dxa"/>
            <w:tcBorders>
              <w:top w:val="nil"/>
              <w:left w:val="nil"/>
              <w:bottom w:val="nil"/>
              <w:right w:val="nil"/>
            </w:tcBorders>
            <w:shd w:val="clear" w:color="auto" w:fill="auto"/>
            <w:noWrap/>
            <w:vAlign w:val="center"/>
            <w:hideMark/>
          </w:tcPr>
          <w:p w14:paraId="0B22DA82" w14:textId="502459A8" w:rsidR="00277F3A" w:rsidRPr="00D92E20" w:rsidRDefault="00277F3A" w:rsidP="00277F3A">
            <w:pPr>
              <w:spacing w:after="0" w:line="240" w:lineRule="auto"/>
              <w:jc w:val="right"/>
              <w:rPr>
                <w:rFonts w:cs="Arial"/>
                <w:b/>
                <w:sz w:val="16"/>
                <w:szCs w:val="16"/>
              </w:rPr>
            </w:pPr>
            <w:r>
              <w:rPr>
                <w:rFonts w:cs="Arial"/>
                <w:sz w:val="16"/>
                <w:szCs w:val="16"/>
              </w:rPr>
              <w:t>0,84</w:t>
            </w:r>
          </w:p>
        </w:tc>
        <w:tc>
          <w:tcPr>
            <w:tcW w:w="673" w:type="dxa"/>
            <w:tcBorders>
              <w:top w:val="nil"/>
              <w:left w:val="nil"/>
              <w:bottom w:val="nil"/>
              <w:right w:val="nil"/>
            </w:tcBorders>
            <w:shd w:val="clear" w:color="auto" w:fill="auto"/>
            <w:noWrap/>
            <w:vAlign w:val="center"/>
            <w:hideMark/>
          </w:tcPr>
          <w:p w14:paraId="53255935" w14:textId="495A4691" w:rsidR="00277F3A" w:rsidRPr="00D92E20" w:rsidRDefault="00277F3A" w:rsidP="00277F3A">
            <w:pPr>
              <w:spacing w:after="0" w:line="240" w:lineRule="auto"/>
              <w:jc w:val="right"/>
              <w:rPr>
                <w:rFonts w:cs="Arial"/>
                <w:b/>
                <w:sz w:val="16"/>
                <w:szCs w:val="16"/>
              </w:rPr>
            </w:pPr>
            <w:r>
              <w:rPr>
                <w:rFonts w:cs="Arial"/>
                <w:sz w:val="16"/>
                <w:szCs w:val="16"/>
              </w:rPr>
              <w:t>0,99</w:t>
            </w:r>
          </w:p>
        </w:tc>
        <w:tc>
          <w:tcPr>
            <w:tcW w:w="673" w:type="dxa"/>
            <w:tcBorders>
              <w:top w:val="nil"/>
              <w:left w:val="nil"/>
              <w:bottom w:val="nil"/>
              <w:right w:val="nil"/>
            </w:tcBorders>
            <w:shd w:val="clear" w:color="auto" w:fill="auto"/>
            <w:noWrap/>
            <w:vAlign w:val="center"/>
            <w:hideMark/>
          </w:tcPr>
          <w:p w14:paraId="5ADC37FE" w14:textId="11202927" w:rsidR="00277F3A" w:rsidRPr="00D92E20" w:rsidRDefault="00277F3A" w:rsidP="00277F3A">
            <w:pPr>
              <w:spacing w:after="0" w:line="240" w:lineRule="auto"/>
              <w:jc w:val="right"/>
              <w:rPr>
                <w:rFonts w:cs="Arial"/>
                <w:b/>
                <w:sz w:val="16"/>
                <w:szCs w:val="16"/>
              </w:rPr>
            </w:pPr>
            <w:r>
              <w:rPr>
                <w:rFonts w:cs="Arial"/>
                <w:sz w:val="16"/>
                <w:szCs w:val="16"/>
              </w:rPr>
              <w:t>1,02</w:t>
            </w:r>
          </w:p>
        </w:tc>
        <w:tc>
          <w:tcPr>
            <w:tcW w:w="673" w:type="dxa"/>
            <w:tcBorders>
              <w:top w:val="nil"/>
              <w:left w:val="nil"/>
              <w:bottom w:val="nil"/>
              <w:right w:val="nil"/>
            </w:tcBorders>
            <w:shd w:val="clear" w:color="auto" w:fill="auto"/>
            <w:noWrap/>
            <w:vAlign w:val="center"/>
            <w:hideMark/>
          </w:tcPr>
          <w:p w14:paraId="4D5D0123" w14:textId="7AAFC899" w:rsidR="00277F3A" w:rsidRPr="00D92E20" w:rsidRDefault="00277F3A" w:rsidP="00277F3A">
            <w:pPr>
              <w:spacing w:after="0" w:line="240" w:lineRule="auto"/>
              <w:jc w:val="right"/>
              <w:rPr>
                <w:rFonts w:cs="Arial"/>
                <w:b/>
                <w:sz w:val="16"/>
                <w:szCs w:val="16"/>
              </w:rPr>
            </w:pPr>
            <w:r>
              <w:rPr>
                <w:rFonts w:cs="Arial"/>
                <w:sz w:val="16"/>
                <w:szCs w:val="16"/>
              </w:rPr>
              <w:t>7,68</w:t>
            </w:r>
          </w:p>
        </w:tc>
        <w:tc>
          <w:tcPr>
            <w:tcW w:w="673" w:type="dxa"/>
            <w:tcBorders>
              <w:top w:val="nil"/>
              <w:left w:val="nil"/>
              <w:bottom w:val="nil"/>
              <w:right w:val="nil"/>
            </w:tcBorders>
            <w:shd w:val="clear" w:color="auto" w:fill="auto"/>
            <w:noWrap/>
            <w:vAlign w:val="center"/>
            <w:hideMark/>
          </w:tcPr>
          <w:p w14:paraId="04016AD8" w14:textId="203464A2" w:rsidR="00277F3A" w:rsidRPr="00D92E20" w:rsidRDefault="00277F3A" w:rsidP="00277F3A">
            <w:pPr>
              <w:spacing w:after="0" w:line="240" w:lineRule="auto"/>
              <w:jc w:val="right"/>
              <w:rPr>
                <w:rFonts w:cs="Arial"/>
                <w:b/>
                <w:sz w:val="16"/>
                <w:szCs w:val="16"/>
              </w:rPr>
            </w:pPr>
            <w:r>
              <w:rPr>
                <w:rFonts w:cs="Arial"/>
                <w:sz w:val="16"/>
                <w:szCs w:val="16"/>
              </w:rPr>
              <w:t>4,47</w:t>
            </w:r>
          </w:p>
        </w:tc>
        <w:tc>
          <w:tcPr>
            <w:tcW w:w="673" w:type="dxa"/>
            <w:tcBorders>
              <w:top w:val="nil"/>
              <w:left w:val="nil"/>
              <w:bottom w:val="nil"/>
              <w:right w:val="nil"/>
            </w:tcBorders>
            <w:shd w:val="clear" w:color="auto" w:fill="auto"/>
            <w:noWrap/>
            <w:vAlign w:val="center"/>
            <w:hideMark/>
          </w:tcPr>
          <w:p w14:paraId="456C8CC0" w14:textId="0866D502" w:rsidR="00277F3A" w:rsidRPr="00D92E20" w:rsidRDefault="00277F3A" w:rsidP="00277F3A">
            <w:pPr>
              <w:spacing w:after="0" w:line="240" w:lineRule="auto"/>
              <w:jc w:val="right"/>
              <w:rPr>
                <w:rFonts w:cs="Arial"/>
                <w:b/>
                <w:sz w:val="16"/>
                <w:szCs w:val="16"/>
              </w:rPr>
            </w:pPr>
            <w:r>
              <w:rPr>
                <w:rFonts w:cs="Arial"/>
                <w:sz w:val="16"/>
                <w:szCs w:val="16"/>
              </w:rPr>
              <w:t>1,81</w:t>
            </w:r>
          </w:p>
        </w:tc>
      </w:tr>
      <w:tr w:rsidR="00277F3A" w:rsidRPr="00D92E20" w14:paraId="72559DC3" w14:textId="77777777" w:rsidTr="000974A8">
        <w:trPr>
          <w:trHeight w:val="300"/>
        </w:trPr>
        <w:tc>
          <w:tcPr>
            <w:tcW w:w="2333" w:type="dxa"/>
            <w:tcBorders>
              <w:top w:val="nil"/>
              <w:left w:val="nil"/>
              <w:bottom w:val="nil"/>
              <w:right w:val="single" w:sz="4" w:space="0" w:color="auto"/>
            </w:tcBorders>
            <w:shd w:val="clear" w:color="auto" w:fill="auto"/>
            <w:vAlign w:val="center"/>
            <w:hideMark/>
          </w:tcPr>
          <w:p w14:paraId="10B91BF0" w14:textId="3A899D3C" w:rsidR="00277F3A" w:rsidRPr="00D92E20" w:rsidRDefault="00277F3A" w:rsidP="00277F3A">
            <w:pPr>
              <w:spacing w:after="0" w:line="240" w:lineRule="auto"/>
              <w:ind w:firstLineChars="100" w:firstLine="160"/>
              <w:rPr>
                <w:rFonts w:cs="Arial"/>
                <w:sz w:val="16"/>
                <w:szCs w:val="16"/>
              </w:rPr>
            </w:pPr>
            <w:r w:rsidRPr="00D92E20">
              <w:rPr>
                <w:rFonts w:cs="Arial"/>
                <w:sz w:val="16"/>
                <w:szCs w:val="16"/>
              </w:rPr>
              <w:t>peněžitá pomoc v mateřství</w:t>
            </w:r>
          </w:p>
        </w:tc>
        <w:tc>
          <w:tcPr>
            <w:tcW w:w="673" w:type="dxa"/>
            <w:tcBorders>
              <w:top w:val="nil"/>
              <w:left w:val="nil"/>
              <w:bottom w:val="nil"/>
              <w:right w:val="nil"/>
            </w:tcBorders>
            <w:shd w:val="clear" w:color="auto" w:fill="auto"/>
            <w:noWrap/>
            <w:vAlign w:val="center"/>
            <w:hideMark/>
          </w:tcPr>
          <w:p w14:paraId="287191B8" w14:textId="4DDFA1A3" w:rsidR="00277F3A" w:rsidRPr="00D92E20" w:rsidRDefault="00277F3A" w:rsidP="00277F3A">
            <w:pPr>
              <w:spacing w:after="0" w:line="240" w:lineRule="auto"/>
              <w:jc w:val="right"/>
              <w:rPr>
                <w:rFonts w:cs="Arial"/>
                <w:sz w:val="16"/>
                <w:szCs w:val="16"/>
              </w:rPr>
            </w:pPr>
            <w:r>
              <w:rPr>
                <w:rFonts w:cs="Arial"/>
                <w:sz w:val="16"/>
                <w:szCs w:val="16"/>
              </w:rPr>
              <w:t>3,51</w:t>
            </w:r>
          </w:p>
        </w:tc>
        <w:tc>
          <w:tcPr>
            <w:tcW w:w="673" w:type="dxa"/>
            <w:tcBorders>
              <w:top w:val="nil"/>
              <w:left w:val="nil"/>
              <w:bottom w:val="nil"/>
              <w:right w:val="nil"/>
            </w:tcBorders>
            <w:shd w:val="clear" w:color="auto" w:fill="auto"/>
            <w:noWrap/>
            <w:vAlign w:val="center"/>
            <w:hideMark/>
          </w:tcPr>
          <w:p w14:paraId="27EFF6EB" w14:textId="5E4296FF" w:rsidR="00277F3A" w:rsidRPr="00D92E20" w:rsidRDefault="00277F3A" w:rsidP="00277F3A">
            <w:pPr>
              <w:spacing w:after="0" w:line="240" w:lineRule="auto"/>
              <w:jc w:val="right"/>
              <w:rPr>
                <w:rFonts w:cs="Arial"/>
                <w:sz w:val="16"/>
                <w:szCs w:val="16"/>
              </w:rPr>
            </w:pPr>
            <w:r>
              <w:rPr>
                <w:rFonts w:cs="Arial"/>
                <w:sz w:val="16"/>
                <w:szCs w:val="16"/>
              </w:rPr>
              <w:t>3,55</w:t>
            </w:r>
          </w:p>
        </w:tc>
        <w:tc>
          <w:tcPr>
            <w:tcW w:w="673" w:type="dxa"/>
            <w:tcBorders>
              <w:top w:val="nil"/>
              <w:left w:val="nil"/>
              <w:bottom w:val="nil"/>
              <w:right w:val="nil"/>
            </w:tcBorders>
            <w:shd w:val="clear" w:color="auto" w:fill="auto"/>
            <w:noWrap/>
            <w:vAlign w:val="center"/>
            <w:hideMark/>
          </w:tcPr>
          <w:p w14:paraId="3BE05C41" w14:textId="2930CC0B" w:rsidR="00277F3A" w:rsidRPr="00D92E20" w:rsidRDefault="00277F3A" w:rsidP="00277F3A">
            <w:pPr>
              <w:spacing w:after="0" w:line="240" w:lineRule="auto"/>
              <w:jc w:val="right"/>
              <w:rPr>
                <w:rFonts w:cs="Arial"/>
                <w:sz w:val="16"/>
                <w:szCs w:val="16"/>
              </w:rPr>
            </w:pPr>
            <w:r>
              <w:rPr>
                <w:rFonts w:cs="Arial"/>
                <w:sz w:val="16"/>
                <w:szCs w:val="16"/>
              </w:rPr>
              <w:t>3,53</w:t>
            </w:r>
          </w:p>
        </w:tc>
        <w:tc>
          <w:tcPr>
            <w:tcW w:w="673" w:type="dxa"/>
            <w:tcBorders>
              <w:top w:val="nil"/>
              <w:left w:val="nil"/>
              <w:bottom w:val="nil"/>
              <w:right w:val="nil"/>
            </w:tcBorders>
            <w:shd w:val="clear" w:color="auto" w:fill="auto"/>
            <w:noWrap/>
            <w:vAlign w:val="center"/>
            <w:hideMark/>
          </w:tcPr>
          <w:p w14:paraId="293FFD03" w14:textId="232F6C5B" w:rsidR="00277F3A" w:rsidRPr="00D92E20" w:rsidRDefault="00277F3A" w:rsidP="00277F3A">
            <w:pPr>
              <w:spacing w:after="0" w:line="240" w:lineRule="auto"/>
              <w:jc w:val="right"/>
              <w:rPr>
                <w:rFonts w:cs="Arial"/>
                <w:sz w:val="16"/>
                <w:szCs w:val="16"/>
              </w:rPr>
            </w:pPr>
            <w:r>
              <w:rPr>
                <w:rFonts w:cs="Arial"/>
                <w:sz w:val="16"/>
                <w:szCs w:val="16"/>
              </w:rPr>
              <w:t>3,66</w:t>
            </w:r>
          </w:p>
        </w:tc>
        <w:tc>
          <w:tcPr>
            <w:tcW w:w="673" w:type="dxa"/>
            <w:tcBorders>
              <w:top w:val="nil"/>
              <w:left w:val="nil"/>
              <w:bottom w:val="nil"/>
              <w:right w:val="nil"/>
            </w:tcBorders>
            <w:shd w:val="clear" w:color="auto" w:fill="auto"/>
            <w:noWrap/>
            <w:vAlign w:val="center"/>
            <w:hideMark/>
          </w:tcPr>
          <w:p w14:paraId="16DA15F0" w14:textId="14151BF2" w:rsidR="00277F3A" w:rsidRPr="00D92E20" w:rsidRDefault="00277F3A" w:rsidP="00277F3A">
            <w:pPr>
              <w:spacing w:after="0" w:line="240" w:lineRule="auto"/>
              <w:jc w:val="right"/>
              <w:rPr>
                <w:rFonts w:cs="Arial"/>
                <w:sz w:val="16"/>
                <w:szCs w:val="16"/>
              </w:rPr>
            </w:pPr>
            <w:r>
              <w:rPr>
                <w:rFonts w:cs="Arial"/>
                <w:sz w:val="16"/>
                <w:szCs w:val="16"/>
              </w:rPr>
              <w:t>3,90</w:t>
            </w:r>
          </w:p>
        </w:tc>
        <w:tc>
          <w:tcPr>
            <w:tcW w:w="673" w:type="dxa"/>
            <w:tcBorders>
              <w:top w:val="nil"/>
              <w:left w:val="nil"/>
              <w:bottom w:val="nil"/>
              <w:right w:val="nil"/>
            </w:tcBorders>
            <w:shd w:val="clear" w:color="auto" w:fill="auto"/>
            <w:noWrap/>
            <w:vAlign w:val="center"/>
            <w:hideMark/>
          </w:tcPr>
          <w:p w14:paraId="4788545B" w14:textId="3DAC4C09" w:rsidR="00277F3A" w:rsidRPr="00D92E20" w:rsidRDefault="00277F3A" w:rsidP="00277F3A">
            <w:pPr>
              <w:spacing w:after="0" w:line="240" w:lineRule="auto"/>
              <w:jc w:val="right"/>
              <w:rPr>
                <w:rFonts w:cs="Arial"/>
                <w:sz w:val="16"/>
                <w:szCs w:val="16"/>
              </w:rPr>
            </w:pPr>
            <w:r>
              <w:rPr>
                <w:rFonts w:cs="Arial"/>
                <w:sz w:val="16"/>
                <w:szCs w:val="16"/>
              </w:rPr>
              <w:t>4,11</w:t>
            </w:r>
          </w:p>
        </w:tc>
        <w:tc>
          <w:tcPr>
            <w:tcW w:w="673" w:type="dxa"/>
            <w:tcBorders>
              <w:top w:val="nil"/>
              <w:left w:val="nil"/>
              <w:bottom w:val="nil"/>
              <w:right w:val="nil"/>
            </w:tcBorders>
            <w:shd w:val="clear" w:color="auto" w:fill="auto"/>
            <w:noWrap/>
            <w:vAlign w:val="center"/>
            <w:hideMark/>
          </w:tcPr>
          <w:p w14:paraId="5418FB6D" w14:textId="60F56269" w:rsidR="00277F3A" w:rsidRPr="00D92E20" w:rsidRDefault="00277F3A" w:rsidP="00277F3A">
            <w:pPr>
              <w:spacing w:after="0" w:line="240" w:lineRule="auto"/>
              <w:jc w:val="right"/>
              <w:rPr>
                <w:rFonts w:cs="Arial"/>
                <w:sz w:val="16"/>
                <w:szCs w:val="16"/>
              </w:rPr>
            </w:pPr>
            <w:r>
              <w:rPr>
                <w:rFonts w:cs="Arial"/>
                <w:sz w:val="16"/>
                <w:szCs w:val="16"/>
              </w:rPr>
              <w:t>4,49</w:t>
            </w:r>
          </w:p>
        </w:tc>
        <w:tc>
          <w:tcPr>
            <w:tcW w:w="673" w:type="dxa"/>
            <w:tcBorders>
              <w:top w:val="nil"/>
              <w:left w:val="nil"/>
              <w:bottom w:val="nil"/>
              <w:right w:val="nil"/>
            </w:tcBorders>
            <w:shd w:val="clear" w:color="auto" w:fill="auto"/>
            <w:noWrap/>
            <w:vAlign w:val="center"/>
            <w:hideMark/>
          </w:tcPr>
          <w:p w14:paraId="5D7272AA" w14:textId="1ACDA730" w:rsidR="00277F3A" w:rsidRPr="00D92E20" w:rsidRDefault="00277F3A" w:rsidP="00277F3A">
            <w:pPr>
              <w:spacing w:after="0" w:line="240" w:lineRule="auto"/>
              <w:jc w:val="right"/>
              <w:rPr>
                <w:rFonts w:cs="Arial"/>
                <w:color w:val="000000"/>
                <w:sz w:val="16"/>
                <w:szCs w:val="16"/>
              </w:rPr>
            </w:pPr>
            <w:r>
              <w:rPr>
                <w:rFonts w:cs="Arial"/>
                <w:sz w:val="16"/>
                <w:szCs w:val="16"/>
              </w:rPr>
              <w:t>4,83</w:t>
            </w:r>
          </w:p>
        </w:tc>
        <w:tc>
          <w:tcPr>
            <w:tcW w:w="673" w:type="dxa"/>
            <w:tcBorders>
              <w:top w:val="nil"/>
              <w:left w:val="nil"/>
              <w:bottom w:val="nil"/>
              <w:right w:val="nil"/>
            </w:tcBorders>
            <w:shd w:val="clear" w:color="auto" w:fill="auto"/>
            <w:noWrap/>
            <w:vAlign w:val="center"/>
            <w:hideMark/>
          </w:tcPr>
          <w:p w14:paraId="0AA5DD72" w14:textId="5EC28D25" w:rsidR="00277F3A" w:rsidRPr="00D92E20" w:rsidRDefault="00277F3A" w:rsidP="00277F3A">
            <w:pPr>
              <w:spacing w:after="0" w:line="240" w:lineRule="auto"/>
              <w:jc w:val="right"/>
              <w:rPr>
                <w:rFonts w:cs="Arial"/>
                <w:color w:val="000000"/>
                <w:sz w:val="16"/>
                <w:szCs w:val="16"/>
              </w:rPr>
            </w:pPr>
            <w:r>
              <w:rPr>
                <w:rFonts w:cs="Arial"/>
                <w:sz w:val="16"/>
                <w:szCs w:val="16"/>
              </w:rPr>
              <w:t>5,09</w:t>
            </w:r>
          </w:p>
        </w:tc>
        <w:tc>
          <w:tcPr>
            <w:tcW w:w="673" w:type="dxa"/>
            <w:tcBorders>
              <w:top w:val="nil"/>
              <w:left w:val="nil"/>
              <w:bottom w:val="nil"/>
              <w:right w:val="nil"/>
            </w:tcBorders>
            <w:shd w:val="clear" w:color="auto" w:fill="auto"/>
            <w:noWrap/>
            <w:vAlign w:val="center"/>
            <w:hideMark/>
          </w:tcPr>
          <w:p w14:paraId="182D114B" w14:textId="6708888D" w:rsidR="00277F3A" w:rsidRPr="00D92E20" w:rsidRDefault="00277F3A" w:rsidP="00277F3A">
            <w:pPr>
              <w:spacing w:after="0" w:line="240" w:lineRule="auto"/>
              <w:jc w:val="right"/>
              <w:rPr>
                <w:rFonts w:cs="Arial"/>
                <w:color w:val="000000"/>
                <w:sz w:val="16"/>
                <w:szCs w:val="16"/>
              </w:rPr>
            </w:pPr>
            <w:r>
              <w:rPr>
                <w:rFonts w:cs="Arial"/>
                <w:sz w:val="16"/>
                <w:szCs w:val="16"/>
              </w:rPr>
              <w:t>5,42</w:t>
            </w:r>
          </w:p>
        </w:tc>
        <w:tc>
          <w:tcPr>
            <w:tcW w:w="673" w:type="dxa"/>
            <w:tcBorders>
              <w:top w:val="nil"/>
              <w:left w:val="nil"/>
              <w:bottom w:val="nil"/>
              <w:right w:val="nil"/>
            </w:tcBorders>
            <w:shd w:val="clear" w:color="auto" w:fill="auto"/>
            <w:noWrap/>
            <w:vAlign w:val="center"/>
            <w:hideMark/>
          </w:tcPr>
          <w:p w14:paraId="13FD2A8A" w14:textId="2F114877" w:rsidR="00277F3A" w:rsidRPr="00D92E20" w:rsidRDefault="00277F3A" w:rsidP="00277F3A">
            <w:pPr>
              <w:spacing w:after="0" w:line="240" w:lineRule="auto"/>
              <w:jc w:val="right"/>
              <w:rPr>
                <w:rFonts w:cs="Arial"/>
                <w:color w:val="000000"/>
                <w:sz w:val="16"/>
                <w:szCs w:val="16"/>
              </w:rPr>
            </w:pPr>
            <w:r>
              <w:rPr>
                <w:rFonts w:cs="Arial"/>
                <w:sz w:val="16"/>
                <w:szCs w:val="16"/>
              </w:rPr>
              <w:t>5,55</w:t>
            </w:r>
          </w:p>
        </w:tc>
      </w:tr>
      <w:tr w:rsidR="00277F3A" w:rsidRPr="00D92E20" w14:paraId="1FC8DBA1" w14:textId="77777777" w:rsidTr="009F0B87">
        <w:trPr>
          <w:trHeight w:val="480"/>
        </w:trPr>
        <w:tc>
          <w:tcPr>
            <w:tcW w:w="2333" w:type="dxa"/>
            <w:tcBorders>
              <w:top w:val="nil"/>
              <w:left w:val="nil"/>
              <w:bottom w:val="nil"/>
              <w:right w:val="single" w:sz="4" w:space="0" w:color="auto"/>
            </w:tcBorders>
            <w:shd w:val="clear" w:color="auto" w:fill="auto"/>
            <w:vAlign w:val="center"/>
            <w:hideMark/>
          </w:tcPr>
          <w:p w14:paraId="5992336E" w14:textId="77777777" w:rsidR="00277F3A" w:rsidRPr="00D92E20" w:rsidRDefault="00277F3A" w:rsidP="00277F3A">
            <w:pPr>
              <w:spacing w:after="0" w:line="240" w:lineRule="auto"/>
              <w:ind w:firstLineChars="100" w:firstLine="160"/>
              <w:rPr>
                <w:rFonts w:cs="Arial"/>
                <w:sz w:val="16"/>
                <w:szCs w:val="16"/>
              </w:rPr>
            </w:pPr>
            <w:r w:rsidRPr="00D92E20">
              <w:rPr>
                <w:rFonts w:cs="Arial"/>
                <w:sz w:val="16"/>
                <w:szCs w:val="16"/>
              </w:rPr>
              <w:t xml:space="preserve">vyrovnávací příspěvek </w:t>
            </w:r>
            <w:r w:rsidRPr="00D92E20">
              <w:rPr>
                <w:rFonts w:cs="Arial"/>
                <w:sz w:val="16"/>
                <w:szCs w:val="16"/>
              </w:rPr>
              <w:br/>
              <w:t xml:space="preserve">    v těhotenství a mateřství</w:t>
            </w:r>
          </w:p>
        </w:tc>
        <w:tc>
          <w:tcPr>
            <w:tcW w:w="673" w:type="dxa"/>
            <w:tcBorders>
              <w:top w:val="nil"/>
              <w:left w:val="nil"/>
              <w:bottom w:val="nil"/>
              <w:right w:val="nil"/>
            </w:tcBorders>
            <w:shd w:val="clear" w:color="auto" w:fill="auto"/>
            <w:noWrap/>
            <w:vAlign w:val="center"/>
            <w:hideMark/>
          </w:tcPr>
          <w:p w14:paraId="58CBEAE3" w14:textId="6E7EC686" w:rsidR="00277F3A" w:rsidRPr="00D92E20" w:rsidRDefault="00277F3A" w:rsidP="00277F3A">
            <w:pPr>
              <w:spacing w:after="0" w:line="240" w:lineRule="auto"/>
              <w:jc w:val="right"/>
              <w:rPr>
                <w:rFonts w:cs="Arial"/>
                <w:sz w:val="16"/>
                <w:szCs w:val="16"/>
              </w:rPr>
            </w:pPr>
            <w:r>
              <w:rPr>
                <w:rFonts w:cs="Arial"/>
                <w:sz w:val="16"/>
                <w:szCs w:val="16"/>
              </w:rPr>
              <w:t>0,003</w:t>
            </w:r>
          </w:p>
        </w:tc>
        <w:tc>
          <w:tcPr>
            <w:tcW w:w="673" w:type="dxa"/>
            <w:tcBorders>
              <w:top w:val="nil"/>
              <w:left w:val="nil"/>
              <w:bottom w:val="nil"/>
              <w:right w:val="nil"/>
            </w:tcBorders>
            <w:shd w:val="clear" w:color="auto" w:fill="auto"/>
            <w:noWrap/>
            <w:vAlign w:val="center"/>
            <w:hideMark/>
          </w:tcPr>
          <w:p w14:paraId="21FEDDD5" w14:textId="70D74162" w:rsidR="00277F3A" w:rsidRPr="00D92E20" w:rsidRDefault="00277F3A" w:rsidP="00277F3A">
            <w:pPr>
              <w:spacing w:after="0" w:line="240" w:lineRule="auto"/>
              <w:jc w:val="right"/>
              <w:rPr>
                <w:rFonts w:cs="Arial"/>
                <w:sz w:val="16"/>
                <w:szCs w:val="16"/>
              </w:rPr>
            </w:pPr>
            <w:r>
              <w:rPr>
                <w:rFonts w:cs="Arial"/>
                <w:sz w:val="16"/>
                <w:szCs w:val="16"/>
              </w:rPr>
              <w:t>0,003</w:t>
            </w:r>
          </w:p>
        </w:tc>
        <w:tc>
          <w:tcPr>
            <w:tcW w:w="673" w:type="dxa"/>
            <w:tcBorders>
              <w:top w:val="nil"/>
              <w:left w:val="nil"/>
              <w:bottom w:val="nil"/>
              <w:right w:val="nil"/>
            </w:tcBorders>
            <w:shd w:val="clear" w:color="auto" w:fill="auto"/>
            <w:noWrap/>
            <w:vAlign w:val="center"/>
            <w:hideMark/>
          </w:tcPr>
          <w:p w14:paraId="49910646" w14:textId="11983F01" w:rsidR="00277F3A" w:rsidRPr="00D92E20" w:rsidRDefault="00277F3A" w:rsidP="00277F3A">
            <w:pPr>
              <w:spacing w:after="0" w:line="240" w:lineRule="auto"/>
              <w:jc w:val="right"/>
              <w:rPr>
                <w:rFonts w:cs="Arial"/>
                <w:sz w:val="16"/>
                <w:szCs w:val="16"/>
              </w:rPr>
            </w:pPr>
            <w:r>
              <w:rPr>
                <w:rFonts w:cs="Arial"/>
                <w:sz w:val="16"/>
                <w:szCs w:val="16"/>
              </w:rPr>
              <w:t>0,004</w:t>
            </w:r>
          </w:p>
        </w:tc>
        <w:tc>
          <w:tcPr>
            <w:tcW w:w="673" w:type="dxa"/>
            <w:tcBorders>
              <w:top w:val="nil"/>
              <w:left w:val="nil"/>
              <w:bottom w:val="nil"/>
              <w:right w:val="nil"/>
            </w:tcBorders>
            <w:shd w:val="clear" w:color="auto" w:fill="auto"/>
            <w:noWrap/>
            <w:vAlign w:val="center"/>
            <w:hideMark/>
          </w:tcPr>
          <w:p w14:paraId="5BAA99B9" w14:textId="111CDEA2" w:rsidR="00277F3A" w:rsidRPr="00D92E20" w:rsidRDefault="00277F3A" w:rsidP="00277F3A">
            <w:pPr>
              <w:spacing w:after="0" w:line="240" w:lineRule="auto"/>
              <w:jc w:val="right"/>
              <w:rPr>
                <w:rFonts w:cs="Arial"/>
                <w:sz w:val="16"/>
                <w:szCs w:val="16"/>
              </w:rPr>
            </w:pPr>
            <w:r>
              <w:rPr>
                <w:rFonts w:cs="Arial"/>
                <w:sz w:val="16"/>
                <w:szCs w:val="16"/>
              </w:rPr>
              <w:t>0,004</w:t>
            </w:r>
          </w:p>
        </w:tc>
        <w:tc>
          <w:tcPr>
            <w:tcW w:w="673" w:type="dxa"/>
            <w:tcBorders>
              <w:top w:val="nil"/>
              <w:left w:val="nil"/>
              <w:bottom w:val="nil"/>
              <w:right w:val="nil"/>
            </w:tcBorders>
            <w:shd w:val="clear" w:color="auto" w:fill="auto"/>
            <w:noWrap/>
            <w:vAlign w:val="center"/>
            <w:hideMark/>
          </w:tcPr>
          <w:p w14:paraId="3AD8366F" w14:textId="54D2F818" w:rsidR="00277F3A" w:rsidRPr="00D92E20" w:rsidRDefault="00277F3A" w:rsidP="00277F3A">
            <w:pPr>
              <w:spacing w:after="0" w:line="240" w:lineRule="auto"/>
              <w:jc w:val="right"/>
              <w:rPr>
                <w:rFonts w:cs="Arial"/>
                <w:sz w:val="16"/>
                <w:szCs w:val="16"/>
              </w:rPr>
            </w:pPr>
            <w:r>
              <w:rPr>
                <w:rFonts w:cs="Arial"/>
                <w:sz w:val="16"/>
                <w:szCs w:val="16"/>
              </w:rPr>
              <w:t>0,005</w:t>
            </w:r>
          </w:p>
        </w:tc>
        <w:tc>
          <w:tcPr>
            <w:tcW w:w="673" w:type="dxa"/>
            <w:tcBorders>
              <w:top w:val="nil"/>
              <w:left w:val="nil"/>
              <w:bottom w:val="nil"/>
              <w:right w:val="nil"/>
            </w:tcBorders>
            <w:shd w:val="clear" w:color="auto" w:fill="auto"/>
            <w:noWrap/>
            <w:vAlign w:val="center"/>
            <w:hideMark/>
          </w:tcPr>
          <w:p w14:paraId="13AD0D34" w14:textId="44EC744D" w:rsidR="00277F3A" w:rsidRPr="00D92E20" w:rsidRDefault="00277F3A" w:rsidP="00277F3A">
            <w:pPr>
              <w:spacing w:after="0" w:line="240" w:lineRule="auto"/>
              <w:jc w:val="right"/>
              <w:rPr>
                <w:rFonts w:cs="Arial"/>
                <w:sz w:val="16"/>
                <w:szCs w:val="16"/>
              </w:rPr>
            </w:pPr>
            <w:r>
              <w:rPr>
                <w:rFonts w:cs="Arial"/>
                <w:sz w:val="16"/>
                <w:szCs w:val="16"/>
              </w:rPr>
              <w:t>0,004</w:t>
            </w:r>
          </w:p>
        </w:tc>
        <w:tc>
          <w:tcPr>
            <w:tcW w:w="673" w:type="dxa"/>
            <w:tcBorders>
              <w:top w:val="nil"/>
              <w:left w:val="nil"/>
              <w:bottom w:val="nil"/>
              <w:right w:val="nil"/>
            </w:tcBorders>
            <w:shd w:val="clear" w:color="auto" w:fill="auto"/>
            <w:noWrap/>
            <w:vAlign w:val="center"/>
            <w:hideMark/>
          </w:tcPr>
          <w:p w14:paraId="70E0454D" w14:textId="4C94ED47" w:rsidR="00277F3A" w:rsidRPr="00D92E20" w:rsidRDefault="00277F3A" w:rsidP="00277F3A">
            <w:pPr>
              <w:spacing w:after="0" w:line="240" w:lineRule="auto"/>
              <w:jc w:val="right"/>
              <w:rPr>
                <w:rFonts w:cs="Arial"/>
                <w:sz w:val="16"/>
                <w:szCs w:val="16"/>
              </w:rPr>
            </w:pPr>
            <w:r>
              <w:rPr>
                <w:rFonts w:cs="Arial"/>
                <w:sz w:val="16"/>
                <w:szCs w:val="16"/>
              </w:rPr>
              <w:t>0,004</w:t>
            </w:r>
          </w:p>
        </w:tc>
        <w:tc>
          <w:tcPr>
            <w:tcW w:w="673" w:type="dxa"/>
            <w:tcBorders>
              <w:top w:val="nil"/>
              <w:left w:val="nil"/>
              <w:bottom w:val="nil"/>
              <w:right w:val="nil"/>
            </w:tcBorders>
            <w:shd w:val="clear" w:color="auto" w:fill="auto"/>
            <w:noWrap/>
            <w:vAlign w:val="center"/>
            <w:hideMark/>
          </w:tcPr>
          <w:p w14:paraId="66CF8AC3" w14:textId="57282AC1" w:rsidR="00277F3A" w:rsidRPr="00D92E20" w:rsidRDefault="00277F3A" w:rsidP="00277F3A">
            <w:pPr>
              <w:spacing w:after="0" w:line="240" w:lineRule="auto"/>
              <w:jc w:val="right"/>
              <w:rPr>
                <w:rFonts w:cs="Arial"/>
                <w:color w:val="000000"/>
                <w:sz w:val="16"/>
                <w:szCs w:val="16"/>
              </w:rPr>
            </w:pPr>
            <w:r>
              <w:rPr>
                <w:rFonts w:cs="Arial"/>
                <w:sz w:val="16"/>
                <w:szCs w:val="16"/>
              </w:rPr>
              <w:t>0,005</w:t>
            </w:r>
          </w:p>
        </w:tc>
        <w:tc>
          <w:tcPr>
            <w:tcW w:w="673" w:type="dxa"/>
            <w:tcBorders>
              <w:top w:val="nil"/>
              <w:left w:val="nil"/>
              <w:bottom w:val="nil"/>
              <w:right w:val="nil"/>
            </w:tcBorders>
            <w:shd w:val="clear" w:color="auto" w:fill="auto"/>
            <w:noWrap/>
            <w:vAlign w:val="center"/>
            <w:hideMark/>
          </w:tcPr>
          <w:p w14:paraId="430B5B58" w14:textId="19603F38" w:rsidR="00277F3A" w:rsidRPr="00D92E20" w:rsidRDefault="00277F3A" w:rsidP="00277F3A">
            <w:pPr>
              <w:spacing w:after="0" w:line="240" w:lineRule="auto"/>
              <w:jc w:val="right"/>
              <w:rPr>
                <w:rFonts w:cs="Arial"/>
                <w:color w:val="000000"/>
                <w:sz w:val="16"/>
                <w:szCs w:val="16"/>
              </w:rPr>
            </w:pPr>
            <w:r>
              <w:rPr>
                <w:rFonts w:cs="Arial"/>
                <w:sz w:val="16"/>
                <w:szCs w:val="16"/>
              </w:rPr>
              <w:t>0,004</w:t>
            </w:r>
          </w:p>
        </w:tc>
        <w:tc>
          <w:tcPr>
            <w:tcW w:w="673" w:type="dxa"/>
            <w:tcBorders>
              <w:top w:val="nil"/>
              <w:left w:val="nil"/>
              <w:bottom w:val="nil"/>
              <w:right w:val="nil"/>
            </w:tcBorders>
            <w:shd w:val="clear" w:color="auto" w:fill="auto"/>
            <w:noWrap/>
            <w:vAlign w:val="center"/>
            <w:hideMark/>
          </w:tcPr>
          <w:p w14:paraId="25BC0627" w14:textId="10EF2978" w:rsidR="00277F3A" w:rsidRPr="00D92E20" w:rsidRDefault="00277F3A" w:rsidP="00277F3A">
            <w:pPr>
              <w:spacing w:after="0" w:line="240" w:lineRule="auto"/>
              <w:jc w:val="right"/>
              <w:rPr>
                <w:rFonts w:cs="Arial"/>
                <w:color w:val="000000"/>
                <w:sz w:val="16"/>
                <w:szCs w:val="16"/>
              </w:rPr>
            </w:pPr>
            <w:r>
              <w:rPr>
                <w:rFonts w:cs="Arial"/>
                <w:sz w:val="16"/>
                <w:szCs w:val="16"/>
              </w:rPr>
              <w:t>0,003</w:t>
            </w:r>
          </w:p>
        </w:tc>
        <w:tc>
          <w:tcPr>
            <w:tcW w:w="673" w:type="dxa"/>
            <w:tcBorders>
              <w:top w:val="nil"/>
              <w:left w:val="nil"/>
              <w:bottom w:val="nil"/>
              <w:right w:val="nil"/>
            </w:tcBorders>
            <w:shd w:val="clear" w:color="auto" w:fill="auto"/>
            <w:noWrap/>
            <w:vAlign w:val="center"/>
            <w:hideMark/>
          </w:tcPr>
          <w:p w14:paraId="3944CF13" w14:textId="7AD5FEB2" w:rsidR="00277F3A" w:rsidRPr="00D92E20" w:rsidRDefault="00277F3A" w:rsidP="00277F3A">
            <w:pPr>
              <w:spacing w:after="0" w:line="240" w:lineRule="auto"/>
              <w:jc w:val="right"/>
              <w:rPr>
                <w:rFonts w:cs="Arial"/>
                <w:color w:val="000000"/>
                <w:sz w:val="16"/>
                <w:szCs w:val="16"/>
              </w:rPr>
            </w:pPr>
            <w:r>
              <w:rPr>
                <w:rFonts w:cs="Arial"/>
                <w:sz w:val="16"/>
                <w:szCs w:val="16"/>
              </w:rPr>
              <w:t>0,004</w:t>
            </w:r>
          </w:p>
        </w:tc>
      </w:tr>
      <w:tr w:rsidR="00277F3A" w:rsidRPr="00D92E20" w14:paraId="46EEA8E2" w14:textId="77777777" w:rsidTr="00951947">
        <w:trPr>
          <w:trHeight w:val="300"/>
        </w:trPr>
        <w:tc>
          <w:tcPr>
            <w:tcW w:w="2333" w:type="dxa"/>
            <w:tcBorders>
              <w:top w:val="nil"/>
              <w:left w:val="nil"/>
              <w:bottom w:val="nil"/>
              <w:right w:val="single" w:sz="4" w:space="0" w:color="auto"/>
            </w:tcBorders>
            <w:shd w:val="clear" w:color="auto" w:fill="auto"/>
            <w:vAlign w:val="center"/>
            <w:hideMark/>
          </w:tcPr>
          <w:p w14:paraId="779E6D27" w14:textId="77777777" w:rsidR="00277F3A" w:rsidRPr="00D92E20" w:rsidRDefault="00277F3A" w:rsidP="00277F3A">
            <w:pPr>
              <w:spacing w:after="0" w:line="240" w:lineRule="auto"/>
              <w:ind w:firstLineChars="100" w:firstLine="160"/>
              <w:rPr>
                <w:rFonts w:cs="Arial"/>
                <w:sz w:val="16"/>
                <w:szCs w:val="16"/>
              </w:rPr>
            </w:pPr>
            <w:r w:rsidRPr="00D92E20">
              <w:rPr>
                <w:rFonts w:cs="Arial"/>
                <w:sz w:val="16"/>
                <w:szCs w:val="16"/>
              </w:rPr>
              <w:t>otcovská poporodní péče</w:t>
            </w:r>
            <w:r w:rsidRPr="00D92E20">
              <w:rPr>
                <w:rFonts w:cs="Arial"/>
                <w:sz w:val="16"/>
                <w:szCs w:val="16"/>
                <w:vertAlign w:val="superscript"/>
              </w:rPr>
              <w:t>1)</w:t>
            </w:r>
          </w:p>
        </w:tc>
        <w:tc>
          <w:tcPr>
            <w:tcW w:w="673" w:type="dxa"/>
            <w:tcBorders>
              <w:top w:val="nil"/>
              <w:left w:val="nil"/>
              <w:bottom w:val="nil"/>
              <w:right w:val="nil"/>
            </w:tcBorders>
            <w:shd w:val="clear" w:color="auto" w:fill="auto"/>
            <w:noWrap/>
            <w:vAlign w:val="center"/>
            <w:hideMark/>
          </w:tcPr>
          <w:p w14:paraId="13CE5DD1" w14:textId="49D2C130" w:rsidR="00277F3A" w:rsidRPr="00D92E20" w:rsidRDefault="00277F3A" w:rsidP="00277F3A">
            <w:pPr>
              <w:spacing w:after="0" w:line="240" w:lineRule="auto"/>
              <w:jc w:val="right"/>
              <w:rPr>
                <w:rFonts w:ascii="Calibri" w:hAnsi="Calibri" w:cs="Calibri"/>
                <w:color w:val="000000"/>
                <w:sz w:val="22"/>
                <w:szCs w:val="22"/>
              </w:rPr>
            </w:pPr>
            <w:r>
              <w:rPr>
                <w:rFonts w:cs="Arial"/>
                <w:sz w:val="16"/>
                <w:szCs w:val="16"/>
              </w:rPr>
              <w:t xml:space="preserve"> –     </w:t>
            </w:r>
          </w:p>
        </w:tc>
        <w:tc>
          <w:tcPr>
            <w:tcW w:w="673" w:type="dxa"/>
            <w:tcBorders>
              <w:top w:val="nil"/>
              <w:left w:val="nil"/>
              <w:bottom w:val="nil"/>
              <w:right w:val="nil"/>
            </w:tcBorders>
            <w:shd w:val="clear" w:color="auto" w:fill="auto"/>
            <w:noWrap/>
            <w:vAlign w:val="center"/>
            <w:hideMark/>
          </w:tcPr>
          <w:p w14:paraId="6EF1DD16" w14:textId="7C05DA49" w:rsidR="00277F3A" w:rsidRPr="00D92E20" w:rsidRDefault="00277F3A" w:rsidP="00277F3A">
            <w:pPr>
              <w:spacing w:after="0" w:line="240" w:lineRule="auto"/>
              <w:jc w:val="right"/>
              <w:rPr>
                <w:rFonts w:ascii="Calibri" w:hAnsi="Calibri" w:cs="Calibri"/>
                <w:color w:val="000000"/>
                <w:sz w:val="22"/>
                <w:szCs w:val="22"/>
              </w:rPr>
            </w:pPr>
            <w:r>
              <w:rPr>
                <w:rFonts w:cs="Arial"/>
                <w:sz w:val="16"/>
                <w:szCs w:val="16"/>
              </w:rPr>
              <w:t xml:space="preserve"> –     </w:t>
            </w:r>
          </w:p>
        </w:tc>
        <w:tc>
          <w:tcPr>
            <w:tcW w:w="673" w:type="dxa"/>
            <w:tcBorders>
              <w:top w:val="nil"/>
              <w:left w:val="nil"/>
              <w:bottom w:val="nil"/>
              <w:right w:val="nil"/>
            </w:tcBorders>
            <w:shd w:val="clear" w:color="auto" w:fill="auto"/>
            <w:noWrap/>
            <w:vAlign w:val="center"/>
            <w:hideMark/>
          </w:tcPr>
          <w:p w14:paraId="4FBB7DBE" w14:textId="57B1B437" w:rsidR="00277F3A" w:rsidRPr="00D92E20" w:rsidRDefault="00277F3A" w:rsidP="00277F3A">
            <w:pPr>
              <w:spacing w:after="0" w:line="240" w:lineRule="auto"/>
              <w:jc w:val="right"/>
              <w:rPr>
                <w:rFonts w:ascii="Calibri" w:hAnsi="Calibri" w:cs="Calibri"/>
                <w:color w:val="000000"/>
                <w:sz w:val="22"/>
                <w:szCs w:val="22"/>
              </w:rPr>
            </w:pPr>
            <w:r>
              <w:rPr>
                <w:rFonts w:cs="Arial"/>
                <w:sz w:val="16"/>
                <w:szCs w:val="16"/>
              </w:rPr>
              <w:t xml:space="preserve"> –     </w:t>
            </w:r>
          </w:p>
        </w:tc>
        <w:tc>
          <w:tcPr>
            <w:tcW w:w="673" w:type="dxa"/>
            <w:tcBorders>
              <w:top w:val="nil"/>
              <w:left w:val="nil"/>
              <w:bottom w:val="nil"/>
              <w:right w:val="nil"/>
            </w:tcBorders>
            <w:shd w:val="clear" w:color="auto" w:fill="auto"/>
            <w:noWrap/>
            <w:vAlign w:val="center"/>
            <w:hideMark/>
          </w:tcPr>
          <w:p w14:paraId="66D3B976" w14:textId="6AC6E32D" w:rsidR="00277F3A" w:rsidRPr="00D92E20" w:rsidRDefault="00277F3A" w:rsidP="00277F3A">
            <w:pPr>
              <w:spacing w:after="0" w:line="240" w:lineRule="auto"/>
              <w:jc w:val="right"/>
              <w:rPr>
                <w:rFonts w:ascii="Calibri" w:hAnsi="Calibri" w:cs="Calibri"/>
                <w:color w:val="000000"/>
                <w:sz w:val="22"/>
                <w:szCs w:val="22"/>
              </w:rPr>
            </w:pPr>
            <w:r>
              <w:rPr>
                <w:rFonts w:cs="Arial"/>
                <w:sz w:val="16"/>
                <w:szCs w:val="16"/>
              </w:rPr>
              <w:t xml:space="preserve"> –     </w:t>
            </w:r>
          </w:p>
        </w:tc>
        <w:tc>
          <w:tcPr>
            <w:tcW w:w="673" w:type="dxa"/>
            <w:tcBorders>
              <w:top w:val="nil"/>
              <w:left w:val="nil"/>
              <w:bottom w:val="nil"/>
              <w:right w:val="nil"/>
            </w:tcBorders>
            <w:shd w:val="clear" w:color="auto" w:fill="auto"/>
            <w:noWrap/>
            <w:vAlign w:val="center"/>
            <w:hideMark/>
          </w:tcPr>
          <w:p w14:paraId="637EE318" w14:textId="653BF6D5" w:rsidR="00277F3A" w:rsidRPr="00D92E20" w:rsidRDefault="00277F3A" w:rsidP="00277F3A">
            <w:pPr>
              <w:spacing w:after="0" w:line="240" w:lineRule="auto"/>
              <w:jc w:val="right"/>
              <w:rPr>
                <w:rFonts w:ascii="Calibri" w:hAnsi="Calibri" w:cs="Calibri"/>
                <w:color w:val="000000"/>
                <w:sz w:val="22"/>
                <w:szCs w:val="22"/>
              </w:rPr>
            </w:pPr>
            <w:r>
              <w:rPr>
                <w:rFonts w:cs="Arial"/>
                <w:sz w:val="16"/>
                <w:szCs w:val="16"/>
              </w:rPr>
              <w:t xml:space="preserve"> –     </w:t>
            </w:r>
          </w:p>
        </w:tc>
        <w:tc>
          <w:tcPr>
            <w:tcW w:w="673" w:type="dxa"/>
            <w:tcBorders>
              <w:top w:val="nil"/>
              <w:left w:val="nil"/>
              <w:bottom w:val="nil"/>
              <w:right w:val="nil"/>
            </w:tcBorders>
            <w:shd w:val="clear" w:color="auto" w:fill="auto"/>
            <w:noWrap/>
            <w:vAlign w:val="center"/>
            <w:hideMark/>
          </w:tcPr>
          <w:p w14:paraId="15DAF9E5" w14:textId="6BB8DC76" w:rsidR="00277F3A" w:rsidRPr="00D92E20" w:rsidRDefault="00277F3A" w:rsidP="00277F3A">
            <w:pPr>
              <w:spacing w:after="0" w:line="240" w:lineRule="auto"/>
              <w:jc w:val="right"/>
              <w:rPr>
                <w:rFonts w:ascii="Calibri" w:hAnsi="Calibri" w:cs="Calibri"/>
                <w:color w:val="000000"/>
                <w:sz w:val="22"/>
                <w:szCs w:val="22"/>
              </w:rPr>
            </w:pPr>
            <w:r>
              <w:rPr>
                <w:rFonts w:cs="Arial"/>
                <w:sz w:val="16"/>
                <w:szCs w:val="16"/>
              </w:rPr>
              <w:t xml:space="preserve"> –     </w:t>
            </w:r>
          </w:p>
        </w:tc>
        <w:tc>
          <w:tcPr>
            <w:tcW w:w="673" w:type="dxa"/>
            <w:tcBorders>
              <w:top w:val="nil"/>
              <w:left w:val="nil"/>
              <w:bottom w:val="nil"/>
              <w:right w:val="nil"/>
            </w:tcBorders>
            <w:shd w:val="clear" w:color="auto" w:fill="auto"/>
            <w:noWrap/>
            <w:vAlign w:val="center"/>
            <w:hideMark/>
          </w:tcPr>
          <w:p w14:paraId="0CB1886E" w14:textId="315EC5B9" w:rsidR="00277F3A" w:rsidRPr="00D92E20" w:rsidRDefault="00277F3A" w:rsidP="00277F3A">
            <w:pPr>
              <w:spacing w:after="0" w:line="240" w:lineRule="auto"/>
              <w:jc w:val="right"/>
              <w:rPr>
                <w:rFonts w:ascii="Calibri" w:hAnsi="Calibri" w:cs="Calibri"/>
                <w:color w:val="000000"/>
                <w:sz w:val="22"/>
                <w:szCs w:val="22"/>
              </w:rPr>
            </w:pPr>
            <w:r>
              <w:rPr>
                <w:rFonts w:cs="Arial"/>
                <w:sz w:val="16"/>
                <w:szCs w:val="16"/>
              </w:rPr>
              <w:t>0,091</w:t>
            </w:r>
          </w:p>
        </w:tc>
        <w:tc>
          <w:tcPr>
            <w:tcW w:w="673" w:type="dxa"/>
            <w:tcBorders>
              <w:top w:val="nil"/>
              <w:left w:val="nil"/>
              <w:bottom w:val="nil"/>
              <w:right w:val="nil"/>
            </w:tcBorders>
            <w:shd w:val="clear" w:color="auto" w:fill="auto"/>
            <w:noWrap/>
            <w:vAlign w:val="center"/>
            <w:hideMark/>
          </w:tcPr>
          <w:p w14:paraId="11CBAD52" w14:textId="34D68DC4" w:rsidR="00277F3A" w:rsidRPr="00D92E20" w:rsidRDefault="00277F3A" w:rsidP="00277F3A">
            <w:pPr>
              <w:spacing w:after="0" w:line="240" w:lineRule="auto"/>
              <w:jc w:val="right"/>
              <w:rPr>
                <w:rFonts w:ascii="Calibri" w:hAnsi="Calibri" w:cs="Calibri"/>
                <w:color w:val="000000"/>
                <w:sz w:val="22"/>
                <w:szCs w:val="22"/>
              </w:rPr>
            </w:pPr>
            <w:r>
              <w:rPr>
                <w:rFonts w:cs="Arial"/>
                <w:sz w:val="16"/>
                <w:szCs w:val="16"/>
              </w:rPr>
              <w:t>0,129</w:t>
            </w:r>
          </w:p>
        </w:tc>
        <w:tc>
          <w:tcPr>
            <w:tcW w:w="673" w:type="dxa"/>
            <w:tcBorders>
              <w:top w:val="nil"/>
              <w:left w:val="nil"/>
              <w:bottom w:val="nil"/>
              <w:right w:val="nil"/>
            </w:tcBorders>
            <w:shd w:val="clear" w:color="auto" w:fill="auto"/>
            <w:noWrap/>
            <w:vAlign w:val="center"/>
            <w:hideMark/>
          </w:tcPr>
          <w:p w14:paraId="4DC4CF98" w14:textId="5035A686" w:rsidR="00277F3A" w:rsidRPr="00D92E20" w:rsidRDefault="00277F3A" w:rsidP="00277F3A">
            <w:pPr>
              <w:spacing w:after="0" w:line="240" w:lineRule="auto"/>
              <w:jc w:val="right"/>
              <w:rPr>
                <w:rFonts w:cs="Arial"/>
                <w:color w:val="000000"/>
                <w:sz w:val="16"/>
                <w:szCs w:val="16"/>
              </w:rPr>
            </w:pPr>
            <w:r>
              <w:rPr>
                <w:rFonts w:cs="Arial"/>
                <w:sz w:val="16"/>
                <w:szCs w:val="16"/>
              </w:rPr>
              <w:t>0,128</w:t>
            </w:r>
          </w:p>
        </w:tc>
        <w:tc>
          <w:tcPr>
            <w:tcW w:w="673" w:type="dxa"/>
            <w:tcBorders>
              <w:top w:val="nil"/>
              <w:left w:val="nil"/>
              <w:bottom w:val="nil"/>
              <w:right w:val="nil"/>
            </w:tcBorders>
            <w:shd w:val="clear" w:color="auto" w:fill="auto"/>
            <w:noWrap/>
            <w:vAlign w:val="center"/>
            <w:hideMark/>
          </w:tcPr>
          <w:p w14:paraId="125CEBE3" w14:textId="4C90C407" w:rsidR="00277F3A" w:rsidRPr="00D92E20" w:rsidRDefault="00277F3A" w:rsidP="00277F3A">
            <w:pPr>
              <w:spacing w:after="0" w:line="240" w:lineRule="auto"/>
              <w:jc w:val="right"/>
              <w:rPr>
                <w:rFonts w:cs="Arial"/>
                <w:color w:val="000000"/>
                <w:sz w:val="16"/>
                <w:szCs w:val="16"/>
              </w:rPr>
            </w:pPr>
            <w:r>
              <w:rPr>
                <w:rFonts w:cs="Arial"/>
                <w:sz w:val="16"/>
                <w:szCs w:val="16"/>
              </w:rPr>
              <w:t>0,138</w:t>
            </w:r>
          </w:p>
        </w:tc>
        <w:tc>
          <w:tcPr>
            <w:tcW w:w="673" w:type="dxa"/>
            <w:tcBorders>
              <w:top w:val="nil"/>
              <w:left w:val="nil"/>
              <w:bottom w:val="nil"/>
              <w:right w:val="nil"/>
            </w:tcBorders>
            <w:shd w:val="clear" w:color="auto" w:fill="auto"/>
            <w:noWrap/>
            <w:vAlign w:val="center"/>
            <w:hideMark/>
          </w:tcPr>
          <w:p w14:paraId="11D22C00" w14:textId="387C20DA" w:rsidR="00277F3A" w:rsidRPr="00D92E20" w:rsidRDefault="00277F3A" w:rsidP="00277F3A">
            <w:pPr>
              <w:spacing w:after="0" w:line="240" w:lineRule="auto"/>
              <w:jc w:val="right"/>
              <w:rPr>
                <w:rFonts w:cs="Arial"/>
                <w:color w:val="000000"/>
                <w:sz w:val="16"/>
                <w:szCs w:val="16"/>
              </w:rPr>
            </w:pPr>
            <w:r>
              <w:rPr>
                <w:rFonts w:cs="Arial"/>
                <w:sz w:val="16"/>
                <w:szCs w:val="16"/>
              </w:rPr>
              <w:t>0,285</w:t>
            </w:r>
          </w:p>
        </w:tc>
      </w:tr>
      <w:tr w:rsidR="00277F3A" w:rsidRPr="00D92E20" w14:paraId="2CD89E10" w14:textId="77777777" w:rsidTr="00951947">
        <w:trPr>
          <w:trHeight w:val="300"/>
        </w:trPr>
        <w:tc>
          <w:tcPr>
            <w:tcW w:w="2333" w:type="dxa"/>
            <w:tcBorders>
              <w:top w:val="nil"/>
              <w:left w:val="nil"/>
              <w:bottom w:val="nil"/>
              <w:right w:val="single" w:sz="4" w:space="0" w:color="auto"/>
            </w:tcBorders>
            <w:shd w:val="clear" w:color="auto" w:fill="auto"/>
            <w:vAlign w:val="center"/>
            <w:hideMark/>
          </w:tcPr>
          <w:p w14:paraId="4CD1B85F" w14:textId="77777777" w:rsidR="00277F3A" w:rsidRPr="00D92E20" w:rsidRDefault="00277F3A" w:rsidP="00277F3A">
            <w:pPr>
              <w:spacing w:after="0" w:line="240" w:lineRule="auto"/>
              <w:ind w:firstLineChars="100" w:firstLine="160"/>
              <w:rPr>
                <w:rFonts w:cs="Arial"/>
                <w:sz w:val="16"/>
                <w:szCs w:val="16"/>
              </w:rPr>
            </w:pPr>
            <w:r w:rsidRPr="00D92E20">
              <w:rPr>
                <w:rFonts w:cs="Arial"/>
                <w:sz w:val="16"/>
                <w:szCs w:val="16"/>
              </w:rPr>
              <w:t>dlouhodobé ošetřovné</w:t>
            </w:r>
            <w:r w:rsidRPr="00D92E20">
              <w:rPr>
                <w:rFonts w:cs="Arial"/>
                <w:sz w:val="16"/>
                <w:szCs w:val="16"/>
                <w:vertAlign w:val="superscript"/>
              </w:rPr>
              <w:t>2)</w:t>
            </w:r>
          </w:p>
        </w:tc>
        <w:tc>
          <w:tcPr>
            <w:tcW w:w="673" w:type="dxa"/>
            <w:tcBorders>
              <w:top w:val="nil"/>
              <w:left w:val="nil"/>
              <w:bottom w:val="nil"/>
              <w:right w:val="nil"/>
            </w:tcBorders>
            <w:shd w:val="clear" w:color="auto" w:fill="auto"/>
            <w:noWrap/>
            <w:vAlign w:val="center"/>
            <w:hideMark/>
          </w:tcPr>
          <w:p w14:paraId="249AFF49" w14:textId="1AF46A3A" w:rsidR="00277F3A" w:rsidRPr="00D92E20" w:rsidRDefault="00277F3A" w:rsidP="00277F3A">
            <w:pPr>
              <w:spacing w:after="0" w:line="240" w:lineRule="auto"/>
              <w:jc w:val="right"/>
              <w:rPr>
                <w:rFonts w:ascii="Calibri" w:hAnsi="Calibri" w:cs="Calibri"/>
                <w:color w:val="000000"/>
                <w:sz w:val="22"/>
                <w:szCs w:val="22"/>
              </w:rPr>
            </w:pPr>
            <w:r>
              <w:rPr>
                <w:rFonts w:cs="Arial"/>
                <w:sz w:val="16"/>
                <w:szCs w:val="16"/>
              </w:rPr>
              <w:t xml:space="preserve"> –     </w:t>
            </w:r>
          </w:p>
        </w:tc>
        <w:tc>
          <w:tcPr>
            <w:tcW w:w="673" w:type="dxa"/>
            <w:tcBorders>
              <w:top w:val="nil"/>
              <w:left w:val="nil"/>
              <w:bottom w:val="nil"/>
              <w:right w:val="nil"/>
            </w:tcBorders>
            <w:shd w:val="clear" w:color="auto" w:fill="auto"/>
            <w:noWrap/>
            <w:vAlign w:val="center"/>
            <w:hideMark/>
          </w:tcPr>
          <w:p w14:paraId="69406723" w14:textId="5277E88E" w:rsidR="00277F3A" w:rsidRPr="00D92E20" w:rsidRDefault="00277F3A" w:rsidP="00277F3A">
            <w:pPr>
              <w:spacing w:after="0" w:line="240" w:lineRule="auto"/>
              <w:jc w:val="right"/>
              <w:rPr>
                <w:rFonts w:ascii="Calibri" w:hAnsi="Calibri" w:cs="Calibri"/>
                <w:color w:val="000000"/>
                <w:sz w:val="22"/>
                <w:szCs w:val="22"/>
              </w:rPr>
            </w:pPr>
            <w:r>
              <w:rPr>
                <w:rFonts w:cs="Arial"/>
                <w:sz w:val="16"/>
                <w:szCs w:val="16"/>
              </w:rPr>
              <w:t xml:space="preserve"> –     </w:t>
            </w:r>
          </w:p>
        </w:tc>
        <w:tc>
          <w:tcPr>
            <w:tcW w:w="673" w:type="dxa"/>
            <w:tcBorders>
              <w:top w:val="nil"/>
              <w:left w:val="nil"/>
              <w:bottom w:val="nil"/>
              <w:right w:val="nil"/>
            </w:tcBorders>
            <w:shd w:val="clear" w:color="auto" w:fill="auto"/>
            <w:noWrap/>
            <w:vAlign w:val="center"/>
            <w:hideMark/>
          </w:tcPr>
          <w:p w14:paraId="66C19ED3" w14:textId="6629A884" w:rsidR="00277F3A" w:rsidRPr="00D92E20" w:rsidRDefault="00277F3A" w:rsidP="00277F3A">
            <w:pPr>
              <w:spacing w:after="0" w:line="240" w:lineRule="auto"/>
              <w:jc w:val="right"/>
              <w:rPr>
                <w:rFonts w:ascii="Calibri" w:hAnsi="Calibri" w:cs="Calibri"/>
                <w:color w:val="000000"/>
                <w:sz w:val="22"/>
                <w:szCs w:val="22"/>
              </w:rPr>
            </w:pPr>
            <w:r>
              <w:rPr>
                <w:rFonts w:cs="Arial"/>
                <w:sz w:val="16"/>
                <w:szCs w:val="16"/>
              </w:rPr>
              <w:t xml:space="preserve"> –     </w:t>
            </w:r>
          </w:p>
        </w:tc>
        <w:tc>
          <w:tcPr>
            <w:tcW w:w="673" w:type="dxa"/>
            <w:tcBorders>
              <w:top w:val="nil"/>
              <w:left w:val="nil"/>
              <w:bottom w:val="nil"/>
              <w:right w:val="nil"/>
            </w:tcBorders>
            <w:shd w:val="clear" w:color="auto" w:fill="auto"/>
            <w:noWrap/>
            <w:vAlign w:val="center"/>
            <w:hideMark/>
          </w:tcPr>
          <w:p w14:paraId="2CF7012F" w14:textId="22AD889D" w:rsidR="00277F3A" w:rsidRPr="00D92E20" w:rsidRDefault="00277F3A" w:rsidP="00277F3A">
            <w:pPr>
              <w:spacing w:after="0" w:line="240" w:lineRule="auto"/>
              <w:jc w:val="right"/>
              <w:rPr>
                <w:rFonts w:ascii="Calibri" w:hAnsi="Calibri" w:cs="Calibri"/>
                <w:color w:val="000000"/>
                <w:sz w:val="22"/>
                <w:szCs w:val="22"/>
              </w:rPr>
            </w:pPr>
            <w:r>
              <w:rPr>
                <w:rFonts w:cs="Arial"/>
                <w:sz w:val="16"/>
                <w:szCs w:val="16"/>
              </w:rPr>
              <w:t xml:space="preserve"> –     </w:t>
            </w:r>
          </w:p>
        </w:tc>
        <w:tc>
          <w:tcPr>
            <w:tcW w:w="673" w:type="dxa"/>
            <w:tcBorders>
              <w:top w:val="nil"/>
              <w:left w:val="nil"/>
              <w:bottom w:val="nil"/>
              <w:right w:val="nil"/>
            </w:tcBorders>
            <w:shd w:val="clear" w:color="auto" w:fill="auto"/>
            <w:noWrap/>
            <w:vAlign w:val="center"/>
            <w:hideMark/>
          </w:tcPr>
          <w:p w14:paraId="1AF53D92" w14:textId="27622F34" w:rsidR="00277F3A" w:rsidRPr="00D92E20" w:rsidRDefault="00277F3A" w:rsidP="00277F3A">
            <w:pPr>
              <w:spacing w:after="0" w:line="240" w:lineRule="auto"/>
              <w:jc w:val="right"/>
              <w:rPr>
                <w:rFonts w:ascii="Calibri" w:hAnsi="Calibri" w:cs="Calibri"/>
                <w:color w:val="000000"/>
                <w:sz w:val="22"/>
                <w:szCs w:val="22"/>
              </w:rPr>
            </w:pPr>
            <w:r>
              <w:rPr>
                <w:rFonts w:cs="Arial"/>
                <w:sz w:val="16"/>
                <w:szCs w:val="16"/>
              </w:rPr>
              <w:t xml:space="preserve"> –     </w:t>
            </w:r>
          </w:p>
        </w:tc>
        <w:tc>
          <w:tcPr>
            <w:tcW w:w="673" w:type="dxa"/>
            <w:tcBorders>
              <w:top w:val="nil"/>
              <w:left w:val="nil"/>
              <w:bottom w:val="nil"/>
              <w:right w:val="nil"/>
            </w:tcBorders>
            <w:shd w:val="clear" w:color="auto" w:fill="auto"/>
            <w:noWrap/>
            <w:vAlign w:val="center"/>
            <w:hideMark/>
          </w:tcPr>
          <w:p w14:paraId="4D47C72E" w14:textId="797FECFC" w:rsidR="00277F3A" w:rsidRPr="00D92E20" w:rsidRDefault="00277F3A" w:rsidP="00277F3A">
            <w:pPr>
              <w:spacing w:after="0" w:line="240" w:lineRule="auto"/>
              <w:jc w:val="right"/>
              <w:rPr>
                <w:rFonts w:ascii="Calibri" w:hAnsi="Calibri" w:cs="Calibri"/>
                <w:color w:val="000000"/>
                <w:sz w:val="22"/>
                <w:szCs w:val="22"/>
              </w:rPr>
            </w:pPr>
            <w:r>
              <w:rPr>
                <w:rFonts w:cs="Arial"/>
                <w:sz w:val="16"/>
                <w:szCs w:val="16"/>
              </w:rPr>
              <w:t xml:space="preserve"> –     </w:t>
            </w:r>
          </w:p>
        </w:tc>
        <w:tc>
          <w:tcPr>
            <w:tcW w:w="673" w:type="dxa"/>
            <w:tcBorders>
              <w:top w:val="nil"/>
              <w:left w:val="nil"/>
              <w:bottom w:val="nil"/>
              <w:right w:val="nil"/>
            </w:tcBorders>
            <w:shd w:val="clear" w:color="auto" w:fill="auto"/>
            <w:noWrap/>
            <w:vAlign w:val="center"/>
            <w:hideMark/>
          </w:tcPr>
          <w:p w14:paraId="55B111F1" w14:textId="6FAEC0B4" w:rsidR="00277F3A" w:rsidRPr="00D92E20" w:rsidRDefault="00277F3A" w:rsidP="00277F3A">
            <w:pPr>
              <w:spacing w:after="0" w:line="240" w:lineRule="auto"/>
              <w:jc w:val="right"/>
              <w:rPr>
                <w:rFonts w:ascii="Calibri" w:hAnsi="Calibri" w:cs="Calibri"/>
                <w:color w:val="000000"/>
                <w:sz w:val="22"/>
                <w:szCs w:val="22"/>
              </w:rPr>
            </w:pPr>
            <w:r>
              <w:rPr>
                <w:rFonts w:cs="Arial"/>
                <w:sz w:val="16"/>
                <w:szCs w:val="16"/>
              </w:rPr>
              <w:t>0,000</w:t>
            </w:r>
          </w:p>
        </w:tc>
        <w:tc>
          <w:tcPr>
            <w:tcW w:w="673" w:type="dxa"/>
            <w:tcBorders>
              <w:top w:val="nil"/>
              <w:left w:val="nil"/>
              <w:bottom w:val="nil"/>
              <w:right w:val="nil"/>
            </w:tcBorders>
            <w:shd w:val="clear" w:color="auto" w:fill="auto"/>
            <w:noWrap/>
            <w:vAlign w:val="center"/>
            <w:hideMark/>
          </w:tcPr>
          <w:p w14:paraId="050A296A" w14:textId="57B41AA8" w:rsidR="00277F3A" w:rsidRPr="00D92E20" w:rsidRDefault="00277F3A" w:rsidP="00277F3A">
            <w:pPr>
              <w:spacing w:after="0" w:line="240" w:lineRule="auto"/>
              <w:jc w:val="right"/>
              <w:rPr>
                <w:rFonts w:ascii="Calibri" w:hAnsi="Calibri" w:cs="Calibri"/>
                <w:color w:val="000000"/>
                <w:sz w:val="22"/>
                <w:szCs w:val="22"/>
              </w:rPr>
            </w:pPr>
            <w:r>
              <w:rPr>
                <w:rFonts w:cs="Arial"/>
                <w:sz w:val="16"/>
                <w:szCs w:val="16"/>
              </w:rPr>
              <w:t>0,051</w:t>
            </w:r>
          </w:p>
        </w:tc>
        <w:tc>
          <w:tcPr>
            <w:tcW w:w="673" w:type="dxa"/>
            <w:tcBorders>
              <w:top w:val="nil"/>
              <w:left w:val="nil"/>
              <w:bottom w:val="nil"/>
              <w:right w:val="nil"/>
            </w:tcBorders>
            <w:shd w:val="clear" w:color="auto" w:fill="auto"/>
            <w:noWrap/>
            <w:vAlign w:val="center"/>
            <w:hideMark/>
          </w:tcPr>
          <w:p w14:paraId="71E37955" w14:textId="58DB5965" w:rsidR="00277F3A" w:rsidRPr="00D92E20" w:rsidRDefault="00277F3A" w:rsidP="00277F3A">
            <w:pPr>
              <w:spacing w:after="0" w:line="240" w:lineRule="auto"/>
              <w:jc w:val="right"/>
              <w:rPr>
                <w:rFonts w:cs="Arial"/>
                <w:color w:val="000000"/>
                <w:sz w:val="16"/>
                <w:szCs w:val="16"/>
              </w:rPr>
            </w:pPr>
            <w:r>
              <w:rPr>
                <w:rFonts w:cs="Arial"/>
                <w:sz w:val="16"/>
                <w:szCs w:val="16"/>
              </w:rPr>
              <w:t>0,067</w:t>
            </w:r>
          </w:p>
        </w:tc>
        <w:tc>
          <w:tcPr>
            <w:tcW w:w="673" w:type="dxa"/>
            <w:tcBorders>
              <w:top w:val="nil"/>
              <w:left w:val="nil"/>
              <w:bottom w:val="nil"/>
              <w:right w:val="nil"/>
            </w:tcBorders>
            <w:shd w:val="clear" w:color="auto" w:fill="auto"/>
            <w:noWrap/>
            <w:vAlign w:val="center"/>
            <w:hideMark/>
          </w:tcPr>
          <w:p w14:paraId="3EB2AA10" w14:textId="397BEABD" w:rsidR="00277F3A" w:rsidRPr="00D92E20" w:rsidRDefault="00277F3A" w:rsidP="00277F3A">
            <w:pPr>
              <w:spacing w:after="0" w:line="240" w:lineRule="auto"/>
              <w:jc w:val="right"/>
              <w:rPr>
                <w:rFonts w:cs="Arial"/>
                <w:color w:val="000000"/>
                <w:sz w:val="16"/>
                <w:szCs w:val="16"/>
              </w:rPr>
            </w:pPr>
            <w:r>
              <w:rPr>
                <w:rFonts w:cs="Arial"/>
                <w:sz w:val="16"/>
                <w:szCs w:val="16"/>
              </w:rPr>
              <w:t>0,077</w:t>
            </w:r>
          </w:p>
        </w:tc>
        <w:tc>
          <w:tcPr>
            <w:tcW w:w="673" w:type="dxa"/>
            <w:tcBorders>
              <w:top w:val="nil"/>
              <w:left w:val="nil"/>
              <w:bottom w:val="nil"/>
              <w:right w:val="nil"/>
            </w:tcBorders>
            <w:shd w:val="clear" w:color="auto" w:fill="auto"/>
            <w:noWrap/>
            <w:vAlign w:val="center"/>
            <w:hideMark/>
          </w:tcPr>
          <w:p w14:paraId="67330F23" w14:textId="4B30A495" w:rsidR="00277F3A" w:rsidRPr="00D92E20" w:rsidRDefault="00277F3A" w:rsidP="00277F3A">
            <w:pPr>
              <w:spacing w:after="0" w:line="240" w:lineRule="auto"/>
              <w:jc w:val="right"/>
              <w:rPr>
                <w:rFonts w:cs="Arial"/>
                <w:color w:val="000000"/>
                <w:sz w:val="16"/>
                <w:szCs w:val="16"/>
              </w:rPr>
            </w:pPr>
            <w:r>
              <w:rPr>
                <w:rFonts w:cs="Arial"/>
                <w:sz w:val="16"/>
                <w:szCs w:val="16"/>
              </w:rPr>
              <w:t>0,105</w:t>
            </w:r>
          </w:p>
        </w:tc>
      </w:tr>
    </w:tbl>
    <w:p w14:paraId="0D349851" w14:textId="77777777" w:rsidR="009F0B87" w:rsidRPr="00D92E20" w:rsidRDefault="009F0B87" w:rsidP="009F0B87">
      <w:pPr>
        <w:spacing w:after="0"/>
        <w:jc w:val="both"/>
        <w:rPr>
          <w:rFonts w:cs="Arial"/>
          <w:color w:val="000000"/>
          <w:sz w:val="16"/>
          <w:szCs w:val="16"/>
          <w:vertAlign w:val="superscript"/>
        </w:rPr>
      </w:pPr>
    </w:p>
    <w:p w14:paraId="35C4205C" w14:textId="77777777" w:rsidR="00FB50FB" w:rsidRPr="00D92E20" w:rsidRDefault="009F0B87" w:rsidP="009F0B87">
      <w:pPr>
        <w:spacing w:after="0"/>
        <w:rPr>
          <w:rFonts w:cs="Arial"/>
          <w:szCs w:val="20"/>
        </w:rPr>
      </w:pPr>
      <w:r w:rsidRPr="00D92E20">
        <w:rPr>
          <w:rFonts w:cs="Arial"/>
          <w:color w:val="000000"/>
          <w:sz w:val="16"/>
          <w:szCs w:val="16"/>
          <w:vertAlign w:val="superscript"/>
        </w:rPr>
        <w:t xml:space="preserve">1) </w:t>
      </w:r>
      <w:r w:rsidRPr="00D92E20">
        <w:rPr>
          <w:rFonts w:cs="Arial"/>
          <w:color w:val="000000"/>
          <w:sz w:val="16"/>
          <w:szCs w:val="16"/>
        </w:rPr>
        <w:t xml:space="preserve">Zavedení dávky otcovské poporodní péče, tzv. „otcovská“ – účinnost od 1. února 2018. </w:t>
      </w:r>
      <w:r w:rsidRPr="00D92E20">
        <w:rPr>
          <w:rFonts w:cs="Arial"/>
          <w:color w:val="000000"/>
          <w:sz w:val="16"/>
          <w:szCs w:val="16"/>
        </w:rPr>
        <w:br/>
      </w:r>
      <w:r w:rsidRPr="00D92E20">
        <w:rPr>
          <w:rFonts w:cs="Arial"/>
          <w:color w:val="000000"/>
          <w:sz w:val="16"/>
          <w:szCs w:val="16"/>
          <w:vertAlign w:val="superscript"/>
        </w:rPr>
        <w:t>2)</w:t>
      </w:r>
      <w:r w:rsidRPr="00D92E20">
        <w:rPr>
          <w:rFonts w:cs="Arial"/>
          <w:color w:val="000000"/>
          <w:sz w:val="16"/>
          <w:szCs w:val="16"/>
        </w:rPr>
        <w:t xml:space="preserve"> Zavedení dávky dlouhodobé ošetřovné – účinnost od 1. června 2018.</w:t>
      </w:r>
    </w:p>
    <w:p w14:paraId="401A4775" w14:textId="77777777" w:rsidR="00415731" w:rsidRPr="00D92E20" w:rsidRDefault="009F0B87" w:rsidP="00000A90">
      <w:pPr>
        <w:spacing w:after="120"/>
        <w:jc w:val="both"/>
      </w:pPr>
      <w:r w:rsidRPr="00D92E20">
        <w:rPr>
          <w:rFonts w:cs="Arial"/>
          <w:sz w:val="16"/>
          <w:szCs w:val="16"/>
        </w:rPr>
        <w:t>– pomlčka značí, že se jev nevyskytoval</w:t>
      </w:r>
    </w:p>
    <w:p w14:paraId="4B342BC5" w14:textId="6DB6388A" w:rsidR="009F0B87" w:rsidRDefault="009F0B87" w:rsidP="00000A90">
      <w:pPr>
        <w:spacing w:before="120" w:after="120"/>
        <w:rPr>
          <w:sz w:val="16"/>
        </w:rPr>
      </w:pPr>
      <w:r w:rsidRPr="00D92E20">
        <w:rPr>
          <w:sz w:val="16"/>
        </w:rPr>
        <w:t>Zdroj: ČSSZ</w:t>
      </w:r>
    </w:p>
    <w:p w14:paraId="594D4FB4" w14:textId="07CBCA31" w:rsidR="00350B58" w:rsidRPr="008B012A" w:rsidRDefault="00350B58" w:rsidP="00350B58">
      <w:pPr>
        <w:spacing w:before="120" w:after="120"/>
        <w:jc w:val="both"/>
        <w:rPr>
          <w:rFonts w:cs="Arial"/>
          <w:szCs w:val="16"/>
        </w:rPr>
      </w:pPr>
      <w:r w:rsidRPr="008B012A">
        <w:rPr>
          <w:rFonts w:cs="Arial"/>
          <w:szCs w:val="16"/>
        </w:rPr>
        <w:t>Již od 1. pol. 2008 postupně klesal</w:t>
      </w:r>
      <w:r w:rsidR="0062225A" w:rsidRPr="008B012A">
        <w:rPr>
          <w:rFonts w:cs="Arial"/>
          <w:szCs w:val="16"/>
        </w:rPr>
        <w:t>y</w:t>
      </w:r>
      <w:r w:rsidRPr="008B012A">
        <w:rPr>
          <w:rFonts w:cs="Arial"/>
          <w:szCs w:val="16"/>
        </w:rPr>
        <w:t xml:space="preserve"> </w:t>
      </w:r>
      <w:r w:rsidR="00D91258" w:rsidRPr="008B012A">
        <w:rPr>
          <w:rFonts w:cs="Arial"/>
          <w:szCs w:val="16"/>
        </w:rPr>
        <w:t xml:space="preserve">výdaje </w:t>
      </w:r>
      <w:r w:rsidR="0062225A" w:rsidRPr="008B012A">
        <w:rPr>
          <w:rFonts w:cs="Arial"/>
          <w:szCs w:val="16"/>
        </w:rPr>
        <w:t xml:space="preserve">na </w:t>
      </w:r>
      <w:r w:rsidRPr="008B012A">
        <w:rPr>
          <w:rFonts w:cs="Arial"/>
          <w:szCs w:val="16"/>
        </w:rPr>
        <w:t>dávk</w:t>
      </w:r>
      <w:r w:rsidR="0062225A" w:rsidRPr="008B012A">
        <w:rPr>
          <w:rFonts w:cs="Arial"/>
          <w:szCs w:val="16"/>
        </w:rPr>
        <w:t>y</w:t>
      </w:r>
      <w:r w:rsidRPr="008B012A">
        <w:rPr>
          <w:rFonts w:cs="Arial"/>
          <w:szCs w:val="16"/>
        </w:rPr>
        <w:t xml:space="preserve"> nemocenského, a sice z 13,1 mld. Kč téměř na polovinu v 1. po</w:t>
      </w:r>
      <w:r w:rsidR="008B012A" w:rsidRPr="008B012A">
        <w:rPr>
          <w:rFonts w:cs="Arial"/>
          <w:szCs w:val="16"/>
        </w:rPr>
        <w:t>l. 2012 (pokles o 6,9 mld. Kč). Mezi 1. pol. 2019 a 1. pol. 2021 došlo</w:t>
      </w:r>
      <w:r w:rsidRPr="008B012A">
        <w:rPr>
          <w:rFonts w:cs="Arial"/>
          <w:szCs w:val="16"/>
        </w:rPr>
        <w:t xml:space="preserve"> k poměrně výraznému nárůstu výdajů za nemocenské. Oproti období před pandemií (1. pol. 2019) se výdaje v 1. pol. 2021 zvýšily o 4,6 mld. Kč, tj.</w:t>
      </w:r>
      <w:r w:rsidR="00CD63E8" w:rsidRPr="008B012A">
        <w:rPr>
          <w:rFonts w:cs="Arial"/>
          <w:szCs w:val="16"/>
        </w:rPr>
        <w:t> </w:t>
      </w:r>
      <w:r w:rsidRPr="008B012A">
        <w:rPr>
          <w:rFonts w:cs="Arial"/>
          <w:szCs w:val="16"/>
        </w:rPr>
        <w:t>o</w:t>
      </w:r>
      <w:r w:rsidR="00CD63E8" w:rsidRPr="008B012A">
        <w:rPr>
          <w:rFonts w:cs="Arial"/>
          <w:szCs w:val="16"/>
        </w:rPr>
        <w:t> </w:t>
      </w:r>
      <w:r w:rsidRPr="008B012A">
        <w:rPr>
          <w:rFonts w:cs="Arial"/>
          <w:szCs w:val="16"/>
        </w:rPr>
        <w:t>třetinu.</w:t>
      </w:r>
      <w:r w:rsidR="008B012A" w:rsidRPr="008B012A">
        <w:rPr>
          <w:rFonts w:cs="Arial"/>
          <w:szCs w:val="16"/>
        </w:rPr>
        <w:t xml:space="preserve"> </w:t>
      </w:r>
      <w:r w:rsidR="00E34258">
        <w:rPr>
          <w:rFonts w:cs="Arial"/>
          <w:szCs w:val="16"/>
        </w:rPr>
        <w:t>Následně m</w:t>
      </w:r>
      <w:r w:rsidR="008B012A" w:rsidRPr="008B012A">
        <w:rPr>
          <w:rFonts w:cs="Arial"/>
          <w:szCs w:val="16"/>
        </w:rPr>
        <w:t>eziročně poklesly o již zmíněných 735 mil. Kč.</w:t>
      </w:r>
    </w:p>
    <w:p w14:paraId="05F79811" w14:textId="00299C93" w:rsidR="00350B58" w:rsidRPr="00D92E20" w:rsidRDefault="00350B58" w:rsidP="00350B58">
      <w:pPr>
        <w:spacing w:before="120" w:after="120"/>
        <w:jc w:val="both"/>
      </w:pPr>
      <w:r w:rsidRPr="008B012A">
        <w:t xml:space="preserve">Podrobnější informace k výdajům na nemocenské a dalším dávkám, které jsou poskytovány ze systému nemocenského pojištění, naleznete na internetových stránkách MPSV v  </w:t>
      </w:r>
      <w:hyperlink r:id="rId29" w:history="1">
        <w:r w:rsidR="00D91258" w:rsidRPr="008B012A">
          <w:rPr>
            <w:rStyle w:val="Hypertextovodkaz"/>
          </w:rPr>
          <w:t>Analýze vývoje nemocenského pojištění</w:t>
        </w:r>
      </w:hyperlink>
      <w:r w:rsidR="009E707F" w:rsidRPr="008B012A">
        <w:t>.</w:t>
      </w:r>
    </w:p>
    <w:p w14:paraId="02A3F8A1" w14:textId="77777777" w:rsidR="00350B58" w:rsidRPr="00D92E20" w:rsidRDefault="00350B58" w:rsidP="00000A90">
      <w:pPr>
        <w:spacing w:before="120" w:after="120"/>
        <w:rPr>
          <w:sz w:val="16"/>
        </w:rPr>
      </w:pPr>
    </w:p>
    <w:p w14:paraId="436EE68D" w14:textId="77777777" w:rsidR="00350B58" w:rsidRDefault="00350B58">
      <w:pPr>
        <w:spacing w:after="0" w:line="240" w:lineRule="auto"/>
        <w:rPr>
          <w:b/>
        </w:rPr>
      </w:pPr>
      <w:r>
        <w:rPr>
          <w:b/>
        </w:rPr>
        <w:br w:type="page"/>
      </w:r>
    </w:p>
    <w:p w14:paraId="68276F43" w14:textId="20C746BF" w:rsidR="0094191B" w:rsidRPr="00D92E20" w:rsidRDefault="003B04F2" w:rsidP="00004237">
      <w:pPr>
        <w:spacing w:after="0"/>
        <w:jc w:val="both"/>
      </w:pPr>
      <w:r w:rsidRPr="00D92E20">
        <w:rPr>
          <w:b/>
        </w:rPr>
        <w:lastRenderedPageBreak/>
        <w:t xml:space="preserve">Graf 4.1: </w:t>
      </w:r>
      <w:r w:rsidR="00D91258">
        <w:rPr>
          <w:b/>
        </w:rPr>
        <w:t>V</w:t>
      </w:r>
      <w:r w:rsidRPr="00D92E20">
        <w:rPr>
          <w:b/>
        </w:rPr>
        <w:t xml:space="preserve">ýdaje na nemocenské </w:t>
      </w:r>
      <w:r w:rsidR="00D91258">
        <w:rPr>
          <w:b/>
        </w:rPr>
        <w:t xml:space="preserve">v mld. Kč </w:t>
      </w:r>
      <w:r w:rsidRPr="00D92E20">
        <w:rPr>
          <w:b/>
        </w:rPr>
        <w:t xml:space="preserve">a </w:t>
      </w:r>
      <w:r w:rsidR="008B7D64" w:rsidRPr="00D92E20">
        <w:rPr>
          <w:b/>
        </w:rPr>
        <w:t>v přepočtu na 1 pojištěnce</w:t>
      </w:r>
      <w:r w:rsidRPr="00D92E20">
        <w:rPr>
          <w:b/>
        </w:rPr>
        <w:t xml:space="preserve">, </w:t>
      </w:r>
      <w:r w:rsidR="009F34CD" w:rsidRPr="0050059C">
        <w:rPr>
          <w:b/>
          <w:spacing w:val="-2"/>
        </w:rPr>
        <w:t>1. pol. 201</w:t>
      </w:r>
      <w:r w:rsidR="009F34CD">
        <w:rPr>
          <w:b/>
          <w:spacing w:val="-2"/>
        </w:rPr>
        <w:t>2</w:t>
      </w:r>
      <w:r w:rsidR="009F34CD" w:rsidRPr="0050059C">
        <w:rPr>
          <w:b/>
          <w:spacing w:val="-2"/>
        </w:rPr>
        <w:t xml:space="preserve"> až 1. pol. 202</w:t>
      </w:r>
      <w:r w:rsidR="009F34CD">
        <w:rPr>
          <w:b/>
          <w:spacing w:val="-2"/>
        </w:rPr>
        <w:t>2</w:t>
      </w:r>
    </w:p>
    <w:p w14:paraId="799257C7" w14:textId="7BA2ED3D" w:rsidR="009E707F" w:rsidRDefault="00277F3A" w:rsidP="00000A90">
      <w:pPr>
        <w:spacing w:after="120"/>
        <w:jc w:val="both"/>
        <w:rPr>
          <w:sz w:val="16"/>
        </w:rPr>
      </w:pPr>
      <w:r>
        <w:rPr>
          <w:noProof/>
        </w:rPr>
        <w:drawing>
          <wp:inline distT="0" distB="0" distL="0" distR="0" wp14:anchorId="347438B8" wp14:editId="1EE2203F">
            <wp:extent cx="6048375" cy="2990850"/>
            <wp:effectExtent l="0" t="0" r="9525" b="0"/>
            <wp:docPr id="31" name="Graf 31"/>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14:paraId="4BE44A0F" w14:textId="0BA2A4A0" w:rsidR="003B04F2" w:rsidRPr="00D92E20" w:rsidRDefault="00004237" w:rsidP="00000A90">
      <w:pPr>
        <w:spacing w:after="120"/>
        <w:jc w:val="both"/>
        <w:rPr>
          <w:sz w:val="16"/>
        </w:rPr>
      </w:pPr>
      <w:r w:rsidRPr="00D92E20">
        <w:rPr>
          <w:sz w:val="16"/>
        </w:rPr>
        <w:t xml:space="preserve"> </w:t>
      </w:r>
      <w:r w:rsidR="003B04F2" w:rsidRPr="00D92E20">
        <w:rPr>
          <w:sz w:val="16"/>
        </w:rPr>
        <w:t>Zdroj: ČSSZ, ČSÚ</w:t>
      </w:r>
    </w:p>
    <w:p w14:paraId="07631271" w14:textId="2458DC6A" w:rsidR="00D93ABC" w:rsidRPr="00E34258" w:rsidRDefault="00D93ABC" w:rsidP="00000A90">
      <w:pPr>
        <w:pStyle w:val="Nadpis3"/>
        <w:numPr>
          <w:ilvl w:val="2"/>
          <w:numId w:val="5"/>
        </w:numPr>
        <w:spacing w:after="120"/>
        <w:ind w:left="709"/>
      </w:pPr>
      <w:bookmarkStart w:id="26" w:name="_Toc117774433"/>
      <w:r w:rsidRPr="00E34258">
        <w:t xml:space="preserve">Vliv pandemie </w:t>
      </w:r>
      <w:r w:rsidR="00060225" w:rsidRPr="00E34258">
        <w:t>c</w:t>
      </w:r>
      <w:r w:rsidRPr="00E34258">
        <w:t>ovid-19 na dávky nemocenského pojištění</w:t>
      </w:r>
      <w:bookmarkEnd w:id="26"/>
    </w:p>
    <w:p w14:paraId="095AEFAF" w14:textId="41256CEC" w:rsidR="00E061D9" w:rsidRPr="004D3AD6" w:rsidRDefault="00E061D9" w:rsidP="00E061D9">
      <w:pPr>
        <w:pStyle w:val="Default"/>
        <w:spacing w:before="120" w:after="120" w:line="288" w:lineRule="auto"/>
        <w:jc w:val="both"/>
        <w:rPr>
          <w:rFonts w:eastAsia="Times New Roman" w:cs="Times New Roman"/>
          <w:color w:val="auto"/>
          <w:sz w:val="20"/>
          <w:lang w:eastAsia="cs-CZ"/>
        </w:rPr>
      </w:pPr>
      <w:r w:rsidRPr="004D3AD6">
        <w:rPr>
          <w:rFonts w:eastAsia="Times New Roman" w:cs="Times New Roman"/>
          <w:color w:val="auto"/>
          <w:sz w:val="20"/>
          <w:lang w:eastAsia="cs-CZ"/>
        </w:rPr>
        <w:t>Zatímco do března roku 2020 bylo vyplácení dávky nemocenského pro případ karantény</w:t>
      </w:r>
      <w:r w:rsidRPr="004D3AD6">
        <w:rPr>
          <w:rStyle w:val="Znakapoznpodarou"/>
          <w:rFonts w:eastAsia="Times New Roman" w:cs="Times New Roman"/>
          <w:color w:val="auto"/>
          <w:sz w:val="20"/>
          <w:lang w:eastAsia="cs-CZ"/>
        </w:rPr>
        <w:footnoteReference w:id="4"/>
      </w:r>
      <w:r w:rsidRPr="004D3AD6">
        <w:rPr>
          <w:rFonts w:eastAsia="Times New Roman" w:cs="Times New Roman"/>
          <w:color w:val="auto"/>
          <w:sz w:val="20"/>
          <w:lang w:eastAsia="cs-CZ"/>
        </w:rPr>
        <w:t xml:space="preserve"> spíše teoretickým nárokem, kvůli vyhlášení nouzového stavu 12. 3. 2020 se stalo běžnou praxí. Od té doby do konce roku 2020 bylo vydáno celkem 480 tis. neschopenek pro karanténu či izolaci</w:t>
      </w:r>
      <w:r w:rsidRPr="004D3AD6">
        <w:rPr>
          <w:rStyle w:val="Znakapoznpodarou"/>
          <w:rFonts w:eastAsia="Times New Roman" w:cs="Times New Roman"/>
          <w:color w:val="auto"/>
          <w:sz w:val="20"/>
          <w:lang w:eastAsia="cs-CZ"/>
        </w:rPr>
        <w:footnoteReference w:id="5"/>
      </w:r>
      <w:r w:rsidRPr="004D3AD6">
        <w:rPr>
          <w:rFonts w:eastAsia="Times New Roman" w:cs="Times New Roman"/>
          <w:color w:val="auto"/>
          <w:sz w:val="20"/>
          <w:lang w:eastAsia="cs-CZ"/>
        </w:rPr>
        <w:t xml:space="preserve">, za rok 2021 vydala ČSSZ ze stejného důvodu 860 tis. neschopností. Za 1. pol. 2022 bylo vystaveno 847 tis. takových neschopenek, ovšem je potřeba upozornit, že v lednu a únoru při testování zaměstnanců byly některým pracujícím vydány neschopenky duplicitně. V zájmu operativního jednání při vyřizování karantén a izolací vydávali neschopenky jak praktičtí lékaři, tak krajské hygienické stanice. Údaje za první 2 měsíce roku 2022 v grafu 4.2 </w:t>
      </w:r>
      <w:r>
        <w:rPr>
          <w:rFonts w:eastAsia="Times New Roman" w:cs="Times New Roman"/>
          <w:color w:val="auto"/>
          <w:sz w:val="20"/>
          <w:lang w:eastAsia="cs-CZ"/>
        </w:rPr>
        <w:t>jsou tedy do jisté míry zkreslené a nadsazené</w:t>
      </w:r>
      <w:r w:rsidRPr="004D3AD6">
        <w:rPr>
          <w:rFonts w:eastAsia="Times New Roman" w:cs="Times New Roman"/>
          <w:color w:val="auto"/>
          <w:sz w:val="20"/>
          <w:lang w:eastAsia="cs-CZ"/>
        </w:rPr>
        <w:t>. V březnu roku 2022 bylo vydáno více než 100 tis. neschopností pro karanténu či izolaci a lze říci, že 3 z 10 neschopenek byly vydané právě za tímto účelem. V březnu 2021 kompenzovala ztrátu příjmu kvůli karanténě či izolaci každá druhá neschopenka.</w:t>
      </w:r>
    </w:p>
    <w:p w14:paraId="00A9B989" w14:textId="03CEDBCC" w:rsidR="004C0781" w:rsidRDefault="00E061D9" w:rsidP="00E061D9">
      <w:pPr>
        <w:pStyle w:val="Default"/>
        <w:spacing w:before="120" w:after="120" w:line="288" w:lineRule="auto"/>
        <w:jc w:val="both"/>
        <w:rPr>
          <w:rFonts w:eastAsia="Times New Roman" w:cs="Times New Roman"/>
          <w:color w:val="auto"/>
          <w:sz w:val="20"/>
          <w:lang w:eastAsia="cs-CZ"/>
        </w:rPr>
      </w:pPr>
      <w:r w:rsidRPr="00DA2E8B">
        <w:rPr>
          <w:rFonts w:eastAsia="Times New Roman" w:cs="Times New Roman"/>
          <w:color w:val="auto"/>
          <w:sz w:val="20"/>
          <w:lang w:eastAsia="cs-CZ"/>
        </w:rPr>
        <w:t>Nutno doplnit, že tato čísla odráží pouze případy pojištěnců, kteří mají na dávku nemocenského nárok a také o ni zažádali. Nerovná se počtu nařízených karantén od krajských hygienických stanic (karanténa může být nařízena i dětem, studentům či nepracujícím seniorům). Vzhledem k širším možnostem práce z domova mohly osoby v nařízené karanténě (pokud to povaha jejich práce dovolovala) i nadále pracovat za plnou mzdu, aniž by porušovaly pravidla karantény.</w:t>
      </w:r>
      <w:r>
        <w:rPr>
          <w:rFonts w:eastAsia="Times New Roman" w:cs="Times New Roman"/>
          <w:color w:val="auto"/>
          <w:sz w:val="20"/>
          <w:lang w:eastAsia="cs-CZ"/>
        </w:rPr>
        <w:t xml:space="preserve"> Na vliv počtu případů měly vliv i podmínky pro testování, délka karantén či obecně vládní opatření proti šíření koronaviru.</w:t>
      </w:r>
    </w:p>
    <w:p w14:paraId="31D2C4C7" w14:textId="77777777" w:rsidR="004C0781" w:rsidRDefault="004C0781">
      <w:pPr>
        <w:spacing w:after="0" w:line="240" w:lineRule="auto"/>
      </w:pPr>
      <w:r>
        <w:br w:type="page"/>
      </w:r>
    </w:p>
    <w:p w14:paraId="0A3F6FA6" w14:textId="64AD1EC8" w:rsidR="00E061D9" w:rsidRPr="00E061D9" w:rsidRDefault="00E061D9" w:rsidP="00E061D9">
      <w:pPr>
        <w:spacing w:after="0"/>
        <w:jc w:val="both"/>
        <w:rPr>
          <w:b/>
        </w:rPr>
      </w:pPr>
      <w:r w:rsidRPr="00E061D9">
        <w:rPr>
          <w:b/>
        </w:rPr>
        <w:lastRenderedPageBreak/>
        <w:t>Graf 4.2: Počet případů pracovní neschopnosti z důvodu karantény či izolace a jejich podíl na celkovém počtu vydaných neschopenek, 1. pol. 2022</w:t>
      </w:r>
      <w:r w:rsidR="001D4AB5" w:rsidRPr="004D3AD6">
        <w:rPr>
          <w:rStyle w:val="Znakapoznpodarou"/>
        </w:rPr>
        <w:footnoteReference w:id="6"/>
      </w:r>
    </w:p>
    <w:p w14:paraId="699F8333" w14:textId="138D0992" w:rsidR="00E061D9" w:rsidRDefault="009030AD" w:rsidP="00000A90">
      <w:pPr>
        <w:pStyle w:val="Default"/>
        <w:spacing w:before="120" w:after="120" w:line="288" w:lineRule="auto"/>
        <w:jc w:val="both"/>
        <w:rPr>
          <w:rFonts w:eastAsia="Times New Roman" w:cs="Times New Roman"/>
          <w:color w:val="auto"/>
          <w:sz w:val="20"/>
          <w:highlight w:val="yellow"/>
          <w:lang w:eastAsia="cs-CZ"/>
        </w:rPr>
      </w:pPr>
      <w:r>
        <w:rPr>
          <w:noProof/>
          <w:lang w:eastAsia="cs-CZ"/>
        </w:rPr>
        <mc:AlternateContent>
          <mc:Choice Requires="wps">
            <w:drawing>
              <wp:anchor distT="0" distB="0" distL="114300" distR="114300" simplePos="0" relativeHeight="251671040" behindDoc="0" locked="0" layoutInCell="1" allowOverlap="1" wp14:anchorId="24B4EF3F" wp14:editId="3841556D">
                <wp:simplePos x="0" y="0"/>
                <wp:positionH relativeFrom="column">
                  <wp:posOffset>2232661</wp:posOffset>
                </wp:positionH>
                <wp:positionV relativeFrom="paragraph">
                  <wp:posOffset>72390</wp:posOffset>
                </wp:positionV>
                <wp:extent cx="0" cy="2247900"/>
                <wp:effectExtent l="57150" t="19050" r="76200" b="57150"/>
                <wp:wrapNone/>
                <wp:docPr id="16" name="Přímá spojnice 16"/>
                <wp:cNvGraphicFramePr/>
                <a:graphic xmlns:a="http://schemas.openxmlformats.org/drawingml/2006/main">
                  <a:graphicData uri="http://schemas.microsoft.com/office/word/2010/wordprocessingShape">
                    <wps:wsp>
                      <wps:cNvCnPr/>
                      <wps:spPr>
                        <a:xfrm>
                          <a:off x="0" y="0"/>
                          <a:ext cx="0" cy="2247900"/>
                        </a:xfrm>
                        <a:prstGeom prst="line">
                          <a:avLst/>
                        </a:prstGeom>
                        <a:ln w="6350">
                          <a:solidFill>
                            <a:srgbClr val="C00000"/>
                          </a:solidFill>
                          <a:prstDash val="dash"/>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B75420A" id="Přímá spojnice 16" o:spid="_x0000_s1026" style="position:absolute;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75.8pt,5.7pt" to="175.8pt,18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" strokecolor="#c00000" strokeweight=".5pt">
                <v:stroke dashstyle="dash"/>
                <v:shadow on="t" color="black" opacity="24903f" origin=",.5" offset="0,.55556mm"/>
              </v:line>
            </w:pict>
          </mc:Fallback>
        </mc:AlternateContent>
      </w:r>
      <w:r w:rsidR="00E061D9">
        <w:rPr>
          <w:noProof/>
          <w:lang w:eastAsia="cs-CZ"/>
        </w:rPr>
        <w:drawing>
          <wp:inline distT="0" distB="0" distL="0" distR="0" wp14:anchorId="455A0EB7" wp14:editId="00765458">
            <wp:extent cx="6115050" cy="2800350"/>
            <wp:effectExtent l="0" t="0" r="0" b="0"/>
            <wp:docPr id="54" name="Graf 54"/>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14:paraId="22459795" w14:textId="77777777" w:rsidR="00E061D9" w:rsidRPr="00C04835" w:rsidRDefault="00E061D9" w:rsidP="00E061D9">
      <w:pPr>
        <w:jc w:val="both"/>
        <w:rPr>
          <w:sz w:val="16"/>
        </w:rPr>
      </w:pPr>
      <w:r w:rsidRPr="00C04835">
        <w:rPr>
          <w:sz w:val="16"/>
        </w:rPr>
        <w:t xml:space="preserve">Pozn.: </w:t>
      </w:r>
      <w:r>
        <w:rPr>
          <w:sz w:val="16"/>
        </w:rPr>
        <w:t>Ve statistikách za leden (od 17. 1.) a únor se mohou nacházet duplicity, protože neschopenky mohli za účelem zajištění operativního jednání ohledně karantén a izolací vydávat souběžně jak krajské hygienické stanice, tak praktičtí lékaři. Z dostupných zdrojových databází není možné duplicitní případy identifikovat.</w:t>
      </w:r>
    </w:p>
    <w:p w14:paraId="62D4EE71" w14:textId="5F2B7708" w:rsidR="00E061D9" w:rsidRDefault="00E061D9" w:rsidP="00E061D9">
      <w:pPr>
        <w:spacing w:after="120"/>
        <w:jc w:val="both"/>
        <w:rPr>
          <w:sz w:val="16"/>
        </w:rPr>
      </w:pPr>
      <w:r w:rsidRPr="00D92E20">
        <w:rPr>
          <w:sz w:val="16"/>
        </w:rPr>
        <w:t>Zdroj: ČSSZ</w:t>
      </w:r>
    </w:p>
    <w:p w14:paraId="57A56DBE" w14:textId="77777777" w:rsidR="00E061D9" w:rsidRPr="00BC19BE" w:rsidRDefault="00E061D9" w:rsidP="00E061D9">
      <w:pPr>
        <w:pStyle w:val="Textkomente"/>
        <w:rPr>
          <w:spacing w:val="-4"/>
        </w:rPr>
      </w:pPr>
      <w:r w:rsidRPr="00BC19BE">
        <w:rPr>
          <w:b/>
          <w:bCs/>
          <w:spacing w:val="-4"/>
        </w:rPr>
        <w:t xml:space="preserve">Graf 4.3: </w:t>
      </w:r>
      <w:r w:rsidRPr="00BC19BE">
        <w:rPr>
          <w:b/>
          <w:spacing w:val="-4"/>
        </w:rPr>
        <w:t>Celkové denní součty hlášených případů karantény podle jednotlivých dnů, 1. pol. 2020 až 2022</w:t>
      </w:r>
    </w:p>
    <w:p w14:paraId="00700468" w14:textId="77777777" w:rsidR="00E061D9" w:rsidRPr="00D92E20" w:rsidRDefault="00E061D9" w:rsidP="00E061D9">
      <w:pPr>
        <w:spacing w:after="0"/>
        <w:jc w:val="both"/>
        <w:rPr>
          <w:b/>
        </w:rPr>
      </w:pPr>
      <w:r>
        <w:rPr>
          <w:noProof/>
        </w:rPr>
        <w:drawing>
          <wp:inline distT="0" distB="0" distL="0" distR="0" wp14:anchorId="3B0C59BC" wp14:editId="698FF4C6">
            <wp:extent cx="6120130" cy="3352800"/>
            <wp:effectExtent l="0" t="0" r="13970" b="0"/>
            <wp:docPr id="55" name="Graf 55"/>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14:paraId="6465B4A3" w14:textId="77777777" w:rsidR="00E061D9" w:rsidRPr="00D92E20" w:rsidRDefault="00E061D9" w:rsidP="00E061D9">
      <w:pPr>
        <w:spacing w:after="120"/>
        <w:jc w:val="both"/>
        <w:rPr>
          <w:sz w:val="16"/>
        </w:rPr>
      </w:pPr>
      <w:r w:rsidRPr="00D92E20">
        <w:rPr>
          <w:sz w:val="16"/>
        </w:rPr>
        <w:t>Zdroj: ČSSZ</w:t>
      </w:r>
    </w:p>
    <w:p w14:paraId="476488B1" w14:textId="584C7752" w:rsidR="003C6B69" w:rsidRPr="00D92E20" w:rsidRDefault="00E061D9" w:rsidP="00E061D9">
      <w:pPr>
        <w:pStyle w:val="Default"/>
        <w:spacing w:before="120" w:after="120" w:line="288" w:lineRule="auto"/>
        <w:jc w:val="both"/>
        <w:rPr>
          <w:b/>
        </w:rPr>
      </w:pPr>
      <w:r w:rsidRPr="00EA05C7">
        <w:rPr>
          <w:rFonts w:eastAsia="Times New Roman" w:cs="Times New Roman"/>
          <w:color w:val="auto"/>
          <w:sz w:val="20"/>
          <w:lang w:eastAsia="cs-CZ"/>
        </w:rPr>
        <w:lastRenderedPageBreak/>
        <w:t>Pandemie se na výdajové stránce nemocenského pojištění podepsala nejen v dávce nemocenské, ale rovněž ošetřovné. Zatímco do 1. pol. 2019 činil podíl výdajů za ošetřovné maximálně 6 % celkových výdajů na dávky nemocenského pojištění, v 1. pol. 2020 to byla více než čtvrtina. Navýšení nákladů bylo způsobeno jednak vyšším počtem případů, jednak zvýšením částky pro výpočet ošetřovného při epidemii uzákoněné na podzim roku 2020 (tzv. krizové ošetřovné</w:t>
      </w:r>
      <w:r w:rsidRPr="00EA05C7">
        <w:rPr>
          <w:rStyle w:val="Znakapoznpodarou"/>
          <w:rFonts w:eastAsia="Times New Roman" w:cs="Times New Roman"/>
          <w:color w:val="auto"/>
          <w:sz w:val="20"/>
          <w:lang w:eastAsia="cs-CZ"/>
        </w:rPr>
        <w:footnoteReference w:id="7"/>
      </w:r>
      <w:r w:rsidRPr="00EA05C7">
        <w:rPr>
          <w:rFonts w:eastAsia="Times New Roman" w:cs="Times New Roman"/>
          <w:color w:val="auto"/>
          <w:sz w:val="20"/>
          <w:lang w:eastAsia="cs-CZ"/>
        </w:rPr>
        <w:t>). Z dosud počítaných 60 % byl zvýšen na 70 %</w:t>
      </w:r>
      <w:r w:rsidRPr="00EA05C7">
        <w:rPr>
          <w:rStyle w:val="Znakapoznpodarou"/>
          <w:rFonts w:eastAsia="Times New Roman" w:cs="Times New Roman"/>
          <w:color w:val="auto"/>
          <w:sz w:val="20"/>
          <w:lang w:eastAsia="cs-CZ"/>
        </w:rPr>
        <w:footnoteReference w:id="8"/>
      </w:r>
      <w:r w:rsidRPr="00EA05C7">
        <w:rPr>
          <w:rFonts w:eastAsia="Times New Roman" w:cs="Times New Roman"/>
          <w:color w:val="auto"/>
          <w:sz w:val="20"/>
          <w:lang w:eastAsia="cs-CZ"/>
        </w:rPr>
        <w:t xml:space="preserve"> redukovaného denního vyměřovacího základu. Zatímco dříve bylo možné čerpat ošetřovné maximálně 9 dnů, při uzavření školních a dětských zařízení trvala podpůrčí doba po celou dobu mimořádných vládních opatření. Náklady na ošetřovné za 1. pol. 2020 představovaly 7 680 mil. Kč, o 6 mld. více než v celém předchozím roce. Výdaje na ošetřovné v 1. pol. 2021 byly nižší. Činily 4 474 mil. Kč a tvořily jednu šestinu výdajů na dávky systému nemocenského pojištění. Pokles výdajů na ošetřovné pokračoval i v 1. pol. 2022, kdy bylo za tímto účelem vynaloženo 1</w:t>
      </w:r>
      <w:r w:rsidR="003E64F4">
        <w:rPr>
          <w:rFonts w:eastAsia="Times New Roman" w:cs="Times New Roman"/>
          <w:color w:val="auto"/>
          <w:sz w:val="20"/>
          <w:lang w:eastAsia="cs-CZ"/>
        </w:rPr>
        <w:t> </w:t>
      </w:r>
      <w:r w:rsidRPr="00EA05C7">
        <w:rPr>
          <w:rFonts w:eastAsia="Times New Roman" w:cs="Times New Roman"/>
          <w:color w:val="auto"/>
          <w:sz w:val="20"/>
          <w:lang w:eastAsia="cs-CZ"/>
        </w:rPr>
        <w:t>813</w:t>
      </w:r>
      <w:r w:rsidR="003E64F4">
        <w:rPr>
          <w:rFonts w:eastAsia="Times New Roman" w:cs="Times New Roman"/>
          <w:color w:val="auto"/>
          <w:sz w:val="20"/>
          <w:lang w:eastAsia="cs-CZ"/>
        </w:rPr>
        <w:t> </w:t>
      </w:r>
      <w:r w:rsidRPr="00EA05C7">
        <w:rPr>
          <w:rFonts w:eastAsia="Times New Roman" w:cs="Times New Roman"/>
          <w:color w:val="auto"/>
          <w:sz w:val="20"/>
          <w:lang w:eastAsia="cs-CZ"/>
        </w:rPr>
        <w:t>mil. Kč, tedy 7 % z veškerých výdajů na dávky nemocenského pojištění.</w:t>
      </w:r>
    </w:p>
    <w:p w14:paraId="7321701A" w14:textId="77777777" w:rsidR="004907AB" w:rsidRPr="00D92E20" w:rsidRDefault="004907AB" w:rsidP="00000A90">
      <w:pPr>
        <w:pStyle w:val="Nadpis3"/>
        <w:numPr>
          <w:ilvl w:val="1"/>
          <w:numId w:val="5"/>
        </w:numPr>
        <w:spacing w:after="120"/>
        <w:ind w:left="426" w:hanging="403"/>
      </w:pPr>
      <w:bookmarkStart w:id="27" w:name="_Toc54262806"/>
      <w:bookmarkStart w:id="28" w:name="_Toc117774434"/>
      <w:r w:rsidRPr="00D92E20">
        <w:t>Pracovní úrazy</w:t>
      </w:r>
      <w:bookmarkEnd w:id="27"/>
      <w:bookmarkEnd w:id="28"/>
    </w:p>
    <w:p w14:paraId="64D6896F" w14:textId="77777777" w:rsidR="004907AB" w:rsidRPr="004E34C7" w:rsidRDefault="004907AB" w:rsidP="00000A90">
      <w:pPr>
        <w:spacing w:after="120"/>
        <w:jc w:val="both"/>
      </w:pPr>
      <w:r w:rsidRPr="004E34C7">
        <w:t>V oblasti pracovní úrazovosti ukládá česká i evropská legislativa zaměstnavatelům řadu povinností související</w:t>
      </w:r>
      <w:r w:rsidR="00EA0F31" w:rsidRPr="004E34C7">
        <w:t>ch</w:t>
      </w:r>
      <w:r w:rsidRPr="004E34C7">
        <w:t xml:space="preserve"> s evidencí, hlášením a objasněním příčin a okolností vzniku každého pracovního úrazu. </w:t>
      </w:r>
    </w:p>
    <w:p w14:paraId="1563480F" w14:textId="77777777" w:rsidR="00F20CF3" w:rsidRPr="004E34C7" w:rsidRDefault="00F20CF3" w:rsidP="00000A90">
      <w:pPr>
        <w:pStyle w:val="Box1"/>
        <w:spacing w:before="120" w:after="120"/>
        <w:ind w:left="0"/>
        <w:contextualSpacing w:val="0"/>
        <w:jc w:val="both"/>
        <w:rPr>
          <w:i/>
        </w:rPr>
      </w:pPr>
      <w:r w:rsidRPr="004E34C7">
        <w:rPr>
          <w:b/>
          <w:i/>
        </w:rPr>
        <w:t xml:space="preserve">Pracovní úraz </w:t>
      </w:r>
      <w:r w:rsidRPr="004E34C7">
        <w:rPr>
          <w:i/>
        </w:rPr>
        <w:t>– pracovním úrazem se rozumí poškození zdraví nebo smrt zaměstnance, došlo-li k nim nezávisle na jeho vůli krátkodobým, náhlým a násilným působením zevních vlivů při plnění pracovních úkolů nebo v přímé souvislosti s ním (viz § 271k odst. 1 až 3 zákona č. 262/2006 Sb., zákoník práce, ve znění pozdějších předpisů).</w:t>
      </w:r>
    </w:p>
    <w:p w14:paraId="1CD02E09" w14:textId="77777777" w:rsidR="00F20CF3" w:rsidRPr="004E34C7" w:rsidRDefault="00F20CF3" w:rsidP="00000A90">
      <w:pPr>
        <w:pStyle w:val="Box1"/>
        <w:spacing w:before="120" w:after="120"/>
        <w:ind w:left="0"/>
        <w:contextualSpacing w:val="0"/>
        <w:jc w:val="both"/>
        <w:rPr>
          <w:b/>
          <w:i/>
        </w:rPr>
      </w:pPr>
      <w:r w:rsidRPr="004E34C7">
        <w:rPr>
          <w:b/>
          <w:i/>
        </w:rPr>
        <w:t>Smrtelný pracovní úraz</w:t>
      </w:r>
      <w:r w:rsidRPr="004E34C7">
        <w:rPr>
          <w:i/>
        </w:rPr>
        <w:t xml:space="preserve"> – je takové poškození zdraví, na jehož následky úrazem postižený zaměstnanec nejpozději do 1 roku zemřel.</w:t>
      </w:r>
    </w:p>
    <w:p w14:paraId="7982C6CA" w14:textId="77777777" w:rsidR="00F20CF3" w:rsidRPr="004E34C7" w:rsidRDefault="00F20CF3" w:rsidP="00000A90">
      <w:pPr>
        <w:pStyle w:val="Box1"/>
        <w:spacing w:before="120" w:after="120"/>
        <w:ind w:left="0"/>
        <w:contextualSpacing w:val="0"/>
        <w:jc w:val="both"/>
        <w:rPr>
          <w:b/>
          <w:i/>
        </w:rPr>
      </w:pPr>
      <w:r w:rsidRPr="004E34C7">
        <w:rPr>
          <w:b/>
          <w:i/>
        </w:rPr>
        <w:t>Závažný pracovní úraz</w:t>
      </w:r>
      <w:r w:rsidRPr="004E34C7">
        <w:rPr>
          <w:i/>
        </w:rPr>
        <w:t xml:space="preserve"> – je takové poškození zdraví, trvá-li hospitalizace úrazem postiženého zaměstnance déle než 5 dnů.</w:t>
      </w:r>
    </w:p>
    <w:p w14:paraId="29112414" w14:textId="77777777" w:rsidR="00F20CF3" w:rsidRPr="004E34C7" w:rsidRDefault="00F20CF3" w:rsidP="00000A90">
      <w:pPr>
        <w:pStyle w:val="Box1"/>
        <w:spacing w:before="120" w:after="120"/>
        <w:ind w:left="0"/>
        <w:contextualSpacing w:val="0"/>
        <w:jc w:val="both"/>
        <w:rPr>
          <w:i/>
        </w:rPr>
      </w:pPr>
      <w:r w:rsidRPr="004E34C7">
        <w:rPr>
          <w:b/>
          <w:i/>
        </w:rPr>
        <w:t xml:space="preserve">Pracovní úraz s pracovní neschopností delší než 3 dny </w:t>
      </w:r>
      <w:r w:rsidRPr="004E34C7">
        <w:rPr>
          <w:i/>
        </w:rPr>
        <w:t>– ukazatel zahrnuje případy pracovních úrazů, které měly za následek dočasnou pracovní neschopnost delší než tři kalendářní dny. Do těchto tří dnů se nezapočítává den, ve kterém k úrazu došlo.</w:t>
      </w:r>
    </w:p>
    <w:p w14:paraId="11A1CDF0" w14:textId="344232E0" w:rsidR="00F20CF3" w:rsidRPr="004E34C7" w:rsidRDefault="00F20CF3" w:rsidP="00000A90">
      <w:pPr>
        <w:spacing w:before="120" w:after="120"/>
        <w:jc w:val="both"/>
      </w:pPr>
      <w:r w:rsidRPr="004E34C7">
        <w:t>Ohlášení pracovního úrazu místně příslušnému Oblastnímu inspektorátu práce (OIP) podléhá smrtelný pracovní úraz a pracovní úraz s hospitalizací delší než 5 dnů (tzv. závažný pracovní úraz) nebo lze-li vzhledem k povaze zranění takovou dobu hospitalizace předpokládat. Vyhotovit záznam o úrazu (vč. případného hlášení změn) a zaslat jej na místně příslušný OIP je zaměstnavatel povinen</w:t>
      </w:r>
      <w:r w:rsidR="00D07285">
        <w:t xml:space="preserve"> i </w:t>
      </w:r>
      <w:r w:rsidRPr="004E34C7">
        <w:t>u pracovního úrazu s pracovní neschopností delší než 3 dny. V závislosti na druhu a okolnostech vzniku pracovního úrazu se pracovní úraz ohlašuje a záznam o něm se zasílá ještě na další stanovené orgány a instituce. Evidenci všech úrazů, tedy i takových, kterými nebyla způsobena pracovní neschopnost nebo jimi byla způsobena pracovní neschopnost nepřesahující 3 kalendářní dny, je zaměstnavatel povinen vést v knize úrazů.</w:t>
      </w:r>
    </w:p>
    <w:p w14:paraId="07662C49" w14:textId="627035CF" w:rsidR="00F20CF3" w:rsidRPr="000158B0" w:rsidRDefault="00951947" w:rsidP="00000A90">
      <w:pPr>
        <w:spacing w:before="120" w:after="120"/>
        <w:jc w:val="both"/>
        <w:rPr>
          <w:rFonts w:cs="Arial"/>
        </w:rPr>
      </w:pPr>
      <w:r w:rsidRPr="000158B0">
        <w:rPr>
          <w:rFonts w:cs="Arial"/>
        </w:rPr>
        <w:t xml:space="preserve">V 1. pol. 2020 se i vlivem uzavření některých podniků a větší míry práce z domova událo nejméně pracovních úrazů za posledních 10 let. </w:t>
      </w:r>
      <w:r w:rsidR="00F20CF3" w:rsidRPr="000158B0">
        <w:rPr>
          <w:bCs/>
        </w:rPr>
        <w:t>Absolutní počet nově hlášených případů dočasné pracovní neschopnosti</w:t>
      </w:r>
      <w:r w:rsidR="00F20CF3" w:rsidRPr="000158B0">
        <w:rPr>
          <w:rFonts w:cs="Arial"/>
        </w:rPr>
        <w:t xml:space="preserve"> pro pracovní úraz </w:t>
      </w:r>
      <w:r w:rsidRPr="000158B0">
        <w:rPr>
          <w:rFonts w:cs="Arial"/>
        </w:rPr>
        <w:t xml:space="preserve">po </w:t>
      </w:r>
      <w:r w:rsidR="000158B0" w:rsidRPr="000158B0">
        <w:rPr>
          <w:rFonts w:cs="Arial"/>
        </w:rPr>
        <w:t>před</w:t>
      </w:r>
      <w:r w:rsidRPr="000158B0">
        <w:rPr>
          <w:rFonts w:cs="Arial"/>
        </w:rPr>
        <w:t>loňském propadu v 1. pol. 2020</w:t>
      </w:r>
      <w:r w:rsidR="00F20CF3" w:rsidRPr="000158B0">
        <w:rPr>
          <w:rFonts w:cs="Arial"/>
        </w:rPr>
        <w:t xml:space="preserve"> </w:t>
      </w:r>
      <w:r w:rsidRPr="000158B0">
        <w:rPr>
          <w:rFonts w:cs="Arial"/>
        </w:rPr>
        <w:t xml:space="preserve">vzrostl </w:t>
      </w:r>
      <w:r w:rsidR="00F20CF3" w:rsidRPr="000158B0">
        <w:rPr>
          <w:rFonts w:cs="Arial"/>
        </w:rPr>
        <w:t>z </w:t>
      </w:r>
      <w:r w:rsidRPr="000158B0">
        <w:rPr>
          <w:rFonts w:cs="Arial"/>
        </w:rPr>
        <w:t>20 483</w:t>
      </w:r>
      <w:r w:rsidR="00EA5FF4" w:rsidRPr="000158B0">
        <w:rPr>
          <w:rFonts w:cs="Arial"/>
        </w:rPr>
        <w:t> </w:t>
      </w:r>
      <w:r w:rsidR="00F20CF3" w:rsidRPr="000158B0">
        <w:rPr>
          <w:rFonts w:cs="Arial"/>
        </w:rPr>
        <w:t xml:space="preserve">případů na </w:t>
      </w:r>
      <w:r w:rsidRPr="000158B0">
        <w:rPr>
          <w:rFonts w:cs="Arial"/>
        </w:rPr>
        <w:t>23 326</w:t>
      </w:r>
      <w:r w:rsidR="00F20CF3" w:rsidRPr="000158B0">
        <w:rPr>
          <w:rFonts w:cs="Arial"/>
        </w:rPr>
        <w:t xml:space="preserve"> případů v</w:t>
      </w:r>
      <w:r w:rsidRPr="000158B0">
        <w:rPr>
          <w:rFonts w:cs="Arial"/>
        </w:rPr>
        <w:t> 1. pol. 2021</w:t>
      </w:r>
      <w:r w:rsidR="00F20CF3" w:rsidRPr="000158B0">
        <w:rPr>
          <w:rFonts w:cs="Arial"/>
        </w:rPr>
        <w:t xml:space="preserve"> (tj. o </w:t>
      </w:r>
      <w:r w:rsidRPr="000158B0">
        <w:rPr>
          <w:rFonts w:cs="Arial"/>
        </w:rPr>
        <w:t xml:space="preserve">14 %) a vrátil se tak na hodnoty z období před pandemií. </w:t>
      </w:r>
      <w:r w:rsidR="000158B0" w:rsidRPr="000158B0">
        <w:rPr>
          <w:rFonts w:cs="Arial"/>
        </w:rPr>
        <w:t>V 1. pol. 2022 došlo jen k mírnému meziročnímu poklesu na 23 </w:t>
      </w:r>
      <w:r w:rsidR="00413919">
        <w:rPr>
          <w:rFonts w:cs="Arial"/>
        </w:rPr>
        <w:t>278</w:t>
      </w:r>
      <w:r w:rsidR="00413919" w:rsidRPr="000158B0">
        <w:rPr>
          <w:rFonts w:cs="Arial"/>
        </w:rPr>
        <w:t xml:space="preserve"> </w:t>
      </w:r>
      <w:r w:rsidR="000158B0" w:rsidRPr="000158B0">
        <w:rPr>
          <w:rFonts w:cs="Arial"/>
        </w:rPr>
        <w:t xml:space="preserve">případů. </w:t>
      </w:r>
      <w:r w:rsidR="00F20CF3" w:rsidRPr="000158B0">
        <w:rPr>
          <w:rFonts w:cs="Arial"/>
        </w:rPr>
        <w:t>Z</w:t>
      </w:r>
      <w:r w:rsidRPr="000158B0">
        <w:rPr>
          <w:rFonts w:cs="Arial"/>
        </w:rPr>
        <w:t> tohoto celkového</w:t>
      </w:r>
      <w:r w:rsidR="00F20CF3" w:rsidRPr="000158B0">
        <w:rPr>
          <w:rFonts w:cs="Arial"/>
        </w:rPr>
        <w:t xml:space="preserve"> počtu bylo </w:t>
      </w:r>
      <w:r w:rsidRPr="000158B0">
        <w:rPr>
          <w:rFonts w:cs="Arial"/>
        </w:rPr>
        <w:t xml:space="preserve">22 </w:t>
      </w:r>
      <w:r w:rsidR="000158B0" w:rsidRPr="000158B0">
        <w:rPr>
          <w:rFonts w:cs="Arial"/>
        </w:rPr>
        <w:t>358</w:t>
      </w:r>
      <w:r w:rsidR="00F20CF3" w:rsidRPr="000158B0">
        <w:rPr>
          <w:rFonts w:cs="Arial"/>
        </w:rPr>
        <w:t xml:space="preserve"> případů (9</w:t>
      </w:r>
      <w:r w:rsidRPr="000158B0">
        <w:rPr>
          <w:rFonts w:cs="Arial"/>
        </w:rPr>
        <w:t>6</w:t>
      </w:r>
      <w:r w:rsidR="00F20CF3" w:rsidRPr="000158B0">
        <w:rPr>
          <w:rFonts w:cs="Arial"/>
        </w:rPr>
        <w:t xml:space="preserve"> %) </w:t>
      </w:r>
      <w:r w:rsidR="00F20CF3" w:rsidRPr="000158B0">
        <w:rPr>
          <w:rFonts w:cs="Arial"/>
          <w:b/>
        </w:rPr>
        <w:t>pracovních úrazů s</w:t>
      </w:r>
      <w:r w:rsidR="00C02C40" w:rsidRPr="000158B0">
        <w:rPr>
          <w:rFonts w:cs="Arial"/>
          <w:b/>
        </w:rPr>
        <w:t> </w:t>
      </w:r>
      <w:r w:rsidR="00F20CF3" w:rsidRPr="000158B0">
        <w:rPr>
          <w:rFonts w:cs="Arial"/>
          <w:b/>
        </w:rPr>
        <w:t>pracovní neschopností delší než 3 kalendářní dny</w:t>
      </w:r>
      <w:r w:rsidR="00F20CF3" w:rsidRPr="000158B0">
        <w:rPr>
          <w:rFonts w:cs="Arial"/>
        </w:rPr>
        <w:t xml:space="preserve"> (tedy těch, které podléhají povinnosti vyhotovit záznam o úrazu a</w:t>
      </w:r>
      <w:r w:rsidRPr="000158B0">
        <w:rPr>
          <w:rFonts w:cs="Arial"/>
        </w:rPr>
        <w:t> </w:t>
      </w:r>
      <w:r w:rsidR="00F20CF3" w:rsidRPr="000158B0">
        <w:rPr>
          <w:rFonts w:cs="Arial"/>
        </w:rPr>
        <w:t>zaslat jej OIP).</w:t>
      </w:r>
    </w:p>
    <w:p w14:paraId="56C39E62" w14:textId="4DB73117" w:rsidR="002858F4" w:rsidRDefault="00350B58" w:rsidP="004E28A0">
      <w:pPr>
        <w:spacing w:before="120" w:after="120"/>
        <w:jc w:val="both"/>
        <w:rPr>
          <w:rFonts w:cs="Arial"/>
        </w:rPr>
      </w:pPr>
      <w:r w:rsidRPr="000158B0">
        <w:rPr>
          <w:rFonts w:cs="Arial"/>
        </w:rPr>
        <w:t xml:space="preserve">V pracovní úrazovosti je dlouhodobě patrný rozdíl mezi </w:t>
      </w:r>
      <w:r w:rsidRPr="000158B0">
        <w:rPr>
          <w:rFonts w:cs="Arial"/>
          <w:b/>
        </w:rPr>
        <w:t>pohlavími</w:t>
      </w:r>
      <w:r w:rsidRPr="000158B0">
        <w:rPr>
          <w:rFonts w:cs="Arial"/>
        </w:rPr>
        <w:t>, muži zde výrazně dominují. Z celkového počtu pracovních úrazů připadaly v 1. pol. 202</w:t>
      </w:r>
      <w:r w:rsidR="000158B0" w:rsidRPr="000158B0">
        <w:rPr>
          <w:rFonts w:cs="Arial"/>
        </w:rPr>
        <w:t>2</w:t>
      </w:r>
      <w:r w:rsidRPr="000158B0">
        <w:rPr>
          <w:rFonts w:cs="Arial"/>
        </w:rPr>
        <w:t xml:space="preserve"> na muže více než dvě třetiny (6</w:t>
      </w:r>
      <w:r w:rsidR="000158B0" w:rsidRPr="000158B0">
        <w:rPr>
          <w:rFonts w:cs="Arial"/>
        </w:rPr>
        <w:t>7</w:t>
      </w:r>
      <w:r w:rsidRPr="000158B0">
        <w:rPr>
          <w:rFonts w:cs="Arial"/>
        </w:rPr>
        <w:t xml:space="preserve"> %), což je </w:t>
      </w:r>
      <w:r w:rsidRPr="000158B0">
        <w:rPr>
          <w:rFonts w:cs="Arial"/>
          <w:b/>
        </w:rPr>
        <w:t>dáno</w:t>
      </w:r>
      <w:r w:rsidRPr="000158B0">
        <w:rPr>
          <w:rFonts w:cs="Arial"/>
        </w:rPr>
        <w:t xml:space="preserve"> především</w:t>
      </w:r>
      <w:r w:rsidRPr="000158B0">
        <w:rPr>
          <w:rFonts w:cs="Arial"/>
          <w:b/>
        </w:rPr>
        <w:t> odlišnou strukturou zaměstnanosti žen a mužů</w:t>
      </w:r>
      <w:r w:rsidRPr="000158B0">
        <w:rPr>
          <w:rFonts w:cs="Arial"/>
        </w:rPr>
        <w:t xml:space="preserve">. V odvětvích rizikovějších na pracovní úrazy </w:t>
      </w:r>
      <w:r w:rsidRPr="000158B0">
        <w:rPr>
          <w:rFonts w:cs="Arial"/>
        </w:rPr>
        <w:lastRenderedPageBreak/>
        <w:t xml:space="preserve">jako je např. </w:t>
      </w:r>
      <w:r w:rsidRPr="000158B0">
        <w:t>T</w:t>
      </w:r>
      <w:r w:rsidRPr="000158B0">
        <w:rPr>
          <w:rFonts w:cs="Arial"/>
        </w:rPr>
        <w:t>ěžba a dobývání, Zpracovatelský průmysl, S</w:t>
      </w:r>
      <w:r w:rsidRPr="000158B0">
        <w:t xml:space="preserve">tavebnictví, Doprava a skladování </w:t>
      </w:r>
      <w:r w:rsidRPr="000158B0">
        <w:rPr>
          <w:bCs/>
        </w:rPr>
        <w:t xml:space="preserve">či Zemědělství, lesnictví, rybářství </w:t>
      </w:r>
      <w:r w:rsidRPr="000158B0">
        <w:t xml:space="preserve">mezi zaměstnanci převládají muži. Ještě výraznější rozdíl hodnot mezi pohlavími lze vidět u smrtelných </w:t>
      </w:r>
      <w:r w:rsidR="000158B0" w:rsidRPr="000158B0">
        <w:t>pracovních úrazů. V 1. pol. 2022</w:t>
      </w:r>
      <w:r w:rsidRPr="000158B0">
        <w:t xml:space="preserve"> s</w:t>
      </w:r>
      <w:r w:rsidR="00E6607F">
        <w:t>i</w:t>
      </w:r>
      <w:r w:rsidRPr="000158B0">
        <w:t xml:space="preserve"> </w:t>
      </w:r>
      <w:r w:rsidR="00CE1DDB">
        <w:t xml:space="preserve">39 z celkových 40 </w:t>
      </w:r>
      <w:r w:rsidR="00D07285" w:rsidRPr="000158B0">
        <w:t xml:space="preserve">smrtelných pracovních úrazů </w:t>
      </w:r>
      <w:r w:rsidR="00E6607F">
        <w:t>přivodili</w:t>
      </w:r>
      <w:r w:rsidR="00D07285" w:rsidRPr="000158B0">
        <w:t xml:space="preserve"> </w:t>
      </w:r>
      <w:r w:rsidRPr="000158B0">
        <w:t>muž</w:t>
      </w:r>
      <w:r w:rsidR="00E6607F">
        <w:t>i</w:t>
      </w:r>
      <w:r w:rsidRPr="000158B0">
        <w:t xml:space="preserve">. Oproti </w:t>
      </w:r>
      <w:r w:rsidR="005C496F" w:rsidRPr="000158B0">
        <w:t xml:space="preserve">1. pol. </w:t>
      </w:r>
      <w:r w:rsidRPr="000158B0">
        <w:t>předchozí</w:t>
      </w:r>
      <w:r w:rsidR="005C496F" w:rsidRPr="000158B0">
        <w:t>ho</w:t>
      </w:r>
      <w:r w:rsidRPr="000158B0">
        <w:t xml:space="preserve"> roku </w:t>
      </w:r>
      <w:r w:rsidR="000158B0" w:rsidRPr="000158B0">
        <w:t>byl počet</w:t>
      </w:r>
      <w:r w:rsidRPr="000158B0">
        <w:t xml:space="preserve"> smrtelných pracovních úrazů </w:t>
      </w:r>
      <w:r w:rsidR="000158B0" w:rsidRPr="000158B0">
        <w:t xml:space="preserve">o </w:t>
      </w:r>
      <w:r w:rsidR="00413919">
        <w:t>jeden</w:t>
      </w:r>
      <w:r w:rsidR="00413919" w:rsidRPr="000158B0">
        <w:t xml:space="preserve"> </w:t>
      </w:r>
      <w:r w:rsidR="000158B0" w:rsidRPr="000158B0">
        <w:t>vyšší, tedy</w:t>
      </w:r>
      <w:r w:rsidR="00461007">
        <w:t xml:space="preserve"> již zmíněných</w:t>
      </w:r>
      <w:r w:rsidR="000158B0" w:rsidRPr="000158B0">
        <w:t xml:space="preserve"> 40. To je o třetinu méně než za 1. pol. 2018, kdy došlo vůbec k nejvíce smrtelným pracovním úrazům za posledních 10 let. </w:t>
      </w:r>
      <w:r w:rsidRPr="000158B0">
        <w:t>Muži</w:t>
      </w:r>
      <w:r w:rsidR="000158B0" w:rsidRPr="000158B0">
        <w:t xml:space="preserve"> v 1. pol. 2022</w:t>
      </w:r>
      <w:r w:rsidRPr="000158B0">
        <w:t xml:space="preserve"> zaznamenali </w:t>
      </w:r>
      <w:r w:rsidR="00632857">
        <w:t>o 4 smrtelné pracovní úrazy více než před rokem.</w:t>
      </w:r>
    </w:p>
    <w:p w14:paraId="75BD938E" w14:textId="496EE775" w:rsidR="00BF4256" w:rsidRPr="00D92E20" w:rsidRDefault="00BF4256" w:rsidP="00000A90">
      <w:pPr>
        <w:spacing w:after="0"/>
        <w:jc w:val="both"/>
        <w:rPr>
          <w:rFonts w:cs="Arial"/>
          <w:b/>
        </w:rPr>
      </w:pPr>
      <w:r w:rsidRPr="00D92E20">
        <w:rPr>
          <w:rFonts w:cs="Arial"/>
          <w:b/>
        </w:rPr>
        <w:t xml:space="preserve">Tab. 5.1: Pracovní úrazy podle </w:t>
      </w:r>
      <w:r w:rsidR="0032235A" w:rsidRPr="00D92E20">
        <w:rPr>
          <w:rFonts w:cs="Arial"/>
          <w:b/>
        </w:rPr>
        <w:t>závažnosti a pohlaví</w:t>
      </w:r>
      <w:r w:rsidRPr="00D92E20">
        <w:rPr>
          <w:rFonts w:cs="Arial"/>
          <w:b/>
        </w:rPr>
        <w:t xml:space="preserve">, </w:t>
      </w:r>
      <w:r w:rsidR="009F34CD" w:rsidRPr="0050059C">
        <w:rPr>
          <w:b/>
          <w:spacing w:val="-2"/>
        </w:rPr>
        <w:t>1. pol. 201</w:t>
      </w:r>
      <w:r w:rsidR="009F34CD">
        <w:rPr>
          <w:b/>
          <w:spacing w:val="-2"/>
        </w:rPr>
        <w:t>2</w:t>
      </w:r>
      <w:r w:rsidR="009F34CD" w:rsidRPr="0050059C">
        <w:rPr>
          <w:b/>
          <w:spacing w:val="-2"/>
        </w:rPr>
        <w:t xml:space="preserve"> až 1. pol. 202</w:t>
      </w:r>
      <w:r w:rsidR="009F34CD">
        <w:rPr>
          <w:b/>
          <w:spacing w:val="-2"/>
        </w:rPr>
        <w:t>2</w:t>
      </w:r>
    </w:p>
    <w:tbl>
      <w:tblPr>
        <w:tblW w:w="9589" w:type="dxa"/>
        <w:tblCellMar>
          <w:left w:w="70" w:type="dxa"/>
          <w:right w:w="70" w:type="dxa"/>
        </w:tblCellMar>
        <w:tblLook w:val="04A0" w:firstRow="1" w:lastRow="0" w:firstColumn="1" w:lastColumn="0" w:noHBand="0" w:noVBand="1"/>
      </w:tblPr>
      <w:tblGrid>
        <w:gridCol w:w="1077"/>
        <w:gridCol w:w="710"/>
        <w:gridCol w:w="709"/>
        <w:gridCol w:w="709"/>
        <w:gridCol w:w="710"/>
        <w:gridCol w:w="709"/>
        <w:gridCol w:w="709"/>
        <w:gridCol w:w="710"/>
        <w:gridCol w:w="709"/>
        <w:gridCol w:w="709"/>
        <w:gridCol w:w="710"/>
        <w:gridCol w:w="709"/>
        <w:gridCol w:w="709"/>
      </w:tblGrid>
      <w:tr w:rsidR="00951947" w:rsidRPr="00D92E20" w14:paraId="2B6AF5B0" w14:textId="38F3105E" w:rsidTr="00951947">
        <w:trPr>
          <w:trHeight w:val="920"/>
        </w:trPr>
        <w:tc>
          <w:tcPr>
            <w:tcW w:w="1077" w:type="dxa"/>
            <w:vMerge w:val="restart"/>
            <w:tcBorders>
              <w:top w:val="single" w:sz="4" w:space="0" w:color="auto"/>
              <w:left w:val="nil"/>
              <w:bottom w:val="single" w:sz="4" w:space="0" w:color="auto"/>
              <w:right w:val="single" w:sz="4" w:space="0" w:color="auto"/>
            </w:tcBorders>
            <w:shd w:val="clear" w:color="000000" w:fill="F5DADD"/>
            <w:vAlign w:val="center"/>
            <w:hideMark/>
          </w:tcPr>
          <w:p w14:paraId="04D2A0C8" w14:textId="29E127FE" w:rsidR="00ED0B23" w:rsidRPr="00D92E20" w:rsidRDefault="00ED0B23" w:rsidP="004E34C7">
            <w:pPr>
              <w:spacing w:after="0" w:line="240" w:lineRule="auto"/>
              <w:jc w:val="center"/>
              <w:rPr>
                <w:rFonts w:cs="Arial"/>
                <w:color w:val="000000"/>
                <w:sz w:val="16"/>
                <w:szCs w:val="16"/>
              </w:rPr>
            </w:pPr>
            <w:r>
              <w:rPr>
                <w:rFonts w:cs="Arial"/>
                <w:color w:val="000000"/>
                <w:sz w:val="16"/>
                <w:szCs w:val="16"/>
              </w:rPr>
              <w:t>Období</w:t>
            </w:r>
          </w:p>
        </w:tc>
        <w:tc>
          <w:tcPr>
            <w:tcW w:w="2128" w:type="dxa"/>
            <w:gridSpan w:val="3"/>
            <w:tcBorders>
              <w:top w:val="single" w:sz="4" w:space="0" w:color="auto"/>
              <w:left w:val="single" w:sz="4" w:space="0" w:color="auto"/>
              <w:right w:val="single" w:sz="4" w:space="0" w:color="000000"/>
            </w:tcBorders>
            <w:shd w:val="clear" w:color="000000" w:fill="F5DADD"/>
            <w:vAlign w:val="center"/>
            <w:hideMark/>
          </w:tcPr>
          <w:p w14:paraId="2E8F5656" w14:textId="77777777" w:rsidR="006054AC" w:rsidRDefault="00ED0B23" w:rsidP="00BF4256">
            <w:pPr>
              <w:spacing w:after="0" w:line="240" w:lineRule="auto"/>
              <w:jc w:val="center"/>
              <w:rPr>
                <w:rFonts w:cs="Arial"/>
                <w:color w:val="000000"/>
                <w:sz w:val="16"/>
                <w:szCs w:val="16"/>
              </w:rPr>
            </w:pPr>
            <w:r w:rsidRPr="00D92E20">
              <w:rPr>
                <w:rFonts w:cs="Arial"/>
                <w:color w:val="000000"/>
                <w:sz w:val="16"/>
                <w:szCs w:val="16"/>
              </w:rPr>
              <w:t xml:space="preserve">Počet pracovních úrazů </w:t>
            </w:r>
          </w:p>
          <w:p w14:paraId="1F6EC53E" w14:textId="336115D5" w:rsidR="00ED0B23" w:rsidRPr="00D92E20" w:rsidRDefault="00ED0B23" w:rsidP="00BF4256">
            <w:pPr>
              <w:spacing w:after="0" w:line="240" w:lineRule="auto"/>
              <w:jc w:val="center"/>
              <w:rPr>
                <w:rFonts w:cs="Arial"/>
                <w:color w:val="000000"/>
                <w:sz w:val="16"/>
                <w:szCs w:val="16"/>
              </w:rPr>
            </w:pPr>
            <w:r w:rsidRPr="00D92E20">
              <w:rPr>
                <w:rFonts w:cs="Arial"/>
                <w:color w:val="000000"/>
                <w:sz w:val="16"/>
                <w:szCs w:val="16"/>
              </w:rPr>
              <w:t xml:space="preserve">s pracovní neschopností </w:t>
            </w:r>
          </w:p>
        </w:tc>
        <w:tc>
          <w:tcPr>
            <w:tcW w:w="2128" w:type="dxa"/>
            <w:gridSpan w:val="3"/>
            <w:tcBorders>
              <w:top w:val="single" w:sz="4" w:space="0" w:color="auto"/>
              <w:left w:val="single" w:sz="4" w:space="0" w:color="auto"/>
              <w:right w:val="single" w:sz="4" w:space="0" w:color="000000"/>
            </w:tcBorders>
            <w:shd w:val="clear" w:color="000000" w:fill="F5DADD"/>
            <w:vAlign w:val="center"/>
            <w:hideMark/>
          </w:tcPr>
          <w:p w14:paraId="4F9C427A" w14:textId="77777777" w:rsidR="00ED0B23" w:rsidRDefault="00ED0B23" w:rsidP="00BF4256">
            <w:pPr>
              <w:spacing w:after="0" w:line="240" w:lineRule="auto"/>
              <w:jc w:val="center"/>
              <w:rPr>
                <w:rFonts w:cs="Arial"/>
                <w:color w:val="000000"/>
                <w:sz w:val="16"/>
                <w:szCs w:val="16"/>
              </w:rPr>
            </w:pPr>
            <w:r w:rsidRPr="00D92E20">
              <w:rPr>
                <w:rFonts w:cs="Arial"/>
                <w:color w:val="000000"/>
                <w:sz w:val="16"/>
                <w:szCs w:val="16"/>
              </w:rPr>
              <w:t xml:space="preserve">Počet pracovních úrazů </w:t>
            </w:r>
          </w:p>
          <w:p w14:paraId="779191EB" w14:textId="4BBDE8E4" w:rsidR="00ED0B23" w:rsidRPr="00D92E20" w:rsidRDefault="00ED0B23" w:rsidP="00BF4256">
            <w:pPr>
              <w:spacing w:after="0" w:line="240" w:lineRule="auto"/>
              <w:jc w:val="center"/>
              <w:rPr>
                <w:rFonts w:cs="Arial"/>
                <w:color w:val="000000"/>
                <w:sz w:val="16"/>
                <w:szCs w:val="16"/>
              </w:rPr>
            </w:pPr>
            <w:r w:rsidRPr="00D92E20">
              <w:rPr>
                <w:rFonts w:cs="Arial"/>
                <w:color w:val="000000"/>
                <w:sz w:val="16"/>
                <w:szCs w:val="16"/>
              </w:rPr>
              <w:t>s pracovní neschopností delší než 3 dny</w:t>
            </w:r>
          </w:p>
        </w:tc>
        <w:tc>
          <w:tcPr>
            <w:tcW w:w="2128" w:type="dxa"/>
            <w:gridSpan w:val="3"/>
            <w:tcBorders>
              <w:top w:val="single" w:sz="4" w:space="0" w:color="auto"/>
              <w:left w:val="single" w:sz="4" w:space="0" w:color="auto"/>
              <w:right w:val="nil"/>
            </w:tcBorders>
            <w:shd w:val="clear" w:color="000000" w:fill="F5DADD"/>
            <w:vAlign w:val="center"/>
            <w:hideMark/>
          </w:tcPr>
          <w:p w14:paraId="2697DFA1" w14:textId="77777777" w:rsidR="00ED0B23" w:rsidRPr="00D92E20" w:rsidRDefault="00ED0B23" w:rsidP="00BF4256">
            <w:pPr>
              <w:spacing w:after="0" w:line="240" w:lineRule="auto"/>
              <w:jc w:val="center"/>
              <w:rPr>
                <w:rFonts w:cs="Arial"/>
                <w:color w:val="000000"/>
                <w:sz w:val="16"/>
                <w:szCs w:val="16"/>
              </w:rPr>
            </w:pPr>
            <w:r w:rsidRPr="00D92E20">
              <w:rPr>
                <w:rFonts w:cs="Arial"/>
                <w:color w:val="000000"/>
                <w:sz w:val="16"/>
                <w:szCs w:val="16"/>
              </w:rPr>
              <w:t>Počet smrtelných pracovních úrazů</w:t>
            </w:r>
          </w:p>
        </w:tc>
        <w:tc>
          <w:tcPr>
            <w:tcW w:w="2128" w:type="dxa"/>
            <w:gridSpan w:val="3"/>
            <w:tcBorders>
              <w:top w:val="single" w:sz="4" w:space="0" w:color="auto"/>
              <w:left w:val="single" w:sz="4" w:space="0" w:color="auto"/>
              <w:right w:val="nil"/>
            </w:tcBorders>
            <w:shd w:val="clear" w:color="000000" w:fill="F5DADD"/>
            <w:vAlign w:val="center"/>
          </w:tcPr>
          <w:p w14:paraId="57CBF637" w14:textId="77777777" w:rsidR="006054AC" w:rsidRDefault="00ED0B23" w:rsidP="00ED0B23">
            <w:pPr>
              <w:spacing w:after="0" w:line="240" w:lineRule="auto"/>
              <w:jc w:val="center"/>
              <w:rPr>
                <w:rFonts w:cs="Arial"/>
                <w:sz w:val="16"/>
                <w:szCs w:val="16"/>
              </w:rPr>
            </w:pPr>
            <w:r>
              <w:rPr>
                <w:rFonts w:cs="Arial"/>
                <w:sz w:val="16"/>
                <w:szCs w:val="16"/>
              </w:rPr>
              <w:t xml:space="preserve">Počet závažných pracovních úrazů </w:t>
            </w:r>
          </w:p>
          <w:p w14:paraId="52F3B2F4" w14:textId="59F99B69" w:rsidR="00ED0B23" w:rsidRDefault="00ED0B23" w:rsidP="00ED0B23">
            <w:pPr>
              <w:spacing w:after="0" w:line="240" w:lineRule="auto"/>
              <w:jc w:val="center"/>
              <w:rPr>
                <w:rFonts w:cs="Arial"/>
                <w:sz w:val="16"/>
                <w:szCs w:val="16"/>
              </w:rPr>
            </w:pPr>
            <w:r>
              <w:rPr>
                <w:rFonts w:cs="Arial"/>
                <w:sz w:val="16"/>
                <w:szCs w:val="16"/>
              </w:rPr>
              <w:t>s hospitalizací nad 5 dnů</w:t>
            </w:r>
          </w:p>
          <w:p w14:paraId="5FC7B9C4" w14:textId="77777777" w:rsidR="00ED0B23" w:rsidRDefault="00ED0B23" w:rsidP="00ED0B23">
            <w:pPr>
              <w:spacing w:after="0" w:line="240" w:lineRule="auto"/>
              <w:jc w:val="center"/>
              <w:rPr>
                <w:rFonts w:cs="Arial"/>
                <w:sz w:val="16"/>
                <w:szCs w:val="16"/>
              </w:rPr>
            </w:pPr>
          </w:p>
        </w:tc>
      </w:tr>
      <w:tr w:rsidR="00951947" w:rsidRPr="00D92E20" w14:paraId="584EC2A5" w14:textId="0C2E8952" w:rsidTr="00951947">
        <w:trPr>
          <w:trHeight w:val="300"/>
        </w:trPr>
        <w:tc>
          <w:tcPr>
            <w:tcW w:w="1077" w:type="dxa"/>
            <w:vMerge/>
            <w:tcBorders>
              <w:top w:val="single" w:sz="4" w:space="0" w:color="auto"/>
              <w:left w:val="nil"/>
              <w:bottom w:val="single" w:sz="4" w:space="0" w:color="auto"/>
              <w:right w:val="single" w:sz="4" w:space="0" w:color="auto"/>
            </w:tcBorders>
            <w:vAlign w:val="center"/>
            <w:hideMark/>
          </w:tcPr>
          <w:p w14:paraId="23098622" w14:textId="77777777" w:rsidR="00951947" w:rsidRPr="00D92E20" w:rsidRDefault="00951947" w:rsidP="00BF4256">
            <w:pPr>
              <w:spacing w:after="0" w:line="240" w:lineRule="auto"/>
              <w:rPr>
                <w:rFonts w:cs="Arial"/>
                <w:color w:val="000000"/>
                <w:sz w:val="16"/>
                <w:szCs w:val="16"/>
              </w:rPr>
            </w:pPr>
          </w:p>
        </w:tc>
        <w:tc>
          <w:tcPr>
            <w:tcW w:w="710" w:type="dxa"/>
            <w:vMerge w:val="restart"/>
            <w:tcBorders>
              <w:top w:val="single" w:sz="4" w:space="0" w:color="auto"/>
              <w:left w:val="single" w:sz="4" w:space="0" w:color="auto"/>
              <w:bottom w:val="single" w:sz="4" w:space="0" w:color="auto"/>
              <w:right w:val="single" w:sz="4" w:space="0" w:color="auto"/>
            </w:tcBorders>
            <w:shd w:val="clear" w:color="000000" w:fill="F5DADD"/>
            <w:vAlign w:val="center"/>
            <w:hideMark/>
          </w:tcPr>
          <w:p w14:paraId="3F6B83DE" w14:textId="77777777" w:rsidR="00951947" w:rsidRPr="00D92E20" w:rsidRDefault="00951947" w:rsidP="00BF4256">
            <w:pPr>
              <w:spacing w:after="0" w:line="240" w:lineRule="auto"/>
              <w:jc w:val="center"/>
              <w:rPr>
                <w:rFonts w:cs="Arial"/>
                <w:b/>
                <w:color w:val="000000"/>
                <w:sz w:val="16"/>
                <w:szCs w:val="16"/>
              </w:rPr>
            </w:pPr>
            <w:r w:rsidRPr="00D92E20">
              <w:rPr>
                <w:rFonts w:cs="Arial"/>
                <w:b/>
                <w:color w:val="000000"/>
                <w:sz w:val="16"/>
                <w:szCs w:val="16"/>
              </w:rPr>
              <w:t>Celkem</w:t>
            </w:r>
          </w:p>
        </w:tc>
        <w:tc>
          <w:tcPr>
            <w:tcW w:w="1418" w:type="dxa"/>
            <w:gridSpan w:val="2"/>
            <w:tcBorders>
              <w:top w:val="single" w:sz="4" w:space="0" w:color="auto"/>
              <w:left w:val="nil"/>
              <w:bottom w:val="single" w:sz="4" w:space="0" w:color="auto"/>
              <w:right w:val="single" w:sz="4" w:space="0" w:color="auto"/>
            </w:tcBorders>
            <w:shd w:val="clear" w:color="000000" w:fill="F5DADD"/>
            <w:vAlign w:val="center"/>
            <w:hideMark/>
          </w:tcPr>
          <w:p w14:paraId="1AAEBA5C" w14:textId="77777777" w:rsidR="00951947" w:rsidRPr="00D92E20" w:rsidRDefault="00951947" w:rsidP="00BF4256">
            <w:pPr>
              <w:spacing w:after="0" w:line="240" w:lineRule="auto"/>
              <w:jc w:val="center"/>
              <w:rPr>
                <w:rFonts w:cs="Arial"/>
                <w:color w:val="000000"/>
                <w:sz w:val="16"/>
                <w:szCs w:val="16"/>
              </w:rPr>
            </w:pPr>
            <w:r w:rsidRPr="00D92E20">
              <w:rPr>
                <w:rFonts w:cs="Arial"/>
                <w:color w:val="000000"/>
                <w:sz w:val="16"/>
                <w:szCs w:val="16"/>
              </w:rPr>
              <w:t>podle pohlaví</w:t>
            </w:r>
          </w:p>
        </w:tc>
        <w:tc>
          <w:tcPr>
            <w:tcW w:w="710" w:type="dxa"/>
            <w:vMerge w:val="restart"/>
            <w:tcBorders>
              <w:top w:val="single" w:sz="4" w:space="0" w:color="auto"/>
              <w:left w:val="single" w:sz="4" w:space="0" w:color="auto"/>
              <w:bottom w:val="single" w:sz="4" w:space="0" w:color="auto"/>
              <w:right w:val="single" w:sz="4" w:space="0" w:color="auto"/>
            </w:tcBorders>
            <w:shd w:val="clear" w:color="000000" w:fill="F5DADD"/>
            <w:vAlign w:val="center"/>
            <w:hideMark/>
          </w:tcPr>
          <w:p w14:paraId="3C3025AD" w14:textId="77777777" w:rsidR="00951947" w:rsidRPr="00D92E20" w:rsidRDefault="00951947" w:rsidP="00BF4256">
            <w:pPr>
              <w:spacing w:after="0" w:line="240" w:lineRule="auto"/>
              <w:jc w:val="center"/>
              <w:rPr>
                <w:rFonts w:cs="Arial"/>
                <w:b/>
                <w:color w:val="000000"/>
                <w:sz w:val="16"/>
                <w:szCs w:val="16"/>
              </w:rPr>
            </w:pPr>
            <w:r w:rsidRPr="00D92E20">
              <w:rPr>
                <w:rFonts w:cs="Arial"/>
                <w:b/>
                <w:color w:val="000000"/>
                <w:sz w:val="16"/>
                <w:szCs w:val="16"/>
              </w:rPr>
              <w:t>Celkem</w:t>
            </w:r>
          </w:p>
        </w:tc>
        <w:tc>
          <w:tcPr>
            <w:tcW w:w="1418" w:type="dxa"/>
            <w:gridSpan w:val="2"/>
            <w:tcBorders>
              <w:top w:val="single" w:sz="4" w:space="0" w:color="auto"/>
              <w:left w:val="nil"/>
              <w:bottom w:val="single" w:sz="4" w:space="0" w:color="auto"/>
              <w:right w:val="single" w:sz="4" w:space="0" w:color="auto"/>
            </w:tcBorders>
            <w:shd w:val="clear" w:color="000000" w:fill="F5DADD"/>
            <w:vAlign w:val="center"/>
            <w:hideMark/>
          </w:tcPr>
          <w:p w14:paraId="1E2237EA" w14:textId="77777777" w:rsidR="00951947" w:rsidRPr="00D92E20" w:rsidRDefault="00951947" w:rsidP="00BF4256">
            <w:pPr>
              <w:spacing w:after="0" w:line="240" w:lineRule="auto"/>
              <w:jc w:val="center"/>
              <w:rPr>
                <w:rFonts w:cs="Arial"/>
                <w:color w:val="000000"/>
                <w:sz w:val="16"/>
                <w:szCs w:val="16"/>
              </w:rPr>
            </w:pPr>
            <w:r w:rsidRPr="00D92E20">
              <w:rPr>
                <w:rFonts w:cs="Arial"/>
                <w:color w:val="000000"/>
                <w:sz w:val="16"/>
                <w:szCs w:val="16"/>
              </w:rPr>
              <w:t>podle pohlaví</w:t>
            </w:r>
          </w:p>
        </w:tc>
        <w:tc>
          <w:tcPr>
            <w:tcW w:w="710" w:type="dxa"/>
            <w:vMerge w:val="restart"/>
            <w:tcBorders>
              <w:top w:val="single" w:sz="4" w:space="0" w:color="auto"/>
              <w:left w:val="single" w:sz="4" w:space="0" w:color="auto"/>
              <w:right w:val="single" w:sz="4" w:space="0" w:color="auto"/>
            </w:tcBorders>
            <w:shd w:val="clear" w:color="000000" w:fill="F5DADD"/>
            <w:vAlign w:val="center"/>
            <w:hideMark/>
          </w:tcPr>
          <w:p w14:paraId="21C7CC39" w14:textId="77777777" w:rsidR="00951947" w:rsidRPr="00D92E20" w:rsidRDefault="00951947" w:rsidP="00BF4256">
            <w:pPr>
              <w:spacing w:after="0" w:line="240" w:lineRule="auto"/>
              <w:jc w:val="center"/>
              <w:rPr>
                <w:rFonts w:cs="Arial"/>
                <w:b/>
                <w:color w:val="000000"/>
                <w:sz w:val="16"/>
                <w:szCs w:val="16"/>
              </w:rPr>
            </w:pPr>
            <w:r w:rsidRPr="00D92E20">
              <w:rPr>
                <w:rFonts w:cs="Arial"/>
                <w:b/>
                <w:color w:val="000000"/>
                <w:sz w:val="16"/>
                <w:szCs w:val="16"/>
              </w:rPr>
              <w:t>Celkem</w:t>
            </w:r>
          </w:p>
        </w:tc>
        <w:tc>
          <w:tcPr>
            <w:tcW w:w="1418" w:type="dxa"/>
            <w:gridSpan w:val="2"/>
            <w:tcBorders>
              <w:top w:val="single" w:sz="4" w:space="0" w:color="auto"/>
              <w:left w:val="nil"/>
              <w:bottom w:val="single" w:sz="4" w:space="0" w:color="auto"/>
              <w:right w:val="single" w:sz="4" w:space="0" w:color="auto"/>
            </w:tcBorders>
            <w:shd w:val="clear" w:color="000000" w:fill="F5DADD"/>
            <w:vAlign w:val="center"/>
            <w:hideMark/>
          </w:tcPr>
          <w:p w14:paraId="08F273BD" w14:textId="77777777" w:rsidR="00951947" w:rsidRPr="00D92E20" w:rsidRDefault="00951947" w:rsidP="00BF4256">
            <w:pPr>
              <w:spacing w:after="0" w:line="240" w:lineRule="auto"/>
              <w:jc w:val="center"/>
              <w:rPr>
                <w:rFonts w:cs="Arial"/>
                <w:color w:val="000000"/>
                <w:sz w:val="16"/>
                <w:szCs w:val="16"/>
              </w:rPr>
            </w:pPr>
            <w:r w:rsidRPr="00D92E20">
              <w:rPr>
                <w:rFonts w:cs="Arial"/>
                <w:color w:val="000000"/>
                <w:sz w:val="16"/>
                <w:szCs w:val="16"/>
              </w:rPr>
              <w:t>podle pohlaví</w:t>
            </w:r>
          </w:p>
        </w:tc>
        <w:tc>
          <w:tcPr>
            <w:tcW w:w="710" w:type="dxa"/>
            <w:vMerge w:val="restart"/>
            <w:tcBorders>
              <w:top w:val="single" w:sz="4" w:space="0" w:color="auto"/>
              <w:left w:val="single" w:sz="4" w:space="0" w:color="auto"/>
              <w:right w:val="single" w:sz="4" w:space="0" w:color="auto"/>
            </w:tcBorders>
            <w:shd w:val="clear" w:color="000000" w:fill="F5DADD"/>
            <w:vAlign w:val="center"/>
          </w:tcPr>
          <w:p w14:paraId="78F246A5" w14:textId="6553B083" w:rsidR="00951947" w:rsidRPr="00ED0B23" w:rsidRDefault="00951947" w:rsidP="00ED0B23">
            <w:pPr>
              <w:spacing w:after="0" w:line="240" w:lineRule="auto"/>
              <w:jc w:val="center"/>
              <w:rPr>
                <w:rFonts w:cs="Arial"/>
                <w:b/>
                <w:color w:val="000000"/>
                <w:sz w:val="16"/>
                <w:szCs w:val="16"/>
              </w:rPr>
            </w:pPr>
            <w:r w:rsidRPr="00ED0B23">
              <w:rPr>
                <w:rFonts w:cs="Arial"/>
                <w:b/>
                <w:color w:val="000000"/>
                <w:sz w:val="16"/>
                <w:szCs w:val="16"/>
              </w:rPr>
              <w:t>Celkem</w:t>
            </w:r>
          </w:p>
        </w:tc>
        <w:tc>
          <w:tcPr>
            <w:tcW w:w="1418" w:type="dxa"/>
            <w:gridSpan w:val="2"/>
            <w:tcBorders>
              <w:top w:val="single" w:sz="4" w:space="0" w:color="auto"/>
              <w:left w:val="single" w:sz="4" w:space="0" w:color="auto"/>
              <w:bottom w:val="single" w:sz="4" w:space="0" w:color="auto"/>
            </w:tcBorders>
            <w:shd w:val="clear" w:color="000000" w:fill="F5DADD"/>
            <w:vAlign w:val="center"/>
          </w:tcPr>
          <w:p w14:paraId="7056BE97" w14:textId="02477152" w:rsidR="00951947" w:rsidRDefault="00951947" w:rsidP="00ED0B23">
            <w:pPr>
              <w:spacing w:after="0" w:line="240" w:lineRule="auto"/>
              <w:jc w:val="center"/>
              <w:rPr>
                <w:rFonts w:cs="Arial"/>
                <w:color w:val="000000"/>
                <w:sz w:val="16"/>
                <w:szCs w:val="16"/>
              </w:rPr>
            </w:pPr>
            <w:r>
              <w:rPr>
                <w:rFonts w:cs="Arial"/>
                <w:color w:val="000000"/>
                <w:sz w:val="16"/>
                <w:szCs w:val="16"/>
              </w:rPr>
              <w:t>podle pohlaví</w:t>
            </w:r>
          </w:p>
        </w:tc>
      </w:tr>
      <w:tr w:rsidR="00951947" w:rsidRPr="00D92E20" w14:paraId="7A706A10" w14:textId="4ADAA2B6" w:rsidTr="00632857">
        <w:trPr>
          <w:trHeight w:val="300"/>
        </w:trPr>
        <w:tc>
          <w:tcPr>
            <w:tcW w:w="1077" w:type="dxa"/>
            <w:vMerge/>
            <w:tcBorders>
              <w:top w:val="single" w:sz="4" w:space="0" w:color="auto"/>
              <w:left w:val="nil"/>
              <w:bottom w:val="single" w:sz="4" w:space="0" w:color="auto"/>
              <w:right w:val="single" w:sz="4" w:space="0" w:color="auto"/>
            </w:tcBorders>
            <w:vAlign w:val="center"/>
            <w:hideMark/>
          </w:tcPr>
          <w:p w14:paraId="608E1B7E" w14:textId="77777777" w:rsidR="00951947" w:rsidRPr="00D92E20" w:rsidRDefault="00951947" w:rsidP="00BF4256">
            <w:pPr>
              <w:spacing w:after="0" w:line="240" w:lineRule="auto"/>
              <w:rPr>
                <w:rFonts w:cs="Arial"/>
                <w:color w:val="000000"/>
                <w:sz w:val="16"/>
                <w:szCs w:val="16"/>
              </w:rPr>
            </w:pPr>
          </w:p>
        </w:tc>
        <w:tc>
          <w:tcPr>
            <w:tcW w:w="710" w:type="dxa"/>
            <w:vMerge/>
            <w:tcBorders>
              <w:top w:val="single" w:sz="4" w:space="0" w:color="auto"/>
              <w:left w:val="single" w:sz="4" w:space="0" w:color="auto"/>
              <w:bottom w:val="single" w:sz="4" w:space="0" w:color="auto"/>
              <w:right w:val="single" w:sz="4" w:space="0" w:color="auto"/>
            </w:tcBorders>
            <w:vAlign w:val="center"/>
            <w:hideMark/>
          </w:tcPr>
          <w:p w14:paraId="46C18BA9" w14:textId="77777777" w:rsidR="00951947" w:rsidRPr="00D92E20" w:rsidRDefault="00951947" w:rsidP="00BF4256">
            <w:pPr>
              <w:spacing w:after="0" w:line="240" w:lineRule="auto"/>
              <w:rPr>
                <w:rFonts w:cs="Arial"/>
                <w:color w:val="000000"/>
                <w:sz w:val="16"/>
                <w:szCs w:val="16"/>
              </w:rPr>
            </w:pPr>
          </w:p>
        </w:tc>
        <w:tc>
          <w:tcPr>
            <w:tcW w:w="709" w:type="dxa"/>
            <w:tcBorders>
              <w:top w:val="nil"/>
              <w:left w:val="nil"/>
              <w:bottom w:val="single" w:sz="4" w:space="0" w:color="auto"/>
              <w:right w:val="single" w:sz="4" w:space="0" w:color="auto"/>
            </w:tcBorders>
            <w:shd w:val="clear" w:color="000000" w:fill="F5DADD"/>
            <w:vAlign w:val="center"/>
            <w:hideMark/>
          </w:tcPr>
          <w:p w14:paraId="0A17B8E6" w14:textId="77777777" w:rsidR="00951947" w:rsidRPr="00D92E20" w:rsidRDefault="00951947" w:rsidP="00BF4256">
            <w:pPr>
              <w:spacing w:after="0" w:line="240" w:lineRule="auto"/>
              <w:jc w:val="center"/>
              <w:rPr>
                <w:rFonts w:cs="Arial"/>
                <w:color w:val="000000"/>
                <w:sz w:val="16"/>
                <w:szCs w:val="16"/>
              </w:rPr>
            </w:pPr>
            <w:r w:rsidRPr="00D92E20">
              <w:rPr>
                <w:rFonts w:cs="Arial"/>
                <w:color w:val="000000"/>
                <w:sz w:val="16"/>
                <w:szCs w:val="16"/>
              </w:rPr>
              <w:t>muži</w:t>
            </w:r>
          </w:p>
        </w:tc>
        <w:tc>
          <w:tcPr>
            <w:tcW w:w="709" w:type="dxa"/>
            <w:tcBorders>
              <w:top w:val="nil"/>
              <w:left w:val="nil"/>
              <w:bottom w:val="single" w:sz="4" w:space="0" w:color="auto"/>
              <w:right w:val="single" w:sz="4" w:space="0" w:color="auto"/>
            </w:tcBorders>
            <w:shd w:val="clear" w:color="000000" w:fill="F5DADD"/>
            <w:vAlign w:val="center"/>
            <w:hideMark/>
          </w:tcPr>
          <w:p w14:paraId="4B1D159D" w14:textId="77777777" w:rsidR="00951947" w:rsidRPr="00D92E20" w:rsidRDefault="00951947" w:rsidP="00BF4256">
            <w:pPr>
              <w:spacing w:after="0" w:line="240" w:lineRule="auto"/>
              <w:jc w:val="center"/>
              <w:rPr>
                <w:rFonts w:cs="Arial"/>
                <w:color w:val="000000"/>
                <w:sz w:val="16"/>
                <w:szCs w:val="16"/>
              </w:rPr>
            </w:pPr>
            <w:r w:rsidRPr="00D92E20">
              <w:rPr>
                <w:rFonts w:cs="Arial"/>
                <w:color w:val="000000"/>
                <w:sz w:val="16"/>
                <w:szCs w:val="16"/>
              </w:rPr>
              <w:t>ženy</w:t>
            </w:r>
          </w:p>
        </w:tc>
        <w:tc>
          <w:tcPr>
            <w:tcW w:w="710" w:type="dxa"/>
            <w:vMerge/>
            <w:tcBorders>
              <w:left w:val="single" w:sz="4" w:space="0" w:color="auto"/>
              <w:bottom w:val="single" w:sz="4" w:space="0" w:color="auto"/>
              <w:right w:val="single" w:sz="4" w:space="0" w:color="auto"/>
            </w:tcBorders>
            <w:vAlign w:val="center"/>
            <w:hideMark/>
          </w:tcPr>
          <w:p w14:paraId="35D2FB82" w14:textId="77777777" w:rsidR="00951947" w:rsidRPr="00D92E20" w:rsidRDefault="00951947" w:rsidP="00BF4256">
            <w:pPr>
              <w:spacing w:after="0" w:line="240" w:lineRule="auto"/>
              <w:rPr>
                <w:rFonts w:cs="Arial"/>
                <w:color w:val="000000"/>
                <w:sz w:val="16"/>
                <w:szCs w:val="16"/>
              </w:rPr>
            </w:pPr>
          </w:p>
        </w:tc>
        <w:tc>
          <w:tcPr>
            <w:tcW w:w="709" w:type="dxa"/>
            <w:tcBorders>
              <w:top w:val="nil"/>
              <w:left w:val="nil"/>
              <w:bottom w:val="single" w:sz="4" w:space="0" w:color="auto"/>
              <w:right w:val="single" w:sz="4" w:space="0" w:color="auto"/>
            </w:tcBorders>
            <w:shd w:val="clear" w:color="000000" w:fill="F5DADD"/>
            <w:vAlign w:val="center"/>
            <w:hideMark/>
          </w:tcPr>
          <w:p w14:paraId="7A076B09" w14:textId="77777777" w:rsidR="00951947" w:rsidRPr="00D92E20" w:rsidRDefault="00951947" w:rsidP="00BF4256">
            <w:pPr>
              <w:spacing w:after="0" w:line="240" w:lineRule="auto"/>
              <w:jc w:val="center"/>
              <w:rPr>
                <w:rFonts w:cs="Arial"/>
                <w:color w:val="000000"/>
                <w:sz w:val="16"/>
                <w:szCs w:val="16"/>
              </w:rPr>
            </w:pPr>
            <w:r w:rsidRPr="00D92E20">
              <w:rPr>
                <w:rFonts w:cs="Arial"/>
                <w:color w:val="000000"/>
                <w:sz w:val="16"/>
                <w:szCs w:val="16"/>
              </w:rPr>
              <w:t>muži</w:t>
            </w:r>
          </w:p>
        </w:tc>
        <w:tc>
          <w:tcPr>
            <w:tcW w:w="709" w:type="dxa"/>
            <w:tcBorders>
              <w:top w:val="nil"/>
              <w:left w:val="nil"/>
              <w:bottom w:val="single" w:sz="4" w:space="0" w:color="auto"/>
              <w:right w:val="single" w:sz="4" w:space="0" w:color="auto"/>
            </w:tcBorders>
            <w:shd w:val="clear" w:color="000000" w:fill="F5DADD"/>
            <w:vAlign w:val="center"/>
            <w:hideMark/>
          </w:tcPr>
          <w:p w14:paraId="09A23D0C" w14:textId="77777777" w:rsidR="00951947" w:rsidRPr="00D92E20" w:rsidRDefault="00951947" w:rsidP="00BF4256">
            <w:pPr>
              <w:spacing w:after="0" w:line="240" w:lineRule="auto"/>
              <w:jc w:val="center"/>
              <w:rPr>
                <w:rFonts w:cs="Arial"/>
                <w:color w:val="000000"/>
                <w:sz w:val="16"/>
                <w:szCs w:val="16"/>
              </w:rPr>
            </w:pPr>
            <w:r w:rsidRPr="00D92E20">
              <w:rPr>
                <w:rFonts w:cs="Arial"/>
                <w:color w:val="000000"/>
                <w:sz w:val="16"/>
                <w:szCs w:val="16"/>
              </w:rPr>
              <w:t>ženy</w:t>
            </w:r>
          </w:p>
        </w:tc>
        <w:tc>
          <w:tcPr>
            <w:tcW w:w="710" w:type="dxa"/>
            <w:vMerge/>
            <w:tcBorders>
              <w:left w:val="single" w:sz="4" w:space="0" w:color="auto"/>
              <w:bottom w:val="single" w:sz="4" w:space="0" w:color="auto"/>
              <w:right w:val="single" w:sz="4" w:space="0" w:color="auto"/>
            </w:tcBorders>
            <w:vAlign w:val="center"/>
            <w:hideMark/>
          </w:tcPr>
          <w:p w14:paraId="300CA3BE" w14:textId="77777777" w:rsidR="00951947" w:rsidRPr="00D92E20" w:rsidRDefault="00951947" w:rsidP="00BF4256">
            <w:pPr>
              <w:spacing w:after="0" w:line="240" w:lineRule="auto"/>
              <w:rPr>
                <w:rFonts w:cs="Arial"/>
                <w:color w:val="000000"/>
                <w:sz w:val="16"/>
                <w:szCs w:val="16"/>
              </w:rPr>
            </w:pPr>
          </w:p>
        </w:tc>
        <w:tc>
          <w:tcPr>
            <w:tcW w:w="709" w:type="dxa"/>
            <w:tcBorders>
              <w:top w:val="nil"/>
              <w:left w:val="nil"/>
              <w:bottom w:val="single" w:sz="4" w:space="0" w:color="auto"/>
              <w:right w:val="single" w:sz="4" w:space="0" w:color="auto"/>
            </w:tcBorders>
            <w:shd w:val="clear" w:color="000000" w:fill="F5DADD"/>
            <w:vAlign w:val="center"/>
            <w:hideMark/>
          </w:tcPr>
          <w:p w14:paraId="6FF27435" w14:textId="77777777" w:rsidR="00951947" w:rsidRPr="00D92E20" w:rsidRDefault="00951947" w:rsidP="00BF4256">
            <w:pPr>
              <w:spacing w:after="0" w:line="240" w:lineRule="auto"/>
              <w:jc w:val="center"/>
              <w:rPr>
                <w:rFonts w:cs="Arial"/>
                <w:color w:val="000000"/>
                <w:sz w:val="16"/>
                <w:szCs w:val="16"/>
              </w:rPr>
            </w:pPr>
            <w:r w:rsidRPr="00D92E20">
              <w:rPr>
                <w:rFonts w:cs="Arial"/>
                <w:color w:val="000000"/>
                <w:sz w:val="16"/>
                <w:szCs w:val="16"/>
              </w:rPr>
              <w:t>muži</w:t>
            </w:r>
          </w:p>
        </w:tc>
        <w:tc>
          <w:tcPr>
            <w:tcW w:w="709" w:type="dxa"/>
            <w:tcBorders>
              <w:top w:val="nil"/>
              <w:left w:val="nil"/>
              <w:bottom w:val="single" w:sz="4" w:space="0" w:color="auto"/>
              <w:right w:val="single" w:sz="4" w:space="0" w:color="auto"/>
            </w:tcBorders>
            <w:shd w:val="clear" w:color="000000" w:fill="F5DADD"/>
            <w:vAlign w:val="center"/>
            <w:hideMark/>
          </w:tcPr>
          <w:p w14:paraId="4360FA55" w14:textId="77777777" w:rsidR="00951947" w:rsidRPr="00D92E20" w:rsidRDefault="00951947" w:rsidP="00BF4256">
            <w:pPr>
              <w:spacing w:after="0" w:line="240" w:lineRule="auto"/>
              <w:jc w:val="center"/>
              <w:rPr>
                <w:rFonts w:cs="Arial"/>
                <w:color w:val="000000"/>
                <w:sz w:val="16"/>
                <w:szCs w:val="16"/>
              </w:rPr>
            </w:pPr>
            <w:r w:rsidRPr="00D92E20">
              <w:rPr>
                <w:rFonts w:cs="Arial"/>
                <w:color w:val="000000"/>
                <w:sz w:val="16"/>
                <w:szCs w:val="16"/>
              </w:rPr>
              <w:t>ženy</w:t>
            </w:r>
          </w:p>
        </w:tc>
        <w:tc>
          <w:tcPr>
            <w:tcW w:w="710" w:type="dxa"/>
            <w:vMerge/>
            <w:tcBorders>
              <w:left w:val="single" w:sz="4" w:space="0" w:color="auto"/>
              <w:bottom w:val="single" w:sz="4" w:space="0" w:color="auto"/>
              <w:right w:val="single" w:sz="4" w:space="0" w:color="auto"/>
            </w:tcBorders>
            <w:shd w:val="clear" w:color="000000" w:fill="F5DADD"/>
          </w:tcPr>
          <w:p w14:paraId="2052594B" w14:textId="77777777" w:rsidR="00951947" w:rsidRPr="00D92E20" w:rsidRDefault="00951947" w:rsidP="00BF4256">
            <w:pPr>
              <w:spacing w:after="0" w:line="240" w:lineRule="auto"/>
              <w:jc w:val="center"/>
              <w:rPr>
                <w:rFonts w:cs="Arial"/>
                <w:color w:val="000000"/>
                <w:sz w:val="16"/>
                <w:szCs w:val="16"/>
              </w:rPr>
            </w:pPr>
          </w:p>
        </w:tc>
        <w:tc>
          <w:tcPr>
            <w:tcW w:w="709" w:type="dxa"/>
            <w:tcBorders>
              <w:top w:val="nil"/>
              <w:left w:val="single" w:sz="4" w:space="0" w:color="auto"/>
              <w:bottom w:val="single" w:sz="4" w:space="0" w:color="auto"/>
              <w:right w:val="single" w:sz="4" w:space="0" w:color="auto"/>
            </w:tcBorders>
            <w:shd w:val="clear" w:color="000000" w:fill="F5DADD"/>
            <w:vAlign w:val="center"/>
          </w:tcPr>
          <w:p w14:paraId="42E2D025" w14:textId="4FE4B6C4" w:rsidR="00951947" w:rsidRPr="00D92E20" w:rsidRDefault="00951947" w:rsidP="00632857">
            <w:pPr>
              <w:spacing w:after="0" w:line="240" w:lineRule="auto"/>
              <w:jc w:val="center"/>
              <w:rPr>
                <w:rFonts w:cs="Arial"/>
                <w:color w:val="000000"/>
                <w:sz w:val="16"/>
                <w:szCs w:val="16"/>
              </w:rPr>
            </w:pPr>
            <w:r>
              <w:rPr>
                <w:rFonts w:cs="Arial"/>
                <w:color w:val="000000"/>
                <w:sz w:val="16"/>
                <w:szCs w:val="16"/>
              </w:rPr>
              <w:t>muži</w:t>
            </w:r>
          </w:p>
        </w:tc>
        <w:tc>
          <w:tcPr>
            <w:tcW w:w="709" w:type="dxa"/>
            <w:tcBorders>
              <w:top w:val="nil"/>
              <w:left w:val="single" w:sz="4" w:space="0" w:color="auto"/>
              <w:bottom w:val="single" w:sz="4" w:space="0" w:color="auto"/>
              <w:right w:val="nil"/>
            </w:tcBorders>
            <w:shd w:val="clear" w:color="000000" w:fill="F5DADD"/>
            <w:vAlign w:val="center"/>
          </w:tcPr>
          <w:p w14:paraId="40A103B2" w14:textId="6366DA58" w:rsidR="00951947" w:rsidRPr="00D92E20" w:rsidRDefault="00951947" w:rsidP="00632857">
            <w:pPr>
              <w:spacing w:after="0" w:line="240" w:lineRule="auto"/>
              <w:jc w:val="center"/>
              <w:rPr>
                <w:rFonts w:cs="Arial"/>
                <w:color w:val="000000"/>
                <w:sz w:val="16"/>
                <w:szCs w:val="16"/>
              </w:rPr>
            </w:pPr>
            <w:r>
              <w:rPr>
                <w:rFonts w:cs="Arial"/>
                <w:color w:val="000000"/>
                <w:sz w:val="16"/>
                <w:szCs w:val="16"/>
              </w:rPr>
              <w:t>ženy</w:t>
            </w:r>
          </w:p>
        </w:tc>
      </w:tr>
      <w:tr w:rsidR="000158B0" w:rsidRPr="00D92E20" w14:paraId="39797E96" w14:textId="7C17ACDC" w:rsidTr="000158B0">
        <w:trPr>
          <w:trHeight w:val="300"/>
        </w:trPr>
        <w:tc>
          <w:tcPr>
            <w:tcW w:w="1077" w:type="dxa"/>
            <w:tcBorders>
              <w:top w:val="nil"/>
              <w:left w:val="nil"/>
              <w:bottom w:val="nil"/>
              <w:right w:val="single" w:sz="4" w:space="0" w:color="auto"/>
            </w:tcBorders>
            <w:shd w:val="clear" w:color="auto" w:fill="auto"/>
            <w:vAlign w:val="center"/>
            <w:hideMark/>
          </w:tcPr>
          <w:p w14:paraId="45A1EA30" w14:textId="3C6BDC8C" w:rsidR="000158B0" w:rsidRPr="00D92E20" w:rsidRDefault="000158B0" w:rsidP="000158B0">
            <w:pPr>
              <w:spacing w:after="0" w:line="240" w:lineRule="auto"/>
              <w:jc w:val="center"/>
              <w:rPr>
                <w:rFonts w:cs="Arial"/>
                <w:color w:val="000000"/>
                <w:sz w:val="16"/>
                <w:szCs w:val="16"/>
              </w:rPr>
            </w:pPr>
            <w:r>
              <w:rPr>
                <w:rFonts w:cs="Arial"/>
                <w:sz w:val="16"/>
                <w:szCs w:val="16"/>
              </w:rPr>
              <w:t>1. pol. 2012</w:t>
            </w:r>
          </w:p>
        </w:tc>
        <w:tc>
          <w:tcPr>
            <w:tcW w:w="710" w:type="dxa"/>
            <w:tcBorders>
              <w:top w:val="nil"/>
              <w:left w:val="nil"/>
              <w:bottom w:val="nil"/>
              <w:right w:val="nil"/>
            </w:tcBorders>
            <w:shd w:val="clear" w:color="auto" w:fill="auto"/>
            <w:noWrap/>
            <w:vAlign w:val="center"/>
            <w:hideMark/>
          </w:tcPr>
          <w:p w14:paraId="6FA20F5F" w14:textId="30AC8B39" w:rsidR="000158B0" w:rsidRPr="00D92E20" w:rsidRDefault="000158B0" w:rsidP="000158B0">
            <w:pPr>
              <w:spacing w:after="0" w:line="240" w:lineRule="auto"/>
              <w:jc w:val="right"/>
              <w:rPr>
                <w:rFonts w:cs="Arial"/>
                <w:color w:val="000000"/>
                <w:sz w:val="16"/>
                <w:szCs w:val="16"/>
              </w:rPr>
            </w:pPr>
            <w:r>
              <w:rPr>
                <w:rFonts w:cs="Arial"/>
                <w:sz w:val="16"/>
                <w:szCs w:val="16"/>
              </w:rPr>
              <w:t>21 816</w:t>
            </w:r>
          </w:p>
        </w:tc>
        <w:tc>
          <w:tcPr>
            <w:tcW w:w="709" w:type="dxa"/>
            <w:tcBorders>
              <w:top w:val="nil"/>
              <w:left w:val="nil"/>
              <w:bottom w:val="nil"/>
              <w:right w:val="nil"/>
            </w:tcBorders>
            <w:shd w:val="clear" w:color="auto" w:fill="auto"/>
            <w:noWrap/>
            <w:vAlign w:val="center"/>
            <w:hideMark/>
          </w:tcPr>
          <w:p w14:paraId="3734AAD8" w14:textId="6BC93B32" w:rsidR="000158B0" w:rsidRPr="00D92E20" w:rsidRDefault="000158B0" w:rsidP="000158B0">
            <w:pPr>
              <w:spacing w:after="0" w:line="240" w:lineRule="auto"/>
              <w:jc w:val="right"/>
              <w:rPr>
                <w:rFonts w:cs="Arial"/>
                <w:color w:val="000000"/>
                <w:sz w:val="16"/>
                <w:szCs w:val="16"/>
              </w:rPr>
            </w:pPr>
            <w:r>
              <w:rPr>
                <w:rFonts w:cs="Arial"/>
                <w:sz w:val="16"/>
                <w:szCs w:val="16"/>
              </w:rPr>
              <w:t>15 504</w:t>
            </w:r>
          </w:p>
        </w:tc>
        <w:tc>
          <w:tcPr>
            <w:tcW w:w="709" w:type="dxa"/>
            <w:tcBorders>
              <w:top w:val="nil"/>
              <w:left w:val="nil"/>
              <w:bottom w:val="nil"/>
              <w:right w:val="single" w:sz="4" w:space="0" w:color="auto"/>
            </w:tcBorders>
            <w:shd w:val="clear" w:color="auto" w:fill="auto"/>
            <w:noWrap/>
            <w:vAlign w:val="center"/>
            <w:hideMark/>
          </w:tcPr>
          <w:p w14:paraId="7A8AF9B5" w14:textId="30C6B861" w:rsidR="000158B0" w:rsidRPr="00D92E20" w:rsidRDefault="000158B0" w:rsidP="000158B0">
            <w:pPr>
              <w:spacing w:after="0" w:line="240" w:lineRule="auto"/>
              <w:jc w:val="right"/>
              <w:rPr>
                <w:rFonts w:cs="Arial"/>
                <w:color w:val="000000"/>
                <w:sz w:val="16"/>
                <w:szCs w:val="16"/>
              </w:rPr>
            </w:pPr>
            <w:r>
              <w:rPr>
                <w:rFonts w:cs="Arial"/>
                <w:sz w:val="16"/>
                <w:szCs w:val="16"/>
              </w:rPr>
              <w:t>6 312</w:t>
            </w:r>
          </w:p>
        </w:tc>
        <w:tc>
          <w:tcPr>
            <w:tcW w:w="710" w:type="dxa"/>
            <w:tcBorders>
              <w:top w:val="nil"/>
              <w:left w:val="nil"/>
              <w:bottom w:val="nil"/>
              <w:right w:val="nil"/>
            </w:tcBorders>
            <w:shd w:val="clear" w:color="auto" w:fill="auto"/>
            <w:noWrap/>
            <w:vAlign w:val="center"/>
            <w:hideMark/>
          </w:tcPr>
          <w:p w14:paraId="409A7B68" w14:textId="4D656D84" w:rsidR="000158B0" w:rsidRPr="00D92E20" w:rsidRDefault="000158B0" w:rsidP="000158B0">
            <w:pPr>
              <w:spacing w:after="0" w:line="240" w:lineRule="auto"/>
              <w:jc w:val="right"/>
              <w:rPr>
                <w:rFonts w:cs="Arial"/>
                <w:color w:val="000000"/>
                <w:sz w:val="16"/>
                <w:szCs w:val="16"/>
              </w:rPr>
            </w:pPr>
            <w:r>
              <w:rPr>
                <w:rFonts w:cs="Arial"/>
                <w:sz w:val="16"/>
                <w:szCs w:val="16"/>
              </w:rPr>
              <w:t>21 356</w:t>
            </w:r>
          </w:p>
        </w:tc>
        <w:tc>
          <w:tcPr>
            <w:tcW w:w="709" w:type="dxa"/>
            <w:tcBorders>
              <w:top w:val="nil"/>
              <w:left w:val="nil"/>
              <w:bottom w:val="nil"/>
              <w:right w:val="nil"/>
            </w:tcBorders>
            <w:shd w:val="clear" w:color="auto" w:fill="auto"/>
            <w:vAlign w:val="center"/>
            <w:hideMark/>
          </w:tcPr>
          <w:p w14:paraId="017D18EE" w14:textId="48911DB3" w:rsidR="000158B0" w:rsidRPr="00D92E20" w:rsidRDefault="000158B0" w:rsidP="000158B0">
            <w:pPr>
              <w:spacing w:after="0" w:line="240" w:lineRule="auto"/>
              <w:jc w:val="right"/>
              <w:rPr>
                <w:rFonts w:cs="Arial"/>
                <w:color w:val="000000"/>
                <w:sz w:val="16"/>
                <w:szCs w:val="16"/>
              </w:rPr>
            </w:pPr>
            <w:r>
              <w:rPr>
                <w:rFonts w:cs="Arial"/>
                <w:sz w:val="16"/>
                <w:szCs w:val="16"/>
              </w:rPr>
              <w:t>15 156</w:t>
            </w:r>
          </w:p>
        </w:tc>
        <w:tc>
          <w:tcPr>
            <w:tcW w:w="709" w:type="dxa"/>
            <w:tcBorders>
              <w:top w:val="nil"/>
              <w:left w:val="nil"/>
              <w:bottom w:val="nil"/>
              <w:right w:val="single" w:sz="4" w:space="0" w:color="auto"/>
            </w:tcBorders>
            <w:shd w:val="clear" w:color="auto" w:fill="auto"/>
            <w:vAlign w:val="center"/>
            <w:hideMark/>
          </w:tcPr>
          <w:p w14:paraId="37321543" w14:textId="1D07E559" w:rsidR="000158B0" w:rsidRPr="00D92E20" w:rsidRDefault="000158B0" w:rsidP="000158B0">
            <w:pPr>
              <w:spacing w:after="0" w:line="240" w:lineRule="auto"/>
              <w:jc w:val="right"/>
              <w:rPr>
                <w:rFonts w:cs="Arial"/>
                <w:color w:val="000000"/>
                <w:sz w:val="16"/>
                <w:szCs w:val="16"/>
              </w:rPr>
            </w:pPr>
            <w:r>
              <w:rPr>
                <w:rFonts w:cs="Arial"/>
                <w:sz w:val="16"/>
                <w:szCs w:val="16"/>
              </w:rPr>
              <w:t>6 200</w:t>
            </w:r>
          </w:p>
        </w:tc>
        <w:tc>
          <w:tcPr>
            <w:tcW w:w="710" w:type="dxa"/>
            <w:tcBorders>
              <w:top w:val="nil"/>
              <w:left w:val="nil"/>
              <w:bottom w:val="nil"/>
              <w:right w:val="nil"/>
            </w:tcBorders>
            <w:shd w:val="clear" w:color="auto" w:fill="auto"/>
            <w:vAlign w:val="center"/>
            <w:hideMark/>
          </w:tcPr>
          <w:p w14:paraId="17668B07" w14:textId="4B8E5C20" w:rsidR="000158B0" w:rsidRPr="00D92E20" w:rsidRDefault="000158B0" w:rsidP="000158B0">
            <w:pPr>
              <w:spacing w:after="0" w:line="240" w:lineRule="auto"/>
              <w:jc w:val="right"/>
              <w:rPr>
                <w:rFonts w:cs="Arial"/>
                <w:color w:val="000000"/>
                <w:sz w:val="16"/>
                <w:szCs w:val="16"/>
              </w:rPr>
            </w:pPr>
            <w:r>
              <w:rPr>
                <w:rFonts w:cs="Arial"/>
                <w:sz w:val="16"/>
                <w:szCs w:val="16"/>
              </w:rPr>
              <w:t>53</w:t>
            </w:r>
          </w:p>
        </w:tc>
        <w:tc>
          <w:tcPr>
            <w:tcW w:w="709" w:type="dxa"/>
            <w:tcBorders>
              <w:top w:val="nil"/>
              <w:left w:val="nil"/>
              <w:bottom w:val="nil"/>
              <w:right w:val="nil"/>
            </w:tcBorders>
            <w:shd w:val="clear" w:color="auto" w:fill="auto"/>
            <w:vAlign w:val="center"/>
            <w:hideMark/>
          </w:tcPr>
          <w:p w14:paraId="53F048C2" w14:textId="1DA12BF6" w:rsidR="000158B0" w:rsidRPr="00D92E20" w:rsidRDefault="000158B0" w:rsidP="000158B0">
            <w:pPr>
              <w:spacing w:after="0" w:line="240" w:lineRule="auto"/>
              <w:jc w:val="right"/>
              <w:rPr>
                <w:rFonts w:cs="Arial"/>
                <w:color w:val="000000"/>
                <w:sz w:val="16"/>
                <w:szCs w:val="16"/>
              </w:rPr>
            </w:pPr>
            <w:r>
              <w:rPr>
                <w:rFonts w:cs="Arial"/>
                <w:sz w:val="16"/>
                <w:szCs w:val="16"/>
              </w:rPr>
              <w:t>52</w:t>
            </w:r>
          </w:p>
        </w:tc>
        <w:tc>
          <w:tcPr>
            <w:tcW w:w="709" w:type="dxa"/>
            <w:tcBorders>
              <w:top w:val="single" w:sz="4" w:space="0" w:color="auto"/>
              <w:left w:val="nil"/>
              <w:bottom w:val="nil"/>
              <w:right w:val="single" w:sz="4" w:space="0" w:color="auto"/>
            </w:tcBorders>
            <w:shd w:val="clear" w:color="auto" w:fill="auto"/>
            <w:vAlign w:val="center"/>
            <w:hideMark/>
          </w:tcPr>
          <w:p w14:paraId="442423AD" w14:textId="2CAA4536" w:rsidR="000158B0" w:rsidRPr="00D92E20" w:rsidRDefault="000158B0" w:rsidP="000158B0">
            <w:pPr>
              <w:spacing w:after="0" w:line="240" w:lineRule="auto"/>
              <w:jc w:val="right"/>
              <w:rPr>
                <w:rFonts w:cs="Arial"/>
                <w:color w:val="000000"/>
                <w:sz w:val="16"/>
                <w:szCs w:val="16"/>
              </w:rPr>
            </w:pPr>
            <w:r>
              <w:rPr>
                <w:rFonts w:cs="Arial"/>
                <w:sz w:val="16"/>
                <w:szCs w:val="16"/>
              </w:rPr>
              <w:t>1</w:t>
            </w:r>
          </w:p>
        </w:tc>
        <w:tc>
          <w:tcPr>
            <w:tcW w:w="710" w:type="dxa"/>
            <w:tcBorders>
              <w:top w:val="nil"/>
              <w:left w:val="single" w:sz="4" w:space="0" w:color="auto"/>
              <w:bottom w:val="nil"/>
              <w:right w:val="nil"/>
            </w:tcBorders>
            <w:vAlign w:val="center"/>
          </w:tcPr>
          <w:p w14:paraId="157E345F" w14:textId="4D71E793" w:rsidR="000158B0" w:rsidRDefault="000158B0" w:rsidP="000158B0">
            <w:pPr>
              <w:spacing w:after="0" w:line="240" w:lineRule="auto"/>
              <w:jc w:val="right"/>
              <w:rPr>
                <w:rFonts w:cs="Arial"/>
                <w:sz w:val="16"/>
                <w:szCs w:val="16"/>
              </w:rPr>
            </w:pPr>
            <w:r>
              <w:rPr>
                <w:rFonts w:cs="Arial"/>
                <w:sz w:val="16"/>
                <w:szCs w:val="16"/>
              </w:rPr>
              <w:t>713</w:t>
            </w:r>
          </w:p>
        </w:tc>
        <w:tc>
          <w:tcPr>
            <w:tcW w:w="709" w:type="dxa"/>
            <w:tcBorders>
              <w:top w:val="nil"/>
              <w:left w:val="nil"/>
              <w:bottom w:val="nil"/>
              <w:right w:val="nil"/>
            </w:tcBorders>
            <w:vAlign w:val="center"/>
          </w:tcPr>
          <w:p w14:paraId="52332ACB" w14:textId="63B6B178" w:rsidR="000158B0" w:rsidRDefault="000158B0" w:rsidP="000158B0">
            <w:pPr>
              <w:spacing w:after="0" w:line="240" w:lineRule="auto"/>
              <w:jc w:val="right"/>
              <w:rPr>
                <w:rFonts w:cs="Arial"/>
                <w:sz w:val="16"/>
                <w:szCs w:val="16"/>
              </w:rPr>
            </w:pPr>
            <w:r>
              <w:rPr>
                <w:rFonts w:cs="Arial"/>
                <w:sz w:val="16"/>
                <w:szCs w:val="16"/>
              </w:rPr>
              <w:t>572</w:t>
            </w:r>
          </w:p>
        </w:tc>
        <w:tc>
          <w:tcPr>
            <w:tcW w:w="709" w:type="dxa"/>
            <w:tcBorders>
              <w:top w:val="nil"/>
              <w:left w:val="nil"/>
              <w:bottom w:val="nil"/>
              <w:right w:val="nil"/>
            </w:tcBorders>
            <w:vAlign w:val="center"/>
          </w:tcPr>
          <w:p w14:paraId="334F7506" w14:textId="455CF35B" w:rsidR="000158B0" w:rsidRDefault="000158B0" w:rsidP="000158B0">
            <w:pPr>
              <w:spacing w:after="0" w:line="240" w:lineRule="auto"/>
              <w:jc w:val="right"/>
              <w:rPr>
                <w:rFonts w:cs="Arial"/>
                <w:sz w:val="16"/>
                <w:szCs w:val="16"/>
              </w:rPr>
            </w:pPr>
            <w:r>
              <w:rPr>
                <w:rFonts w:cs="Arial"/>
                <w:sz w:val="16"/>
                <w:szCs w:val="16"/>
              </w:rPr>
              <w:t>141</w:t>
            </w:r>
          </w:p>
        </w:tc>
      </w:tr>
      <w:tr w:rsidR="000158B0" w:rsidRPr="00D92E20" w14:paraId="1945DD99" w14:textId="0A493FD3" w:rsidTr="000158B0">
        <w:trPr>
          <w:trHeight w:val="300"/>
        </w:trPr>
        <w:tc>
          <w:tcPr>
            <w:tcW w:w="1077" w:type="dxa"/>
            <w:tcBorders>
              <w:top w:val="nil"/>
              <w:left w:val="nil"/>
              <w:bottom w:val="nil"/>
              <w:right w:val="single" w:sz="4" w:space="0" w:color="auto"/>
            </w:tcBorders>
            <w:shd w:val="clear" w:color="auto" w:fill="auto"/>
            <w:vAlign w:val="center"/>
            <w:hideMark/>
          </w:tcPr>
          <w:p w14:paraId="04FA1910" w14:textId="43C9298A" w:rsidR="000158B0" w:rsidRPr="00D92E20" w:rsidRDefault="000158B0" w:rsidP="000158B0">
            <w:pPr>
              <w:spacing w:after="0" w:line="240" w:lineRule="auto"/>
              <w:jc w:val="center"/>
              <w:rPr>
                <w:rFonts w:cs="Arial"/>
                <w:color w:val="000000"/>
                <w:sz w:val="16"/>
                <w:szCs w:val="16"/>
              </w:rPr>
            </w:pPr>
            <w:r>
              <w:rPr>
                <w:rFonts w:cs="Arial"/>
                <w:sz w:val="16"/>
                <w:szCs w:val="16"/>
              </w:rPr>
              <w:t>1. pol. 2013</w:t>
            </w:r>
          </w:p>
        </w:tc>
        <w:tc>
          <w:tcPr>
            <w:tcW w:w="710" w:type="dxa"/>
            <w:tcBorders>
              <w:top w:val="nil"/>
              <w:left w:val="nil"/>
              <w:bottom w:val="nil"/>
              <w:right w:val="nil"/>
            </w:tcBorders>
            <w:shd w:val="clear" w:color="auto" w:fill="auto"/>
            <w:noWrap/>
            <w:vAlign w:val="center"/>
            <w:hideMark/>
          </w:tcPr>
          <w:p w14:paraId="09A022C1" w14:textId="4208307E" w:rsidR="000158B0" w:rsidRPr="00D92E20" w:rsidRDefault="000158B0" w:rsidP="000158B0">
            <w:pPr>
              <w:spacing w:after="0" w:line="240" w:lineRule="auto"/>
              <w:jc w:val="right"/>
              <w:rPr>
                <w:rFonts w:cs="Arial"/>
                <w:color w:val="000000"/>
                <w:sz w:val="16"/>
                <w:szCs w:val="16"/>
              </w:rPr>
            </w:pPr>
            <w:r>
              <w:rPr>
                <w:rFonts w:cs="Arial"/>
                <w:sz w:val="16"/>
                <w:szCs w:val="16"/>
              </w:rPr>
              <w:t>21 935</w:t>
            </w:r>
          </w:p>
        </w:tc>
        <w:tc>
          <w:tcPr>
            <w:tcW w:w="709" w:type="dxa"/>
            <w:tcBorders>
              <w:top w:val="nil"/>
              <w:left w:val="nil"/>
              <w:bottom w:val="nil"/>
              <w:right w:val="nil"/>
            </w:tcBorders>
            <w:shd w:val="clear" w:color="auto" w:fill="auto"/>
            <w:noWrap/>
            <w:vAlign w:val="center"/>
            <w:hideMark/>
          </w:tcPr>
          <w:p w14:paraId="5F61F278" w14:textId="60AF67AB" w:rsidR="000158B0" w:rsidRPr="00D92E20" w:rsidRDefault="000158B0" w:rsidP="000158B0">
            <w:pPr>
              <w:spacing w:after="0" w:line="240" w:lineRule="auto"/>
              <w:jc w:val="right"/>
              <w:rPr>
                <w:rFonts w:cs="Arial"/>
                <w:color w:val="000000"/>
                <w:sz w:val="16"/>
                <w:szCs w:val="16"/>
              </w:rPr>
            </w:pPr>
            <w:r>
              <w:rPr>
                <w:rFonts w:cs="Arial"/>
                <w:sz w:val="16"/>
                <w:szCs w:val="16"/>
              </w:rPr>
              <w:t>15 304</w:t>
            </w:r>
          </w:p>
        </w:tc>
        <w:tc>
          <w:tcPr>
            <w:tcW w:w="709" w:type="dxa"/>
            <w:tcBorders>
              <w:top w:val="nil"/>
              <w:left w:val="nil"/>
              <w:bottom w:val="nil"/>
              <w:right w:val="single" w:sz="4" w:space="0" w:color="auto"/>
            </w:tcBorders>
            <w:shd w:val="clear" w:color="auto" w:fill="auto"/>
            <w:noWrap/>
            <w:vAlign w:val="center"/>
            <w:hideMark/>
          </w:tcPr>
          <w:p w14:paraId="4B9FD3D0" w14:textId="73BB96CF" w:rsidR="000158B0" w:rsidRPr="00D92E20" w:rsidRDefault="000158B0" w:rsidP="000158B0">
            <w:pPr>
              <w:spacing w:after="0" w:line="240" w:lineRule="auto"/>
              <w:jc w:val="right"/>
              <w:rPr>
                <w:rFonts w:cs="Arial"/>
                <w:color w:val="000000"/>
                <w:sz w:val="16"/>
                <w:szCs w:val="16"/>
              </w:rPr>
            </w:pPr>
            <w:r>
              <w:rPr>
                <w:rFonts w:cs="Arial"/>
                <w:sz w:val="16"/>
                <w:szCs w:val="16"/>
              </w:rPr>
              <w:t>6 631</w:t>
            </w:r>
          </w:p>
        </w:tc>
        <w:tc>
          <w:tcPr>
            <w:tcW w:w="710" w:type="dxa"/>
            <w:tcBorders>
              <w:top w:val="nil"/>
              <w:left w:val="nil"/>
              <w:bottom w:val="nil"/>
              <w:right w:val="nil"/>
            </w:tcBorders>
            <w:shd w:val="clear" w:color="auto" w:fill="auto"/>
            <w:noWrap/>
            <w:vAlign w:val="center"/>
            <w:hideMark/>
          </w:tcPr>
          <w:p w14:paraId="4D8DB3D2" w14:textId="448F09D3" w:rsidR="000158B0" w:rsidRPr="00D92E20" w:rsidRDefault="000158B0" w:rsidP="000158B0">
            <w:pPr>
              <w:spacing w:after="0" w:line="240" w:lineRule="auto"/>
              <w:jc w:val="right"/>
              <w:rPr>
                <w:rFonts w:cs="Arial"/>
                <w:color w:val="000000"/>
                <w:sz w:val="16"/>
                <w:szCs w:val="16"/>
              </w:rPr>
            </w:pPr>
            <w:r>
              <w:rPr>
                <w:rFonts w:cs="Arial"/>
                <w:sz w:val="16"/>
                <w:szCs w:val="16"/>
              </w:rPr>
              <w:t>21 542</w:t>
            </w:r>
          </w:p>
        </w:tc>
        <w:tc>
          <w:tcPr>
            <w:tcW w:w="709" w:type="dxa"/>
            <w:tcBorders>
              <w:top w:val="nil"/>
              <w:left w:val="nil"/>
              <w:bottom w:val="nil"/>
              <w:right w:val="nil"/>
            </w:tcBorders>
            <w:shd w:val="clear" w:color="auto" w:fill="auto"/>
            <w:vAlign w:val="center"/>
            <w:hideMark/>
          </w:tcPr>
          <w:p w14:paraId="50385049" w14:textId="3B774083" w:rsidR="000158B0" w:rsidRPr="00D92E20" w:rsidRDefault="000158B0" w:rsidP="000158B0">
            <w:pPr>
              <w:spacing w:after="0" w:line="240" w:lineRule="auto"/>
              <w:jc w:val="right"/>
              <w:rPr>
                <w:rFonts w:cs="Arial"/>
                <w:color w:val="000000"/>
                <w:sz w:val="16"/>
                <w:szCs w:val="16"/>
              </w:rPr>
            </w:pPr>
            <w:r>
              <w:rPr>
                <w:rFonts w:cs="Arial"/>
                <w:sz w:val="16"/>
                <w:szCs w:val="16"/>
              </w:rPr>
              <w:t>15 007</w:t>
            </w:r>
          </w:p>
        </w:tc>
        <w:tc>
          <w:tcPr>
            <w:tcW w:w="709" w:type="dxa"/>
            <w:tcBorders>
              <w:top w:val="nil"/>
              <w:left w:val="nil"/>
              <w:bottom w:val="nil"/>
              <w:right w:val="single" w:sz="4" w:space="0" w:color="auto"/>
            </w:tcBorders>
            <w:shd w:val="clear" w:color="auto" w:fill="auto"/>
            <w:vAlign w:val="center"/>
            <w:hideMark/>
          </w:tcPr>
          <w:p w14:paraId="1B6CE7EC" w14:textId="41D10ADC" w:rsidR="000158B0" w:rsidRPr="00D92E20" w:rsidRDefault="000158B0" w:rsidP="000158B0">
            <w:pPr>
              <w:spacing w:after="0" w:line="240" w:lineRule="auto"/>
              <w:jc w:val="right"/>
              <w:rPr>
                <w:rFonts w:cs="Arial"/>
                <w:color w:val="000000"/>
                <w:sz w:val="16"/>
                <w:szCs w:val="16"/>
              </w:rPr>
            </w:pPr>
            <w:r>
              <w:rPr>
                <w:rFonts w:cs="Arial"/>
                <w:sz w:val="16"/>
                <w:szCs w:val="16"/>
              </w:rPr>
              <w:t>6 535</w:t>
            </w:r>
          </w:p>
        </w:tc>
        <w:tc>
          <w:tcPr>
            <w:tcW w:w="710" w:type="dxa"/>
            <w:tcBorders>
              <w:top w:val="nil"/>
              <w:left w:val="nil"/>
              <w:bottom w:val="nil"/>
              <w:right w:val="nil"/>
            </w:tcBorders>
            <w:shd w:val="clear" w:color="auto" w:fill="auto"/>
            <w:vAlign w:val="center"/>
            <w:hideMark/>
          </w:tcPr>
          <w:p w14:paraId="3C0A15B0" w14:textId="3E385E72" w:rsidR="000158B0" w:rsidRPr="00D92E20" w:rsidRDefault="000158B0" w:rsidP="000158B0">
            <w:pPr>
              <w:spacing w:after="0" w:line="240" w:lineRule="auto"/>
              <w:jc w:val="right"/>
              <w:rPr>
                <w:rFonts w:cs="Arial"/>
                <w:color w:val="000000"/>
                <w:sz w:val="16"/>
                <w:szCs w:val="16"/>
              </w:rPr>
            </w:pPr>
            <w:r>
              <w:rPr>
                <w:rFonts w:cs="Arial"/>
                <w:sz w:val="16"/>
                <w:szCs w:val="16"/>
              </w:rPr>
              <w:t>48</w:t>
            </w:r>
          </w:p>
        </w:tc>
        <w:tc>
          <w:tcPr>
            <w:tcW w:w="709" w:type="dxa"/>
            <w:tcBorders>
              <w:top w:val="nil"/>
              <w:left w:val="nil"/>
              <w:bottom w:val="nil"/>
              <w:right w:val="nil"/>
            </w:tcBorders>
            <w:shd w:val="clear" w:color="auto" w:fill="auto"/>
            <w:vAlign w:val="center"/>
            <w:hideMark/>
          </w:tcPr>
          <w:p w14:paraId="69EEC951" w14:textId="7E8B8221" w:rsidR="000158B0" w:rsidRPr="00D92E20" w:rsidRDefault="000158B0" w:rsidP="000158B0">
            <w:pPr>
              <w:spacing w:after="0" w:line="240" w:lineRule="auto"/>
              <w:jc w:val="right"/>
              <w:rPr>
                <w:rFonts w:cs="Arial"/>
                <w:color w:val="000000"/>
                <w:sz w:val="16"/>
                <w:szCs w:val="16"/>
              </w:rPr>
            </w:pPr>
            <w:r>
              <w:rPr>
                <w:rFonts w:cs="Arial"/>
                <w:sz w:val="16"/>
                <w:szCs w:val="16"/>
              </w:rPr>
              <w:t>44</w:t>
            </w:r>
          </w:p>
        </w:tc>
        <w:tc>
          <w:tcPr>
            <w:tcW w:w="709" w:type="dxa"/>
            <w:tcBorders>
              <w:top w:val="nil"/>
              <w:left w:val="nil"/>
              <w:bottom w:val="nil"/>
              <w:right w:val="single" w:sz="4" w:space="0" w:color="auto"/>
            </w:tcBorders>
            <w:shd w:val="clear" w:color="auto" w:fill="auto"/>
            <w:vAlign w:val="center"/>
            <w:hideMark/>
          </w:tcPr>
          <w:p w14:paraId="08AE141A" w14:textId="71F431F6" w:rsidR="000158B0" w:rsidRPr="00D92E20" w:rsidRDefault="000158B0" w:rsidP="000158B0">
            <w:pPr>
              <w:spacing w:after="0" w:line="240" w:lineRule="auto"/>
              <w:jc w:val="right"/>
              <w:rPr>
                <w:rFonts w:cs="Arial"/>
                <w:color w:val="000000"/>
                <w:sz w:val="16"/>
                <w:szCs w:val="16"/>
              </w:rPr>
            </w:pPr>
            <w:r>
              <w:rPr>
                <w:rFonts w:cs="Arial"/>
                <w:sz w:val="16"/>
                <w:szCs w:val="16"/>
              </w:rPr>
              <w:t>4</w:t>
            </w:r>
          </w:p>
        </w:tc>
        <w:tc>
          <w:tcPr>
            <w:tcW w:w="710" w:type="dxa"/>
            <w:tcBorders>
              <w:top w:val="nil"/>
              <w:left w:val="single" w:sz="4" w:space="0" w:color="auto"/>
              <w:bottom w:val="nil"/>
              <w:right w:val="nil"/>
            </w:tcBorders>
            <w:vAlign w:val="center"/>
          </w:tcPr>
          <w:p w14:paraId="4F44AC3C" w14:textId="2FFBB722" w:rsidR="000158B0" w:rsidRDefault="000158B0" w:rsidP="000158B0">
            <w:pPr>
              <w:spacing w:after="0" w:line="240" w:lineRule="auto"/>
              <w:jc w:val="right"/>
              <w:rPr>
                <w:rFonts w:cs="Arial"/>
                <w:sz w:val="16"/>
                <w:szCs w:val="16"/>
              </w:rPr>
            </w:pPr>
            <w:r>
              <w:rPr>
                <w:rFonts w:cs="Arial"/>
                <w:sz w:val="16"/>
                <w:szCs w:val="16"/>
              </w:rPr>
              <w:t>675</w:t>
            </w:r>
          </w:p>
        </w:tc>
        <w:tc>
          <w:tcPr>
            <w:tcW w:w="709" w:type="dxa"/>
            <w:tcBorders>
              <w:top w:val="nil"/>
              <w:left w:val="nil"/>
              <w:bottom w:val="nil"/>
              <w:right w:val="nil"/>
            </w:tcBorders>
            <w:vAlign w:val="center"/>
          </w:tcPr>
          <w:p w14:paraId="0FAB701C" w14:textId="25376E80" w:rsidR="000158B0" w:rsidRDefault="000158B0" w:rsidP="000158B0">
            <w:pPr>
              <w:spacing w:after="0" w:line="240" w:lineRule="auto"/>
              <w:jc w:val="right"/>
              <w:rPr>
                <w:rFonts w:cs="Arial"/>
                <w:sz w:val="16"/>
                <w:szCs w:val="16"/>
              </w:rPr>
            </w:pPr>
            <w:r>
              <w:rPr>
                <w:rFonts w:cs="Arial"/>
                <w:sz w:val="16"/>
                <w:szCs w:val="16"/>
              </w:rPr>
              <w:t>531</w:t>
            </w:r>
          </w:p>
        </w:tc>
        <w:tc>
          <w:tcPr>
            <w:tcW w:w="709" w:type="dxa"/>
            <w:tcBorders>
              <w:top w:val="nil"/>
              <w:left w:val="nil"/>
              <w:bottom w:val="nil"/>
              <w:right w:val="nil"/>
            </w:tcBorders>
            <w:vAlign w:val="center"/>
          </w:tcPr>
          <w:p w14:paraId="3722308F" w14:textId="6D8882B3" w:rsidR="000158B0" w:rsidRDefault="000158B0" w:rsidP="000158B0">
            <w:pPr>
              <w:spacing w:after="0" w:line="240" w:lineRule="auto"/>
              <w:jc w:val="right"/>
              <w:rPr>
                <w:rFonts w:cs="Arial"/>
                <w:sz w:val="16"/>
                <w:szCs w:val="16"/>
              </w:rPr>
            </w:pPr>
            <w:r>
              <w:rPr>
                <w:rFonts w:cs="Arial"/>
                <w:sz w:val="16"/>
                <w:szCs w:val="16"/>
              </w:rPr>
              <w:t>144</w:t>
            </w:r>
          </w:p>
        </w:tc>
      </w:tr>
      <w:tr w:rsidR="000158B0" w:rsidRPr="00D92E20" w14:paraId="600CB864" w14:textId="35ADAC8D" w:rsidTr="000158B0">
        <w:trPr>
          <w:trHeight w:val="300"/>
        </w:trPr>
        <w:tc>
          <w:tcPr>
            <w:tcW w:w="1077" w:type="dxa"/>
            <w:tcBorders>
              <w:top w:val="nil"/>
              <w:left w:val="nil"/>
              <w:bottom w:val="nil"/>
              <w:right w:val="single" w:sz="4" w:space="0" w:color="auto"/>
            </w:tcBorders>
            <w:shd w:val="clear" w:color="auto" w:fill="auto"/>
            <w:vAlign w:val="center"/>
            <w:hideMark/>
          </w:tcPr>
          <w:p w14:paraId="2852FA3E" w14:textId="2341B939" w:rsidR="000158B0" w:rsidRPr="00D92E20" w:rsidRDefault="000158B0" w:rsidP="000158B0">
            <w:pPr>
              <w:spacing w:after="0" w:line="240" w:lineRule="auto"/>
              <w:jc w:val="center"/>
              <w:rPr>
                <w:rFonts w:cs="Arial"/>
                <w:color w:val="000000"/>
                <w:sz w:val="16"/>
                <w:szCs w:val="16"/>
              </w:rPr>
            </w:pPr>
            <w:r>
              <w:rPr>
                <w:rFonts w:cs="Arial"/>
                <w:sz w:val="16"/>
                <w:szCs w:val="16"/>
              </w:rPr>
              <w:t>1. pol. 2014</w:t>
            </w:r>
          </w:p>
        </w:tc>
        <w:tc>
          <w:tcPr>
            <w:tcW w:w="710" w:type="dxa"/>
            <w:tcBorders>
              <w:top w:val="nil"/>
              <w:left w:val="nil"/>
              <w:bottom w:val="nil"/>
              <w:right w:val="nil"/>
            </w:tcBorders>
            <w:shd w:val="clear" w:color="auto" w:fill="auto"/>
            <w:noWrap/>
            <w:vAlign w:val="center"/>
            <w:hideMark/>
          </w:tcPr>
          <w:p w14:paraId="1256F731" w14:textId="5437435B" w:rsidR="000158B0" w:rsidRPr="00D92E20" w:rsidRDefault="000158B0" w:rsidP="000158B0">
            <w:pPr>
              <w:spacing w:after="0" w:line="240" w:lineRule="auto"/>
              <w:jc w:val="right"/>
              <w:rPr>
                <w:rFonts w:cs="Arial"/>
                <w:color w:val="000000"/>
                <w:sz w:val="16"/>
                <w:szCs w:val="16"/>
              </w:rPr>
            </w:pPr>
            <w:r>
              <w:rPr>
                <w:rFonts w:cs="Arial"/>
                <w:sz w:val="16"/>
                <w:szCs w:val="16"/>
              </w:rPr>
              <w:t>22 223</w:t>
            </w:r>
          </w:p>
        </w:tc>
        <w:tc>
          <w:tcPr>
            <w:tcW w:w="709" w:type="dxa"/>
            <w:tcBorders>
              <w:top w:val="nil"/>
              <w:left w:val="nil"/>
              <w:bottom w:val="nil"/>
              <w:right w:val="nil"/>
            </w:tcBorders>
            <w:shd w:val="clear" w:color="auto" w:fill="auto"/>
            <w:noWrap/>
            <w:vAlign w:val="center"/>
            <w:hideMark/>
          </w:tcPr>
          <w:p w14:paraId="2D55BE09" w14:textId="4EE52420" w:rsidR="000158B0" w:rsidRPr="00D92E20" w:rsidRDefault="000158B0" w:rsidP="000158B0">
            <w:pPr>
              <w:spacing w:after="0" w:line="240" w:lineRule="auto"/>
              <w:jc w:val="right"/>
              <w:rPr>
                <w:rFonts w:cs="Arial"/>
                <w:color w:val="000000"/>
                <w:sz w:val="16"/>
                <w:szCs w:val="16"/>
              </w:rPr>
            </w:pPr>
            <w:r>
              <w:rPr>
                <w:rFonts w:cs="Arial"/>
                <w:sz w:val="16"/>
                <w:szCs w:val="16"/>
              </w:rPr>
              <w:t>15 611</w:t>
            </w:r>
          </w:p>
        </w:tc>
        <w:tc>
          <w:tcPr>
            <w:tcW w:w="709" w:type="dxa"/>
            <w:tcBorders>
              <w:top w:val="nil"/>
              <w:left w:val="nil"/>
              <w:bottom w:val="nil"/>
              <w:right w:val="single" w:sz="4" w:space="0" w:color="auto"/>
            </w:tcBorders>
            <w:shd w:val="clear" w:color="auto" w:fill="auto"/>
            <w:noWrap/>
            <w:vAlign w:val="center"/>
            <w:hideMark/>
          </w:tcPr>
          <w:p w14:paraId="4D6831B1" w14:textId="0A90E43D" w:rsidR="000158B0" w:rsidRPr="00D92E20" w:rsidRDefault="000158B0" w:rsidP="000158B0">
            <w:pPr>
              <w:spacing w:after="0" w:line="240" w:lineRule="auto"/>
              <w:jc w:val="right"/>
              <w:rPr>
                <w:rFonts w:cs="Arial"/>
                <w:color w:val="000000"/>
                <w:sz w:val="16"/>
                <w:szCs w:val="16"/>
              </w:rPr>
            </w:pPr>
            <w:r>
              <w:rPr>
                <w:rFonts w:cs="Arial"/>
                <w:sz w:val="16"/>
                <w:szCs w:val="16"/>
              </w:rPr>
              <w:t>6 612</w:t>
            </w:r>
          </w:p>
        </w:tc>
        <w:tc>
          <w:tcPr>
            <w:tcW w:w="710" w:type="dxa"/>
            <w:tcBorders>
              <w:top w:val="nil"/>
              <w:left w:val="nil"/>
              <w:bottom w:val="nil"/>
              <w:right w:val="nil"/>
            </w:tcBorders>
            <w:shd w:val="clear" w:color="auto" w:fill="auto"/>
            <w:noWrap/>
            <w:vAlign w:val="center"/>
            <w:hideMark/>
          </w:tcPr>
          <w:p w14:paraId="314725A6" w14:textId="11FB2809" w:rsidR="000158B0" w:rsidRPr="00D92E20" w:rsidRDefault="000158B0" w:rsidP="000158B0">
            <w:pPr>
              <w:spacing w:after="0" w:line="240" w:lineRule="auto"/>
              <w:jc w:val="right"/>
              <w:rPr>
                <w:rFonts w:cs="Arial"/>
                <w:color w:val="000000"/>
                <w:sz w:val="16"/>
                <w:szCs w:val="16"/>
              </w:rPr>
            </w:pPr>
            <w:r>
              <w:rPr>
                <w:rFonts w:cs="Arial"/>
                <w:sz w:val="16"/>
                <w:szCs w:val="16"/>
              </w:rPr>
              <w:t>21 754</w:t>
            </w:r>
          </w:p>
        </w:tc>
        <w:tc>
          <w:tcPr>
            <w:tcW w:w="709" w:type="dxa"/>
            <w:tcBorders>
              <w:top w:val="nil"/>
              <w:left w:val="nil"/>
              <w:bottom w:val="nil"/>
              <w:right w:val="nil"/>
            </w:tcBorders>
            <w:shd w:val="clear" w:color="auto" w:fill="auto"/>
            <w:vAlign w:val="center"/>
            <w:hideMark/>
          </w:tcPr>
          <w:p w14:paraId="117C1CB0" w14:textId="66D4BFEB" w:rsidR="000158B0" w:rsidRPr="00D92E20" w:rsidRDefault="000158B0" w:rsidP="000158B0">
            <w:pPr>
              <w:spacing w:after="0" w:line="240" w:lineRule="auto"/>
              <w:jc w:val="right"/>
              <w:rPr>
                <w:rFonts w:cs="Arial"/>
                <w:color w:val="000000"/>
                <w:sz w:val="16"/>
                <w:szCs w:val="16"/>
              </w:rPr>
            </w:pPr>
            <w:r>
              <w:rPr>
                <w:rFonts w:cs="Arial"/>
                <w:sz w:val="16"/>
                <w:szCs w:val="16"/>
              </w:rPr>
              <w:t>15 254</w:t>
            </w:r>
          </w:p>
        </w:tc>
        <w:tc>
          <w:tcPr>
            <w:tcW w:w="709" w:type="dxa"/>
            <w:tcBorders>
              <w:top w:val="nil"/>
              <w:left w:val="nil"/>
              <w:bottom w:val="nil"/>
              <w:right w:val="single" w:sz="4" w:space="0" w:color="auto"/>
            </w:tcBorders>
            <w:shd w:val="clear" w:color="auto" w:fill="auto"/>
            <w:vAlign w:val="center"/>
            <w:hideMark/>
          </w:tcPr>
          <w:p w14:paraId="61653512" w14:textId="72F4CA09" w:rsidR="000158B0" w:rsidRPr="00D92E20" w:rsidRDefault="000158B0" w:rsidP="000158B0">
            <w:pPr>
              <w:spacing w:after="0" w:line="240" w:lineRule="auto"/>
              <w:jc w:val="right"/>
              <w:rPr>
                <w:rFonts w:cs="Arial"/>
                <w:color w:val="000000"/>
                <w:sz w:val="16"/>
                <w:szCs w:val="16"/>
              </w:rPr>
            </w:pPr>
            <w:r>
              <w:rPr>
                <w:rFonts w:cs="Arial"/>
                <w:sz w:val="16"/>
                <w:szCs w:val="16"/>
              </w:rPr>
              <w:t>6 500</w:t>
            </w:r>
          </w:p>
        </w:tc>
        <w:tc>
          <w:tcPr>
            <w:tcW w:w="710" w:type="dxa"/>
            <w:tcBorders>
              <w:top w:val="nil"/>
              <w:left w:val="nil"/>
              <w:bottom w:val="nil"/>
              <w:right w:val="nil"/>
            </w:tcBorders>
            <w:shd w:val="clear" w:color="auto" w:fill="auto"/>
            <w:vAlign w:val="center"/>
            <w:hideMark/>
          </w:tcPr>
          <w:p w14:paraId="02B1E908" w14:textId="429D9A2B" w:rsidR="000158B0" w:rsidRPr="00D92E20" w:rsidRDefault="000158B0" w:rsidP="000158B0">
            <w:pPr>
              <w:spacing w:after="0" w:line="240" w:lineRule="auto"/>
              <w:jc w:val="right"/>
              <w:rPr>
                <w:rFonts w:cs="Arial"/>
                <w:color w:val="000000"/>
                <w:sz w:val="16"/>
                <w:szCs w:val="16"/>
              </w:rPr>
            </w:pPr>
            <w:r>
              <w:rPr>
                <w:rFonts w:cs="Arial"/>
                <w:sz w:val="16"/>
                <w:szCs w:val="16"/>
              </w:rPr>
              <w:t>45</w:t>
            </w:r>
          </w:p>
        </w:tc>
        <w:tc>
          <w:tcPr>
            <w:tcW w:w="709" w:type="dxa"/>
            <w:tcBorders>
              <w:top w:val="nil"/>
              <w:left w:val="nil"/>
              <w:bottom w:val="nil"/>
              <w:right w:val="nil"/>
            </w:tcBorders>
            <w:shd w:val="clear" w:color="auto" w:fill="auto"/>
            <w:vAlign w:val="center"/>
            <w:hideMark/>
          </w:tcPr>
          <w:p w14:paraId="7E45842F" w14:textId="5D28843C" w:rsidR="000158B0" w:rsidRPr="00D92E20" w:rsidRDefault="000158B0" w:rsidP="000158B0">
            <w:pPr>
              <w:spacing w:after="0" w:line="240" w:lineRule="auto"/>
              <w:jc w:val="right"/>
              <w:rPr>
                <w:rFonts w:cs="Arial"/>
                <w:color w:val="000000"/>
                <w:sz w:val="16"/>
                <w:szCs w:val="16"/>
              </w:rPr>
            </w:pPr>
            <w:r>
              <w:rPr>
                <w:rFonts w:cs="Arial"/>
                <w:sz w:val="16"/>
                <w:szCs w:val="16"/>
              </w:rPr>
              <w:t>44</w:t>
            </w:r>
          </w:p>
        </w:tc>
        <w:tc>
          <w:tcPr>
            <w:tcW w:w="709" w:type="dxa"/>
            <w:tcBorders>
              <w:top w:val="nil"/>
              <w:left w:val="nil"/>
              <w:bottom w:val="nil"/>
              <w:right w:val="single" w:sz="4" w:space="0" w:color="auto"/>
            </w:tcBorders>
            <w:shd w:val="clear" w:color="auto" w:fill="auto"/>
            <w:vAlign w:val="center"/>
            <w:hideMark/>
          </w:tcPr>
          <w:p w14:paraId="4BED0CB1" w14:textId="3D9D7738" w:rsidR="000158B0" w:rsidRPr="00D92E20" w:rsidRDefault="000158B0" w:rsidP="000158B0">
            <w:pPr>
              <w:spacing w:after="0" w:line="240" w:lineRule="auto"/>
              <w:jc w:val="right"/>
              <w:rPr>
                <w:rFonts w:cs="Arial"/>
                <w:color w:val="000000"/>
                <w:sz w:val="16"/>
                <w:szCs w:val="16"/>
              </w:rPr>
            </w:pPr>
            <w:r>
              <w:rPr>
                <w:rFonts w:cs="Arial"/>
                <w:sz w:val="16"/>
                <w:szCs w:val="16"/>
              </w:rPr>
              <w:t>1</w:t>
            </w:r>
          </w:p>
        </w:tc>
        <w:tc>
          <w:tcPr>
            <w:tcW w:w="710" w:type="dxa"/>
            <w:tcBorders>
              <w:top w:val="nil"/>
              <w:left w:val="single" w:sz="4" w:space="0" w:color="auto"/>
              <w:bottom w:val="nil"/>
              <w:right w:val="nil"/>
            </w:tcBorders>
            <w:vAlign w:val="center"/>
          </w:tcPr>
          <w:p w14:paraId="778FEB9F" w14:textId="02BF1A49" w:rsidR="000158B0" w:rsidRDefault="000158B0" w:rsidP="000158B0">
            <w:pPr>
              <w:spacing w:after="0" w:line="240" w:lineRule="auto"/>
              <w:jc w:val="right"/>
              <w:rPr>
                <w:rFonts w:cs="Arial"/>
                <w:sz w:val="16"/>
                <w:szCs w:val="16"/>
              </w:rPr>
            </w:pPr>
            <w:r>
              <w:rPr>
                <w:rFonts w:cs="Arial"/>
                <w:sz w:val="16"/>
                <w:szCs w:val="16"/>
              </w:rPr>
              <w:t>704</w:t>
            </w:r>
          </w:p>
        </w:tc>
        <w:tc>
          <w:tcPr>
            <w:tcW w:w="709" w:type="dxa"/>
            <w:tcBorders>
              <w:top w:val="nil"/>
              <w:left w:val="nil"/>
              <w:bottom w:val="nil"/>
              <w:right w:val="nil"/>
            </w:tcBorders>
            <w:vAlign w:val="center"/>
          </w:tcPr>
          <w:p w14:paraId="64B6AEC3" w14:textId="19ABA424" w:rsidR="000158B0" w:rsidRDefault="000158B0" w:rsidP="000158B0">
            <w:pPr>
              <w:spacing w:after="0" w:line="240" w:lineRule="auto"/>
              <w:jc w:val="right"/>
              <w:rPr>
                <w:rFonts w:cs="Arial"/>
                <w:sz w:val="16"/>
                <w:szCs w:val="16"/>
              </w:rPr>
            </w:pPr>
            <w:r>
              <w:rPr>
                <w:rFonts w:cs="Arial"/>
                <w:sz w:val="16"/>
                <w:szCs w:val="16"/>
              </w:rPr>
              <w:t>567</w:t>
            </w:r>
          </w:p>
        </w:tc>
        <w:tc>
          <w:tcPr>
            <w:tcW w:w="709" w:type="dxa"/>
            <w:tcBorders>
              <w:top w:val="nil"/>
              <w:left w:val="nil"/>
              <w:bottom w:val="nil"/>
              <w:right w:val="nil"/>
            </w:tcBorders>
            <w:vAlign w:val="center"/>
          </w:tcPr>
          <w:p w14:paraId="62C16574" w14:textId="5DCBC1DB" w:rsidR="000158B0" w:rsidRDefault="000158B0" w:rsidP="000158B0">
            <w:pPr>
              <w:spacing w:after="0" w:line="240" w:lineRule="auto"/>
              <w:jc w:val="right"/>
              <w:rPr>
                <w:rFonts w:cs="Arial"/>
                <w:sz w:val="16"/>
                <w:szCs w:val="16"/>
              </w:rPr>
            </w:pPr>
            <w:r>
              <w:rPr>
                <w:rFonts w:cs="Arial"/>
                <w:sz w:val="16"/>
                <w:szCs w:val="16"/>
              </w:rPr>
              <w:t>137</w:t>
            </w:r>
          </w:p>
        </w:tc>
      </w:tr>
      <w:tr w:rsidR="000158B0" w:rsidRPr="00D92E20" w14:paraId="0D480EB2" w14:textId="305DF0E1" w:rsidTr="000158B0">
        <w:trPr>
          <w:trHeight w:val="300"/>
        </w:trPr>
        <w:tc>
          <w:tcPr>
            <w:tcW w:w="1077" w:type="dxa"/>
            <w:tcBorders>
              <w:top w:val="nil"/>
              <w:left w:val="nil"/>
              <w:bottom w:val="nil"/>
              <w:right w:val="single" w:sz="4" w:space="0" w:color="auto"/>
            </w:tcBorders>
            <w:shd w:val="clear" w:color="auto" w:fill="auto"/>
            <w:vAlign w:val="center"/>
            <w:hideMark/>
          </w:tcPr>
          <w:p w14:paraId="630AC937" w14:textId="589488CA" w:rsidR="000158B0" w:rsidRPr="00D92E20" w:rsidRDefault="000158B0" w:rsidP="000158B0">
            <w:pPr>
              <w:spacing w:after="0" w:line="240" w:lineRule="auto"/>
              <w:jc w:val="center"/>
              <w:rPr>
                <w:rFonts w:cs="Arial"/>
                <w:color w:val="000000"/>
                <w:sz w:val="16"/>
                <w:szCs w:val="16"/>
              </w:rPr>
            </w:pPr>
            <w:r>
              <w:rPr>
                <w:rFonts w:cs="Arial"/>
                <w:sz w:val="16"/>
                <w:szCs w:val="16"/>
              </w:rPr>
              <w:t>1. pol. 2015</w:t>
            </w:r>
          </w:p>
        </w:tc>
        <w:tc>
          <w:tcPr>
            <w:tcW w:w="710" w:type="dxa"/>
            <w:tcBorders>
              <w:top w:val="nil"/>
              <w:left w:val="nil"/>
              <w:bottom w:val="nil"/>
              <w:right w:val="nil"/>
            </w:tcBorders>
            <w:shd w:val="clear" w:color="auto" w:fill="auto"/>
            <w:noWrap/>
            <w:vAlign w:val="center"/>
            <w:hideMark/>
          </w:tcPr>
          <w:p w14:paraId="2FD62A9C" w14:textId="0C9CF02D" w:rsidR="000158B0" w:rsidRPr="00D92E20" w:rsidRDefault="000158B0" w:rsidP="000158B0">
            <w:pPr>
              <w:spacing w:after="0" w:line="240" w:lineRule="auto"/>
              <w:jc w:val="right"/>
              <w:rPr>
                <w:rFonts w:cs="Arial"/>
                <w:color w:val="000000"/>
                <w:sz w:val="16"/>
                <w:szCs w:val="16"/>
              </w:rPr>
            </w:pPr>
            <w:r>
              <w:rPr>
                <w:rFonts w:cs="Arial"/>
                <w:sz w:val="16"/>
                <w:szCs w:val="16"/>
              </w:rPr>
              <w:t>23 461</w:t>
            </w:r>
          </w:p>
        </w:tc>
        <w:tc>
          <w:tcPr>
            <w:tcW w:w="709" w:type="dxa"/>
            <w:tcBorders>
              <w:top w:val="nil"/>
              <w:left w:val="nil"/>
              <w:bottom w:val="nil"/>
              <w:right w:val="nil"/>
            </w:tcBorders>
            <w:shd w:val="clear" w:color="auto" w:fill="auto"/>
            <w:noWrap/>
            <w:vAlign w:val="center"/>
            <w:hideMark/>
          </w:tcPr>
          <w:p w14:paraId="462D5E2A" w14:textId="2A1A19ED" w:rsidR="000158B0" w:rsidRPr="00D92E20" w:rsidRDefault="000158B0" w:rsidP="000158B0">
            <w:pPr>
              <w:spacing w:after="0" w:line="240" w:lineRule="auto"/>
              <w:jc w:val="right"/>
              <w:rPr>
                <w:rFonts w:cs="Arial"/>
                <w:color w:val="000000"/>
                <w:sz w:val="16"/>
                <w:szCs w:val="16"/>
              </w:rPr>
            </w:pPr>
            <w:r>
              <w:rPr>
                <w:rFonts w:cs="Arial"/>
                <w:sz w:val="16"/>
                <w:szCs w:val="16"/>
              </w:rPr>
              <w:t>16 114</w:t>
            </w:r>
          </w:p>
        </w:tc>
        <w:tc>
          <w:tcPr>
            <w:tcW w:w="709" w:type="dxa"/>
            <w:tcBorders>
              <w:top w:val="nil"/>
              <w:left w:val="nil"/>
              <w:bottom w:val="nil"/>
              <w:right w:val="single" w:sz="4" w:space="0" w:color="auto"/>
            </w:tcBorders>
            <w:shd w:val="clear" w:color="auto" w:fill="auto"/>
            <w:noWrap/>
            <w:vAlign w:val="center"/>
            <w:hideMark/>
          </w:tcPr>
          <w:p w14:paraId="558253A3" w14:textId="22CB3B23" w:rsidR="000158B0" w:rsidRPr="00D92E20" w:rsidRDefault="000158B0" w:rsidP="000158B0">
            <w:pPr>
              <w:spacing w:after="0" w:line="240" w:lineRule="auto"/>
              <w:jc w:val="right"/>
              <w:rPr>
                <w:rFonts w:cs="Arial"/>
                <w:color w:val="000000"/>
                <w:sz w:val="16"/>
                <w:szCs w:val="16"/>
              </w:rPr>
            </w:pPr>
            <w:r>
              <w:rPr>
                <w:rFonts w:cs="Arial"/>
                <w:sz w:val="16"/>
                <w:szCs w:val="16"/>
              </w:rPr>
              <w:t>7 347</w:t>
            </w:r>
          </w:p>
        </w:tc>
        <w:tc>
          <w:tcPr>
            <w:tcW w:w="710" w:type="dxa"/>
            <w:tcBorders>
              <w:top w:val="nil"/>
              <w:left w:val="nil"/>
              <w:bottom w:val="nil"/>
              <w:right w:val="nil"/>
            </w:tcBorders>
            <w:shd w:val="clear" w:color="auto" w:fill="auto"/>
            <w:noWrap/>
            <w:vAlign w:val="center"/>
            <w:hideMark/>
          </w:tcPr>
          <w:p w14:paraId="03CF8104" w14:textId="009BED51" w:rsidR="000158B0" w:rsidRPr="00D92E20" w:rsidRDefault="000158B0" w:rsidP="000158B0">
            <w:pPr>
              <w:spacing w:after="0" w:line="240" w:lineRule="auto"/>
              <w:jc w:val="right"/>
              <w:rPr>
                <w:rFonts w:cs="Arial"/>
                <w:color w:val="000000"/>
                <w:sz w:val="16"/>
                <w:szCs w:val="16"/>
              </w:rPr>
            </w:pPr>
            <w:r>
              <w:rPr>
                <w:rFonts w:cs="Arial"/>
                <w:sz w:val="16"/>
                <w:szCs w:val="16"/>
              </w:rPr>
              <w:t>22 860</w:t>
            </w:r>
          </w:p>
        </w:tc>
        <w:tc>
          <w:tcPr>
            <w:tcW w:w="709" w:type="dxa"/>
            <w:tcBorders>
              <w:top w:val="nil"/>
              <w:left w:val="nil"/>
              <w:bottom w:val="nil"/>
              <w:right w:val="nil"/>
            </w:tcBorders>
            <w:shd w:val="clear" w:color="auto" w:fill="auto"/>
            <w:vAlign w:val="center"/>
            <w:hideMark/>
          </w:tcPr>
          <w:p w14:paraId="4A95200A" w14:textId="0B8AE32F" w:rsidR="000158B0" w:rsidRPr="00D92E20" w:rsidRDefault="000158B0" w:rsidP="000158B0">
            <w:pPr>
              <w:spacing w:after="0" w:line="240" w:lineRule="auto"/>
              <w:jc w:val="right"/>
              <w:rPr>
                <w:rFonts w:cs="Arial"/>
                <w:color w:val="000000"/>
                <w:sz w:val="16"/>
                <w:szCs w:val="16"/>
              </w:rPr>
            </w:pPr>
            <w:r>
              <w:rPr>
                <w:rFonts w:cs="Arial"/>
                <w:sz w:val="16"/>
                <w:szCs w:val="16"/>
              </w:rPr>
              <w:t>15 682</w:t>
            </w:r>
          </w:p>
        </w:tc>
        <w:tc>
          <w:tcPr>
            <w:tcW w:w="709" w:type="dxa"/>
            <w:tcBorders>
              <w:top w:val="nil"/>
              <w:left w:val="nil"/>
              <w:bottom w:val="nil"/>
              <w:right w:val="single" w:sz="4" w:space="0" w:color="auto"/>
            </w:tcBorders>
            <w:shd w:val="clear" w:color="auto" w:fill="auto"/>
            <w:vAlign w:val="center"/>
            <w:hideMark/>
          </w:tcPr>
          <w:p w14:paraId="55FAF234" w14:textId="58361C19" w:rsidR="000158B0" w:rsidRPr="00D92E20" w:rsidRDefault="000158B0" w:rsidP="000158B0">
            <w:pPr>
              <w:spacing w:after="0" w:line="240" w:lineRule="auto"/>
              <w:jc w:val="right"/>
              <w:rPr>
                <w:rFonts w:cs="Arial"/>
                <w:color w:val="000000"/>
                <w:sz w:val="16"/>
                <w:szCs w:val="16"/>
              </w:rPr>
            </w:pPr>
            <w:r>
              <w:rPr>
                <w:rFonts w:cs="Arial"/>
                <w:sz w:val="16"/>
                <w:szCs w:val="16"/>
              </w:rPr>
              <w:t>7 178</w:t>
            </w:r>
          </w:p>
        </w:tc>
        <w:tc>
          <w:tcPr>
            <w:tcW w:w="710" w:type="dxa"/>
            <w:tcBorders>
              <w:top w:val="nil"/>
              <w:left w:val="nil"/>
              <w:bottom w:val="nil"/>
              <w:right w:val="nil"/>
            </w:tcBorders>
            <w:shd w:val="clear" w:color="auto" w:fill="auto"/>
            <w:vAlign w:val="center"/>
            <w:hideMark/>
          </w:tcPr>
          <w:p w14:paraId="172A952D" w14:textId="013714AB" w:rsidR="000158B0" w:rsidRPr="00D92E20" w:rsidRDefault="000158B0" w:rsidP="000158B0">
            <w:pPr>
              <w:spacing w:after="0" w:line="240" w:lineRule="auto"/>
              <w:jc w:val="right"/>
              <w:rPr>
                <w:rFonts w:cs="Arial"/>
                <w:color w:val="000000"/>
                <w:sz w:val="16"/>
                <w:szCs w:val="16"/>
              </w:rPr>
            </w:pPr>
            <w:r>
              <w:rPr>
                <w:rFonts w:cs="Arial"/>
                <w:sz w:val="16"/>
                <w:szCs w:val="16"/>
              </w:rPr>
              <w:t>51</w:t>
            </w:r>
          </w:p>
        </w:tc>
        <w:tc>
          <w:tcPr>
            <w:tcW w:w="709" w:type="dxa"/>
            <w:tcBorders>
              <w:top w:val="nil"/>
              <w:left w:val="nil"/>
              <w:bottom w:val="nil"/>
              <w:right w:val="nil"/>
            </w:tcBorders>
            <w:shd w:val="clear" w:color="auto" w:fill="auto"/>
            <w:vAlign w:val="center"/>
            <w:hideMark/>
          </w:tcPr>
          <w:p w14:paraId="57A9A27B" w14:textId="30E92B54" w:rsidR="000158B0" w:rsidRPr="00D92E20" w:rsidRDefault="000158B0" w:rsidP="000158B0">
            <w:pPr>
              <w:spacing w:after="0" w:line="240" w:lineRule="auto"/>
              <w:jc w:val="right"/>
              <w:rPr>
                <w:rFonts w:cs="Arial"/>
                <w:color w:val="000000"/>
                <w:sz w:val="16"/>
                <w:szCs w:val="16"/>
              </w:rPr>
            </w:pPr>
            <w:r>
              <w:rPr>
                <w:rFonts w:cs="Arial"/>
                <w:sz w:val="16"/>
                <w:szCs w:val="16"/>
              </w:rPr>
              <w:t>48</w:t>
            </w:r>
          </w:p>
        </w:tc>
        <w:tc>
          <w:tcPr>
            <w:tcW w:w="709" w:type="dxa"/>
            <w:tcBorders>
              <w:top w:val="nil"/>
              <w:left w:val="nil"/>
              <w:bottom w:val="nil"/>
              <w:right w:val="single" w:sz="4" w:space="0" w:color="auto"/>
            </w:tcBorders>
            <w:shd w:val="clear" w:color="auto" w:fill="auto"/>
            <w:vAlign w:val="center"/>
            <w:hideMark/>
          </w:tcPr>
          <w:p w14:paraId="21CB3F4C" w14:textId="57B92B09" w:rsidR="000158B0" w:rsidRPr="00D92E20" w:rsidRDefault="000158B0" w:rsidP="000158B0">
            <w:pPr>
              <w:spacing w:after="0" w:line="240" w:lineRule="auto"/>
              <w:jc w:val="right"/>
              <w:rPr>
                <w:rFonts w:cs="Arial"/>
                <w:color w:val="000000"/>
                <w:sz w:val="16"/>
                <w:szCs w:val="16"/>
              </w:rPr>
            </w:pPr>
            <w:r>
              <w:rPr>
                <w:rFonts w:cs="Arial"/>
                <w:sz w:val="16"/>
                <w:szCs w:val="16"/>
              </w:rPr>
              <w:t>3</w:t>
            </w:r>
          </w:p>
        </w:tc>
        <w:tc>
          <w:tcPr>
            <w:tcW w:w="710" w:type="dxa"/>
            <w:tcBorders>
              <w:top w:val="nil"/>
              <w:left w:val="single" w:sz="4" w:space="0" w:color="auto"/>
              <w:bottom w:val="nil"/>
              <w:right w:val="nil"/>
            </w:tcBorders>
            <w:vAlign w:val="center"/>
          </w:tcPr>
          <w:p w14:paraId="63604B1D" w14:textId="36BEF8E5" w:rsidR="000158B0" w:rsidRDefault="000158B0" w:rsidP="000158B0">
            <w:pPr>
              <w:spacing w:after="0" w:line="240" w:lineRule="auto"/>
              <w:jc w:val="right"/>
              <w:rPr>
                <w:rFonts w:cs="Arial"/>
                <w:sz w:val="16"/>
                <w:szCs w:val="16"/>
              </w:rPr>
            </w:pPr>
            <w:r>
              <w:rPr>
                <w:rFonts w:cs="Arial"/>
                <w:sz w:val="16"/>
                <w:szCs w:val="16"/>
              </w:rPr>
              <w:t>662</w:t>
            </w:r>
          </w:p>
        </w:tc>
        <w:tc>
          <w:tcPr>
            <w:tcW w:w="709" w:type="dxa"/>
            <w:tcBorders>
              <w:top w:val="nil"/>
              <w:left w:val="nil"/>
              <w:bottom w:val="nil"/>
              <w:right w:val="nil"/>
            </w:tcBorders>
            <w:vAlign w:val="center"/>
          </w:tcPr>
          <w:p w14:paraId="013B909F" w14:textId="7A39F6FE" w:rsidR="000158B0" w:rsidRDefault="000158B0" w:rsidP="000158B0">
            <w:pPr>
              <w:spacing w:after="0" w:line="240" w:lineRule="auto"/>
              <w:jc w:val="right"/>
              <w:rPr>
                <w:rFonts w:cs="Arial"/>
                <w:sz w:val="16"/>
                <w:szCs w:val="16"/>
              </w:rPr>
            </w:pPr>
            <w:r>
              <w:rPr>
                <w:rFonts w:cs="Arial"/>
                <w:sz w:val="16"/>
                <w:szCs w:val="16"/>
              </w:rPr>
              <w:t>548</w:t>
            </w:r>
          </w:p>
        </w:tc>
        <w:tc>
          <w:tcPr>
            <w:tcW w:w="709" w:type="dxa"/>
            <w:tcBorders>
              <w:top w:val="nil"/>
              <w:left w:val="nil"/>
              <w:bottom w:val="nil"/>
              <w:right w:val="nil"/>
            </w:tcBorders>
            <w:vAlign w:val="center"/>
          </w:tcPr>
          <w:p w14:paraId="1EEEA422" w14:textId="5BCD5FD8" w:rsidR="000158B0" w:rsidRDefault="000158B0" w:rsidP="000158B0">
            <w:pPr>
              <w:spacing w:after="0" w:line="240" w:lineRule="auto"/>
              <w:jc w:val="right"/>
              <w:rPr>
                <w:rFonts w:cs="Arial"/>
                <w:sz w:val="16"/>
                <w:szCs w:val="16"/>
              </w:rPr>
            </w:pPr>
            <w:r>
              <w:rPr>
                <w:rFonts w:cs="Arial"/>
                <w:sz w:val="16"/>
                <w:szCs w:val="16"/>
              </w:rPr>
              <w:t>114</w:t>
            </w:r>
          </w:p>
        </w:tc>
      </w:tr>
      <w:tr w:rsidR="000158B0" w:rsidRPr="00D92E20" w14:paraId="2C1F54C8" w14:textId="441B6F43" w:rsidTr="000158B0">
        <w:trPr>
          <w:trHeight w:val="300"/>
        </w:trPr>
        <w:tc>
          <w:tcPr>
            <w:tcW w:w="1077" w:type="dxa"/>
            <w:tcBorders>
              <w:top w:val="nil"/>
              <w:left w:val="nil"/>
              <w:bottom w:val="nil"/>
              <w:right w:val="single" w:sz="4" w:space="0" w:color="auto"/>
            </w:tcBorders>
            <w:shd w:val="clear" w:color="auto" w:fill="auto"/>
            <w:vAlign w:val="center"/>
            <w:hideMark/>
          </w:tcPr>
          <w:p w14:paraId="20686C1A" w14:textId="46CDE523" w:rsidR="000158B0" w:rsidRPr="00D92E20" w:rsidRDefault="000158B0" w:rsidP="000158B0">
            <w:pPr>
              <w:spacing w:after="0" w:line="240" w:lineRule="auto"/>
              <w:jc w:val="center"/>
              <w:rPr>
                <w:rFonts w:cs="Arial"/>
                <w:color w:val="000000"/>
                <w:sz w:val="16"/>
                <w:szCs w:val="16"/>
              </w:rPr>
            </w:pPr>
            <w:r>
              <w:rPr>
                <w:rFonts w:cs="Arial"/>
                <w:sz w:val="16"/>
                <w:szCs w:val="16"/>
              </w:rPr>
              <w:t>1. pol. 2016</w:t>
            </w:r>
          </w:p>
        </w:tc>
        <w:tc>
          <w:tcPr>
            <w:tcW w:w="710" w:type="dxa"/>
            <w:tcBorders>
              <w:top w:val="nil"/>
              <w:left w:val="nil"/>
              <w:bottom w:val="nil"/>
              <w:right w:val="nil"/>
            </w:tcBorders>
            <w:shd w:val="clear" w:color="auto" w:fill="auto"/>
            <w:vAlign w:val="center"/>
            <w:hideMark/>
          </w:tcPr>
          <w:p w14:paraId="6107E614" w14:textId="1418A89B" w:rsidR="000158B0" w:rsidRPr="00D92E20" w:rsidRDefault="000158B0" w:rsidP="000158B0">
            <w:pPr>
              <w:spacing w:after="0" w:line="240" w:lineRule="auto"/>
              <w:jc w:val="right"/>
              <w:rPr>
                <w:rFonts w:cs="Arial"/>
                <w:color w:val="000000"/>
                <w:sz w:val="16"/>
                <w:szCs w:val="16"/>
              </w:rPr>
            </w:pPr>
            <w:r>
              <w:rPr>
                <w:rFonts w:cs="Arial"/>
                <w:sz w:val="16"/>
                <w:szCs w:val="16"/>
              </w:rPr>
              <w:t>24 870</w:t>
            </w:r>
          </w:p>
        </w:tc>
        <w:tc>
          <w:tcPr>
            <w:tcW w:w="709" w:type="dxa"/>
            <w:tcBorders>
              <w:top w:val="nil"/>
              <w:left w:val="nil"/>
              <w:bottom w:val="nil"/>
              <w:right w:val="nil"/>
            </w:tcBorders>
            <w:shd w:val="clear" w:color="auto" w:fill="auto"/>
            <w:noWrap/>
            <w:vAlign w:val="center"/>
            <w:hideMark/>
          </w:tcPr>
          <w:p w14:paraId="071275CB" w14:textId="23228B28" w:rsidR="000158B0" w:rsidRPr="00D92E20" w:rsidRDefault="000158B0" w:rsidP="000158B0">
            <w:pPr>
              <w:spacing w:after="0" w:line="240" w:lineRule="auto"/>
              <w:jc w:val="right"/>
              <w:rPr>
                <w:rFonts w:cs="Arial"/>
                <w:color w:val="000000"/>
                <w:sz w:val="16"/>
                <w:szCs w:val="16"/>
              </w:rPr>
            </w:pPr>
            <w:r>
              <w:rPr>
                <w:rFonts w:cs="Arial"/>
                <w:sz w:val="16"/>
                <w:szCs w:val="16"/>
              </w:rPr>
              <w:t>17 111</w:t>
            </w:r>
          </w:p>
        </w:tc>
        <w:tc>
          <w:tcPr>
            <w:tcW w:w="709" w:type="dxa"/>
            <w:tcBorders>
              <w:top w:val="nil"/>
              <w:left w:val="nil"/>
              <w:bottom w:val="nil"/>
              <w:right w:val="single" w:sz="4" w:space="0" w:color="auto"/>
            </w:tcBorders>
            <w:shd w:val="clear" w:color="auto" w:fill="auto"/>
            <w:noWrap/>
            <w:vAlign w:val="center"/>
            <w:hideMark/>
          </w:tcPr>
          <w:p w14:paraId="6A3DAF21" w14:textId="02DF6CF4" w:rsidR="000158B0" w:rsidRPr="00D92E20" w:rsidRDefault="000158B0" w:rsidP="000158B0">
            <w:pPr>
              <w:spacing w:after="0" w:line="240" w:lineRule="auto"/>
              <w:jc w:val="right"/>
              <w:rPr>
                <w:rFonts w:cs="Arial"/>
                <w:color w:val="000000"/>
                <w:sz w:val="16"/>
                <w:szCs w:val="16"/>
              </w:rPr>
            </w:pPr>
            <w:r>
              <w:rPr>
                <w:rFonts w:cs="Arial"/>
                <w:sz w:val="16"/>
                <w:szCs w:val="16"/>
              </w:rPr>
              <w:t>7 759</w:t>
            </w:r>
          </w:p>
        </w:tc>
        <w:tc>
          <w:tcPr>
            <w:tcW w:w="710" w:type="dxa"/>
            <w:tcBorders>
              <w:top w:val="nil"/>
              <w:left w:val="nil"/>
              <w:bottom w:val="nil"/>
              <w:right w:val="nil"/>
            </w:tcBorders>
            <w:shd w:val="clear" w:color="auto" w:fill="auto"/>
            <w:noWrap/>
            <w:vAlign w:val="center"/>
            <w:hideMark/>
          </w:tcPr>
          <w:p w14:paraId="5B7482A4" w14:textId="15D4BDF4" w:rsidR="000158B0" w:rsidRPr="00D92E20" w:rsidRDefault="000158B0" w:rsidP="000158B0">
            <w:pPr>
              <w:spacing w:after="0" w:line="240" w:lineRule="auto"/>
              <w:jc w:val="right"/>
              <w:rPr>
                <w:rFonts w:cs="Arial"/>
                <w:color w:val="000000"/>
                <w:sz w:val="16"/>
                <w:szCs w:val="16"/>
              </w:rPr>
            </w:pPr>
            <w:r>
              <w:rPr>
                <w:rFonts w:cs="Arial"/>
                <w:color w:val="000000"/>
                <w:sz w:val="16"/>
                <w:szCs w:val="16"/>
              </w:rPr>
              <w:t>24 158</w:t>
            </w:r>
          </w:p>
        </w:tc>
        <w:tc>
          <w:tcPr>
            <w:tcW w:w="709" w:type="dxa"/>
            <w:tcBorders>
              <w:top w:val="nil"/>
              <w:left w:val="nil"/>
              <w:bottom w:val="nil"/>
              <w:right w:val="nil"/>
            </w:tcBorders>
            <w:shd w:val="clear" w:color="auto" w:fill="auto"/>
            <w:vAlign w:val="center"/>
            <w:hideMark/>
          </w:tcPr>
          <w:p w14:paraId="1FC4BEDF" w14:textId="034FC1AF" w:rsidR="000158B0" w:rsidRPr="00D92E20" w:rsidRDefault="000158B0" w:rsidP="000158B0">
            <w:pPr>
              <w:spacing w:after="0" w:line="240" w:lineRule="auto"/>
              <w:jc w:val="right"/>
              <w:rPr>
                <w:rFonts w:cs="Arial"/>
                <w:color w:val="000000"/>
                <w:sz w:val="16"/>
                <w:szCs w:val="16"/>
              </w:rPr>
            </w:pPr>
            <w:r>
              <w:rPr>
                <w:rFonts w:cs="Arial"/>
                <w:sz w:val="16"/>
                <w:szCs w:val="16"/>
              </w:rPr>
              <w:t>16 588</w:t>
            </w:r>
          </w:p>
        </w:tc>
        <w:tc>
          <w:tcPr>
            <w:tcW w:w="709" w:type="dxa"/>
            <w:tcBorders>
              <w:top w:val="nil"/>
              <w:left w:val="nil"/>
              <w:bottom w:val="nil"/>
              <w:right w:val="single" w:sz="4" w:space="0" w:color="auto"/>
            </w:tcBorders>
            <w:shd w:val="clear" w:color="auto" w:fill="auto"/>
            <w:vAlign w:val="center"/>
            <w:hideMark/>
          </w:tcPr>
          <w:p w14:paraId="59DB3D10" w14:textId="3BFD698F" w:rsidR="000158B0" w:rsidRPr="00D92E20" w:rsidRDefault="000158B0" w:rsidP="000158B0">
            <w:pPr>
              <w:spacing w:after="0" w:line="240" w:lineRule="auto"/>
              <w:jc w:val="right"/>
              <w:rPr>
                <w:rFonts w:cs="Arial"/>
                <w:color w:val="000000"/>
                <w:sz w:val="16"/>
                <w:szCs w:val="16"/>
              </w:rPr>
            </w:pPr>
            <w:r>
              <w:rPr>
                <w:rFonts w:cs="Arial"/>
                <w:color w:val="000000"/>
                <w:sz w:val="16"/>
                <w:szCs w:val="16"/>
              </w:rPr>
              <w:t>7 570</w:t>
            </w:r>
          </w:p>
        </w:tc>
        <w:tc>
          <w:tcPr>
            <w:tcW w:w="710" w:type="dxa"/>
            <w:tcBorders>
              <w:top w:val="nil"/>
              <w:left w:val="nil"/>
              <w:bottom w:val="nil"/>
              <w:right w:val="nil"/>
            </w:tcBorders>
            <w:shd w:val="clear" w:color="auto" w:fill="auto"/>
            <w:vAlign w:val="center"/>
            <w:hideMark/>
          </w:tcPr>
          <w:p w14:paraId="4AC276AA" w14:textId="1288EB5F" w:rsidR="000158B0" w:rsidRPr="00D92E20" w:rsidRDefault="000158B0" w:rsidP="000158B0">
            <w:pPr>
              <w:spacing w:after="0" w:line="240" w:lineRule="auto"/>
              <w:jc w:val="right"/>
              <w:rPr>
                <w:rFonts w:cs="Arial"/>
                <w:color w:val="000000"/>
                <w:sz w:val="16"/>
                <w:szCs w:val="16"/>
              </w:rPr>
            </w:pPr>
            <w:r>
              <w:rPr>
                <w:rFonts w:cs="Arial"/>
                <w:sz w:val="16"/>
                <w:szCs w:val="16"/>
              </w:rPr>
              <w:t>49</w:t>
            </w:r>
          </w:p>
        </w:tc>
        <w:tc>
          <w:tcPr>
            <w:tcW w:w="709" w:type="dxa"/>
            <w:tcBorders>
              <w:top w:val="nil"/>
              <w:left w:val="nil"/>
              <w:bottom w:val="nil"/>
              <w:right w:val="nil"/>
            </w:tcBorders>
            <w:shd w:val="clear" w:color="auto" w:fill="auto"/>
            <w:vAlign w:val="center"/>
            <w:hideMark/>
          </w:tcPr>
          <w:p w14:paraId="214F2828" w14:textId="6C83456C" w:rsidR="000158B0" w:rsidRPr="00D92E20" w:rsidRDefault="000158B0" w:rsidP="000158B0">
            <w:pPr>
              <w:spacing w:after="0" w:line="240" w:lineRule="auto"/>
              <w:jc w:val="right"/>
              <w:rPr>
                <w:rFonts w:cs="Arial"/>
                <w:color w:val="000000"/>
                <w:sz w:val="16"/>
                <w:szCs w:val="16"/>
              </w:rPr>
            </w:pPr>
            <w:r>
              <w:rPr>
                <w:rFonts w:cs="Arial"/>
                <w:sz w:val="16"/>
                <w:szCs w:val="16"/>
              </w:rPr>
              <w:t>47</w:t>
            </w:r>
          </w:p>
        </w:tc>
        <w:tc>
          <w:tcPr>
            <w:tcW w:w="709" w:type="dxa"/>
            <w:tcBorders>
              <w:top w:val="nil"/>
              <w:left w:val="nil"/>
              <w:bottom w:val="nil"/>
              <w:right w:val="single" w:sz="4" w:space="0" w:color="auto"/>
            </w:tcBorders>
            <w:shd w:val="clear" w:color="auto" w:fill="auto"/>
            <w:vAlign w:val="center"/>
            <w:hideMark/>
          </w:tcPr>
          <w:p w14:paraId="74C45C8C" w14:textId="6112E1AD" w:rsidR="000158B0" w:rsidRPr="00D92E20" w:rsidRDefault="000158B0" w:rsidP="000158B0">
            <w:pPr>
              <w:spacing w:after="0" w:line="240" w:lineRule="auto"/>
              <w:jc w:val="right"/>
              <w:rPr>
                <w:rFonts w:cs="Arial"/>
                <w:color w:val="000000"/>
                <w:sz w:val="16"/>
                <w:szCs w:val="16"/>
              </w:rPr>
            </w:pPr>
            <w:r>
              <w:rPr>
                <w:rFonts w:cs="Arial"/>
                <w:sz w:val="16"/>
                <w:szCs w:val="16"/>
              </w:rPr>
              <w:t>2</w:t>
            </w:r>
          </w:p>
        </w:tc>
        <w:tc>
          <w:tcPr>
            <w:tcW w:w="710" w:type="dxa"/>
            <w:tcBorders>
              <w:top w:val="nil"/>
              <w:left w:val="single" w:sz="4" w:space="0" w:color="auto"/>
              <w:bottom w:val="nil"/>
              <w:right w:val="nil"/>
            </w:tcBorders>
            <w:vAlign w:val="center"/>
          </w:tcPr>
          <w:p w14:paraId="15916A12" w14:textId="41A1F354" w:rsidR="000158B0" w:rsidRDefault="000158B0" w:rsidP="000158B0">
            <w:pPr>
              <w:spacing w:after="0" w:line="240" w:lineRule="auto"/>
              <w:jc w:val="right"/>
              <w:rPr>
                <w:rFonts w:cs="Arial"/>
                <w:sz w:val="16"/>
                <w:szCs w:val="16"/>
              </w:rPr>
            </w:pPr>
            <w:r>
              <w:rPr>
                <w:rFonts w:cs="Arial"/>
                <w:sz w:val="16"/>
                <w:szCs w:val="16"/>
              </w:rPr>
              <w:t>677</w:t>
            </w:r>
          </w:p>
        </w:tc>
        <w:tc>
          <w:tcPr>
            <w:tcW w:w="709" w:type="dxa"/>
            <w:tcBorders>
              <w:top w:val="nil"/>
              <w:left w:val="nil"/>
              <w:bottom w:val="nil"/>
              <w:right w:val="nil"/>
            </w:tcBorders>
            <w:vAlign w:val="center"/>
          </w:tcPr>
          <w:p w14:paraId="4411957D" w14:textId="1CEC0DBD" w:rsidR="000158B0" w:rsidRDefault="000158B0" w:rsidP="000158B0">
            <w:pPr>
              <w:spacing w:after="0" w:line="240" w:lineRule="auto"/>
              <w:jc w:val="right"/>
              <w:rPr>
                <w:rFonts w:cs="Arial"/>
                <w:sz w:val="16"/>
                <w:szCs w:val="16"/>
              </w:rPr>
            </w:pPr>
            <w:r>
              <w:rPr>
                <w:rFonts w:cs="Arial"/>
                <w:sz w:val="16"/>
                <w:szCs w:val="16"/>
              </w:rPr>
              <w:t>550</w:t>
            </w:r>
          </w:p>
        </w:tc>
        <w:tc>
          <w:tcPr>
            <w:tcW w:w="709" w:type="dxa"/>
            <w:tcBorders>
              <w:top w:val="nil"/>
              <w:left w:val="nil"/>
              <w:bottom w:val="nil"/>
              <w:right w:val="nil"/>
            </w:tcBorders>
            <w:vAlign w:val="center"/>
          </w:tcPr>
          <w:p w14:paraId="6B883F0B" w14:textId="3D4DF914" w:rsidR="000158B0" w:rsidRDefault="000158B0" w:rsidP="000158B0">
            <w:pPr>
              <w:spacing w:after="0" w:line="240" w:lineRule="auto"/>
              <w:jc w:val="right"/>
              <w:rPr>
                <w:rFonts w:cs="Arial"/>
                <w:sz w:val="16"/>
                <w:szCs w:val="16"/>
              </w:rPr>
            </w:pPr>
            <w:r>
              <w:rPr>
                <w:rFonts w:cs="Arial"/>
                <w:sz w:val="16"/>
                <w:szCs w:val="16"/>
              </w:rPr>
              <w:t>127</w:t>
            </w:r>
          </w:p>
        </w:tc>
      </w:tr>
      <w:tr w:rsidR="000158B0" w:rsidRPr="00D92E20" w14:paraId="6B5EC041" w14:textId="64E783CD" w:rsidTr="000158B0">
        <w:trPr>
          <w:trHeight w:val="300"/>
        </w:trPr>
        <w:tc>
          <w:tcPr>
            <w:tcW w:w="1077" w:type="dxa"/>
            <w:tcBorders>
              <w:top w:val="nil"/>
              <w:left w:val="nil"/>
              <w:bottom w:val="nil"/>
              <w:right w:val="single" w:sz="4" w:space="0" w:color="auto"/>
            </w:tcBorders>
            <w:shd w:val="clear" w:color="auto" w:fill="auto"/>
            <w:vAlign w:val="center"/>
            <w:hideMark/>
          </w:tcPr>
          <w:p w14:paraId="4904421D" w14:textId="4272865D" w:rsidR="000158B0" w:rsidRPr="00D92E20" w:rsidRDefault="000158B0" w:rsidP="000158B0">
            <w:pPr>
              <w:spacing w:after="0" w:line="240" w:lineRule="auto"/>
              <w:jc w:val="center"/>
              <w:rPr>
                <w:rFonts w:cs="Arial"/>
                <w:color w:val="000000"/>
                <w:sz w:val="16"/>
                <w:szCs w:val="16"/>
              </w:rPr>
            </w:pPr>
            <w:r>
              <w:rPr>
                <w:rFonts w:cs="Arial"/>
                <w:sz w:val="16"/>
                <w:szCs w:val="16"/>
              </w:rPr>
              <w:t>1. pol. 2017</w:t>
            </w:r>
          </w:p>
        </w:tc>
        <w:tc>
          <w:tcPr>
            <w:tcW w:w="710" w:type="dxa"/>
            <w:tcBorders>
              <w:top w:val="nil"/>
              <w:left w:val="nil"/>
              <w:bottom w:val="nil"/>
              <w:right w:val="nil"/>
            </w:tcBorders>
            <w:shd w:val="clear" w:color="auto" w:fill="auto"/>
            <w:noWrap/>
            <w:vAlign w:val="center"/>
            <w:hideMark/>
          </w:tcPr>
          <w:p w14:paraId="43693AFC" w14:textId="1EAC1C87" w:rsidR="000158B0" w:rsidRPr="00D92E20" w:rsidRDefault="000158B0" w:rsidP="000158B0">
            <w:pPr>
              <w:spacing w:after="0" w:line="240" w:lineRule="auto"/>
              <w:jc w:val="right"/>
              <w:rPr>
                <w:rFonts w:cs="Arial"/>
                <w:color w:val="000000"/>
                <w:sz w:val="16"/>
                <w:szCs w:val="16"/>
              </w:rPr>
            </w:pPr>
            <w:r>
              <w:rPr>
                <w:rFonts w:cs="Arial"/>
                <w:sz w:val="16"/>
                <w:szCs w:val="16"/>
              </w:rPr>
              <w:t>24 732</w:t>
            </w:r>
          </w:p>
        </w:tc>
        <w:tc>
          <w:tcPr>
            <w:tcW w:w="709" w:type="dxa"/>
            <w:tcBorders>
              <w:top w:val="nil"/>
              <w:left w:val="nil"/>
              <w:bottom w:val="nil"/>
              <w:right w:val="nil"/>
            </w:tcBorders>
            <w:shd w:val="clear" w:color="auto" w:fill="auto"/>
            <w:noWrap/>
            <w:vAlign w:val="center"/>
            <w:hideMark/>
          </w:tcPr>
          <w:p w14:paraId="3708B754" w14:textId="636CEFA9" w:rsidR="000158B0" w:rsidRPr="00D92E20" w:rsidRDefault="000158B0" w:rsidP="000158B0">
            <w:pPr>
              <w:spacing w:after="0" w:line="240" w:lineRule="auto"/>
              <w:jc w:val="right"/>
              <w:rPr>
                <w:rFonts w:cs="Arial"/>
                <w:color w:val="000000"/>
                <w:sz w:val="16"/>
                <w:szCs w:val="16"/>
              </w:rPr>
            </w:pPr>
            <w:r>
              <w:rPr>
                <w:rFonts w:cs="Arial"/>
                <w:sz w:val="16"/>
                <w:szCs w:val="16"/>
              </w:rPr>
              <w:t>16 933</w:t>
            </w:r>
          </w:p>
        </w:tc>
        <w:tc>
          <w:tcPr>
            <w:tcW w:w="709" w:type="dxa"/>
            <w:tcBorders>
              <w:top w:val="nil"/>
              <w:left w:val="nil"/>
              <w:bottom w:val="nil"/>
              <w:right w:val="single" w:sz="4" w:space="0" w:color="auto"/>
            </w:tcBorders>
            <w:shd w:val="clear" w:color="auto" w:fill="auto"/>
            <w:noWrap/>
            <w:vAlign w:val="center"/>
            <w:hideMark/>
          </w:tcPr>
          <w:p w14:paraId="646DECED" w14:textId="70ED4BD8" w:rsidR="000158B0" w:rsidRPr="00D92E20" w:rsidRDefault="000158B0" w:rsidP="000158B0">
            <w:pPr>
              <w:spacing w:after="0" w:line="240" w:lineRule="auto"/>
              <w:jc w:val="right"/>
              <w:rPr>
                <w:rFonts w:cs="Arial"/>
                <w:color w:val="000000"/>
                <w:sz w:val="16"/>
                <w:szCs w:val="16"/>
              </w:rPr>
            </w:pPr>
            <w:r>
              <w:rPr>
                <w:rFonts w:cs="Arial"/>
                <w:sz w:val="16"/>
                <w:szCs w:val="16"/>
              </w:rPr>
              <w:t>7 799</w:t>
            </w:r>
          </w:p>
        </w:tc>
        <w:tc>
          <w:tcPr>
            <w:tcW w:w="710" w:type="dxa"/>
            <w:tcBorders>
              <w:top w:val="nil"/>
              <w:left w:val="nil"/>
              <w:bottom w:val="nil"/>
              <w:right w:val="nil"/>
            </w:tcBorders>
            <w:shd w:val="clear" w:color="auto" w:fill="auto"/>
            <w:noWrap/>
            <w:vAlign w:val="center"/>
            <w:hideMark/>
          </w:tcPr>
          <w:p w14:paraId="68273103" w14:textId="0627E287" w:rsidR="000158B0" w:rsidRPr="00D92E20" w:rsidRDefault="000158B0" w:rsidP="000158B0">
            <w:pPr>
              <w:spacing w:after="0" w:line="240" w:lineRule="auto"/>
              <w:jc w:val="right"/>
              <w:rPr>
                <w:rFonts w:cs="Arial"/>
                <w:color w:val="000000"/>
                <w:sz w:val="16"/>
                <w:szCs w:val="16"/>
              </w:rPr>
            </w:pPr>
            <w:r>
              <w:rPr>
                <w:rFonts w:cs="Arial"/>
                <w:color w:val="000000"/>
                <w:sz w:val="16"/>
                <w:szCs w:val="16"/>
              </w:rPr>
              <w:t>24 046</w:t>
            </w:r>
          </w:p>
        </w:tc>
        <w:tc>
          <w:tcPr>
            <w:tcW w:w="709" w:type="dxa"/>
            <w:tcBorders>
              <w:top w:val="nil"/>
              <w:left w:val="nil"/>
              <w:bottom w:val="nil"/>
              <w:right w:val="nil"/>
            </w:tcBorders>
            <w:shd w:val="clear" w:color="auto" w:fill="auto"/>
            <w:vAlign w:val="center"/>
            <w:hideMark/>
          </w:tcPr>
          <w:p w14:paraId="42903607" w14:textId="3FFCF7D3" w:rsidR="000158B0" w:rsidRPr="00D92E20" w:rsidRDefault="000158B0" w:rsidP="000158B0">
            <w:pPr>
              <w:spacing w:after="0" w:line="240" w:lineRule="auto"/>
              <w:jc w:val="right"/>
              <w:rPr>
                <w:rFonts w:cs="Arial"/>
                <w:color w:val="000000"/>
                <w:sz w:val="16"/>
                <w:szCs w:val="16"/>
              </w:rPr>
            </w:pPr>
            <w:r>
              <w:rPr>
                <w:rFonts w:cs="Arial"/>
                <w:sz w:val="16"/>
                <w:szCs w:val="16"/>
              </w:rPr>
              <w:t>16 430</w:t>
            </w:r>
          </w:p>
        </w:tc>
        <w:tc>
          <w:tcPr>
            <w:tcW w:w="709" w:type="dxa"/>
            <w:tcBorders>
              <w:top w:val="nil"/>
              <w:left w:val="nil"/>
              <w:bottom w:val="nil"/>
              <w:right w:val="single" w:sz="4" w:space="0" w:color="auto"/>
            </w:tcBorders>
            <w:shd w:val="clear" w:color="auto" w:fill="auto"/>
            <w:vAlign w:val="center"/>
            <w:hideMark/>
          </w:tcPr>
          <w:p w14:paraId="317580A3" w14:textId="5A89778B" w:rsidR="000158B0" w:rsidRPr="00D92E20" w:rsidRDefault="000158B0" w:rsidP="000158B0">
            <w:pPr>
              <w:spacing w:after="0" w:line="240" w:lineRule="auto"/>
              <w:jc w:val="right"/>
              <w:rPr>
                <w:rFonts w:cs="Arial"/>
                <w:color w:val="000000"/>
                <w:sz w:val="16"/>
                <w:szCs w:val="16"/>
              </w:rPr>
            </w:pPr>
            <w:r>
              <w:rPr>
                <w:rFonts w:cs="Arial"/>
                <w:color w:val="000000"/>
                <w:sz w:val="16"/>
                <w:szCs w:val="16"/>
              </w:rPr>
              <w:t>7 616</w:t>
            </w:r>
          </w:p>
        </w:tc>
        <w:tc>
          <w:tcPr>
            <w:tcW w:w="710" w:type="dxa"/>
            <w:tcBorders>
              <w:top w:val="nil"/>
              <w:left w:val="nil"/>
              <w:bottom w:val="nil"/>
              <w:right w:val="nil"/>
            </w:tcBorders>
            <w:shd w:val="clear" w:color="auto" w:fill="auto"/>
            <w:vAlign w:val="center"/>
            <w:hideMark/>
          </w:tcPr>
          <w:p w14:paraId="03D4BBBE" w14:textId="52DC2F70" w:rsidR="000158B0" w:rsidRPr="00D92E20" w:rsidRDefault="000158B0" w:rsidP="000158B0">
            <w:pPr>
              <w:spacing w:after="0" w:line="240" w:lineRule="auto"/>
              <w:jc w:val="right"/>
              <w:rPr>
                <w:rFonts w:cs="Arial"/>
                <w:color w:val="000000"/>
                <w:sz w:val="16"/>
                <w:szCs w:val="16"/>
              </w:rPr>
            </w:pPr>
            <w:r>
              <w:rPr>
                <w:rFonts w:cs="Arial"/>
                <w:sz w:val="16"/>
                <w:szCs w:val="16"/>
              </w:rPr>
              <w:t>45</w:t>
            </w:r>
          </w:p>
        </w:tc>
        <w:tc>
          <w:tcPr>
            <w:tcW w:w="709" w:type="dxa"/>
            <w:tcBorders>
              <w:top w:val="nil"/>
              <w:left w:val="nil"/>
              <w:bottom w:val="nil"/>
              <w:right w:val="nil"/>
            </w:tcBorders>
            <w:shd w:val="clear" w:color="auto" w:fill="auto"/>
            <w:vAlign w:val="center"/>
            <w:hideMark/>
          </w:tcPr>
          <w:p w14:paraId="1333294A" w14:textId="0B2B5AB5" w:rsidR="000158B0" w:rsidRPr="00D92E20" w:rsidRDefault="000158B0" w:rsidP="000158B0">
            <w:pPr>
              <w:spacing w:after="0" w:line="240" w:lineRule="auto"/>
              <w:jc w:val="right"/>
              <w:rPr>
                <w:rFonts w:cs="Arial"/>
                <w:color w:val="000000"/>
                <w:sz w:val="16"/>
                <w:szCs w:val="16"/>
              </w:rPr>
            </w:pPr>
            <w:r>
              <w:rPr>
                <w:rFonts w:cs="Arial"/>
                <w:sz w:val="16"/>
                <w:szCs w:val="16"/>
              </w:rPr>
              <w:t>43</w:t>
            </w:r>
          </w:p>
        </w:tc>
        <w:tc>
          <w:tcPr>
            <w:tcW w:w="709" w:type="dxa"/>
            <w:tcBorders>
              <w:top w:val="nil"/>
              <w:left w:val="nil"/>
              <w:bottom w:val="nil"/>
              <w:right w:val="single" w:sz="4" w:space="0" w:color="auto"/>
            </w:tcBorders>
            <w:shd w:val="clear" w:color="auto" w:fill="auto"/>
            <w:vAlign w:val="center"/>
            <w:hideMark/>
          </w:tcPr>
          <w:p w14:paraId="2CC3B761" w14:textId="4F7D4D0B" w:rsidR="000158B0" w:rsidRPr="00D92E20" w:rsidRDefault="000158B0" w:rsidP="000158B0">
            <w:pPr>
              <w:spacing w:after="0" w:line="240" w:lineRule="auto"/>
              <w:jc w:val="right"/>
              <w:rPr>
                <w:rFonts w:cs="Arial"/>
                <w:color w:val="000000"/>
                <w:sz w:val="16"/>
                <w:szCs w:val="16"/>
              </w:rPr>
            </w:pPr>
            <w:r>
              <w:rPr>
                <w:rFonts w:cs="Arial"/>
                <w:sz w:val="16"/>
                <w:szCs w:val="16"/>
              </w:rPr>
              <w:t>2</w:t>
            </w:r>
          </w:p>
        </w:tc>
        <w:tc>
          <w:tcPr>
            <w:tcW w:w="710" w:type="dxa"/>
            <w:tcBorders>
              <w:top w:val="nil"/>
              <w:left w:val="single" w:sz="4" w:space="0" w:color="auto"/>
              <w:bottom w:val="nil"/>
              <w:right w:val="nil"/>
            </w:tcBorders>
            <w:vAlign w:val="center"/>
          </w:tcPr>
          <w:p w14:paraId="18AAE7D5" w14:textId="7551923B" w:rsidR="000158B0" w:rsidRDefault="000158B0" w:rsidP="000158B0">
            <w:pPr>
              <w:spacing w:after="0" w:line="240" w:lineRule="auto"/>
              <w:jc w:val="right"/>
              <w:rPr>
                <w:rFonts w:cs="Arial"/>
                <w:sz w:val="16"/>
                <w:szCs w:val="16"/>
              </w:rPr>
            </w:pPr>
            <w:r>
              <w:rPr>
                <w:rFonts w:cs="Arial"/>
                <w:sz w:val="16"/>
                <w:szCs w:val="16"/>
              </w:rPr>
              <w:t>567</w:t>
            </w:r>
          </w:p>
        </w:tc>
        <w:tc>
          <w:tcPr>
            <w:tcW w:w="709" w:type="dxa"/>
            <w:tcBorders>
              <w:top w:val="nil"/>
              <w:left w:val="nil"/>
              <w:bottom w:val="nil"/>
              <w:right w:val="nil"/>
            </w:tcBorders>
            <w:vAlign w:val="center"/>
          </w:tcPr>
          <w:p w14:paraId="3E5F9CB5" w14:textId="7028062C" w:rsidR="000158B0" w:rsidRDefault="000158B0" w:rsidP="000158B0">
            <w:pPr>
              <w:spacing w:after="0" w:line="240" w:lineRule="auto"/>
              <w:jc w:val="right"/>
              <w:rPr>
                <w:rFonts w:cs="Arial"/>
                <w:sz w:val="16"/>
                <w:szCs w:val="16"/>
              </w:rPr>
            </w:pPr>
            <w:r>
              <w:rPr>
                <w:rFonts w:cs="Arial"/>
                <w:sz w:val="16"/>
                <w:szCs w:val="16"/>
              </w:rPr>
              <w:t>476</w:t>
            </w:r>
          </w:p>
        </w:tc>
        <w:tc>
          <w:tcPr>
            <w:tcW w:w="709" w:type="dxa"/>
            <w:tcBorders>
              <w:top w:val="nil"/>
              <w:left w:val="nil"/>
              <w:bottom w:val="nil"/>
              <w:right w:val="nil"/>
            </w:tcBorders>
            <w:vAlign w:val="center"/>
          </w:tcPr>
          <w:p w14:paraId="20B84496" w14:textId="704689A0" w:rsidR="000158B0" w:rsidRDefault="000158B0" w:rsidP="000158B0">
            <w:pPr>
              <w:spacing w:after="0" w:line="240" w:lineRule="auto"/>
              <w:jc w:val="right"/>
              <w:rPr>
                <w:rFonts w:cs="Arial"/>
                <w:sz w:val="16"/>
                <w:szCs w:val="16"/>
              </w:rPr>
            </w:pPr>
            <w:r>
              <w:rPr>
                <w:rFonts w:cs="Arial"/>
                <w:sz w:val="16"/>
                <w:szCs w:val="16"/>
              </w:rPr>
              <w:t>91</w:t>
            </w:r>
          </w:p>
        </w:tc>
      </w:tr>
      <w:tr w:rsidR="000158B0" w:rsidRPr="00D92E20" w14:paraId="1081A5DD" w14:textId="582C04A9" w:rsidTr="000158B0">
        <w:trPr>
          <w:trHeight w:val="300"/>
        </w:trPr>
        <w:tc>
          <w:tcPr>
            <w:tcW w:w="1077" w:type="dxa"/>
            <w:tcBorders>
              <w:top w:val="nil"/>
              <w:left w:val="nil"/>
              <w:bottom w:val="nil"/>
              <w:right w:val="single" w:sz="4" w:space="0" w:color="auto"/>
            </w:tcBorders>
            <w:shd w:val="clear" w:color="auto" w:fill="auto"/>
            <w:vAlign w:val="center"/>
            <w:hideMark/>
          </w:tcPr>
          <w:p w14:paraId="2D026A69" w14:textId="663EEA6E" w:rsidR="000158B0" w:rsidRPr="00D92E20" w:rsidRDefault="000158B0" w:rsidP="000158B0">
            <w:pPr>
              <w:spacing w:after="0" w:line="240" w:lineRule="auto"/>
              <w:jc w:val="center"/>
              <w:rPr>
                <w:rFonts w:cs="Arial"/>
                <w:color w:val="000000"/>
                <w:sz w:val="16"/>
                <w:szCs w:val="16"/>
              </w:rPr>
            </w:pPr>
            <w:r>
              <w:rPr>
                <w:rFonts w:cs="Arial"/>
                <w:sz w:val="16"/>
                <w:szCs w:val="16"/>
              </w:rPr>
              <w:t>1. pol. 2018</w:t>
            </w:r>
          </w:p>
        </w:tc>
        <w:tc>
          <w:tcPr>
            <w:tcW w:w="710" w:type="dxa"/>
            <w:tcBorders>
              <w:top w:val="nil"/>
              <w:left w:val="nil"/>
              <w:bottom w:val="nil"/>
              <w:right w:val="nil"/>
            </w:tcBorders>
            <w:shd w:val="clear" w:color="auto" w:fill="auto"/>
            <w:noWrap/>
            <w:vAlign w:val="center"/>
            <w:hideMark/>
          </w:tcPr>
          <w:p w14:paraId="50B90E18" w14:textId="230B9D72" w:rsidR="000158B0" w:rsidRPr="00D92E20" w:rsidRDefault="000158B0" w:rsidP="000158B0">
            <w:pPr>
              <w:spacing w:after="0" w:line="240" w:lineRule="auto"/>
              <w:jc w:val="right"/>
              <w:rPr>
                <w:rFonts w:cs="Arial"/>
                <w:color w:val="000000"/>
                <w:sz w:val="16"/>
                <w:szCs w:val="16"/>
              </w:rPr>
            </w:pPr>
            <w:r>
              <w:rPr>
                <w:rFonts w:cs="Arial"/>
                <w:sz w:val="16"/>
                <w:szCs w:val="16"/>
              </w:rPr>
              <w:t>24 062</w:t>
            </w:r>
          </w:p>
        </w:tc>
        <w:tc>
          <w:tcPr>
            <w:tcW w:w="709" w:type="dxa"/>
            <w:tcBorders>
              <w:top w:val="nil"/>
              <w:left w:val="nil"/>
              <w:bottom w:val="nil"/>
              <w:right w:val="nil"/>
            </w:tcBorders>
            <w:shd w:val="clear" w:color="auto" w:fill="auto"/>
            <w:noWrap/>
            <w:vAlign w:val="center"/>
            <w:hideMark/>
          </w:tcPr>
          <w:p w14:paraId="665E814A" w14:textId="1AC648DB" w:rsidR="000158B0" w:rsidRPr="00D92E20" w:rsidRDefault="000158B0" w:rsidP="000158B0">
            <w:pPr>
              <w:spacing w:after="0" w:line="240" w:lineRule="auto"/>
              <w:jc w:val="right"/>
              <w:rPr>
                <w:rFonts w:cs="Arial"/>
                <w:color w:val="000000"/>
                <w:sz w:val="16"/>
                <w:szCs w:val="16"/>
              </w:rPr>
            </w:pPr>
            <w:r>
              <w:rPr>
                <w:rFonts w:cs="Arial"/>
                <w:sz w:val="16"/>
                <w:szCs w:val="16"/>
              </w:rPr>
              <w:t>16 186</w:t>
            </w:r>
          </w:p>
        </w:tc>
        <w:tc>
          <w:tcPr>
            <w:tcW w:w="709" w:type="dxa"/>
            <w:tcBorders>
              <w:top w:val="nil"/>
              <w:left w:val="nil"/>
              <w:bottom w:val="nil"/>
              <w:right w:val="single" w:sz="4" w:space="0" w:color="auto"/>
            </w:tcBorders>
            <w:shd w:val="clear" w:color="auto" w:fill="auto"/>
            <w:noWrap/>
            <w:vAlign w:val="center"/>
            <w:hideMark/>
          </w:tcPr>
          <w:p w14:paraId="5292D42A" w14:textId="5FC40611" w:rsidR="000158B0" w:rsidRPr="00D92E20" w:rsidRDefault="000158B0" w:rsidP="000158B0">
            <w:pPr>
              <w:spacing w:after="0" w:line="240" w:lineRule="auto"/>
              <w:jc w:val="right"/>
              <w:rPr>
                <w:rFonts w:cs="Arial"/>
                <w:color w:val="000000"/>
                <w:sz w:val="16"/>
                <w:szCs w:val="16"/>
              </w:rPr>
            </w:pPr>
            <w:r>
              <w:rPr>
                <w:rFonts w:cs="Arial"/>
                <w:sz w:val="16"/>
                <w:szCs w:val="16"/>
              </w:rPr>
              <w:t>7 876</w:t>
            </w:r>
          </w:p>
        </w:tc>
        <w:tc>
          <w:tcPr>
            <w:tcW w:w="710" w:type="dxa"/>
            <w:tcBorders>
              <w:top w:val="nil"/>
              <w:left w:val="nil"/>
              <w:bottom w:val="nil"/>
              <w:right w:val="nil"/>
            </w:tcBorders>
            <w:shd w:val="clear" w:color="auto" w:fill="auto"/>
            <w:noWrap/>
            <w:vAlign w:val="center"/>
            <w:hideMark/>
          </w:tcPr>
          <w:p w14:paraId="65E238C1" w14:textId="1D20039E" w:rsidR="000158B0" w:rsidRPr="00D92E20" w:rsidRDefault="000158B0" w:rsidP="000158B0">
            <w:pPr>
              <w:spacing w:after="0" w:line="240" w:lineRule="auto"/>
              <w:jc w:val="right"/>
              <w:rPr>
                <w:rFonts w:cs="Arial"/>
                <w:color w:val="000000"/>
                <w:sz w:val="16"/>
                <w:szCs w:val="16"/>
              </w:rPr>
            </w:pPr>
            <w:r>
              <w:rPr>
                <w:rFonts w:ascii="Arial CE" w:hAnsi="Arial CE" w:cs="Arial CE"/>
                <w:sz w:val="16"/>
                <w:szCs w:val="16"/>
              </w:rPr>
              <w:t>23 525</w:t>
            </w:r>
          </w:p>
        </w:tc>
        <w:tc>
          <w:tcPr>
            <w:tcW w:w="709" w:type="dxa"/>
            <w:tcBorders>
              <w:top w:val="nil"/>
              <w:left w:val="nil"/>
              <w:bottom w:val="nil"/>
              <w:right w:val="nil"/>
            </w:tcBorders>
            <w:shd w:val="clear" w:color="auto" w:fill="auto"/>
            <w:vAlign w:val="center"/>
            <w:hideMark/>
          </w:tcPr>
          <w:p w14:paraId="32A83ABA" w14:textId="1D770199" w:rsidR="000158B0" w:rsidRPr="00D92E20" w:rsidRDefault="000158B0" w:rsidP="000158B0">
            <w:pPr>
              <w:spacing w:after="0" w:line="240" w:lineRule="auto"/>
              <w:jc w:val="right"/>
              <w:rPr>
                <w:rFonts w:cs="Arial"/>
                <w:color w:val="000000"/>
                <w:sz w:val="16"/>
                <w:szCs w:val="16"/>
              </w:rPr>
            </w:pPr>
            <w:r>
              <w:rPr>
                <w:rFonts w:cs="Arial"/>
                <w:sz w:val="16"/>
                <w:szCs w:val="16"/>
              </w:rPr>
              <w:t>15 810</w:t>
            </w:r>
          </w:p>
        </w:tc>
        <w:tc>
          <w:tcPr>
            <w:tcW w:w="709" w:type="dxa"/>
            <w:tcBorders>
              <w:top w:val="nil"/>
              <w:left w:val="nil"/>
              <w:bottom w:val="nil"/>
              <w:right w:val="single" w:sz="4" w:space="0" w:color="auto"/>
            </w:tcBorders>
            <w:shd w:val="clear" w:color="auto" w:fill="auto"/>
            <w:vAlign w:val="center"/>
            <w:hideMark/>
          </w:tcPr>
          <w:p w14:paraId="7AE1B9A6" w14:textId="00243F54" w:rsidR="000158B0" w:rsidRPr="00D92E20" w:rsidRDefault="000158B0" w:rsidP="000158B0">
            <w:pPr>
              <w:spacing w:after="0" w:line="240" w:lineRule="auto"/>
              <w:jc w:val="right"/>
              <w:rPr>
                <w:rFonts w:cs="Arial"/>
                <w:color w:val="000000"/>
                <w:sz w:val="16"/>
                <w:szCs w:val="16"/>
              </w:rPr>
            </w:pPr>
            <w:r>
              <w:rPr>
                <w:rFonts w:ascii="Arial CE" w:hAnsi="Arial CE" w:cs="Arial CE"/>
                <w:sz w:val="16"/>
                <w:szCs w:val="16"/>
              </w:rPr>
              <w:t>7 715</w:t>
            </w:r>
          </w:p>
        </w:tc>
        <w:tc>
          <w:tcPr>
            <w:tcW w:w="710" w:type="dxa"/>
            <w:tcBorders>
              <w:top w:val="nil"/>
              <w:left w:val="nil"/>
              <w:bottom w:val="nil"/>
              <w:right w:val="nil"/>
            </w:tcBorders>
            <w:shd w:val="clear" w:color="auto" w:fill="auto"/>
            <w:vAlign w:val="center"/>
            <w:hideMark/>
          </w:tcPr>
          <w:p w14:paraId="409C0B78" w14:textId="157E4EF3" w:rsidR="000158B0" w:rsidRPr="00D92E20" w:rsidRDefault="000158B0" w:rsidP="000158B0">
            <w:pPr>
              <w:spacing w:after="0" w:line="240" w:lineRule="auto"/>
              <w:jc w:val="right"/>
              <w:rPr>
                <w:rFonts w:cs="Arial"/>
                <w:color w:val="000000"/>
                <w:sz w:val="16"/>
                <w:szCs w:val="16"/>
              </w:rPr>
            </w:pPr>
            <w:r>
              <w:rPr>
                <w:rFonts w:cs="Arial"/>
                <w:sz w:val="16"/>
                <w:szCs w:val="16"/>
              </w:rPr>
              <w:t>60</w:t>
            </w:r>
          </w:p>
        </w:tc>
        <w:tc>
          <w:tcPr>
            <w:tcW w:w="709" w:type="dxa"/>
            <w:tcBorders>
              <w:top w:val="nil"/>
              <w:left w:val="nil"/>
              <w:bottom w:val="nil"/>
              <w:right w:val="nil"/>
            </w:tcBorders>
            <w:shd w:val="clear" w:color="auto" w:fill="auto"/>
            <w:vAlign w:val="center"/>
            <w:hideMark/>
          </w:tcPr>
          <w:p w14:paraId="3D70BF4E" w14:textId="17806F48" w:rsidR="000158B0" w:rsidRPr="00D92E20" w:rsidRDefault="000158B0" w:rsidP="000158B0">
            <w:pPr>
              <w:spacing w:after="0" w:line="240" w:lineRule="auto"/>
              <w:jc w:val="right"/>
              <w:rPr>
                <w:rFonts w:cs="Arial"/>
                <w:color w:val="000000"/>
                <w:sz w:val="16"/>
                <w:szCs w:val="16"/>
              </w:rPr>
            </w:pPr>
            <w:r>
              <w:rPr>
                <w:rFonts w:cs="Arial"/>
                <w:sz w:val="16"/>
                <w:szCs w:val="16"/>
              </w:rPr>
              <w:t>57</w:t>
            </w:r>
          </w:p>
        </w:tc>
        <w:tc>
          <w:tcPr>
            <w:tcW w:w="709" w:type="dxa"/>
            <w:tcBorders>
              <w:top w:val="nil"/>
              <w:left w:val="nil"/>
              <w:bottom w:val="nil"/>
              <w:right w:val="single" w:sz="4" w:space="0" w:color="auto"/>
            </w:tcBorders>
            <w:shd w:val="clear" w:color="auto" w:fill="auto"/>
            <w:vAlign w:val="center"/>
            <w:hideMark/>
          </w:tcPr>
          <w:p w14:paraId="2967DC78" w14:textId="056BDF72" w:rsidR="000158B0" w:rsidRPr="00D92E20" w:rsidRDefault="000158B0" w:rsidP="000158B0">
            <w:pPr>
              <w:spacing w:after="0" w:line="240" w:lineRule="auto"/>
              <w:jc w:val="right"/>
              <w:rPr>
                <w:rFonts w:cs="Arial"/>
                <w:color w:val="000000"/>
                <w:sz w:val="16"/>
                <w:szCs w:val="16"/>
              </w:rPr>
            </w:pPr>
            <w:r>
              <w:rPr>
                <w:rFonts w:cs="Arial"/>
                <w:sz w:val="16"/>
                <w:szCs w:val="16"/>
              </w:rPr>
              <w:t>3</w:t>
            </w:r>
          </w:p>
        </w:tc>
        <w:tc>
          <w:tcPr>
            <w:tcW w:w="710" w:type="dxa"/>
            <w:tcBorders>
              <w:top w:val="nil"/>
              <w:left w:val="single" w:sz="4" w:space="0" w:color="auto"/>
              <w:bottom w:val="nil"/>
              <w:right w:val="nil"/>
            </w:tcBorders>
            <w:vAlign w:val="center"/>
          </w:tcPr>
          <w:p w14:paraId="7F795A46" w14:textId="28601BEB" w:rsidR="000158B0" w:rsidRDefault="000158B0" w:rsidP="000158B0">
            <w:pPr>
              <w:spacing w:after="0" w:line="240" w:lineRule="auto"/>
              <w:jc w:val="right"/>
              <w:rPr>
                <w:rFonts w:cs="Arial"/>
                <w:sz w:val="16"/>
                <w:szCs w:val="16"/>
              </w:rPr>
            </w:pPr>
            <w:r>
              <w:rPr>
                <w:rFonts w:cs="Arial"/>
                <w:sz w:val="16"/>
                <w:szCs w:val="16"/>
              </w:rPr>
              <w:t>561</w:t>
            </w:r>
          </w:p>
        </w:tc>
        <w:tc>
          <w:tcPr>
            <w:tcW w:w="709" w:type="dxa"/>
            <w:tcBorders>
              <w:top w:val="nil"/>
              <w:left w:val="nil"/>
              <w:bottom w:val="nil"/>
              <w:right w:val="nil"/>
            </w:tcBorders>
            <w:vAlign w:val="center"/>
          </w:tcPr>
          <w:p w14:paraId="58026ABD" w14:textId="67D6177C" w:rsidR="000158B0" w:rsidRDefault="000158B0" w:rsidP="000158B0">
            <w:pPr>
              <w:spacing w:after="0" w:line="240" w:lineRule="auto"/>
              <w:jc w:val="right"/>
              <w:rPr>
                <w:rFonts w:cs="Arial"/>
                <w:sz w:val="16"/>
                <w:szCs w:val="16"/>
              </w:rPr>
            </w:pPr>
            <w:r>
              <w:rPr>
                <w:rFonts w:cs="Arial"/>
                <w:sz w:val="16"/>
                <w:szCs w:val="16"/>
              </w:rPr>
              <w:t>463</w:t>
            </w:r>
          </w:p>
        </w:tc>
        <w:tc>
          <w:tcPr>
            <w:tcW w:w="709" w:type="dxa"/>
            <w:tcBorders>
              <w:top w:val="nil"/>
              <w:left w:val="nil"/>
              <w:bottom w:val="nil"/>
              <w:right w:val="nil"/>
            </w:tcBorders>
            <w:vAlign w:val="center"/>
          </w:tcPr>
          <w:p w14:paraId="2BBB9CE4" w14:textId="6249A545" w:rsidR="000158B0" w:rsidRDefault="000158B0" w:rsidP="000158B0">
            <w:pPr>
              <w:spacing w:after="0" w:line="240" w:lineRule="auto"/>
              <w:jc w:val="right"/>
              <w:rPr>
                <w:rFonts w:cs="Arial"/>
                <w:sz w:val="16"/>
                <w:szCs w:val="16"/>
              </w:rPr>
            </w:pPr>
            <w:r>
              <w:rPr>
                <w:rFonts w:cs="Arial"/>
                <w:sz w:val="16"/>
                <w:szCs w:val="16"/>
              </w:rPr>
              <w:t>98</w:t>
            </w:r>
          </w:p>
        </w:tc>
      </w:tr>
      <w:tr w:rsidR="000158B0" w:rsidRPr="00D92E20" w14:paraId="1D44D0AB" w14:textId="577E93F8" w:rsidTr="000158B0">
        <w:trPr>
          <w:trHeight w:val="300"/>
        </w:trPr>
        <w:tc>
          <w:tcPr>
            <w:tcW w:w="1077" w:type="dxa"/>
            <w:tcBorders>
              <w:top w:val="nil"/>
              <w:left w:val="nil"/>
              <w:bottom w:val="nil"/>
              <w:right w:val="single" w:sz="4" w:space="0" w:color="auto"/>
            </w:tcBorders>
            <w:shd w:val="clear" w:color="auto" w:fill="auto"/>
            <w:vAlign w:val="center"/>
            <w:hideMark/>
          </w:tcPr>
          <w:p w14:paraId="58C4C096" w14:textId="0C1CF367" w:rsidR="000158B0" w:rsidRPr="00D92E20" w:rsidRDefault="000158B0" w:rsidP="000158B0">
            <w:pPr>
              <w:spacing w:after="0" w:line="240" w:lineRule="auto"/>
              <w:jc w:val="center"/>
              <w:rPr>
                <w:rFonts w:cs="Arial"/>
                <w:color w:val="000000"/>
                <w:sz w:val="16"/>
                <w:szCs w:val="16"/>
              </w:rPr>
            </w:pPr>
            <w:r>
              <w:rPr>
                <w:rFonts w:cs="Arial"/>
                <w:sz w:val="16"/>
                <w:szCs w:val="16"/>
              </w:rPr>
              <w:t>1. pol. 2019</w:t>
            </w:r>
          </w:p>
        </w:tc>
        <w:tc>
          <w:tcPr>
            <w:tcW w:w="710" w:type="dxa"/>
            <w:tcBorders>
              <w:top w:val="nil"/>
              <w:left w:val="nil"/>
              <w:bottom w:val="nil"/>
              <w:right w:val="nil"/>
            </w:tcBorders>
            <w:shd w:val="clear" w:color="auto" w:fill="auto"/>
            <w:vAlign w:val="center"/>
            <w:hideMark/>
          </w:tcPr>
          <w:p w14:paraId="0F1D2844" w14:textId="4F4D969B" w:rsidR="000158B0" w:rsidRPr="00D92E20" w:rsidRDefault="000158B0" w:rsidP="000158B0">
            <w:pPr>
              <w:spacing w:after="0" w:line="240" w:lineRule="auto"/>
              <w:jc w:val="right"/>
              <w:rPr>
                <w:rFonts w:cs="Arial"/>
                <w:color w:val="000000"/>
                <w:sz w:val="16"/>
                <w:szCs w:val="16"/>
              </w:rPr>
            </w:pPr>
            <w:r>
              <w:rPr>
                <w:rFonts w:cs="Arial"/>
                <w:color w:val="000000"/>
                <w:sz w:val="16"/>
                <w:szCs w:val="16"/>
              </w:rPr>
              <w:t>23 218</w:t>
            </w:r>
          </w:p>
        </w:tc>
        <w:tc>
          <w:tcPr>
            <w:tcW w:w="709" w:type="dxa"/>
            <w:tcBorders>
              <w:top w:val="nil"/>
              <w:left w:val="nil"/>
              <w:bottom w:val="nil"/>
              <w:right w:val="nil"/>
            </w:tcBorders>
            <w:shd w:val="clear" w:color="auto" w:fill="auto"/>
            <w:noWrap/>
            <w:vAlign w:val="center"/>
            <w:hideMark/>
          </w:tcPr>
          <w:p w14:paraId="6C9E7026" w14:textId="49277DF5" w:rsidR="000158B0" w:rsidRPr="00D92E20" w:rsidRDefault="000158B0" w:rsidP="000158B0">
            <w:pPr>
              <w:spacing w:after="0" w:line="240" w:lineRule="auto"/>
              <w:jc w:val="right"/>
              <w:rPr>
                <w:rFonts w:cs="Arial"/>
                <w:color w:val="000000"/>
                <w:sz w:val="16"/>
                <w:szCs w:val="16"/>
              </w:rPr>
            </w:pPr>
            <w:r>
              <w:rPr>
                <w:rFonts w:cs="Arial"/>
                <w:color w:val="000000"/>
                <w:sz w:val="16"/>
                <w:szCs w:val="16"/>
              </w:rPr>
              <w:t>15 602</w:t>
            </w:r>
          </w:p>
        </w:tc>
        <w:tc>
          <w:tcPr>
            <w:tcW w:w="709" w:type="dxa"/>
            <w:tcBorders>
              <w:top w:val="nil"/>
              <w:left w:val="nil"/>
              <w:bottom w:val="nil"/>
              <w:right w:val="single" w:sz="4" w:space="0" w:color="auto"/>
            </w:tcBorders>
            <w:shd w:val="clear" w:color="auto" w:fill="auto"/>
            <w:noWrap/>
            <w:vAlign w:val="center"/>
            <w:hideMark/>
          </w:tcPr>
          <w:p w14:paraId="15414B88" w14:textId="326E1E6B" w:rsidR="000158B0" w:rsidRPr="00D92E20" w:rsidRDefault="000158B0" w:rsidP="000158B0">
            <w:pPr>
              <w:spacing w:after="0" w:line="240" w:lineRule="auto"/>
              <w:jc w:val="right"/>
              <w:rPr>
                <w:rFonts w:cs="Arial"/>
                <w:color w:val="000000"/>
                <w:sz w:val="16"/>
                <w:szCs w:val="16"/>
              </w:rPr>
            </w:pPr>
            <w:r>
              <w:rPr>
                <w:rFonts w:cs="Arial"/>
                <w:color w:val="000000"/>
                <w:sz w:val="16"/>
                <w:szCs w:val="16"/>
              </w:rPr>
              <w:t>7 616</w:t>
            </w:r>
          </w:p>
        </w:tc>
        <w:tc>
          <w:tcPr>
            <w:tcW w:w="710" w:type="dxa"/>
            <w:tcBorders>
              <w:top w:val="nil"/>
              <w:left w:val="nil"/>
              <w:bottom w:val="nil"/>
              <w:right w:val="nil"/>
            </w:tcBorders>
            <w:shd w:val="clear" w:color="auto" w:fill="auto"/>
            <w:noWrap/>
            <w:vAlign w:val="center"/>
            <w:hideMark/>
          </w:tcPr>
          <w:p w14:paraId="04FB5F46" w14:textId="015E275E" w:rsidR="000158B0" w:rsidRPr="00D92E20" w:rsidRDefault="000158B0" w:rsidP="000158B0">
            <w:pPr>
              <w:spacing w:after="0" w:line="240" w:lineRule="auto"/>
              <w:jc w:val="right"/>
              <w:rPr>
                <w:rFonts w:cs="Arial"/>
                <w:color w:val="000000"/>
                <w:sz w:val="16"/>
                <w:szCs w:val="16"/>
              </w:rPr>
            </w:pPr>
            <w:r>
              <w:rPr>
                <w:rFonts w:cs="Arial"/>
                <w:color w:val="000000"/>
                <w:sz w:val="16"/>
                <w:szCs w:val="16"/>
              </w:rPr>
              <w:t>22 828</w:t>
            </w:r>
          </w:p>
        </w:tc>
        <w:tc>
          <w:tcPr>
            <w:tcW w:w="709" w:type="dxa"/>
            <w:tcBorders>
              <w:top w:val="nil"/>
              <w:left w:val="nil"/>
              <w:bottom w:val="nil"/>
              <w:right w:val="nil"/>
            </w:tcBorders>
            <w:shd w:val="clear" w:color="auto" w:fill="auto"/>
            <w:vAlign w:val="center"/>
            <w:hideMark/>
          </w:tcPr>
          <w:p w14:paraId="3A82C31E" w14:textId="1B9E791D" w:rsidR="000158B0" w:rsidRPr="00D92E20" w:rsidRDefault="000158B0" w:rsidP="000158B0">
            <w:pPr>
              <w:spacing w:after="0" w:line="240" w:lineRule="auto"/>
              <w:jc w:val="right"/>
              <w:rPr>
                <w:rFonts w:cs="Arial"/>
                <w:color w:val="000000"/>
                <w:sz w:val="16"/>
                <w:szCs w:val="16"/>
              </w:rPr>
            </w:pPr>
            <w:r>
              <w:rPr>
                <w:rFonts w:cs="Arial"/>
                <w:color w:val="000000"/>
                <w:sz w:val="16"/>
                <w:szCs w:val="16"/>
              </w:rPr>
              <w:t>15 326</w:t>
            </w:r>
          </w:p>
        </w:tc>
        <w:tc>
          <w:tcPr>
            <w:tcW w:w="709" w:type="dxa"/>
            <w:tcBorders>
              <w:top w:val="nil"/>
              <w:left w:val="nil"/>
              <w:bottom w:val="nil"/>
              <w:right w:val="single" w:sz="4" w:space="0" w:color="auto"/>
            </w:tcBorders>
            <w:shd w:val="clear" w:color="auto" w:fill="auto"/>
            <w:vAlign w:val="center"/>
            <w:hideMark/>
          </w:tcPr>
          <w:p w14:paraId="458422B3" w14:textId="6DE9B046" w:rsidR="000158B0" w:rsidRPr="00D92E20" w:rsidRDefault="000158B0" w:rsidP="000158B0">
            <w:pPr>
              <w:spacing w:after="0" w:line="240" w:lineRule="auto"/>
              <w:jc w:val="right"/>
              <w:rPr>
                <w:rFonts w:cs="Arial"/>
                <w:color w:val="000000"/>
                <w:sz w:val="16"/>
                <w:szCs w:val="16"/>
              </w:rPr>
            </w:pPr>
            <w:r>
              <w:rPr>
                <w:rFonts w:cs="Arial"/>
                <w:color w:val="000000"/>
                <w:sz w:val="16"/>
                <w:szCs w:val="16"/>
              </w:rPr>
              <w:t>7 502</w:t>
            </w:r>
          </w:p>
        </w:tc>
        <w:tc>
          <w:tcPr>
            <w:tcW w:w="710" w:type="dxa"/>
            <w:tcBorders>
              <w:top w:val="nil"/>
              <w:left w:val="nil"/>
              <w:bottom w:val="nil"/>
              <w:right w:val="nil"/>
            </w:tcBorders>
            <w:shd w:val="clear" w:color="auto" w:fill="auto"/>
            <w:vAlign w:val="center"/>
            <w:hideMark/>
          </w:tcPr>
          <w:p w14:paraId="79340DD5" w14:textId="0E5B331B" w:rsidR="000158B0" w:rsidRPr="00D92E20" w:rsidRDefault="000158B0" w:rsidP="000158B0">
            <w:pPr>
              <w:spacing w:after="0" w:line="240" w:lineRule="auto"/>
              <w:jc w:val="right"/>
              <w:rPr>
                <w:rFonts w:cs="Arial"/>
                <w:color w:val="000000"/>
                <w:sz w:val="16"/>
                <w:szCs w:val="16"/>
              </w:rPr>
            </w:pPr>
            <w:r>
              <w:rPr>
                <w:rFonts w:cs="Arial"/>
                <w:sz w:val="16"/>
                <w:szCs w:val="16"/>
              </w:rPr>
              <w:t>40</w:t>
            </w:r>
          </w:p>
        </w:tc>
        <w:tc>
          <w:tcPr>
            <w:tcW w:w="709" w:type="dxa"/>
            <w:tcBorders>
              <w:top w:val="nil"/>
              <w:left w:val="nil"/>
              <w:bottom w:val="nil"/>
              <w:right w:val="nil"/>
            </w:tcBorders>
            <w:shd w:val="clear" w:color="auto" w:fill="auto"/>
            <w:vAlign w:val="center"/>
            <w:hideMark/>
          </w:tcPr>
          <w:p w14:paraId="5D03984B" w14:textId="15CBB90C" w:rsidR="000158B0" w:rsidRPr="00D92E20" w:rsidRDefault="000158B0" w:rsidP="000158B0">
            <w:pPr>
              <w:spacing w:after="0" w:line="240" w:lineRule="auto"/>
              <w:jc w:val="right"/>
              <w:rPr>
                <w:rFonts w:cs="Arial"/>
                <w:color w:val="000000"/>
                <w:sz w:val="16"/>
                <w:szCs w:val="16"/>
              </w:rPr>
            </w:pPr>
            <w:r>
              <w:rPr>
                <w:rFonts w:cs="Arial"/>
                <w:sz w:val="16"/>
                <w:szCs w:val="16"/>
              </w:rPr>
              <w:t>37</w:t>
            </w:r>
          </w:p>
        </w:tc>
        <w:tc>
          <w:tcPr>
            <w:tcW w:w="709" w:type="dxa"/>
            <w:tcBorders>
              <w:top w:val="nil"/>
              <w:left w:val="nil"/>
              <w:bottom w:val="nil"/>
              <w:right w:val="single" w:sz="4" w:space="0" w:color="auto"/>
            </w:tcBorders>
            <w:shd w:val="clear" w:color="auto" w:fill="auto"/>
            <w:vAlign w:val="center"/>
            <w:hideMark/>
          </w:tcPr>
          <w:p w14:paraId="6DF64F15" w14:textId="2072B753" w:rsidR="000158B0" w:rsidRPr="00D92E20" w:rsidRDefault="000158B0" w:rsidP="000158B0">
            <w:pPr>
              <w:spacing w:after="0" w:line="240" w:lineRule="auto"/>
              <w:jc w:val="right"/>
              <w:rPr>
                <w:rFonts w:cs="Arial"/>
                <w:color w:val="000000"/>
                <w:sz w:val="16"/>
                <w:szCs w:val="16"/>
              </w:rPr>
            </w:pPr>
            <w:r>
              <w:rPr>
                <w:rFonts w:cs="Arial"/>
                <w:sz w:val="16"/>
                <w:szCs w:val="16"/>
              </w:rPr>
              <w:t>3</w:t>
            </w:r>
          </w:p>
        </w:tc>
        <w:tc>
          <w:tcPr>
            <w:tcW w:w="710" w:type="dxa"/>
            <w:tcBorders>
              <w:top w:val="nil"/>
              <w:left w:val="single" w:sz="4" w:space="0" w:color="auto"/>
              <w:bottom w:val="nil"/>
              <w:right w:val="nil"/>
            </w:tcBorders>
            <w:vAlign w:val="center"/>
          </w:tcPr>
          <w:p w14:paraId="42FAEB57" w14:textId="63CD6AD6" w:rsidR="000158B0" w:rsidRDefault="000158B0" w:rsidP="000158B0">
            <w:pPr>
              <w:spacing w:after="0" w:line="240" w:lineRule="auto"/>
              <w:jc w:val="right"/>
              <w:rPr>
                <w:rFonts w:cs="Arial"/>
                <w:sz w:val="16"/>
                <w:szCs w:val="16"/>
              </w:rPr>
            </w:pPr>
            <w:r>
              <w:rPr>
                <w:rFonts w:cs="Arial"/>
                <w:sz w:val="16"/>
                <w:szCs w:val="16"/>
              </w:rPr>
              <w:t>551</w:t>
            </w:r>
          </w:p>
        </w:tc>
        <w:tc>
          <w:tcPr>
            <w:tcW w:w="709" w:type="dxa"/>
            <w:tcBorders>
              <w:top w:val="nil"/>
              <w:left w:val="nil"/>
              <w:bottom w:val="nil"/>
              <w:right w:val="nil"/>
            </w:tcBorders>
            <w:vAlign w:val="center"/>
          </w:tcPr>
          <w:p w14:paraId="0F56A412" w14:textId="44334180" w:rsidR="000158B0" w:rsidRDefault="000158B0" w:rsidP="000158B0">
            <w:pPr>
              <w:spacing w:after="0" w:line="240" w:lineRule="auto"/>
              <w:jc w:val="right"/>
              <w:rPr>
                <w:rFonts w:cs="Arial"/>
                <w:sz w:val="16"/>
                <w:szCs w:val="16"/>
              </w:rPr>
            </w:pPr>
            <w:r>
              <w:rPr>
                <w:rFonts w:cs="Arial"/>
                <w:sz w:val="16"/>
                <w:szCs w:val="16"/>
              </w:rPr>
              <w:t>448</w:t>
            </w:r>
          </w:p>
        </w:tc>
        <w:tc>
          <w:tcPr>
            <w:tcW w:w="709" w:type="dxa"/>
            <w:tcBorders>
              <w:top w:val="nil"/>
              <w:left w:val="nil"/>
              <w:bottom w:val="nil"/>
              <w:right w:val="nil"/>
            </w:tcBorders>
            <w:vAlign w:val="center"/>
          </w:tcPr>
          <w:p w14:paraId="2DFF7353" w14:textId="198F47A0" w:rsidR="000158B0" w:rsidRDefault="000158B0" w:rsidP="000158B0">
            <w:pPr>
              <w:spacing w:after="0" w:line="240" w:lineRule="auto"/>
              <w:jc w:val="right"/>
              <w:rPr>
                <w:rFonts w:cs="Arial"/>
                <w:sz w:val="16"/>
                <w:szCs w:val="16"/>
              </w:rPr>
            </w:pPr>
            <w:r>
              <w:rPr>
                <w:rFonts w:cs="Arial"/>
                <w:sz w:val="16"/>
                <w:szCs w:val="16"/>
              </w:rPr>
              <w:t>103</w:t>
            </w:r>
          </w:p>
        </w:tc>
      </w:tr>
      <w:tr w:rsidR="000158B0" w:rsidRPr="00D92E20" w14:paraId="1FDC472A" w14:textId="3BF81603" w:rsidTr="000158B0">
        <w:trPr>
          <w:trHeight w:val="300"/>
        </w:trPr>
        <w:tc>
          <w:tcPr>
            <w:tcW w:w="1077" w:type="dxa"/>
            <w:tcBorders>
              <w:top w:val="nil"/>
              <w:left w:val="nil"/>
              <w:bottom w:val="nil"/>
              <w:right w:val="single" w:sz="4" w:space="0" w:color="auto"/>
            </w:tcBorders>
            <w:shd w:val="clear" w:color="auto" w:fill="auto"/>
            <w:vAlign w:val="center"/>
            <w:hideMark/>
          </w:tcPr>
          <w:p w14:paraId="7405E34B" w14:textId="3BC67557" w:rsidR="000158B0" w:rsidRPr="00D92E20" w:rsidRDefault="000158B0" w:rsidP="000158B0">
            <w:pPr>
              <w:spacing w:after="0" w:line="240" w:lineRule="auto"/>
              <w:jc w:val="center"/>
              <w:rPr>
                <w:rFonts w:cs="Arial"/>
                <w:color w:val="000000"/>
                <w:sz w:val="16"/>
                <w:szCs w:val="16"/>
              </w:rPr>
            </w:pPr>
            <w:r>
              <w:rPr>
                <w:rFonts w:cs="Arial"/>
                <w:sz w:val="16"/>
                <w:szCs w:val="16"/>
              </w:rPr>
              <w:t>1. pol. 2020</w:t>
            </w:r>
          </w:p>
        </w:tc>
        <w:tc>
          <w:tcPr>
            <w:tcW w:w="710" w:type="dxa"/>
            <w:tcBorders>
              <w:top w:val="nil"/>
              <w:left w:val="nil"/>
              <w:bottom w:val="nil"/>
              <w:right w:val="nil"/>
            </w:tcBorders>
            <w:shd w:val="clear" w:color="auto" w:fill="auto"/>
            <w:noWrap/>
            <w:vAlign w:val="center"/>
            <w:hideMark/>
          </w:tcPr>
          <w:p w14:paraId="20EDB6C6" w14:textId="0A10F397" w:rsidR="000158B0" w:rsidRPr="00D92E20" w:rsidRDefault="000158B0" w:rsidP="000158B0">
            <w:pPr>
              <w:spacing w:after="0" w:line="240" w:lineRule="auto"/>
              <w:jc w:val="right"/>
              <w:rPr>
                <w:rFonts w:cs="Arial"/>
                <w:color w:val="000000"/>
                <w:sz w:val="16"/>
                <w:szCs w:val="16"/>
              </w:rPr>
            </w:pPr>
            <w:r>
              <w:rPr>
                <w:rFonts w:cs="Arial"/>
                <w:color w:val="000000"/>
                <w:sz w:val="16"/>
                <w:szCs w:val="16"/>
              </w:rPr>
              <w:t>20 483</w:t>
            </w:r>
          </w:p>
        </w:tc>
        <w:tc>
          <w:tcPr>
            <w:tcW w:w="709" w:type="dxa"/>
            <w:tcBorders>
              <w:top w:val="nil"/>
              <w:left w:val="nil"/>
              <w:bottom w:val="nil"/>
              <w:right w:val="nil"/>
            </w:tcBorders>
            <w:shd w:val="clear" w:color="auto" w:fill="auto"/>
            <w:vAlign w:val="center"/>
            <w:hideMark/>
          </w:tcPr>
          <w:p w14:paraId="5A898D97" w14:textId="6BB86D96" w:rsidR="000158B0" w:rsidRPr="00D92E20" w:rsidRDefault="000158B0" w:rsidP="000158B0">
            <w:pPr>
              <w:spacing w:after="0" w:line="240" w:lineRule="auto"/>
              <w:jc w:val="right"/>
              <w:rPr>
                <w:rFonts w:cs="Arial"/>
                <w:color w:val="000000"/>
                <w:sz w:val="16"/>
                <w:szCs w:val="16"/>
              </w:rPr>
            </w:pPr>
            <w:r>
              <w:rPr>
                <w:rFonts w:cs="Arial"/>
                <w:color w:val="000000"/>
                <w:sz w:val="16"/>
                <w:szCs w:val="16"/>
              </w:rPr>
              <w:t>14 209</w:t>
            </w:r>
          </w:p>
        </w:tc>
        <w:tc>
          <w:tcPr>
            <w:tcW w:w="709" w:type="dxa"/>
            <w:tcBorders>
              <w:top w:val="nil"/>
              <w:left w:val="nil"/>
              <w:bottom w:val="nil"/>
              <w:right w:val="single" w:sz="4" w:space="0" w:color="auto"/>
            </w:tcBorders>
            <w:shd w:val="clear" w:color="auto" w:fill="auto"/>
            <w:vAlign w:val="center"/>
            <w:hideMark/>
          </w:tcPr>
          <w:p w14:paraId="6A09B484" w14:textId="4673D331" w:rsidR="000158B0" w:rsidRPr="00D92E20" w:rsidRDefault="000158B0" w:rsidP="000158B0">
            <w:pPr>
              <w:spacing w:after="0" w:line="240" w:lineRule="auto"/>
              <w:jc w:val="right"/>
              <w:rPr>
                <w:rFonts w:cs="Arial"/>
                <w:color w:val="000000"/>
                <w:sz w:val="16"/>
                <w:szCs w:val="16"/>
              </w:rPr>
            </w:pPr>
            <w:r>
              <w:rPr>
                <w:rFonts w:cs="Arial"/>
                <w:color w:val="000000"/>
                <w:sz w:val="16"/>
                <w:szCs w:val="16"/>
              </w:rPr>
              <w:t>6 274</w:t>
            </w:r>
          </w:p>
        </w:tc>
        <w:tc>
          <w:tcPr>
            <w:tcW w:w="710" w:type="dxa"/>
            <w:tcBorders>
              <w:top w:val="nil"/>
              <w:left w:val="nil"/>
              <w:bottom w:val="nil"/>
              <w:right w:val="nil"/>
            </w:tcBorders>
            <w:shd w:val="clear" w:color="auto" w:fill="auto"/>
            <w:noWrap/>
            <w:vAlign w:val="center"/>
            <w:hideMark/>
          </w:tcPr>
          <w:p w14:paraId="115F23EB" w14:textId="329B3030" w:rsidR="000158B0" w:rsidRPr="00D92E20" w:rsidRDefault="000158B0" w:rsidP="000158B0">
            <w:pPr>
              <w:spacing w:after="0" w:line="240" w:lineRule="auto"/>
              <w:jc w:val="right"/>
              <w:rPr>
                <w:rFonts w:cs="Arial"/>
                <w:color w:val="000000"/>
                <w:sz w:val="16"/>
                <w:szCs w:val="16"/>
              </w:rPr>
            </w:pPr>
            <w:r>
              <w:rPr>
                <w:rFonts w:cs="Arial"/>
                <w:color w:val="000000"/>
                <w:sz w:val="16"/>
                <w:szCs w:val="16"/>
              </w:rPr>
              <w:t>19 857</w:t>
            </w:r>
          </w:p>
        </w:tc>
        <w:tc>
          <w:tcPr>
            <w:tcW w:w="709" w:type="dxa"/>
            <w:tcBorders>
              <w:top w:val="nil"/>
              <w:left w:val="nil"/>
              <w:bottom w:val="nil"/>
              <w:right w:val="nil"/>
            </w:tcBorders>
            <w:shd w:val="clear" w:color="auto" w:fill="auto"/>
            <w:vAlign w:val="center"/>
            <w:hideMark/>
          </w:tcPr>
          <w:p w14:paraId="09F19A6F" w14:textId="0A163B49" w:rsidR="000158B0" w:rsidRPr="00D92E20" w:rsidRDefault="000158B0" w:rsidP="000158B0">
            <w:pPr>
              <w:spacing w:after="0" w:line="240" w:lineRule="auto"/>
              <w:jc w:val="right"/>
              <w:rPr>
                <w:rFonts w:cs="Arial"/>
                <w:color w:val="000000"/>
                <w:sz w:val="16"/>
                <w:szCs w:val="16"/>
              </w:rPr>
            </w:pPr>
            <w:r>
              <w:rPr>
                <w:rFonts w:cs="Arial"/>
                <w:color w:val="000000"/>
                <w:sz w:val="16"/>
                <w:szCs w:val="16"/>
              </w:rPr>
              <w:t>13 758</w:t>
            </w:r>
          </w:p>
        </w:tc>
        <w:tc>
          <w:tcPr>
            <w:tcW w:w="709" w:type="dxa"/>
            <w:tcBorders>
              <w:top w:val="nil"/>
              <w:left w:val="nil"/>
              <w:bottom w:val="nil"/>
              <w:right w:val="single" w:sz="4" w:space="0" w:color="auto"/>
            </w:tcBorders>
            <w:shd w:val="clear" w:color="auto" w:fill="auto"/>
            <w:vAlign w:val="center"/>
            <w:hideMark/>
          </w:tcPr>
          <w:p w14:paraId="14BE404F" w14:textId="51125A62" w:rsidR="000158B0" w:rsidRPr="00D92E20" w:rsidRDefault="000158B0" w:rsidP="000158B0">
            <w:pPr>
              <w:spacing w:after="0" w:line="240" w:lineRule="auto"/>
              <w:jc w:val="right"/>
              <w:rPr>
                <w:rFonts w:cs="Arial"/>
                <w:color w:val="000000"/>
                <w:sz w:val="16"/>
                <w:szCs w:val="16"/>
              </w:rPr>
            </w:pPr>
            <w:r>
              <w:rPr>
                <w:rFonts w:cs="Arial"/>
                <w:color w:val="000000"/>
                <w:sz w:val="16"/>
                <w:szCs w:val="16"/>
              </w:rPr>
              <w:t>6 099</w:t>
            </w:r>
          </w:p>
        </w:tc>
        <w:tc>
          <w:tcPr>
            <w:tcW w:w="710" w:type="dxa"/>
            <w:tcBorders>
              <w:top w:val="nil"/>
              <w:left w:val="nil"/>
              <w:bottom w:val="nil"/>
              <w:right w:val="nil"/>
            </w:tcBorders>
            <w:shd w:val="clear" w:color="auto" w:fill="auto"/>
            <w:vAlign w:val="center"/>
            <w:hideMark/>
          </w:tcPr>
          <w:p w14:paraId="61B5E213" w14:textId="64F8C817" w:rsidR="000158B0" w:rsidRPr="00D92E20" w:rsidRDefault="000158B0" w:rsidP="000158B0">
            <w:pPr>
              <w:spacing w:after="0" w:line="240" w:lineRule="auto"/>
              <w:jc w:val="right"/>
              <w:rPr>
                <w:rFonts w:cs="Arial"/>
                <w:color w:val="000000"/>
                <w:sz w:val="16"/>
                <w:szCs w:val="16"/>
              </w:rPr>
            </w:pPr>
            <w:r>
              <w:rPr>
                <w:rFonts w:cs="Arial"/>
                <w:color w:val="000000"/>
                <w:sz w:val="16"/>
                <w:szCs w:val="16"/>
              </w:rPr>
              <w:t>47</w:t>
            </w:r>
          </w:p>
        </w:tc>
        <w:tc>
          <w:tcPr>
            <w:tcW w:w="709" w:type="dxa"/>
            <w:tcBorders>
              <w:top w:val="nil"/>
              <w:left w:val="nil"/>
              <w:bottom w:val="nil"/>
              <w:right w:val="nil"/>
            </w:tcBorders>
            <w:shd w:val="clear" w:color="auto" w:fill="auto"/>
            <w:vAlign w:val="center"/>
            <w:hideMark/>
          </w:tcPr>
          <w:p w14:paraId="19AEE8C4" w14:textId="0A0228C6" w:rsidR="000158B0" w:rsidRPr="00D92E20" w:rsidRDefault="000158B0" w:rsidP="000158B0">
            <w:pPr>
              <w:spacing w:after="0" w:line="240" w:lineRule="auto"/>
              <w:jc w:val="right"/>
              <w:rPr>
                <w:rFonts w:cs="Arial"/>
                <w:color w:val="000000"/>
                <w:sz w:val="16"/>
                <w:szCs w:val="16"/>
              </w:rPr>
            </w:pPr>
            <w:r>
              <w:rPr>
                <w:rFonts w:cs="Arial"/>
                <w:color w:val="000000"/>
                <w:sz w:val="16"/>
                <w:szCs w:val="16"/>
              </w:rPr>
              <w:t>45</w:t>
            </w:r>
          </w:p>
        </w:tc>
        <w:tc>
          <w:tcPr>
            <w:tcW w:w="709" w:type="dxa"/>
            <w:tcBorders>
              <w:top w:val="nil"/>
              <w:left w:val="nil"/>
              <w:bottom w:val="nil"/>
              <w:right w:val="single" w:sz="4" w:space="0" w:color="auto"/>
            </w:tcBorders>
            <w:shd w:val="clear" w:color="auto" w:fill="auto"/>
            <w:vAlign w:val="center"/>
            <w:hideMark/>
          </w:tcPr>
          <w:p w14:paraId="66247653" w14:textId="1013641A" w:rsidR="000158B0" w:rsidRPr="00D92E20" w:rsidRDefault="000158B0" w:rsidP="000158B0">
            <w:pPr>
              <w:spacing w:after="0" w:line="240" w:lineRule="auto"/>
              <w:jc w:val="right"/>
              <w:rPr>
                <w:rFonts w:cs="Arial"/>
                <w:color w:val="000000"/>
                <w:sz w:val="16"/>
                <w:szCs w:val="16"/>
              </w:rPr>
            </w:pPr>
            <w:r>
              <w:rPr>
                <w:rFonts w:cs="Arial"/>
                <w:color w:val="000000"/>
                <w:sz w:val="16"/>
                <w:szCs w:val="16"/>
              </w:rPr>
              <w:t>2</w:t>
            </w:r>
          </w:p>
        </w:tc>
        <w:tc>
          <w:tcPr>
            <w:tcW w:w="710" w:type="dxa"/>
            <w:tcBorders>
              <w:top w:val="nil"/>
              <w:left w:val="single" w:sz="4" w:space="0" w:color="auto"/>
              <w:bottom w:val="nil"/>
              <w:right w:val="nil"/>
            </w:tcBorders>
            <w:vAlign w:val="center"/>
          </w:tcPr>
          <w:p w14:paraId="7679A3EE" w14:textId="7333C723" w:rsidR="000158B0" w:rsidRDefault="000158B0" w:rsidP="000158B0">
            <w:pPr>
              <w:spacing w:after="0" w:line="240" w:lineRule="auto"/>
              <w:jc w:val="right"/>
              <w:rPr>
                <w:rFonts w:cs="Arial"/>
                <w:sz w:val="16"/>
                <w:szCs w:val="16"/>
              </w:rPr>
            </w:pPr>
            <w:r>
              <w:rPr>
                <w:rFonts w:cs="Arial"/>
                <w:color w:val="000000"/>
                <w:sz w:val="16"/>
                <w:szCs w:val="16"/>
              </w:rPr>
              <w:t>426</w:t>
            </w:r>
          </w:p>
        </w:tc>
        <w:tc>
          <w:tcPr>
            <w:tcW w:w="709" w:type="dxa"/>
            <w:tcBorders>
              <w:top w:val="nil"/>
              <w:left w:val="nil"/>
              <w:bottom w:val="nil"/>
              <w:right w:val="nil"/>
            </w:tcBorders>
            <w:vAlign w:val="center"/>
          </w:tcPr>
          <w:p w14:paraId="169F403B" w14:textId="4963930D" w:rsidR="000158B0" w:rsidRDefault="000158B0" w:rsidP="000158B0">
            <w:pPr>
              <w:spacing w:after="0" w:line="240" w:lineRule="auto"/>
              <w:jc w:val="right"/>
              <w:rPr>
                <w:rFonts w:cs="Arial"/>
                <w:sz w:val="16"/>
                <w:szCs w:val="16"/>
              </w:rPr>
            </w:pPr>
            <w:r>
              <w:rPr>
                <w:rFonts w:cs="Arial"/>
                <w:color w:val="000000"/>
                <w:sz w:val="16"/>
                <w:szCs w:val="16"/>
              </w:rPr>
              <w:t>357</w:t>
            </w:r>
          </w:p>
        </w:tc>
        <w:tc>
          <w:tcPr>
            <w:tcW w:w="709" w:type="dxa"/>
            <w:tcBorders>
              <w:top w:val="nil"/>
              <w:left w:val="nil"/>
              <w:bottom w:val="nil"/>
              <w:right w:val="nil"/>
            </w:tcBorders>
            <w:vAlign w:val="center"/>
          </w:tcPr>
          <w:p w14:paraId="37714948" w14:textId="714F0F2E" w:rsidR="000158B0" w:rsidRDefault="000158B0" w:rsidP="000158B0">
            <w:pPr>
              <w:spacing w:after="0" w:line="240" w:lineRule="auto"/>
              <w:jc w:val="right"/>
              <w:rPr>
                <w:rFonts w:cs="Arial"/>
                <w:sz w:val="16"/>
                <w:szCs w:val="16"/>
              </w:rPr>
            </w:pPr>
            <w:r>
              <w:rPr>
                <w:rFonts w:cs="Arial"/>
                <w:color w:val="000000"/>
                <w:sz w:val="16"/>
                <w:szCs w:val="16"/>
              </w:rPr>
              <w:t>69</w:t>
            </w:r>
          </w:p>
        </w:tc>
      </w:tr>
      <w:tr w:rsidR="000158B0" w:rsidRPr="00D92E20" w14:paraId="197278DD" w14:textId="101520FB" w:rsidTr="000158B0">
        <w:trPr>
          <w:trHeight w:val="300"/>
        </w:trPr>
        <w:tc>
          <w:tcPr>
            <w:tcW w:w="1077" w:type="dxa"/>
            <w:tcBorders>
              <w:top w:val="nil"/>
              <w:left w:val="nil"/>
              <w:bottom w:val="nil"/>
              <w:right w:val="single" w:sz="4" w:space="0" w:color="auto"/>
            </w:tcBorders>
            <w:shd w:val="clear" w:color="auto" w:fill="auto"/>
            <w:vAlign w:val="center"/>
            <w:hideMark/>
          </w:tcPr>
          <w:p w14:paraId="60A2D725" w14:textId="6A5669F7" w:rsidR="000158B0" w:rsidRPr="00D92E20" w:rsidRDefault="000158B0" w:rsidP="000158B0">
            <w:pPr>
              <w:spacing w:after="0" w:line="240" w:lineRule="auto"/>
              <w:jc w:val="center"/>
              <w:rPr>
                <w:rFonts w:cs="Arial"/>
                <w:color w:val="000000"/>
                <w:sz w:val="16"/>
                <w:szCs w:val="16"/>
              </w:rPr>
            </w:pPr>
            <w:r>
              <w:rPr>
                <w:rFonts w:cs="Arial"/>
                <w:sz w:val="16"/>
                <w:szCs w:val="16"/>
              </w:rPr>
              <w:t>1. pol. 2021</w:t>
            </w:r>
          </w:p>
        </w:tc>
        <w:tc>
          <w:tcPr>
            <w:tcW w:w="710" w:type="dxa"/>
            <w:tcBorders>
              <w:top w:val="nil"/>
              <w:left w:val="nil"/>
              <w:bottom w:val="nil"/>
              <w:right w:val="nil"/>
            </w:tcBorders>
            <w:shd w:val="clear" w:color="auto" w:fill="auto"/>
            <w:noWrap/>
            <w:vAlign w:val="center"/>
            <w:hideMark/>
          </w:tcPr>
          <w:p w14:paraId="62248BD1" w14:textId="04880B60" w:rsidR="000158B0" w:rsidRPr="00D92E20" w:rsidRDefault="000158B0" w:rsidP="000158B0">
            <w:pPr>
              <w:spacing w:after="0" w:line="240" w:lineRule="auto"/>
              <w:jc w:val="right"/>
              <w:rPr>
                <w:rFonts w:cs="Arial"/>
                <w:color w:val="000000"/>
                <w:sz w:val="16"/>
                <w:szCs w:val="16"/>
              </w:rPr>
            </w:pPr>
            <w:r>
              <w:rPr>
                <w:rFonts w:cs="Arial"/>
                <w:color w:val="000000"/>
                <w:sz w:val="16"/>
                <w:szCs w:val="16"/>
              </w:rPr>
              <w:t>23 326</w:t>
            </w:r>
          </w:p>
        </w:tc>
        <w:tc>
          <w:tcPr>
            <w:tcW w:w="709" w:type="dxa"/>
            <w:tcBorders>
              <w:top w:val="nil"/>
              <w:left w:val="nil"/>
              <w:bottom w:val="nil"/>
              <w:right w:val="nil"/>
            </w:tcBorders>
            <w:shd w:val="clear" w:color="auto" w:fill="auto"/>
            <w:vAlign w:val="center"/>
            <w:hideMark/>
          </w:tcPr>
          <w:p w14:paraId="2F14C7EA" w14:textId="2DF9A5CC" w:rsidR="000158B0" w:rsidRPr="00D92E20" w:rsidRDefault="000158B0" w:rsidP="000158B0">
            <w:pPr>
              <w:spacing w:after="0" w:line="240" w:lineRule="auto"/>
              <w:jc w:val="right"/>
              <w:rPr>
                <w:rFonts w:cs="Arial"/>
                <w:color w:val="000000"/>
                <w:sz w:val="16"/>
                <w:szCs w:val="16"/>
              </w:rPr>
            </w:pPr>
            <w:r>
              <w:rPr>
                <w:rFonts w:cs="Arial"/>
                <w:color w:val="000000"/>
                <w:sz w:val="16"/>
                <w:szCs w:val="16"/>
              </w:rPr>
              <w:t>16 203</w:t>
            </w:r>
          </w:p>
        </w:tc>
        <w:tc>
          <w:tcPr>
            <w:tcW w:w="709" w:type="dxa"/>
            <w:tcBorders>
              <w:top w:val="nil"/>
              <w:left w:val="nil"/>
              <w:bottom w:val="nil"/>
              <w:right w:val="single" w:sz="4" w:space="0" w:color="auto"/>
            </w:tcBorders>
            <w:shd w:val="clear" w:color="auto" w:fill="auto"/>
            <w:vAlign w:val="center"/>
            <w:hideMark/>
          </w:tcPr>
          <w:p w14:paraId="4B462091" w14:textId="6EE6255C" w:rsidR="000158B0" w:rsidRPr="00D92E20" w:rsidRDefault="000158B0" w:rsidP="000158B0">
            <w:pPr>
              <w:spacing w:after="0" w:line="240" w:lineRule="auto"/>
              <w:jc w:val="right"/>
              <w:rPr>
                <w:rFonts w:cs="Arial"/>
                <w:color w:val="000000"/>
                <w:sz w:val="16"/>
                <w:szCs w:val="16"/>
              </w:rPr>
            </w:pPr>
            <w:r>
              <w:rPr>
                <w:rFonts w:cs="Arial"/>
                <w:color w:val="000000"/>
                <w:sz w:val="16"/>
                <w:szCs w:val="16"/>
              </w:rPr>
              <w:t>7 123</w:t>
            </w:r>
          </w:p>
        </w:tc>
        <w:tc>
          <w:tcPr>
            <w:tcW w:w="710" w:type="dxa"/>
            <w:tcBorders>
              <w:top w:val="nil"/>
              <w:left w:val="nil"/>
              <w:bottom w:val="nil"/>
              <w:right w:val="nil"/>
            </w:tcBorders>
            <w:shd w:val="clear" w:color="auto" w:fill="auto"/>
            <w:noWrap/>
            <w:vAlign w:val="center"/>
            <w:hideMark/>
          </w:tcPr>
          <w:p w14:paraId="5C5C3C3B" w14:textId="03CE287B" w:rsidR="000158B0" w:rsidRPr="00D92E20" w:rsidRDefault="000158B0" w:rsidP="000158B0">
            <w:pPr>
              <w:spacing w:after="0" w:line="240" w:lineRule="auto"/>
              <w:jc w:val="right"/>
              <w:rPr>
                <w:rFonts w:cs="Arial"/>
                <w:color w:val="000000"/>
                <w:sz w:val="16"/>
                <w:szCs w:val="16"/>
              </w:rPr>
            </w:pPr>
            <w:r>
              <w:rPr>
                <w:rFonts w:cs="Arial"/>
                <w:color w:val="000000"/>
                <w:sz w:val="16"/>
                <w:szCs w:val="16"/>
              </w:rPr>
              <w:t>22 469</w:t>
            </w:r>
          </w:p>
        </w:tc>
        <w:tc>
          <w:tcPr>
            <w:tcW w:w="709" w:type="dxa"/>
            <w:tcBorders>
              <w:top w:val="nil"/>
              <w:left w:val="nil"/>
              <w:bottom w:val="nil"/>
              <w:right w:val="nil"/>
            </w:tcBorders>
            <w:shd w:val="clear" w:color="auto" w:fill="auto"/>
            <w:vAlign w:val="center"/>
            <w:hideMark/>
          </w:tcPr>
          <w:p w14:paraId="597F904E" w14:textId="1CB419FE" w:rsidR="000158B0" w:rsidRPr="00D92E20" w:rsidRDefault="000158B0" w:rsidP="000158B0">
            <w:pPr>
              <w:spacing w:after="0" w:line="240" w:lineRule="auto"/>
              <w:jc w:val="right"/>
              <w:rPr>
                <w:rFonts w:cs="Arial"/>
                <w:color w:val="000000"/>
                <w:sz w:val="16"/>
                <w:szCs w:val="16"/>
              </w:rPr>
            </w:pPr>
            <w:r>
              <w:rPr>
                <w:rFonts w:cs="Arial"/>
                <w:color w:val="000000"/>
                <w:sz w:val="16"/>
                <w:szCs w:val="16"/>
              </w:rPr>
              <w:t>15 572</w:t>
            </w:r>
          </w:p>
        </w:tc>
        <w:tc>
          <w:tcPr>
            <w:tcW w:w="709" w:type="dxa"/>
            <w:tcBorders>
              <w:top w:val="nil"/>
              <w:left w:val="nil"/>
              <w:bottom w:val="nil"/>
              <w:right w:val="single" w:sz="4" w:space="0" w:color="auto"/>
            </w:tcBorders>
            <w:shd w:val="clear" w:color="auto" w:fill="auto"/>
            <w:vAlign w:val="center"/>
            <w:hideMark/>
          </w:tcPr>
          <w:p w14:paraId="0DCFD742" w14:textId="2D63242C" w:rsidR="000158B0" w:rsidRPr="00D92E20" w:rsidRDefault="000158B0" w:rsidP="000158B0">
            <w:pPr>
              <w:spacing w:after="0" w:line="240" w:lineRule="auto"/>
              <w:jc w:val="right"/>
              <w:rPr>
                <w:rFonts w:cs="Arial"/>
                <w:color w:val="000000"/>
                <w:sz w:val="16"/>
                <w:szCs w:val="16"/>
              </w:rPr>
            </w:pPr>
            <w:r>
              <w:rPr>
                <w:rFonts w:cs="Arial"/>
                <w:color w:val="000000"/>
                <w:sz w:val="16"/>
                <w:szCs w:val="16"/>
              </w:rPr>
              <w:t>6 897</w:t>
            </w:r>
          </w:p>
        </w:tc>
        <w:tc>
          <w:tcPr>
            <w:tcW w:w="710" w:type="dxa"/>
            <w:tcBorders>
              <w:top w:val="nil"/>
              <w:left w:val="nil"/>
              <w:bottom w:val="nil"/>
              <w:right w:val="nil"/>
            </w:tcBorders>
            <w:shd w:val="clear" w:color="auto" w:fill="auto"/>
            <w:vAlign w:val="center"/>
            <w:hideMark/>
          </w:tcPr>
          <w:p w14:paraId="7981A70F" w14:textId="025FB8FF" w:rsidR="000158B0" w:rsidRPr="00D92E20" w:rsidRDefault="000158B0" w:rsidP="000158B0">
            <w:pPr>
              <w:spacing w:after="0" w:line="240" w:lineRule="auto"/>
              <w:jc w:val="right"/>
              <w:rPr>
                <w:rFonts w:cs="Arial"/>
                <w:color w:val="000000"/>
                <w:sz w:val="16"/>
                <w:szCs w:val="16"/>
              </w:rPr>
            </w:pPr>
            <w:r>
              <w:rPr>
                <w:rFonts w:cs="Arial"/>
                <w:color w:val="000000"/>
                <w:sz w:val="16"/>
                <w:szCs w:val="16"/>
              </w:rPr>
              <w:t>39</w:t>
            </w:r>
          </w:p>
        </w:tc>
        <w:tc>
          <w:tcPr>
            <w:tcW w:w="709" w:type="dxa"/>
            <w:tcBorders>
              <w:top w:val="nil"/>
              <w:left w:val="nil"/>
              <w:bottom w:val="nil"/>
              <w:right w:val="nil"/>
            </w:tcBorders>
            <w:shd w:val="clear" w:color="auto" w:fill="auto"/>
            <w:vAlign w:val="center"/>
            <w:hideMark/>
          </w:tcPr>
          <w:p w14:paraId="7DF2F177" w14:textId="59435B9E" w:rsidR="000158B0" w:rsidRPr="00D92E20" w:rsidRDefault="000158B0" w:rsidP="000158B0">
            <w:pPr>
              <w:spacing w:after="0" w:line="240" w:lineRule="auto"/>
              <w:jc w:val="right"/>
              <w:rPr>
                <w:rFonts w:cs="Arial"/>
                <w:color w:val="000000"/>
                <w:sz w:val="16"/>
                <w:szCs w:val="16"/>
              </w:rPr>
            </w:pPr>
            <w:r>
              <w:rPr>
                <w:rFonts w:cs="Arial"/>
                <w:color w:val="000000"/>
                <w:sz w:val="16"/>
                <w:szCs w:val="16"/>
              </w:rPr>
              <w:t>35</w:t>
            </w:r>
          </w:p>
        </w:tc>
        <w:tc>
          <w:tcPr>
            <w:tcW w:w="709" w:type="dxa"/>
            <w:tcBorders>
              <w:top w:val="nil"/>
              <w:left w:val="nil"/>
              <w:bottom w:val="nil"/>
              <w:right w:val="single" w:sz="4" w:space="0" w:color="auto"/>
            </w:tcBorders>
            <w:shd w:val="clear" w:color="auto" w:fill="auto"/>
            <w:vAlign w:val="center"/>
            <w:hideMark/>
          </w:tcPr>
          <w:p w14:paraId="6C266EB8" w14:textId="18A471C4" w:rsidR="000158B0" w:rsidRPr="00D92E20" w:rsidRDefault="000158B0" w:rsidP="000158B0">
            <w:pPr>
              <w:spacing w:after="0" w:line="240" w:lineRule="auto"/>
              <w:jc w:val="right"/>
              <w:rPr>
                <w:rFonts w:cs="Arial"/>
                <w:color w:val="000000"/>
                <w:sz w:val="16"/>
                <w:szCs w:val="16"/>
              </w:rPr>
            </w:pPr>
            <w:r>
              <w:rPr>
                <w:rFonts w:cs="Arial"/>
                <w:color w:val="000000"/>
                <w:sz w:val="16"/>
                <w:szCs w:val="16"/>
              </w:rPr>
              <w:t>4</w:t>
            </w:r>
          </w:p>
        </w:tc>
        <w:tc>
          <w:tcPr>
            <w:tcW w:w="710" w:type="dxa"/>
            <w:tcBorders>
              <w:top w:val="nil"/>
              <w:left w:val="single" w:sz="4" w:space="0" w:color="auto"/>
              <w:bottom w:val="nil"/>
              <w:right w:val="nil"/>
            </w:tcBorders>
            <w:vAlign w:val="center"/>
          </w:tcPr>
          <w:p w14:paraId="212DB371" w14:textId="4931D609" w:rsidR="000158B0" w:rsidRDefault="000158B0" w:rsidP="000158B0">
            <w:pPr>
              <w:spacing w:after="0" w:line="240" w:lineRule="auto"/>
              <w:jc w:val="right"/>
              <w:rPr>
                <w:rFonts w:cs="Arial"/>
                <w:color w:val="000000"/>
                <w:sz w:val="16"/>
                <w:szCs w:val="16"/>
              </w:rPr>
            </w:pPr>
            <w:r>
              <w:rPr>
                <w:rFonts w:cs="Arial"/>
                <w:color w:val="000000"/>
                <w:sz w:val="16"/>
                <w:szCs w:val="16"/>
              </w:rPr>
              <w:t>395</w:t>
            </w:r>
          </w:p>
        </w:tc>
        <w:tc>
          <w:tcPr>
            <w:tcW w:w="709" w:type="dxa"/>
            <w:tcBorders>
              <w:top w:val="nil"/>
              <w:left w:val="nil"/>
              <w:bottom w:val="nil"/>
              <w:right w:val="nil"/>
            </w:tcBorders>
            <w:vAlign w:val="center"/>
          </w:tcPr>
          <w:p w14:paraId="3D09B8D0" w14:textId="78DC05FA" w:rsidR="000158B0" w:rsidRDefault="000158B0" w:rsidP="000158B0">
            <w:pPr>
              <w:spacing w:after="0" w:line="240" w:lineRule="auto"/>
              <w:jc w:val="right"/>
              <w:rPr>
                <w:rFonts w:cs="Arial"/>
                <w:color w:val="000000"/>
                <w:sz w:val="16"/>
                <w:szCs w:val="16"/>
              </w:rPr>
            </w:pPr>
            <w:r>
              <w:rPr>
                <w:rFonts w:cs="Arial"/>
                <w:color w:val="000000"/>
                <w:sz w:val="16"/>
                <w:szCs w:val="16"/>
              </w:rPr>
              <w:t>320</w:t>
            </w:r>
          </w:p>
        </w:tc>
        <w:tc>
          <w:tcPr>
            <w:tcW w:w="709" w:type="dxa"/>
            <w:tcBorders>
              <w:top w:val="nil"/>
              <w:left w:val="nil"/>
              <w:bottom w:val="nil"/>
              <w:right w:val="nil"/>
            </w:tcBorders>
            <w:vAlign w:val="center"/>
          </w:tcPr>
          <w:p w14:paraId="159EFE26" w14:textId="094A2242" w:rsidR="000158B0" w:rsidRDefault="000158B0" w:rsidP="000158B0">
            <w:pPr>
              <w:spacing w:after="0" w:line="240" w:lineRule="auto"/>
              <w:jc w:val="right"/>
              <w:rPr>
                <w:rFonts w:cs="Arial"/>
                <w:color w:val="000000"/>
                <w:sz w:val="16"/>
                <w:szCs w:val="16"/>
              </w:rPr>
            </w:pPr>
            <w:r>
              <w:rPr>
                <w:rFonts w:cs="Arial"/>
                <w:color w:val="000000"/>
                <w:sz w:val="16"/>
                <w:szCs w:val="16"/>
              </w:rPr>
              <w:t>75</w:t>
            </w:r>
          </w:p>
        </w:tc>
      </w:tr>
      <w:tr w:rsidR="000158B0" w:rsidRPr="00D92E20" w14:paraId="633C828F" w14:textId="0F88BDCA" w:rsidTr="000158B0">
        <w:trPr>
          <w:trHeight w:val="300"/>
        </w:trPr>
        <w:tc>
          <w:tcPr>
            <w:tcW w:w="1077" w:type="dxa"/>
            <w:tcBorders>
              <w:top w:val="nil"/>
              <w:left w:val="nil"/>
              <w:bottom w:val="nil"/>
              <w:right w:val="single" w:sz="4" w:space="0" w:color="auto"/>
            </w:tcBorders>
            <w:shd w:val="clear" w:color="auto" w:fill="auto"/>
            <w:vAlign w:val="center"/>
            <w:hideMark/>
          </w:tcPr>
          <w:p w14:paraId="57937F0A" w14:textId="31A419F6" w:rsidR="000158B0" w:rsidRPr="00D92E20" w:rsidRDefault="000158B0" w:rsidP="000158B0">
            <w:pPr>
              <w:spacing w:after="0" w:line="240" w:lineRule="auto"/>
              <w:jc w:val="center"/>
              <w:rPr>
                <w:rFonts w:cs="Arial"/>
                <w:color w:val="000000"/>
                <w:sz w:val="16"/>
                <w:szCs w:val="16"/>
              </w:rPr>
            </w:pPr>
            <w:r>
              <w:rPr>
                <w:rFonts w:cs="Arial"/>
                <w:sz w:val="16"/>
                <w:szCs w:val="16"/>
              </w:rPr>
              <w:t>1. pol. 2022</w:t>
            </w:r>
          </w:p>
        </w:tc>
        <w:tc>
          <w:tcPr>
            <w:tcW w:w="710" w:type="dxa"/>
            <w:tcBorders>
              <w:top w:val="nil"/>
              <w:left w:val="nil"/>
              <w:bottom w:val="nil"/>
              <w:right w:val="nil"/>
            </w:tcBorders>
            <w:shd w:val="clear" w:color="auto" w:fill="auto"/>
            <w:noWrap/>
            <w:vAlign w:val="center"/>
            <w:hideMark/>
          </w:tcPr>
          <w:p w14:paraId="507D8AC8" w14:textId="20900D7C" w:rsidR="000158B0" w:rsidRPr="00D92E20" w:rsidRDefault="000158B0" w:rsidP="000158B0">
            <w:pPr>
              <w:spacing w:after="0" w:line="240" w:lineRule="auto"/>
              <w:jc w:val="right"/>
              <w:rPr>
                <w:rFonts w:cs="Arial"/>
                <w:color w:val="000000"/>
                <w:sz w:val="16"/>
                <w:szCs w:val="16"/>
              </w:rPr>
            </w:pPr>
            <w:r>
              <w:rPr>
                <w:rFonts w:cs="Arial"/>
                <w:color w:val="000000"/>
                <w:sz w:val="16"/>
                <w:szCs w:val="16"/>
              </w:rPr>
              <w:t>23 278</w:t>
            </w:r>
          </w:p>
        </w:tc>
        <w:tc>
          <w:tcPr>
            <w:tcW w:w="709" w:type="dxa"/>
            <w:tcBorders>
              <w:top w:val="nil"/>
              <w:left w:val="nil"/>
              <w:bottom w:val="nil"/>
              <w:right w:val="nil"/>
            </w:tcBorders>
            <w:shd w:val="clear" w:color="auto" w:fill="auto"/>
            <w:vAlign w:val="center"/>
            <w:hideMark/>
          </w:tcPr>
          <w:p w14:paraId="7B4206ED" w14:textId="3BB29762" w:rsidR="000158B0" w:rsidRPr="00D92E20" w:rsidRDefault="000158B0" w:rsidP="000158B0">
            <w:pPr>
              <w:spacing w:after="0" w:line="240" w:lineRule="auto"/>
              <w:jc w:val="right"/>
              <w:rPr>
                <w:rFonts w:cs="Arial"/>
                <w:color w:val="000000"/>
                <w:sz w:val="16"/>
                <w:szCs w:val="16"/>
              </w:rPr>
            </w:pPr>
            <w:r>
              <w:rPr>
                <w:rFonts w:cs="Arial"/>
                <w:color w:val="000000"/>
                <w:sz w:val="16"/>
                <w:szCs w:val="16"/>
              </w:rPr>
              <w:t>15 616</w:t>
            </w:r>
          </w:p>
        </w:tc>
        <w:tc>
          <w:tcPr>
            <w:tcW w:w="709" w:type="dxa"/>
            <w:tcBorders>
              <w:top w:val="nil"/>
              <w:left w:val="nil"/>
              <w:bottom w:val="nil"/>
              <w:right w:val="single" w:sz="4" w:space="0" w:color="auto"/>
            </w:tcBorders>
            <w:shd w:val="clear" w:color="auto" w:fill="auto"/>
            <w:vAlign w:val="center"/>
            <w:hideMark/>
          </w:tcPr>
          <w:p w14:paraId="2F109DFF" w14:textId="69147828" w:rsidR="000158B0" w:rsidRPr="00D92E20" w:rsidRDefault="000158B0" w:rsidP="000158B0">
            <w:pPr>
              <w:spacing w:after="0" w:line="240" w:lineRule="auto"/>
              <w:jc w:val="right"/>
              <w:rPr>
                <w:rFonts w:cs="Arial"/>
                <w:color w:val="000000"/>
                <w:sz w:val="16"/>
                <w:szCs w:val="16"/>
              </w:rPr>
            </w:pPr>
            <w:r>
              <w:rPr>
                <w:rFonts w:cs="Arial"/>
                <w:color w:val="000000"/>
                <w:sz w:val="16"/>
                <w:szCs w:val="16"/>
              </w:rPr>
              <w:t>7 662</w:t>
            </w:r>
          </w:p>
        </w:tc>
        <w:tc>
          <w:tcPr>
            <w:tcW w:w="710" w:type="dxa"/>
            <w:tcBorders>
              <w:top w:val="nil"/>
              <w:left w:val="nil"/>
              <w:bottom w:val="nil"/>
              <w:right w:val="nil"/>
            </w:tcBorders>
            <w:shd w:val="clear" w:color="auto" w:fill="auto"/>
            <w:noWrap/>
            <w:vAlign w:val="center"/>
            <w:hideMark/>
          </w:tcPr>
          <w:p w14:paraId="2B8A08B2" w14:textId="651AA23F" w:rsidR="000158B0" w:rsidRPr="00D92E20" w:rsidRDefault="000158B0" w:rsidP="000158B0">
            <w:pPr>
              <w:spacing w:after="0" w:line="240" w:lineRule="auto"/>
              <w:jc w:val="right"/>
              <w:rPr>
                <w:rFonts w:cs="Arial"/>
                <w:color w:val="000000"/>
                <w:sz w:val="16"/>
                <w:szCs w:val="16"/>
              </w:rPr>
            </w:pPr>
            <w:r>
              <w:rPr>
                <w:rFonts w:cs="Arial"/>
                <w:color w:val="000000"/>
                <w:sz w:val="16"/>
                <w:szCs w:val="16"/>
              </w:rPr>
              <w:t>22 358</w:t>
            </w:r>
          </w:p>
        </w:tc>
        <w:tc>
          <w:tcPr>
            <w:tcW w:w="709" w:type="dxa"/>
            <w:tcBorders>
              <w:top w:val="nil"/>
              <w:left w:val="nil"/>
              <w:bottom w:val="nil"/>
              <w:right w:val="nil"/>
            </w:tcBorders>
            <w:shd w:val="clear" w:color="auto" w:fill="auto"/>
            <w:vAlign w:val="center"/>
            <w:hideMark/>
          </w:tcPr>
          <w:p w14:paraId="697C4BF5" w14:textId="2F445141" w:rsidR="000158B0" w:rsidRPr="00D92E20" w:rsidRDefault="000158B0" w:rsidP="000158B0">
            <w:pPr>
              <w:spacing w:after="0" w:line="240" w:lineRule="auto"/>
              <w:jc w:val="right"/>
              <w:rPr>
                <w:rFonts w:cs="Arial"/>
                <w:color w:val="000000"/>
                <w:sz w:val="16"/>
                <w:szCs w:val="16"/>
              </w:rPr>
            </w:pPr>
            <w:r>
              <w:rPr>
                <w:rFonts w:cs="Arial"/>
                <w:color w:val="000000"/>
                <w:sz w:val="16"/>
                <w:szCs w:val="16"/>
              </w:rPr>
              <w:t>14 949</w:t>
            </w:r>
          </w:p>
        </w:tc>
        <w:tc>
          <w:tcPr>
            <w:tcW w:w="709" w:type="dxa"/>
            <w:tcBorders>
              <w:top w:val="nil"/>
              <w:left w:val="nil"/>
              <w:bottom w:val="nil"/>
              <w:right w:val="single" w:sz="4" w:space="0" w:color="auto"/>
            </w:tcBorders>
            <w:shd w:val="clear" w:color="auto" w:fill="auto"/>
            <w:vAlign w:val="center"/>
            <w:hideMark/>
          </w:tcPr>
          <w:p w14:paraId="607AF827" w14:textId="470E34BF" w:rsidR="000158B0" w:rsidRPr="00D92E20" w:rsidRDefault="000158B0" w:rsidP="000158B0">
            <w:pPr>
              <w:spacing w:after="0" w:line="240" w:lineRule="auto"/>
              <w:jc w:val="right"/>
              <w:rPr>
                <w:rFonts w:cs="Arial"/>
                <w:color w:val="000000"/>
                <w:sz w:val="16"/>
                <w:szCs w:val="16"/>
              </w:rPr>
            </w:pPr>
            <w:r>
              <w:rPr>
                <w:rFonts w:cs="Arial"/>
                <w:color w:val="000000"/>
                <w:sz w:val="16"/>
                <w:szCs w:val="16"/>
              </w:rPr>
              <w:t>7 409</w:t>
            </w:r>
          </w:p>
        </w:tc>
        <w:tc>
          <w:tcPr>
            <w:tcW w:w="710" w:type="dxa"/>
            <w:tcBorders>
              <w:top w:val="nil"/>
              <w:left w:val="nil"/>
              <w:bottom w:val="nil"/>
              <w:right w:val="nil"/>
            </w:tcBorders>
            <w:shd w:val="clear" w:color="auto" w:fill="auto"/>
            <w:vAlign w:val="center"/>
            <w:hideMark/>
          </w:tcPr>
          <w:p w14:paraId="688EDD90" w14:textId="32205D55" w:rsidR="000158B0" w:rsidRPr="00D92E20" w:rsidRDefault="000158B0" w:rsidP="000158B0">
            <w:pPr>
              <w:spacing w:after="0" w:line="240" w:lineRule="auto"/>
              <w:jc w:val="right"/>
              <w:rPr>
                <w:rFonts w:cs="Arial"/>
                <w:color w:val="000000"/>
                <w:sz w:val="16"/>
                <w:szCs w:val="16"/>
              </w:rPr>
            </w:pPr>
            <w:r>
              <w:rPr>
                <w:rFonts w:cs="Arial"/>
                <w:color w:val="000000"/>
                <w:sz w:val="16"/>
                <w:szCs w:val="16"/>
              </w:rPr>
              <w:t>40</w:t>
            </w:r>
          </w:p>
        </w:tc>
        <w:tc>
          <w:tcPr>
            <w:tcW w:w="709" w:type="dxa"/>
            <w:tcBorders>
              <w:top w:val="nil"/>
              <w:left w:val="nil"/>
              <w:bottom w:val="nil"/>
              <w:right w:val="nil"/>
            </w:tcBorders>
            <w:shd w:val="clear" w:color="auto" w:fill="auto"/>
            <w:vAlign w:val="center"/>
            <w:hideMark/>
          </w:tcPr>
          <w:p w14:paraId="4BD6BEA5" w14:textId="6079C228" w:rsidR="000158B0" w:rsidRPr="00D92E20" w:rsidRDefault="000158B0" w:rsidP="000158B0">
            <w:pPr>
              <w:spacing w:after="0" w:line="240" w:lineRule="auto"/>
              <w:jc w:val="right"/>
              <w:rPr>
                <w:rFonts w:cs="Arial"/>
                <w:color w:val="000000"/>
                <w:sz w:val="16"/>
                <w:szCs w:val="16"/>
              </w:rPr>
            </w:pPr>
            <w:r>
              <w:rPr>
                <w:rFonts w:cs="Arial"/>
                <w:color w:val="000000"/>
                <w:sz w:val="16"/>
                <w:szCs w:val="16"/>
              </w:rPr>
              <w:t>39</w:t>
            </w:r>
          </w:p>
        </w:tc>
        <w:tc>
          <w:tcPr>
            <w:tcW w:w="709" w:type="dxa"/>
            <w:tcBorders>
              <w:top w:val="nil"/>
              <w:left w:val="nil"/>
              <w:bottom w:val="nil"/>
              <w:right w:val="single" w:sz="4" w:space="0" w:color="auto"/>
            </w:tcBorders>
            <w:shd w:val="clear" w:color="auto" w:fill="auto"/>
            <w:vAlign w:val="center"/>
            <w:hideMark/>
          </w:tcPr>
          <w:p w14:paraId="085C97E9" w14:textId="1F83506D" w:rsidR="000158B0" w:rsidRPr="00D92E20" w:rsidRDefault="000158B0" w:rsidP="000158B0">
            <w:pPr>
              <w:spacing w:after="0" w:line="240" w:lineRule="auto"/>
              <w:jc w:val="right"/>
              <w:rPr>
                <w:rFonts w:cs="Arial"/>
                <w:color w:val="000000"/>
                <w:sz w:val="16"/>
                <w:szCs w:val="16"/>
              </w:rPr>
            </w:pPr>
            <w:r>
              <w:rPr>
                <w:rFonts w:cs="Arial"/>
                <w:color w:val="000000"/>
                <w:sz w:val="16"/>
                <w:szCs w:val="16"/>
              </w:rPr>
              <w:t>1</w:t>
            </w:r>
          </w:p>
        </w:tc>
        <w:tc>
          <w:tcPr>
            <w:tcW w:w="710" w:type="dxa"/>
            <w:tcBorders>
              <w:top w:val="nil"/>
              <w:left w:val="single" w:sz="4" w:space="0" w:color="auto"/>
              <w:bottom w:val="nil"/>
              <w:right w:val="nil"/>
            </w:tcBorders>
            <w:vAlign w:val="center"/>
          </w:tcPr>
          <w:p w14:paraId="36C4DA7E" w14:textId="273ADBA0" w:rsidR="000158B0" w:rsidRDefault="000158B0" w:rsidP="000158B0">
            <w:pPr>
              <w:spacing w:after="0" w:line="240" w:lineRule="auto"/>
              <w:jc w:val="right"/>
              <w:rPr>
                <w:rFonts w:cs="Arial"/>
                <w:color w:val="000000"/>
                <w:sz w:val="16"/>
                <w:szCs w:val="16"/>
              </w:rPr>
            </w:pPr>
            <w:r>
              <w:rPr>
                <w:rFonts w:cs="Arial"/>
                <w:color w:val="000000"/>
                <w:sz w:val="16"/>
                <w:szCs w:val="16"/>
              </w:rPr>
              <w:t>411</w:t>
            </w:r>
          </w:p>
        </w:tc>
        <w:tc>
          <w:tcPr>
            <w:tcW w:w="709" w:type="dxa"/>
            <w:tcBorders>
              <w:top w:val="nil"/>
              <w:left w:val="nil"/>
              <w:bottom w:val="nil"/>
              <w:right w:val="nil"/>
            </w:tcBorders>
            <w:vAlign w:val="center"/>
          </w:tcPr>
          <w:p w14:paraId="636014F4" w14:textId="0FC1A958" w:rsidR="000158B0" w:rsidRDefault="000158B0" w:rsidP="000158B0">
            <w:pPr>
              <w:spacing w:after="0" w:line="240" w:lineRule="auto"/>
              <w:jc w:val="right"/>
              <w:rPr>
                <w:rFonts w:cs="Arial"/>
                <w:color w:val="000000"/>
                <w:sz w:val="16"/>
                <w:szCs w:val="16"/>
              </w:rPr>
            </w:pPr>
            <w:r>
              <w:rPr>
                <w:rFonts w:cs="Arial"/>
                <w:color w:val="000000"/>
                <w:sz w:val="16"/>
                <w:szCs w:val="16"/>
              </w:rPr>
              <w:t>326</w:t>
            </w:r>
          </w:p>
        </w:tc>
        <w:tc>
          <w:tcPr>
            <w:tcW w:w="709" w:type="dxa"/>
            <w:tcBorders>
              <w:top w:val="nil"/>
              <w:left w:val="nil"/>
              <w:bottom w:val="nil"/>
              <w:right w:val="nil"/>
            </w:tcBorders>
            <w:vAlign w:val="center"/>
          </w:tcPr>
          <w:p w14:paraId="0BE5BAE3" w14:textId="3BB0C796" w:rsidR="000158B0" w:rsidRDefault="000158B0" w:rsidP="000158B0">
            <w:pPr>
              <w:spacing w:after="0" w:line="240" w:lineRule="auto"/>
              <w:jc w:val="right"/>
              <w:rPr>
                <w:rFonts w:cs="Arial"/>
                <w:color w:val="000000"/>
                <w:sz w:val="16"/>
                <w:szCs w:val="16"/>
              </w:rPr>
            </w:pPr>
            <w:r>
              <w:rPr>
                <w:rFonts w:cs="Arial"/>
                <w:color w:val="000000"/>
                <w:sz w:val="16"/>
                <w:szCs w:val="16"/>
              </w:rPr>
              <w:t>85</w:t>
            </w:r>
          </w:p>
        </w:tc>
      </w:tr>
    </w:tbl>
    <w:p w14:paraId="23699BA4" w14:textId="77777777" w:rsidR="00BF4256" w:rsidRPr="00D92E20" w:rsidRDefault="00BF4256" w:rsidP="00000A90">
      <w:pPr>
        <w:spacing w:before="120" w:after="120"/>
        <w:jc w:val="both"/>
        <w:rPr>
          <w:sz w:val="16"/>
        </w:rPr>
      </w:pPr>
      <w:r w:rsidRPr="00D92E20">
        <w:rPr>
          <w:sz w:val="16"/>
        </w:rPr>
        <w:t>Zdroj: ČSÚ, SÚIP</w:t>
      </w:r>
    </w:p>
    <w:p w14:paraId="6D184AC0" w14:textId="77777777" w:rsidR="00F20CF3" w:rsidRPr="000158B0" w:rsidRDefault="00F20CF3" w:rsidP="00000A90">
      <w:pPr>
        <w:spacing w:before="120" w:after="120"/>
        <w:jc w:val="both"/>
        <w:rPr>
          <w:rFonts w:cs="Arial"/>
        </w:rPr>
      </w:pPr>
      <w:r w:rsidRPr="000158B0">
        <w:rPr>
          <w:rFonts w:cs="Arial"/>
        </w:rPr>
        <w:t>Nadále se v této kapitole budeme věnovat pracovním úrazům s pracovní neschopností delší než 3 kalendářní dny.</w:t>
      </w:r>
    </w:p>
    <w:p w14:paraId="57F8AA80" w14:textId="67CCC40C" w:rsidR="00BF4256" w:rsidRDefault="003044AF" w:rsidP="00000A90">
      <w:pPr>
        <w:spacing w:before="120" w:after="120"/>
        <w:jc w:val="both"/>
      </w:pPr>
      <w:r w:rsidRPr="00012105">
        <w:t xml:space="preserve">Pokud pomineme 1. pol. 2020, kdy se počet pracovních úrazů vyžadujících neschopenku delší než 3 dny dostal pod 20 tis., dochází od 1. pol. 2017 </w:t>
      </w:r>
      <w:r w:rsidR="003A2C67">
        <w:t xml:space="preserve">víceméně </w:t>
      </w:r>
      <w:r w:rsidRPr="00012105">
        <w:t>k postupnému snižování počtu takto klasifikovaných pracovních úrazů. V 1. pol. 202</w:t>
      </w:r>
      <w:r w:rsidR="00012105" w:rsidRPr="00012105">
        <w:t xml:space="preserve">2 </w:t>
      </w:r>
      <w:r w:rsidR="00632857">
        <w:t>došlo ke</w:t>
      </w:r>
      <w:r w:rsidR="00012105" w:rsidRPr="00012105">
        <w:t xml:space="preserve"> 22,4</w:t>
      </w:r>
      <w:r w:rsidRPr="00012105">
        <w:t xml:space="preserve"> tis. pracovních úrazů s</w:t>
      </w:r>
      <w:r w:rsidR="005C496F" w:rsidRPr="00012105">
        <w:t xml:space="preserve"> delší než </w:t>
      </w:r>
      <w:r w:rsidRPr="00012105">
        <w:t>3denní DPN. Nejvyšší hodnota v desetiletém období, a sice 24,2 tis. byla zaznamenána v 1. pol. 2016.</w:t>
      </w:r>
      <w:r w:rsidRPr="003044AF">
        <w:t xml:space="preserve"> </w:t>
      </w:r>
    </w:p>
    <w:p w14:paraId="1FA6D054" w14:textId="2B981EEB" w:rsidR="004C0781" w:rsidRPr="00D92E20" w:rsidRDefault="004C0781" w:rsidP="004C0781">
      <w:pPr>
        <w:spacing w:before="120" w:after="120"/>
        <w:jc w:val="both"/>
        <w:rPr>
          <w:b/>
        </w:rPr>
      </w:pPr>
      <w:r w:rsidRPr="005C064F">
        <w:rPr>
          <w:rFonts w:cs="Arial"/>
          <w:bCs/>
          <w:color w:val="000000"/>
          <w:szCs w:val="20"/>
        </w:rPr>
        <w:t xml:space="preserve">V absolutním vyjádření </w:t>
      </w:r>
      <w:r w:rsidRPr="005C064F">
        <w:rPr>
          <w:rFonts w:cs="Arial"/>
          <w:b/>
          <w:bCs/>
          <w:color w:val="000000"/>
          <w:szCs w:val="20"/>
        </w:rPr>
        <w:t>nejvíce pracovních úrazů</w:t>
      </w:r>
      <w:r w:rsidRPr="005C064F">
        <w:rPr>
          <w:rFonts w:cs="Arial"/>
          <w:bCs/>
          <w:color w:val="000000"/>
          <w:szCs w:val="20"/>
        </w:rPr>
        <w:t xml:space="preserve"> s DPN delší než 3 dny se v 1. pol. 2022 událo </w:t>
      </w:r>
      <w:r w:rsidRPr="005C064F">
        <w:rPr>
          <w:rFonts w:cs="Arial"/>
          <w:b/>
          <w:bCs/>
          <w:color w:val="000000"/>
          <w:szCs w:val="20"/>
        </w:rPr>
        <w:t>ve Zpracovatelském průmyslu</w:t>
      </w:r>
      <w:r w:rsidRPr="005C064F">
        <w:rPr>
          <w:rFonts w:cs="Arial"/>
          <w:bCs/>
          <w:color w:val="000000"/>
          <w:szCs w:val="20"/>
        </w:rPr>
        <w:t xml:space="preserve"> (8 817 případů), následují odvětví Velkoobchod a maloobchod, opravy a údržba motorových vozidel (2 691) a Doprava a skladování (2 080). Pokud však zohledníme zaměstnanost v jednotlivých odvětvích a míru zastoupení jednotlivých sekcí, je vhodné použít </w:t>
      </w:r>
      <w:r w:rsidRPr="005C064F">
        <w:rPr>
          <w:rFonts w:cs="Arial"/>
          <w:b/>
          <w:bCs/>
          <w:color w:val="000000"/>
          <w:szCs w:val="20"/>
        </w:rPr>
        <w:t>relativní ukazatel</w:t>
      </w:r>
      <w:r w:rsidRPr="005C064F">
        <w:rPr>
          <w:rFonts w:cs="Arial"/>
          <w:bCs/>
          <w:color w:val="000000"/>
          <w:szCs w:val="20"/>
        </w:rPr>
        <w:t xml:space="preserve"> vztažený na 100 tis. pojištěnců. </w:t>
      </w:r>
      <w:r w:rsidRPr="005C064F">
        <w:rPr>
          <w:rFonts w:cs="Arial"/>
          <w:b/>
          <w:bCs/>
          <w:color w:val="000000"/>
          <w:szCs w:val="20"/>
        </w:rPr>
        <w:t>Nejrizikovějším</w:t>
      </w:r>
      <w:r w:rsidRPr="005C064F">
        <w:rPr>
          <w:rFonts w:cs="Arial"/>
          <w:bCs/>
          <w:color w:val="000000"/>
          <w:szCs w:val="20"/>
        </w:rPr>
        <w:t xml:space="preserve"> odvětvím je pak </w:t>
      </w:r>
      <w:r w:rsidRPr="005C064F">
        <w:rPr>
          <w:rFonts w:cs="Arial"/>
          <w:b/>
          <w:bCs/>
          <w:color w:val="000000"/>
          <w:szCs w:val="20"/>
        </w:rPr>
        <w:t>Zemědělství, lesnictví, rybářství</w:t>
      </w:r>
      <w:r w:rsidRPr="005C064F">
        <w:rPr>
          <w:rFonts w:cs="Arial"/>
          <w:bCs/>
          <w:color w:val="000000"/>
          <w:szCs w:val="20"/>
        </w:rPr>
        <w:t xml:space="preserve"> (1 218 pracovních úrazů na 100 tis. pojištěnců), dále s odstupem odvětví Těžba a dobývání (980) a Zásobování vodou, činnosti související s odpady a sanacemi (959) a teprve poté následuje Zpracovatelský průmysl (736). Průměrně na 100 tis. nemocensky pojištěných připadalo 474 pracovních úrazů s pracovní neschopností delší než 3 dny. Nejméně rizikovými se jeví odvětví Peněžnictví a pojišťovnictví s 32 a Informační a komunikační činnosti s</w:t>
      </w:r>
      <w:r w:rsidR="003E64F4">
        <w:rPr>
          <w:rFonts w:cs="Arial"/>
          <w:bCs/>
          <w:color w:val="000000"/>
          <w:szCs w:val="20"/>
        </w:rPr>
        <w:t> </w:t>
      </w:r>
      <w:r w:rsidRPr="005C064F">
        <w:rPr>
          <w:rFonts w:cs="Arial"/>
          <w:bCs/>
          <w:color w:val="000000"/>
          <w:szCs w:val="20"/>
        </w:rPr>
        <w:t>39</w:t>
      </w:r>
      <w:r w:rsidR="003E64F4">
        <w:rPr>
          <w:rFonts w:cs="Arial"/>
          <w:bCs/>
          <w:color w:val="000000"/>
          <w:szCs w:val="20"/>
        </w:rPr>
        <w:t> </w:t>
      </w:r>
      <w:r w:rsidRPr="005C064F">
        <w:rPr>
          <w:rFonts w:cs="Arial"/>
          <w:bCs/>
          <w:color w:val="000000"/>
          <w:szCs w:val="20"/>
        </w:rPr>
        <w:t>pracovními úrazy, které si vyžádaly 3denní a delší pracovní neschopnost, v přepočtu na 100 tis. pojištěnců.</w:t>
      </w:r>
    </w:p>
    <w:p w14:paraId="3B334AD6" w14:textId="058AF35C" w:rsidR="004C0781" w:rsidRDefault="004C0781">
      <w:pPr>
        <w:spacing w:after="0" w:line="240" w:lineRule="auto"/>
        <w:rPr>
          <w:rFonts w:cs="Arial"/>
          <w:b/>
        </w:rPr>
      </w:pPr>
      <w:r>
        <w:rPr>
          <w:rFonts w:cs="Arial"/>
          <w:b/>
        </w:rPr>
        <w:br w:type="page"/>
      </w:r>
    </w:p>
    <w:p w14:paraId="074197F7" w14:textId="36BFCAF4" w:rsidR="00951947" w:rsidRDefault="00BF4256" w:rsidP="00951947">
      <w:pPr>
        <w:spacing w:after="0"/>
        <w:jc w:val="both"/>
        <w:rPr>
          <w:rFonts w:cs="Arial"/>
          <w:b/>
        </w:rPr>
      </w:pPr>
      <w:r w:rsidRPr="00D92E20">
        <w:rPr>
          <w:rFonts w:cs="Arial"/>
          <w:b/>
        </w:rPr>
        <w:lastRenderedPageBreak/>
        <w:t xml:space="preserve">Graf 5.1: Pracovní úrazy s pracovní neschopností delší než 3 dny na 100 tis. pojištěnců podle pohlaví, </w:t>
      </w:r>
      <w:r w:rsidR="009F34CD" w:rsidRPr="0050059C">
        <w:rPr>
          <w:b/>
          <w:spacing w:val="-2"/>
        </w:rPr>
        <w:t>1. pol. 201</w:t>
      </w:r>
      <w:r w:rsidR="009F34CD">
        <w:rPr>
          <w:b/>
          <w:spacing w:val="-2"/>
        </w:rPr>
        <w:t>2</w:t>
      </w:r>
      <w:r w:rsidR="009F34CD" w:rsidRPr="0050059C">
        <w:rPr>
          <w:b/>
          <w:spacing w:val="-2"/>
        </w:rPr>
        <w:t xml:space="preserve"> až 1. pol. 202</w:t>
      </w:r>
      <w:r w:rsidR="009F34CD">
        <w:rPr>
          <w:b/>
          <w:spacing w:val="-2"/>
        </w:rPr>
        <w:t>2</w:t>
      </w:r>
    </w:p>
    <w:p w14:paraId="34787F9B" w14:textId="2A4EA291" w:rsidR="00F20CF3" w:rsidRPr="00D92E20" w:rsidRDefault="00012105" w:rsidP="00951947">
      <w:pPr>
        <w:spacing w:after="0"/>
        <w:jc w:val="both"/>
        <w:rPr>
          <w:rFonts w:cs="Arial"/>
          <w:b/>
        </w:rPr>
      </w:pPr>
      <w:r>
        <w:rPr>
          <w:noProof/>
        </w:rPr>
        <w:drawing>
          <wp:inline distT="0" distB="0" distL="0" distR="0" wp14:anchorId="25BF6E4B" wp14:editId="586BAA49">
            <wp:extent cx="6124575" cy="2876550"/>
            <wp:effectExtent l="0" t="0" r="9525" b="0"/>
            <wp:docPr id="48" name="Graf 48"/>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r w:rsidR="00F20CF3" w:rsidRPr="00D92E20">
        <w:rPr>
          <w:rFonts w:cs="Arial"/>
          <w:b/>
        </w:rPr>
        <w:t xml:space="preserve"> </w:t>
      </w:r>
    </w:p>
    <w:p w14:paraId="0DC43427" w14:textId="77777777" w:rsidR="00BF4256" w:rsidRPr="00D92E20" w:rsidRDefault="00BF4256" w:rsidP="00BF4256">
      <w:pPr>
        <w:spacing w:after="120"/>
        <w:jc w:val="both"/>
        <w:rPr>
          <w:sz w:val="16"/>
        </w:rPr>
      </w:pPr>
      <w:r w:rsidRPr="00D92E20">
        <w:rPr>
          <w:sz w:val="16"/>
        </w:rPr>
        <w:t>Zdroj: ČSÚ</w:t>
      </w:r>
    </w:p>
    <w:p w14:paraId="7F540C79" w14:textId="6BEE76C6" w:rsidR="003044AF" w:rsidRDefault="006F40AA" w:rsidP="003044AF">
      <w:pPr>
        <w:spacing w:after="0"/>
        <w:jc w:val="both"/>
        <w:rPr>
          <w:b/>
        </w:rPr>
      </w:pPr>
      <w:r w:rsidRPr="00D92E20">
        <w:rPr>
          <w:b/>
        </w:rPr>
        <w:t xml:space="preserve">Graf 5.2: Pracovní úrazy s pracovní neschopností delší než 3 dny na 100 tis. pojištěnců podle odvětví (sekce CZ-NACE), </w:t>
      </w:r>
      <w:r w:rsidR="005C064F">
        <w:rPr>
          <w:b/>
        </w:rPr>
        <w:t>1. pol. 2022</w:t>
      </w:r>
    </w:p>
    <w:p w14:paraId="065C76EE" w14:textId="7880381B" w:rsidR="006F40AA" w:rsidRPr="00D92E20" w:rsidRDefault="005C064F" w:rsidP="003044AF">
      <w:pPr>
        <w:spacing w:after="0"/>
        <w:jc w:val="both"/>
        <w:rPr>
          <w:b/>
        </w:rPr>
      </w:pPr>
      <w:r>
        <w:rPr>
          <w:noProof/>
        </w:rPr>
        <w:drawing>
          <wp:inline distT="0" distB="0" distL="0" distR="0" wp14:anchorId="69F54F1B" wp14:editId="4BBA0961">
            <wp:extent cx="6120130" cy="4138295"/>
            <wp:effectExtent l="0" t="0" r="13970" b="14605"/>
            <wp:docPr id="49" name="Graf 49"/>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14:paraId="244B44C8" w14:textId="77777777" w:rsidR="006F40AA" w:rsidRPr="00D92E20" w:rsidRDefault="006F40AA" w:rsidP="006F40AA">
      <w:pPr>
        <w:spacing w:after="120"/>
        <w:jc w:val="both"/>
        <w:rPr>
          <w:sz w:val="16"/>
        </w:rPr>
      </w:pPr>
      <w:r w:rsidRPr="00D92E20">
        <w:rPr>
          <w:sz w:val="16"/>
        </w:rPr>
        <w:t>Zdroj: ČSÚ</w:t>
      </w:r>
    </w:p>
    <w:p w14:paraId="769A6899" w14:textId="594135E7" w:rsidR="006F40AA" w:rsidRPr="00A81C2F" w:rsidRDefault="006F40AA" w:rsidP="00000A90">
      <w:pPr>
        <w:spacing w:before="120" w:after="120"/>
        <w:jc w:val="both"/>
      </w:pPr>
      <w:r w:rsidRPr="005C064F">
        <w:t xml:space="preserve">Z hlediska </w:t>
      </w:r>
      <w:r w:rsidRPr="005C064F">
        <w:rPr>
          <w:b/>
        </w:rPr>
        <w:t>územního členění</w:t>
      </w:r>
      <w:r w:rsidRPr="005C064F">
        <w:t xml:space="preserve"> bylo v</w:t>
      </w:r>
      <w:r w:rsidR="00A81C2F" w:rsidRPr="005C064F">
        <w:t> 1. pol. 202</w:t>
      </w:r>
      <w:r w:rsidR="005C064F" w:rsidRPr="005C064F">
        <w:t>2</w:t>
      </w:r>
      <w:r w:rsidRPr="005C064F">
        <w:t xml:space="preserve"> nejvíce případů pracovních úrazů s pracovní neschopností delší než 3 kalendářní dny na 100 tis. nemocensky pojištěných osob hlášeno v kraji Vysočina (</w:t>
      </w:r>
      <w:r w:rsidR="005C064F" w:rsidRPr="005C064F">
        <w:t>688</w:t>
      </w:r>
      <w:r w:rsidRPr="005C064F">
        <w:t xml:space="preserve">), </w:t>
      </w:r>
      <w:r w:rsidR="00D60D93">
        <w:t xml:space="preserve">Plzeňském (662), </w:t>
      </w:r>
      <w:r w:rsidR="00EB5555" w:rsidRPr="005C064F">
        <w:t>Jihočeském (</w:t>
      </w:r>
      <w:r w:rsidR="005C064F" w:rsidRPr="005C064F">
        <w:t>660</w:t>
      </w:r>
      <w:r w:rsidR="00EB5555" w:rsidRPr="005C064F">
        <w:t xml:space="preserve">) a </w:t>
      </w:r>
      <w:r w:rsidR="00025240">
        <w:t>Karlovarském</w:t>
      </w:r>
      <w:r w:rsidR="00EB5555" w:rsidRPr="005C064F">
        <w:t xml:space="preserve"> kraji (</w:t>
      </w:r>
      <w:r w:rsidR="00A81C2F" w:rsidRPr="005C064F">
        <w:t>6</w:t>
      </w:r>
      <w:r w:rsidR="00025240">
        <w:t>36</w:t>
      </w:r>
      <w:r w:rsidR="00EB5555" w:rsidRPr="005C064F">
        <w:t>)</w:t>
      </w:r>
      <w:r w:rsidRPr="005C064F">
        <w:t xml:space="preserve">. Nejméně neschopností pak bylo </w:t>
      </w:r>
      <w:r w:rsidR="00297326" w:rsidRPr="005C064F">
        <w:t>evidováno</w:t>
      </w:r>
      <w:r w:rsidRPr="005C064F">
        <w:t xml:space="preserve"> v Hlavním městě Praze, a</w:t>
      </w:r>
      <w:r w:rsidR="00A81C2F" w:rsidRPr="005C064F">
        <w:t> </w:t>
      </w:r>
      <w:r w:rsidRPr="005C064F">
        <w:t xml:space="preserve">sice </w:t>
      </w:r>
      <w:r w:rsidR="00A81C2F" w:rsidRPr="005C064F">
        <w:t>28</w:t>
      </w:r>
      <w:r w:rsidR="005C064F" w:rsidRPr="005C064F">
        <w:t>3</w:t>
      </w:r>
      <w:r w:rsidR="00EB5555" w:rsidRPr="005C064F">
        <w:t xml:space="preserve"> případů, což je 2,</w:t>
      </w:r>
      <w:r w:rsidR="005C064F" w:rsidRPr="005C064F">
        <w:t>4</w:t>
      </w:r>
      <w:r w:rsidRPr="005C064F">
        <w:t xml:space="preserve">krát méně než na Vysočině. Klíčovým faktorem ovlivňujícím tuto skutečnost je </w:t>
      </w:r>
      <w:r w:rsidRPr="005C064F">
        <w:rPr>
          <w:b/>
        </w:rPr>
        <w:t>odvětvová struktura</w:t>
      </w:r>
      <w:r w:rsidRPr="005C064F">
        <w:t xml:space="preserve"> v jednotlivých krajích. Zatímco v Praze je vysoký podíl </w:t>
      </w:r>
      <w:r w:rsidRPr="005C064F">
        <w:lastRenderedPageBreak/>
        <w:t>zaměstnaných pracujících ve</w:t>
      </w:r>
      <w:r w:rsidR="00CD63E8" w:rsidRPr="005C064F">
        <w:t> </w:t>
      </w:r>
      <w:r w:rsidRPr="005C064F">
        <w:t xml:space="preserve">službách, nejen na Vysočině, ale i ve zbylých krajích je tento podíl výrazně nižší. Pod </w:t>
      </w:r>
      <w:r w:rsidR="00EB5555" w:rsidRPr="005C064F">
        <w:t>hranicí republikového průměru (</w:t>
      </w:r>
      <w:r w:rsidR="00A81C2F" w:rsidRPr="005C064F">
        <w:t>47</w:t>
      </w:r>
      <w:r w:rsidR="005C064F" w:rsidRPr="005C064F">
        <w:t>4</w:t>
      </w:r>
      <w:r w:rsidRPr="005C064F">
        <w:t xml:space="preserve"> úrazů na 100 tis. nemocensky pojištěných osob) se nachází kraje s největšími českými městy. Kromě již zmiňované Prahy také Jihomoravský kraj (</w:t>
      </w:r>
      <w:r w:rsidR="00A81C2F" w:rsidRPr="005C064F">
        <w:t>4</w:t>
      </w:r>
      <w:r w:rsidR="005C064F" w:rsidRPr="005C064F">
        <w:t>24</w:t>
      </w:r>
      <w:r w:rsidRPr="005C064F">
        <w:t xml:space="preserve"> úrazů)</w:t>
      </w:r>
      <w:r w:rsidR="00941EC8">
        <w:t xml:space="preserve"> a těsně i</w:t>
      </w:r>
      <w:r w:rsidR="003E64F4">
        <w:t> </w:t>
      </w:r>
      <w:r w:rsidR="00941EC8">
        <w:t>Středočeský kraj</w:t>
      </w:r>
      <w:r w:rsidRPr="005C064F">
        <w:t xml:space="preserve">. Na Vysočině a v Jihočeském kraji je z celé republiky nejvyšší podíl pojištěnců v sekci Zemědělství, lesnictví, rybářství, které je z hlediska úrazovosti </w:t>
      </w:r>
      <w:r w:rsidR="00052498" w:rsidRPr="005C064F">
        <w:t xml:space="preserve">dle statistik </w:t>
      </w:r>
      <w:r w:rsidRPr="005C064F">
        <w:t xml:space="preserve">nejrizikovější. Na Vysočině představoval podíl pojištěnců v tomto odvětví 6 %, v Jihočeském kraji necelých 5 %. </w:t>
      </w:r>
      <w:r w:rsidR="00E0329C">
        <w:t>Hlavní město Praha vykazovalo 0,6% podíl a c</w:t>
      </w:r>
      <w:r w:rsidR="00632857">
        <w:t>elorepubliková hodnota</w:t>
      </w:r>
      <w:r w:rsidRPr="005C064F">
        <w:t xml:space="preserve"> činil</w:t>
      </w:r>
      <w:r w:rsidR="00632857">
        <w:t>a</w:t>
      </w:r>
      <w:r w:rsidRPr="005C064F">
        <w:t xml:space="preserve"> 2 %.</w:t>
      </w:r>
    </w:p>
    <w:p w14:paraId="7E75DF49" w14:textId="57A1A4C3" w:rsidR="00000A90" w:rsidRPr="00D92E20" w:rsidRDefault="006F40AA" w:rsidP="004E28A0">
      <w:pPr>
        <w:spacing w:before="120" w:after="120"/>
        <w:jc w:val="both"/>
        <w:rPr>
          <w:b/>
        </w:rPr>
      </w:pPr>
      <w:r w:rsidRPr="005C064F">
        <w:t xml:space="preserve">Rozdíly výskytu pracovních úrazů podle územního členění jsou tedy do značné míry ovlivněny strukturou zaměstnanosti, charakterem převažující ekonomické činnosti a mírou nezaměstnanosti v daném regionu. </w:t>
      </w:r>
      <w:r w:rsidR="00A81C2F" w:rsidRPr="005C064F">
        <w:t>Na</w:t>
      </w:r>
      <w:r w:rsidR="00CD63E8" w:rsidRPr="005C064F">
        <w:t> </w:t>
      </w:r>
      <w:r w:rsidR="00A81C2F" w:rsidRPr="005C064F">
        <w:t>tomto místě j</w:t>
      </w:r>
      <w:r w:rsidRPr="005C064F">
        <w:t xml:space="preserve">e </w:t>
      </w:r>
      <w:r w:rsidR="00A81C2F" w:rsidRPr="005C064F">
        <w:t xml:space="preserve">opět </w:t>
      </w:r>
      <w:r w:rsidRPr="005C064F">
        <w:t>nutné připomenout i metodiku zpracování dat, kdy kraj</w:t>
      </w:r>
      <w:r w:rsidR="00EB5555" w:rsidRPr="005C064F">
        <w:t>ská příslušnost</w:t>
      </w:r>
      <w:r w:rsidRPr="005C064F">
        <w:t xml:space="preserve"> vychází z údaje o</w:t>
      </w:r>
      <w:r w:rsidR="00A81C2F" w:rsidRPr="005C064F">
        <w:t> </w:t>
      </w:r>
      <w:r w:rsidRPr="005C064F">
        <w:t>sídle útvaru, který vede evidenci mezd zaměstnavateli osoby</w:t>
      </w:r>
      <w:r w:rsidR="00297326" w:rsidRPr="005C064F">
        <w:t>, která je</w:t>
      </w:r>
      <w:r w:rsidRPr="005C064F">
        <w:t xml:space="preserve"> v pracovní neschopnosti.</w:t>
      </w:r>
    </w:p>
    <w:p w14:paraId="0B03F30D" w14:textId="0AE90E49" w:rsidR="00EB5555" w:rsidRPr="00542531" w:rsidRDefault="00EB5555" w:rsidP="00000A90">
      <w:pPr>
        <w:spacing w:after="0"/>
        <w:jc w:val="both"/>
        <w:rPr>
          <w:b/>
        </w:rPr>
      </w:pPr>
      <w:r w:rsidRPr="00025240">
        <w:rPr>
          <w:b/>
        </w:rPr>
        <w:t xml:space="preserve">Graf 5.3: Pracovní úrazy s pracovní neschopností delší než 3 dny na 100 tis. pojištěnců podle krajů ČR, </w:t>
      </w:r>
      <w:r w:rsidR="00542531" w:rsidRPr="00025240">
        <w:rPr>
          <w:b/>
        </w:rPr>
        <w:t>1. pol. 202</w:t>
      </w:r>
      <w:r w:rsidR="005C064F" w:rsidRPr="00025240">
        <w:rPr>
          <w:b/>
        </w:rPr>
        <w:t>1 a 2022</w:t>
      </w:r>
    </w:p>
    <w:p w14:paraId="318FF332" w14:textId="57D02A8A" w:rsidR="00EB5555" w:rsidRPr="00D92E20" w:rsidRDefault="00B07661" w:rsidP="006F40AA">
      <w:pPr>
        <w:jc w:val="both"/>
        <w:rPr>
          <w:b/>
        </w:rPr>
      </w:pPr>
      <w:r>
        <w:rPr>
          <w:noProof/>
        </w:rPr>
        <w:drawing>
          <wp:inline distT="0" distB="0" distL="0" distR="0" wp14:anchorId="67FCDF06" wp14:editId="2987FD9E">
            <wp:extent cx="6115050" cy="2609850"/>
            <wp:effectExtent l="0" t="0" r="0" b="0"/>
            <wp:docPr id="60" name="Graf 60"/>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14:paraId="7A7184DA" w14:textId="1774CE06" w:rsidR="000B3C40" w:rsidRDefault="000B3C40" w:rsidP="000B3C40">
      <w:pPr>
        <w:spacing w:after="120"/>
        <w:jc w:val="both"/>
        <w:rPr>
          <w:sz w:val="16"/>
        </w:rPr>
      </w:pPr>
      <w:r w:rsidRPr="00D92E20">
        <w:rPr>
          <w:sz w:val="16"/>
        </w:rPr>
        <w:t>Zdroj: ČSÚ</w:t>
      </w:r>
    </w:p>
    <w:p w14:paraId="7002882B" w14:textId="6465884B" w:rsidR="006F40AA" w:rsidRPr="00D92E20" w:rsidRDefault="006F40AA" w:rsidP="00000A90">
      <w:pPr>
        <w:spacing w:after="120"/>
        <w:jc w:val="both"/>
      </w:pPr>
      <w:r w:rsidRPr="005C064F">
        <w:t xml:space="preserve">Z pohledu </w:t>
      </w:r>
      <w:r w:rsidRPr="005C064F">
        <w:rPr>
          <w:b/>
        </w:rPr>
        <w:t>velikosti podniku</w:t>
      </w:r>
      <w:r w:rsidRPr="005C064F">
        <w:t xml:space="preserve"> se v</w:t>
      </w:r>
      <w:r w:rsidR="00A81C2F" w:rsidRPr="005C064F">
        <w:t> 1. pol. 202</w:t>
      </w:r>
      <w:r w:rsidR="005C064F" w:rsidRPr="005C064F">
        <w:t>2</w:t>
      </w:r>
      <w:r w:rsidRPr="005C064F">
        <w:t xml:space="preserve"> nejvíce pracovních úrazů s pracovní neschopností delší než 3 dny událo v podnicích majících 100–249 zaměstnanců (</w:t>
      </w:r>
      <w:r w:rsidR="00A81C2F" w:rsidRPr="005C064F">
        <w:t>644</w:t>
      </w:r>
      <w:r w:rsidRPr="005C064F">
        <w:t xml:space="preserve"> případů v přepočtu na 100 tis. pojištěnců). Dále </w:t>
      </w:r>
      <w:r w:rsidR="00B67A38" w:rsidRPr="005C064F">
        <w:t>následovali</w:t>
      </w:r>
      <w:r w:rsidRPr="005C064F">
        <w:t xml:space="preserve"> zaměstnavatelé s</w:t>
      </w:r>
      <w:r w:rsidR="002D3899" w:rsidRPr="005C064F">
        <w:t xml:space="preserve"> </w:t>
      </w:r>
      <w:r w:rsidRPr="005C064F">
        <w:t xml:space="preserve">50–99 zaměstnanci, kteří vykázali </w:t>
      </w:r>
      <w:r w:rsidR="005C064F" w:rsidRPr="005C064F">
        <w:t>5</w:t>
      </w:r>
      <w:r w:rsidR="00E0329C">
        <w:t>92</w:t>
      </w:r>
      <w:r w:rsidRPr="005C064F">
        <w:t xml:space="preserve"> pracovních úrazů</w:t>
      </w:r>
      <w:r w:rsidR="005C496F" w:rsidRPr="005C064F">
        <w:t xml:space="preserve"> na 100 tis. pojištěnců. Pro srovnání OSVČ zaznamenaly </w:t>
      </w:r>
      <w:r w:rsidR="00A81C2F" w:rsidRPr="005C064F">
        <w:t>14</w:t>
      </w:r>
      <w:r w:rsidR="005C064F" w:rsidRPr="005C064F">
        <w:t>1</w:t>
      </w:r>
      <w:r w:rsidRPr="005C064F">
        <w:t xml:space="preserve"> </w:t>
      </w:r>
      <w:r w:rsidR="005C496F" w:rsidRPr="005C064F">
        <w:t xml:space="preserve">takovýchto </w:t>
      </w:r>
      <w:r w:rsidRPr="005C064F">
        <w:t>případů</w:t>
      </w:r>
      <w:r w:rsidR="00106B95">
        <w:t xml:space="preserve"> </w:t>
      </w:r>
      <w:r w:rsidR="00106B95" w:rsidRPr="005C064F">
        <w:t>na 100 tis. pojištěnců</w:t>
      </w:r>
      <w:r w:rsidRPr="005C064F">
        <w:t>.</w:t>
      </w:r>
    </w:p>
    <w:p w14:paraId="08B6C192" w14:textId="77777777" w:rsidR="00033735" w:rsidRPr="00D92E20" w:rsidRDefault="00033735">
      <w:pPr>
        <w:spacing w:after="0" w:line="240" w:lineRule="auto"/>
        <w:rPr>
          <w:b/>
        </w:rPr>
      </w:pPr>
      <w:r w:rsidRPr="00D92E20">
        <w:rPr>
          <w:b/>
        </w:rPr>
        <w:br w:type="page"/>
      </w:r>
    </w:p>
    <w:p w14:paraId="4BE1BBEA" w14:textId="77777777" w:rsidR="00B608FE" w:rsidRPr="00632857" w:rsidRDefault="00B608FE" w:rsidP="00277304">
      <w:pPr>
        <w:pStyle w:val="Nadpis3"/>
        <w:numPr>
          <w:ilvl w:val="1"/>
          <w:numId w:val="5"/>
        </w:numPr>
        <w:spacing w:after="100"/>
        <w:ind w:left="284" w:hanging="403"/>
      </w:pPr>
      <w:bookmarkStart w:id="29" w:name="_Toc54262807"/>
      <w:bookmarkStart w:id="30" w:name="_Toc117774435"/>
      <w:r w:rsidRPr="00632857">
        <w:lastRenderedPageBreak/>
        <w:t>Závěrečné shrnutí</w:t>
      </w:r>
      <w:bookmarkEnd w:id="29"/>
      <w:bookmarkEnd w:id="30"/>
    </w:p>
    <w:p w14:paraId="4C4E5F78" w14:textId="29CCEA20" w:rsidR="00483E6B" w:rsidRPr="00CF1C7A" w:rsidRDefault="0087102D" w:rsidP="00107D20">
      <w:pPr>
        <w:pStyle w:val="Odstavecseseznamem"/>
        <w:numPr>
          <w:ilvl w:val="0"/>
          <w:numId w:val="23"/>
        </w:numPr>
        <w:spacing w:after="120"/>
        <w:ind w:left="283" w:hanging="357"/>
        <w:contextualSpacing w:val="0"/>
        <w:jc w:val="both"/>
      </w:pPr>
      <w:r w:rsidRPr="00CF1C7A">
        <w:t>V</w:t>
      </w:r>
      <w:r w:rsidR="002858F4" w:rsidRPr="00CF1C7A">
        <w:t> 1. pol. 202</w:t>
      </w:r>
      <w:r w:rsidR="00CF1C7A" w:rsidRPr="00CF1C7A">
        <w:t>2</w:t>
      </w:r>
      <w:r w:rsidRPr="00CF1C7A">
        <w:t xml:space="preserve"> </w:t>
      </w:r>
      <w:r w:rsidR="00C0303E" w:rsidRPr="00CF1C7A">
        <w:t>bylo v Česku</w:t>
      </w:r>
      <w:r w:rsidRPr="00CF1C7A">
        <w:rPr>
          <w:b/>
        </w:rPr>
        <w:t xml:space="preserve"> </w:t>
      </w:r>
      <w:r w:rsidR="000562AF" w:rsidRPr="00CF1C7A">
        <w:rPr>
          <w:b/>
        </w:rPr>
        <w:t xml:space="preserve">nemocensky pojištěno </w:t>
      </w:r>
      <w:r w:rsidR="000562AF" w:rsidRPr="00CF1C7A">
        <w:t>celkem</w:t>
      </w:r>
      <w:r w:rsidR="000562AF" w:rsidRPr="00CF1C7A">
        <w:rPr>
          <w:b/>
        </w:rPr>
        <w:t xml:space="preserve"> </w:t>
      </w:r>
      <w:r w:rsidR="00CF1C7A" w:rsidRPr="00CF1C7A">
        <w:rPr>
          <w:b/>
        </w:rPr>
        <w:t>4 720</w:t>
      </w:r>
      <w:r w:rsidR="00C0303E" w:rsidRPr="00CF1C7A">
        <w:rPr>
          <w:b/>
        </w:rPr>
        <w:t xml:space="preserve"> tis.</w:t>
      </w:r>
      <w:r w:rsidR="00C0303E" w:rsidRPr="00CF1C7A">
        <w:t xml:space="preserve"> </w:t>
      </w:r>
      <w:r w:rsidRPr="00CF1C7A">
        <w:rPr>
          <w:b/>
        </w:rPr>
        <w:t>osob</w:t>
      </w:r>
      <w:r w:rsidRPr="00CF1C7A">
        <w:t xml:space="preserve">, tedy </w:t>
      </w:r>
      <w:r w:rsidR="002858F4" w:rsidRPr="00CF1C7A">
        <w:t>o </w:t>
      </w:r>
      <w:r w:rsidR="00CF1C7A" w:rsidRPr="00CF1C7A">
        <w:t>3</w:t>
      </w:r>
      <w:r w:rsidR="00E85509">
        <w:t>1,3 tis. více</w:t>
      </w:r>
      <w:r w:rsidRPr="00CF1C7A">
        <w:rPr>
          <w:szCs w:val="20"/>
        </w:rPr>
        <w:t xml:space="preserve"> než před rokem.</w:t>
      </w:r>
      <w:r w:rsidR="00C0303E" w:rsidRPr="00CF1C7A">
        <w:rPr>
          <w:szCs w:val="20"/>
        </w:rPr>
        <w:t xml:space="preserve"> </w:t>
      </w:r>
      <w:r w:rsidR="000562AF" w:rsidRPr="00CF1C7A">
        <w:rPr>
          <w:szCs w:val="20"/>
        </w:rPr>
        <w:t>Meziročně n</w:t>
      </w:r>
      <w:r w:rsidR="00C0303E" w:rsidRPr="00CF1C7A">
        <w:rPr>
          <w:szCs w:val="20"/>
        </w:rPr>
        <w:t xml:space="preserve">ejvýrazněji vzrostl počet pojištěných </w:t>
      </w:r>
      <w:r w:rsidR="000562AF" w:rsidRPr="00CF1C7A">
        <w:rPr>
          <w:szCs w:val="20"/>
        </w:rPr>
        <w:t xml:space="preserve">zaměstnanců </w:t>
      </w:r>
      <w:r w:rsidR="00C0303E" w:rsidRPr="00CF1C7A">
        <w:rPr>
          <w:szCs w:val="20"/>
        </w:rPr>
        <w:t xml:space="preserve">v oblasti </w:t>
      </w:r>
      <w:r w:rsidR="00CF1C7A" w:rsidRPr="00CF1C7A">
        <w:rPr>
          <w:szCs w:val="20"/>
        </w:rPr>
        <w:t>Vzdělávání</w:t>
      </w:r>
      <w:r w:rsidR="00C0303E" w:rsidRPr="00CF1C7A">
        <w:rPr>
          <w:szCs w:val="20"/>
        </w:rPr>
        <w:t xml:space="preserve"> (</w:t>
      </w:r>
      <w:r w:rsidR="002858F4" w:rsidRPr="00CF1C7A">
        <w:rPr>
          <w:szCs w:val="20"/>
        </w:rPr>
        <w:t>o</w:t>
      </w:r>
      <w:r w:rsidR="00CF1C7A">
        <w:rPr>
          <w:szCs w:val="20"/>
        </w:rPr>
        <w:t> </w:t>
      </w:r>
      <w:r w:rsidR="002858F4" w:rsidRPr="00CF1C7A">
        <w:rPr>
          <w:szCs w:val="20"/>
        </w:rPr>
        <w:t>1</w:t>
      </w:r>
      <w:r w:rsidR="00CF1C7A" w:rsidRPr="00CF1C7A">
        <w:rPr>
          <w:szCs w:val="20"/>
        </w:rPr>
        <w:t>3</w:t>
      </w:r>
      <w:r w:rsidR="002858F4" w:rsidRPr="00CF1C7A">
        <w:rPr>
          <w:szCs w:val="20"/>
        </w:rPr>
        <w:t xml:space="preserve"> tis.</w:t>
      </w:r>
      <w:r w:rsidR="00C42F7D">
        <w:rPr>
          <w:szCs w:val="20"/>
        </w:rPr>
        <w:t>;</w:t>
      </w:r>
      <w:r w:rsidR="002858F4" w:rsidRPr="00CF1C7A">
        <w:rPr>
          <w:szCs w:val="20"/>
        </w:rPr>
        <w:t xml:space="preserve"> </w:t>
      </w:r>
      <w:r w:rsidR="00C42F7D">
        <w:rPr>
          <w:szCs w:val="20"/>
        </w:rPr>
        <w:t>tj</w:t>
      </w:r>
      <w:r w:rsidR="002858F4" w:rsidRPr="00CF1C7A">
        <w:rPr>
          <w:szCs w:val="20"/>
        </w:rPr>
        <w:t>.</w:t>
      </w:r>
      <w:r w:rsidR="003E64F4">
        <w:rPr>
          <w:szCs w:val="20"/>
        </w:rPr>
        <w:t> </w:t>
      </w:r>
      <w:r w:rsidR="00CF1C7A" w:rsidRPr="00CF1C7A">
        <w:rPr>
          <w:szCs w:val="20"/>
        </w:rPr>
        <w:t>3</w:t>
      </w:r>
      <w:r w:rsidR="00C42F7D">
        <w:rPr>
          <w:szCs w:val="20"/>
        </w:rPr>
        <w:t> </w:t>
      </w:r>
      <w:r w:rsidR="00C0303E" w:rsidRPr="00CF1C7A">
        <w:rPr>
          <w:szCs w:val="20"/>
        </w:rPr>
        <w:t>%)</w:t>
      </w:r>
      <w:r w:rsidR="00CF1C7A" w:rsidRPr="00CF1C7A">
        <w:rPr>
          <w:szCs w:val="20"/>
        </w:rPr>
        <w:t xml:space="preserve"> a procentuálně v</w:t>
      </w:r>
      <w:r w:rsidR="005962BB">
        <w:rPr>
          <w:szCs w:val="20"/>
        </w:rPr>
        <w:t> sekci ICT</w:t>
      </w:r>
      <w:r w:rsidR="00CF1C7A" w:rsidRPr="00CF1C7A">
        <w:rPr>
          <w:szCs w:val="20"/>
        </w:rPr>
        <w:t xml:space="preserve"> činnosti, kde s</w:t>
      </w:r>
      <w:r w:rsidR="00372CD6">
        <w:rPr>
          <w:szCs w:val="20"/>
        </w:rPr>
        <w:t>e zvýšil počet pojištěnců o 4 %;</w:t>
      </w:r>
      <w:r w:rsidR="005962BB">
        <w:rPr>
          <w:szCs w:val="20"/>
        </w:rPr>
        <w:t xml:space="preserve"> resp. o 6 tis.</w:t>
      </w:r>
    </w:p>
    <w:p w14:paraId="675C5A86" w14:textId="6C392717" w:rsidR="00CF1C7A" w:rsidRPr="00CF1C7A" w:rsidRDefault="005962BB" w:rsidP="000A3F99">
      <w:pPr>
        <w:pStyle w:val="Odstavecseseznamem"/>
        <w:numPr>
          <w:ilvl w:val="0"/>
          <w:numId w:val="23"/>
        </w:numPr>
        <w:spacing w:after="120"/>
        <w:ind w:left="283" w:hanging="357"/>
        <w:contextualSpacing w:val="0"/>
        <w:jc w:val="both"/>
      </w:pPr>
      <w:r>
        <w:rPr>
          <w:rFonts w:cs="Arial"/>
          <w:bCs/>
          <w:color w:val="000000"/>
          <w:szCs w:val="20"/>
        </w:rPr>
        <w:t>P</w:t>
      </w:r>
      <w:r w:rsidR="00CF1C7A" w:rsidRPr="00CF1C7A">
        <w:rPr>
          <w:rFonts w:cs="Arial"/>
          <w:bCs/>
          <w:color w:val="000000"/>
          <w:szCs w:val="20"/>
        </w:rPr>
        <w:t xml:space="preserve">oprvé v desetileté historii bylo mezi pojištěnci více žen (50,2 %) než mužů (49,8 %). V 1. pol. 2022 </w:t>
      </w:r>
      <w:r>
        <w:rPr>
          <w:rFonts w:cs="Arial"/>
          <w:bCs/>
          <w:color w:val="000000"/>
          <w:szCs w:val="20"/>
        </w:rPr>
        <w:t xml:space="preserve">se jednalo o </w:t>
      </w:r>
      <w:r w:rsidR="00CF1C7A" w:rsidRPr="00CF1C7A">
        <w:rPr>
          <w:rFonts w:cs="Arial"/>
          <w:bCs/>
          <w:color w:val="000000"/>
          <w:szCs w:val="20"/>
        </w:rPr>
        <w:t>2 369 tis. žen a 2 351 tis. mužů.</w:t>
      </w:r>
      <w:r w:rsidR="00CD26D6">
        <w:rPr>
          <w:rFonts w:cs="Arial"/>
          <w:bCs/>
          <w:color w:val="000000"/>
          <w:szCs w:val="20"/>
        </w:rPr>
        <w:t xml:space="preserve"> Ve</w:t>
      </w:r>
      <w:r>
        <w:rPr>
          <w:rFonts w:cs="Arial"/>
          <w:bCs/>
          <w:color w:val="000000"/>
          <w:szCs w:val="20"/>
        </w:rPr>
        <w:t> V</w:t>
      </w:r>
      <w:r w:rsidR="00CD26D6">
        <w:rPr>
          <w:rFonts w:cs="Arial"/>
          <w:bCs/>
          <w:color w:val="000000"/>
          <w:szCs w:val="20"/>
        </w:rPr>
        <w:t xml:space="preserve">zdělávání a ve </w:t>
      </w:r>
      <w:r>
        <w:rPr>
          <w:rFonts w:cs="Arial"/>
          <w:bCs/>
          <w:color w:val="000000"/>
          <w:szCs w:val="20"/>
        </w:rPr>
        <w:t>Z</w:t>
      </w:r>
      <w:r w:rsidR="00CD26D6">
        <w:rPr>
          <w:rFonts w:cs="Arial"/>
          <w:bCs/>
          <w:color w:val="000000"/>
          <w:szCs w:val="20"/>
        </w:rPr>
        <w:t xml:space="preserve">dravotní </w:t>
      </w:r>
      <w:r>
        <w:rPr>
          <w:rFonts w:cs="Arial"/>
          <w:bCs/>
          <w:color w:val="000000"/>
          <w:szCs w:val="20"/>
        </w:rPr>
        <w:t xml:space="preserve">a sociální </w:t>
      </w:r>
      <w:r w:rsidR="00CD26D6">
        <w:rPr>
          <w:rFonts w:cs="Arial"/>
          <w:bCs/>
          <w:color w:val="000000"/>
          <w:szCs w:val="20"/>
        </w:rPr>
        <w:t>péči</w:t>
      </w:r>
      <w:r>
        <w:rPr>
          <w:rFonts w:cs="Arial"/>
          <w:bCs/>
          <w:color w:val="000000"/>
          <w:szCs w:val="20"/>
        </w:rPr>
        <w:t xml:space="preserve"> bylo</w:t>
      </w:r>
      <w:r w:rsidR="00CD26D6">
        <w:rPr>
          <w:rFonts w:cs="Arial"/>
          <w:bCs/>
          <w:color w:val="000000"/>
          <w:szCs w:val="20"/>
        </w:rPr>
        <w:t xml:space="preserve"> </w:t>
      </w:r>
      <w:r>
        <w:rPr>
          <w:rFonts w:cs="Arial"/>
          <w:bCs/>
          <w:color w:val="000000"/>
          <w:szCs w:val="20"/>
        </w:rPr>
        <w:t xml:space="preserve">nemocensky </w:t>
      </w:r>
      <w:r w:rsidR="00CD26D6">
        <w:rPr>
          <w:rFonts w:cs="Arial"/>
          <w:bCs/>
          <w:color w:val="000000"/>
          <w:szCs w:val="20"/>
        </w:rPr>
        <w:t>pojištěn</w:t>
      </w:r>
      <w:r>
        <w:rPr>
          <w:rFonts w:cs="Arial"/>
          <w:bCs/>
          <w:color w:val="000000"/>
          <w:szCs w:val="20"/>
        </w:rPr>
        <w:t xml:space="preserve">ých žen o 472 tis. více než mužů a </w:t>
      </w:r>
      <w:r w:rsidR="00CD26D6">
        <w:rPr>
          <w:rFonts w:cs="Arial"/>
          <w:bCs/>
          <w:color w:val="000000"/>
          <w:szCs w:val="20"/>
        </w:rPr>
        <w:t xml:space="preserve">představovaly </w:t>
      </w:r>
      <w:r>
        <w:rPr>
          <w:rFonts w:cs="Arial"/>
          <w:bCs/>
          <w:color w:val="000000"/>
          <w:szCs w:val="20"/>
        </w:rPr>
        <w:t>téměř 80 % ze všech zaměstnanců.</w:t>
      </w:r>
    </w:p>
    <w:p w14:paraId="34DFD1AF" w14:textId="0369A5A3" w:rsidR="00E85509" w:rsidRPr="00550835" w:rsidRDefault="00483E6B" w:rsidP="00E85509">
      <w:pPr>
        <w:pStyle w:val="Odstavecseseznamem"/>
        <w:numPr>
          <w:ilvl w:val="0"/>
          <w:numId w:val="23"/>
        </w:numPr>
        <w:spacing w:after="120"/>
        <w:ind w:left="283" w:hanging="357"/>
        <w:contextualSpacing w:val="0"/>
        <w:jc w:val="both"/>
        <w:rPr>
          <w:i/>
        </w:rPr>
      </w:pPr>
      <w:r w:rsidRPr="00CF1C7A">
        <w:t>V</w:t>
      </w:r>
      <w:r w:rsidR="00560A04" w:rsidRPr="00CF1C7A">
        <w:t xml:space="preserve"> 1. pol. </w:t>
      </w:r>
      <w:r w:rsidR="00BD10B4" w:rsidRPr="00CF1C7A">
        <w:t xml:space="preserve">tohoto </w:t>
      </w:r>
      <w:r w:rsidR="00560A04" w:rsidRPr="00CF1C7A">
        <w:t>roku</w:t>
      </w:r>
      <w:r w:rsidRPr="00CF1C7A">
        <w:t xml:space="preserve"> </w:t>
      </w:r>
      <w:r w:rsidR="00D45F63" w:rsidRPr="00CF1C7A">
        <w:t xml:space="preserve">bylo nahlášeno </w:t>
      </w:r>
      <w:r w:rsidRPr="00CF1C7A">
        <w:t xml:space="preserve">celkem </w:t>
      </w:r>
      <w:r w:rsidR="00CF1C7A" w:rsidRPr="00CF1C7A">
        <w:rPr>
          <w:b/>
        </w:rPr>
        <w:t>2 054</w:t>
      </w:r>
      <w:r w:rsidR="00D45F63" w:rsidRPr="00CF1C7A">
        <w:rPr>
          <w:b/>
        </w:rPr>
        <w:t xml:space="preserve"> tis.</w:t>
      </w:r>
      <w:r w:rsidR="00D45F63" w:rsidRPr="00CF1C7A">
        <w:t xml:space="preserve"> </w:t>
      </w:r>
      <w:r w:rsidR="00D45F63" w:rsidRPr="00CF1C7A">
        <w:rPr>
          <w:b/>
        </w:rPr>
        <w:t>případů dočasné pracovní neschopnosti</w:t>
      </w:r>
      <w:r w:rsidR="00D45F63" w:rsidRPr="00CF1C7A">
        <w:t xml:space="preserve">. Meziročně </w:t>
      </w:r>
      <w:r w:rsidRPr="00CF1C7A">
        <w:t xml:space="preserve">jejich </w:t>
      </w:r>
      <w:r w:rsidR="00D45F63" w:rsidRPr="00CF1C7A">
        <w:t xml:space="preserve">počet vzrostl </w:t>
      </w:r>
      <w:r w:rsidR="00560A04" w:rsidRPr="00CF1C7A">
        <w:t xml:space="preserve">téměř </w:t>
      </w:r>
      <w:r w:rsidR="00D45F63" w:rsidRPr="00CF1C7A">
        <w:t>o </w:t>
      </w:r>
      <w:r w:rsidR="00CF1C7A" w:rsidRPr="00CF1C7A">
        <w:t xml:space="preserve">47 %, </w:t>
      </w:r>
      <w:r w:rsidR="00D45F63" w:rsidRPr="00CF1C7A">
        <w:t>+</w:t>
      </w:r>
      <w:r w:rsidR="00CF1C7A" w:rsidRPr="00CF1C7A">
        <w:t>655 tis</w:t>
      </w:r>
      <w:r w:rsidR="00D45F63" w:rsidRPr="00CF1C7A">
        <w:t>.</w:t>
      </w:r>
      <w:r w:rsidR="00BF0828" w:rsidRPr="00CF1C7A">
        <w:t xml:space="preserve"> </w:t>
      </w:r>
      <w:r w:rsidR="006C18FF">
        <w:t>Částečně je nárůst způsoben z metodických důvodů</w:t>
      </w:r>
      <w:r w:rsidR="00CD26D6">
        <w:t xml:space="preserve">, </w:t>
      </w:r>
      <w:r w:rsidR="00CD26D6" w:rsidRPr="00550835">
        <w:rPr>
          <w:i/>
        </w:rPr>
        <w:t>podrobněji viz str.</w:t>
      </w:r>
      <w:r w:rsidR="005962BB" w:rsidRPr="00550835">
        <w:rPr>
          <w:i/>
        </w:rPr>
        <w:t xml:space="preserve"> </w:t>
      </w:r>
      <w:r w:rsidR="00550835" w:rsidRPr="00550835">
        <w:rPr>
          <w:i/>
        </w:rPr>
        <w:t>18</w:t>
      </w:r>
      <w:r w:rsidR="006C18FF" w:rsidRPr="00550835">
        <w:rPr>
          <w:i/>
        </w:rPr>
        <w:t>.</w:t>
      </w:r>
    </w:p>
    <w:p w14:paraId="1427D3DB" w14:textId="633AFB19" w:rsidR="00CD26D6" w:rsidRDefault="00CD26D6" w:rsidP="00E061D9">
      <w:pPr>
        <w:pStyle w:val="Odstavecseseznamem"/>
        <w:numPr>
          <w:ilvl w:val="0"/>
          <w:numId w:val="23"/>
        </w:numPr>
        <w:spacing w:after="120"/>
        <w:ind w:left="283" w:hanging="357"/>
        <w:contextualSpacing w:val="0"/>
        <w:jc w:val="both"/>
      </w:pPr>
      <w:r>
        <w:t xml:space="preserve">Výrazně </w:t>
      </w:r>
      <w:r w:rsidRPr="00CD26D6">
        <w:rPr>
          <w:b/>
        </w:rPr>
        <w:t>více neschopenek nahlásily ženy</w:t>
      </w:r>
      <w:r>
        <w:t xml:space="preserve">. V 1. pol. 2022 to bylo 1 108 tis., což je o šestinu (162 tis.) </w:t>
      </w:r>
      <w:r w:rsidR="00632857">
        <w:t xml:space="preserve">případů </w:t>
      </w:r>
      <w:r>
        <w:t>více než kolik ve stejném období nahlásili muži (946 tis.)</w:t>
      </w:r>
      <w:r w:rsidR="00632857">
        <w:t>.</w:t>
      </w:r>
      <w:r>
        <w:t xml:space="preserve"> </w:t>
      </w:r>
    </w:p>
    <w:p w14:paraId="41ACBBFE" w14:textId="07DE5688" w:rsidR="00E061D9" w:rsidRDefault="00E85509" w:rsidP="00E061D9">
      <w:pPr>
        <w:pStyle w:val="Odstavecseseznamem"/>
        <w:numPr>
          <w:ilvl w:val="0"/>
          <w:numId w:val="23"/>
        </w:numPr>
        <w:spacing w:after="120"/>
        <w:ind w:left="283" w:hanging="357"/>
        <w:contextualSpacing w:val="0"/>
        <w:jc w:val="both"/>
      </w:pPr>
      <w:r>
        <w:t xml:space="preserve">Srovnáme-li současný stav s obdobím před pandemií (tedy s 1. pol. 2019), počet </w:t>
      </w:r>
      <w:r w:rsidRPr="00E85509">
        <w:rPr>
          <w:b/>
        </w:rPr>
        <w:t>neschopenek</w:t>
      </w:r>
      <w:r>
        <w:t xml:space="preserve"> </w:t>
      </w:r>
      <w:r w:rsidRPr="00E85509">
        <w:rPr>
          <w:b/>
        </w:rPr>
        <w:t>pro nemoc</w:t>
      </w:r>
      <w:r>
        <w:t xml:space="preserve"> se více než </w:t>
      </w:r>
      <w:r w:rsidRPr="00E85509">
        <w:rPr>
          <w:b/>
        </w:rPr>
        <w:t>zdvojnásobil</w:t>
      </w:r>
      <w:r>
        <w:t xml:space="preserve">. </w:t>
      </w:r>
      <w:r w:rsidRPr="00E85509">
        <w:rPr>
          <w:b/>
        </w:rPr>
        <w:t>U mužů</w:t>
      </w:r>
      <w:r>
        <w:t xml:space="preserve"> vzrostl o 125 % (+487 tis.), </w:t>
      </w:r>
      <w:r w:rsidRPr="00E85509">
        <w:rPr>
          <w:b/>
        </w:rPr>
        <w:t>u žen</w:t>
      </w:r>
      <w:r>
        <w:t xml:space="preserve"> o 121 % (+583 tis.).</w:t>
      </w:r>
      <w:r w:rsidR="00C42F7D">
        <w:t xml:space="preserve"> </w:t>
      </w:r>
      <w:r w:rsidRPr="00E85509">
        <w:t xml:space="preserve">Za prvních 6 měsíců roku 2022 bylo nahlášeno </w:t>
      </w:r>
      <w:r>
        <w:t xml:space="preserve">1 942 tis. případů pracovní neschopnosti pro nemoc, tedy </w:t>
      </w:r>
      <w:r w:rsidRPr="006F580E">
        <w:t>více než za celý rok 2019.</w:t>
      </w:r>
    </w:p>
    <w:p w14:paraId="1F48FA1B" w14:textId="2E0125DE" w:rsidR="00E061D9" w:rsidRPr="006F580E" w:rsidRDefault="00E061D9" w:rsidP="00E061D9">
      <w:pPr>
        <w:pStyle w:val="Odstavecseseznamem"/>
        <w:numPr>
          <w:ilvl w:val="0"/>
          <w:numId w:val="23"/>
        </w:numPr>
        <w:spacing w:after="120"/>
        <w:ind w:left="283" w:hanging="357"/>
        <w:contextualSpacing w:val="0"/>
        <w:jc w:val="both"/>
      </w:pPr>
      <w:r w:rsidRPr="00E061D9">
        <w:t>V březnu roku 2022 bylo vydáno více než 100 tis. neschopností pro karanténu či izolaci a l</w:t>
      </w:r>
      <w:r>
        <w:t>ze říci, že 3</w:t>
      </w:r>
      <w:r w:rsidR="003E64F4">
        <w:t> </w:t>
      </w:r>
      <w:r>
        <w:t>z</w:t>
      </w:r>
      <w:r w:rsidR="003E64F4">
        <w:t> </w:t>
      </w:r>
      <w:r>
        <w:t>10</w:t>
      </w:r>
      <w:r w:rsidR="003E64F4">
        <w:t> </w:t>
      </w:r>
      <w:r>
        <w:t xml:space="preserve">neschopenek </w:t>
      </w:r>
      <w:r w:rsidR="00CD26D6">
        <w:t>byl</w:t>
      </w:r>
      <w:r w:rsidR="00632857">
        <w:t>y</w:t>
      </w:r>
      <w:r w:rsidR="00CD26D6">
        <w:t xml:space="preserve"> v tomto měsíci</w:t>
      </w:r>
      <w:r w:rsidRPr="00E061D9">
        <w:t xml:space="preserve"> v</w:t>
      </w:r>
      <w:r w:rsidR="00632857">
        <w:t>ydány</w:t>
      </w:r>
      <w:r w:rsidRPr="00E061D9">
        <w:t xml:space="preserve"> právě za tímto účelem. V březnu 2021 kompenzovala ztrátu příjmu kvůli karanténě či izolaci každá druhá neschopenka.</w:t>
      </w:r>
    </w:p>
    <w:p w14:paraId="24187C5D" w14:textId="4F9C4F72" w:rsidR="006F580E" w:rsidRPr="006F580E" w:rsidRDefault="006F580E" w:rsidP="00C42F7D">
      <w:pPr>
        <w:pStyle w:val="Odstavecseseznamem"/>
        <w:numPr>
          <w:ilvl w:val="0"/>
          <w:numId w:val="23"/>
        </w:numPr>
        <w:spacing w:after="120"/>
        <w:ind w:left="283" w:hanging="357"/>
        <w:contextualSpacing w:val="0"/>
        <w:jc w:val="both"/>
      </w:pPr>
      <w:r w:rsidRPr="006F580E">
        <w:t xml:space="preserve">V 1. pol. 2022 bylo stejně jako před rokem vystaveno 23 tis. neschopenek pro </w:t>
      </w:r>
      <w:r w:rsidRPr="006F580E">
        <w:rPr>
          <w:b/>
        </w:rPr>
        <w:t>pracovní úraz</w:t>
      </w:r>
      <w:r w:rsidRPr="006F580E">
        <w:t xml:space="preserve">. </w:t>
      </w:r>
      <w:r w:rsidR="00C42F7D">
        <w:t>Došlo ke 40</w:t>
      </w:r>
      <w:r w:rsidR="003E64F4">
        <w:t> </w:t>
      </w:r>
      <w:r w:rsidR="00C42F7D" w:rsidRPr="00CD26D6">
        <w:rPr>
          <w:b/>
        </w:rPr>
        <w:t>smrtelným pracovním úrazům</w:t>
      </w:r>
      <w:r w:rsidR="00CD26D6">
        <w:t>, o jeden více než v 1. pol. 2021.</w:t>
      </w:r>
    </w:p>
    <w:p w14:paraId="37230B6D" w14:textId="305D3764" w:rsidR="00B8489E" w:rsidRPr="006F580E" w:rsidRDefault="00AB10AA" w:rsidP="008B7D64">
      <w:pPr>
        <w:pStyle w:val="Odstavecseseznamem"/>
        <w:numPr>
          <w:ilvl w:val="0"/>
          <w:numId w:val="23"/>
        </w:numPr>
        <w:spacing w:after="120"/>
        <w:ind w:left="283" w:hanging="357"/>
        <w:contextualSpacing w:val="0"/>
        <w:jc w:val="both"/>
      </w:pPr>
      <w:r w:rsidRPr="006F580E">
        <w:t>V</w:t>
      </w:r>
      <w:r w:rsidR="00D56CD5" w:rsidRPr="006F580E">
        <w:t xml:space="preserve"> 1. pol. </w:t>
      </w:r>
      <w:r w:rsidRPr="006F580E">
        <w:t>202</w:t>
      </w:r>
      <w:r w:rsidR="006F580E" w:rsidRPr="006F580E">
        <w:t>2</w:t>
      </w:r>
      <w:r w:rsidRPr="006F580E">
        <w:rPr>
          <w:b/>
        </w:rPr>
        <w:t xml:space="preserve"> n</w:t>
      </w:r>
      <w:r w:rsidR="0038632C" w:rsidRPr="006F580E">
        <w:rPr>
          <w:b/>
        </w:rPr>
        <w:t>a 100 pojištěnců</w:t>
      </w:r>
      <w:r w:rsidR="0038632C" w:rsidRPr="006F580E">
        <w:t xml:space="preserve"> připadalo </w:t>
      </w:r>
      <w:r w:rsidR="006F580E" w:rsidRPr="006F580E">
        <w:t>43,5</w:t>
      </w:r>
      <w:r w:rsidR="0038632C" w:rsidRPr="006F580E">
        <w:t xml:space="preserve"> nově hlášených </w:t>
      </w:r>
      <w:r w:rsidR="0038632C" w:rsidRPr="006F580E">
        <w:rPr>
          <w:b/>
        </w:rPr>
        <w:t>případů</w:t>
      </w:r>
      <w:r w:rsidR="0038632C" w:rsidRPr="006F580E">
        <w:t xml:space="preserve"> dočasné </w:t>
      </w:r>
      <w:r w:rsidR="0038632C" w:rsidRPr="006F580E">
        <w:rPr>
          <w:b/>
        </w:rPr>
        <w:t>pracovní neschopnosti</w:t>
      </w:r>
      <w:r w:rsidR="0038632C" w:rsidRPr="006F580E">
        <w:t>. To je o</w:t>
      </w:r>
      <w:r w:rsidR="00C02C40" w:rsidRPr="006F580E">
        <w:t> </w:t>
      </w:r>
      <w:r w:rsidR="006F580E" w:rsidRPr="006F580E">
        <w:t>14</w:t>
      </w:r>
      <w:r w:rsidR="00C02C40" w:rsidRPr="006F580E">
        <w:t> </w:t>
      </w:r>
      <w:r w:rsidR="00D56CD5" w:rsidRPr="006F580E">
        <w:t>více než v</w:t>
      </w:r>
      <w:r w:rsidR="002D3899" w:rsidRPr="006F580E">
        <w:t> 1. pol.</w:t>
      </w:r>
      <w:r w:rsidR="006F580E" w:rsidRPr="006F580E">
        <w:t xml:space="preserve"> 2021</w:t>
      </w:r>
      <w:r w:rsidR="0038632C" w:rsidRPr="006F580E">
        <w:t xml:space="preserve">. </w:t>
      </w:r>
      <w:r w:rsidR="006F580E">
        <w:t>Tento ukazatel vzrostl ve všech odvětvových sekcích. N</w:t>
      </w:r>
      <w:r w:rsidR="00025240">
        <w:t xml:space="preserve">ejvíce </w:t>
      </w:r>
      <w:r w:rsidR="006F580E" w:rsidRPr="006F580E">
        <w:rPr>
          <w:rFonts w:cs="Arial"/>
        </w:rPr>
        <w:t>v oblasti</w:t>
      </w:r>
      <w:r w:rsidR="006F580E" w:rsidRPr="00A979CA">
        <w:rPr>
          <w:rFonts w:cs="Arial"/>
        </w:rPr>
        <w:t xml:space="preserve"> </w:t>
      </w:r>
      <w:r w:rsidR="006F580E" w:rsidRPr="006F580E">
        <w:rPr>
          <w:rFonts w:cs="Arial"/>
          <w:b/>
        </w:rPr>
        <w:t>Vzdělávání</w:t>
      </w:r>
      <w:r w:rsidR="006F580E" w:rsidRPr="00A979CA">
        <w:rPr>
          <w:rFonts w:cs="Arial"/>
        </w:rPr>
        <w:t xml:space="preserve">, a to o </w:t>
      </w:r>
      <w:r w:rsidR="00025240">
        <w:rPr>
          <w:rFonts w:cs="Arial"/>
        </w:rPr>
        <w:t>3</w:t>
      </w:r>
      <w:r w:rsidR="008627B7">
        <w:rPr>
          <w:rFonts w:cs="Arial"/>
        </w:rPr>
        <w:t>3</w:t>
      </w:r>
      <w:r w:rsidR="00025240">
        <w:rPr>
          <w:rFonts w:cs="Arial"/>
        </w:rPr>
        <w:t xml:space="preserve"> případů na 100 pojištěnců, tedy o 1</w:t>
      </w:r>
      <w:r w:rsidR="008627B7">
        <w:rPr>
          <w:rFonts w:cs="Arial"/>
        </w:rPr>
        <w:t>3</w:t>
      </w:r>
      <w:r w:rsidR="00025240">
        <w:rPr>
          <w:rFonts w:cs="Arial"/>
        </w:rPr>
        <w:t>8 %.</w:t>
      </w:r>
    </w:p>
    <w:p w14:paraId="3B994158" w14:textId="2ECBDE9F" w:rsidR="0044667F" w:rsidRPr="006F580E" w:rsidRDefault="0044667F" w:rsidP="008B7D64">
      <w:pPr>
        <w:pStyle w:val="Odstavecseseznamem"/>
        <w:numPr>
          <w:ilvl w:val="0"/>
          <w:numId w:val="23"/>
        </w:numPr>
        <w:spacing w:after="120"/>
        <w:ind w:left="283" w:hanging="357"/>
        <w:contextualSpacing w:val="0"/>
        <w:jc w:val="both"/>
      </w:pPr>
      <w:r w:rsidRPr="006F580E">
        <w:t>Nejvíce případů pracovní neschopnosti na 100 pojištěnců</w:t>
      </w:r>
      <w:r w:rsidR="00F12400" w:rsidRPr="006F580E">
        <w:t xml:space="preserve"> v </w:t>
      </w:r>
      <w:r w:rsidR="00F12400" w:rsidRPr="006F580E">
        <w:rPr>
          <w:b/>
        </w:rPr>
        <w:t>krajském srovnání</w:t>
      </w:r>
      <w:r w:rsidR="00F12400" w:rsidRPr="006F580E">
        <w:t xml:space="preserve"> </w:t>
      </w:r>
      <w:r w:rsidR="007C22C0" w:rsidRPr="006F580E">
        <w:t xml:space="preserve">bylo </w:t>
      </w:r>
      <w:r w:rsidRPr="006F580E">
        <w:t>hlášeno v Libereckém (</w:t>
      </w:r>
      <w:r w:rsidR="006F580E" w:rsidRPr="006F580E">
        <w:t>54</w:t>
      </w:r>
      <w:r w:rsidRPr="006F580E">
        <w:t xml:space="preserve">), </w:t>
      </w:r>
      <w:r w:rsidR="006F580E" w:rsidRPr="006F580E">
        <w:t xml:space="preserve">Plzeňském a Královéhradeckém </w:t>
      </w:r>
      <w:r w:rsidR="003B26E3" w:rsidRPr="006F580E">
        <w:t>kraji (</w:t>
      </w:r>
      <w:r w:rsidR="006F580E" w:rsidRPr="006F580E">
        <w:t>oba shodně 50</w:t>
      </w:r>
      <w:r w:rsidR="003B26E3" w:rsidRPr="006F580E">
        <w:t xml:space="preserve">). </w:t>
      </w:r>
      <w:r w:rsidRPr="006F580E">
        <w:t>Podprůměrné hodnoty vykazovala Praha (</w:t>
      </w:r>
      <w:r w:rsidR="006F580E" w:rsidRPr="006F580E">
        <w:t>33</w:t>
      </w:r>
      <w:r w:rsidRPr="006F580E">
        <w:t>) a</w:t>
      </w:r>
      <w:r w:rsidR="00C02C40" w:rsidRPr="006F580E">
        <w:t> </w:t>
      </w:r>
      <w:r w:rsidRPr="006F580E">
        <w:t>Jihomoravský kraj (</w:t>
      </w:r>
      <w:r w:rsidR="006F580E" w:rsidRPr="006F580E">
        <w:t>43</w:t>
      </w:r>
      <w:r w:rsidRPr="006F580E">
        <w:t xml:space="preserve">). </w:t>
      </w:r>
    </w:p>
    <w:p w14:paraId="41D6D6C8" w14:textId="77777777" w:rsidR="006F580E" w:rsidRDefault="0038632C" w:rsidP="006F580E">
      <w:pPr>
        <w:pStyle w:val="Odstavecseseznamem"/>
        <w:numPr>
          <w:ilvl w:val="0"/>
          <w:numId w:val="23"/>
        </w:numPr>
        <w:spacing w:after="120"/>
        <w:ind w:left="283" w:hanging="357"/>
        <w:contextualSpacing w:val="0"/>
        <w:jc w:val="both"/>
      </w:pPr>
      <w:r w:rsidRPr="006F580E">
        <w:t>Celkově strávili pojištěnci v</w:t>
      </w:r>
      <w:r w:rsidR="003B26E3" w:rsidRPr="006F580E">
        <w:t> 1. pol. 202</w:t>
      </w:r>
      <w:r w:rsidR="006F580E" w:rsidRPr="006F580E">
        <w:t>2</w:t>
      </w:r>
      <w:r w:rsidRPr="006F580E">
        <w:t xml:space="preserve"> </w:t>
      </w:r>
      <w:r w:rsidRPr="006F580E">
        <w:rPr>
          <w:b/>
        </w:rPr>
        <w:t xml:space="preserve">v pracovní neschopnosti </w:t>
      </w:r>
      <w:r w:rsidR="003B26E3" w:rsidRPr="006F580E">
        <w:rPr>
          <w:b/>
        </w:rPr>
        <w:t xml:space="preserve">50 </w:t>
      </w:r>
      <w:r w:rsidR="006F580E" w:rsidRPr="006F580E">
        <w:rPr>
          <w:b/>
        </w:rPr>
        <w:t>3</w:t>
      </w:r>
      <w:r w:rsidR="003B26E3" w:rsidRPr="006F580E">
        <w:rPr>
          <w:b/>
        </w:rPr>
        <w:t>8</w:t>
      </w:r>
      <w:r w:rsidR="006F580E" w:rsidRPr="006F580E">
        <w:rPr>
          <w:b/>
        </w:rPr>
        <w:t>7</w:t>
      </w:r>
      <w:r w:rsidRPr="006F580E">
        <w:rPr>
          <w:b/>
        </w:rPr>
        <w:t xml:space="preserve"> tis. dnů</w:t>
      </w:r>
      <w:r w:rsidRPr="006F580E">
        <w:t xml:space="preserve">, což je o </w:t>
      </w:r>
      <w:r w:rsidR="006F580E" w:rsidRPr="006F580E">
        <w:t>1</w:t>
      </w:r>
      <w:r w:rsidRPr="006F580E">
        <w:t xml:space="preserve"> % </w:t>
      </w:r>
      <w:r w:rsidR="006F580E" w:rsidRPr="006F580E">
        <w:t>méně</w:t>
      </w:r>
      <w:r w:rsidRPr="006F580E">
        <w:t xml:space="preserve"> než před rokem. </w:t>
      </w:r>
      <w:r w:rsidR="003B26E3" w:rsidRPr="006F580E">
        <w:t>V porovnání s 1. pol. 2019 došlo k nárůstu počtu prostonaných dnů o více než pětinu.</w:t>
      </w:r>
    </w:p>
    <w:p w14:paraId="4108BC35" w14:textId="2D646DD5" w:rsidR="00671EEE" w:rsidRPr="006F580E" w:rsidRDefault="00671EEE" w:rsidP="000A3F99">
      <w:pPr>
        <w:pStyle w:val="Odstavecseseznamem"/>
        <w:numPr>
          <w:ilvl w:val="0"/>
          <w:numId w:val="23"/>
        </w:numPr>
        <w:spacing w:after="120"/>
        <w:ind w:left="283" w:hanging="357"/>
        <w:contextualSpacing w:val="0"/>
        <w:jc w:val="both"/>
      </w:pPr>
      <w:r w:rsidRPr="006F580E">
        <w:rPr>
          <w:b/>
        </w:rPr>
        <w:t>Průměrná délka</w:t>
      </w:r>
      <w:r w:rsidRPr="006F580E">
        <w:t xml:space="preserve"> </w:t>
      </w:r>
      <w:r w:rsidRPr="00CD26D6">
        <w:rPr>
          <w:b/>
        </w:rPr>
        <w:t>trvání pracovní neschopnosti</w:t>
      </w:r>
      <w:r w:rsidRPr="006F580E">
        <w:t xml:space="preserve"> meziročně klesla ze </w:t>
      </w:r>
      <w:r w:rsidR="006F580E" w:rsidRPr="006F580E">
        <w:t>36</w:t>
      </w:r>
      <w:r w:rsidR="00107D20" w:rsidRPr="006F580E">
        <w:t>,3</w:t>
      </w:r>
      <w:r w:rsidRPr="006F580E">
        <w:t xml:space="preserve"> dne v</w:t>
      </w:r>
      <w:r w:rsidR="00107D20" w:rsidRPr="006F580E">
        <w:t> 1. pol. 202</w:t>
      </w:r>
      <w:r w:rsidR="006F580E" w:rsidRPr="006F580E">
        <w:t>1</w:t>
      </w:r>
      <w:r w:rsidRPr="006F580E">
        <w:t xml:space="preserve"> na </w:t>
      </w:r>
      <w:r w:rsidR="006F580E" w:rsidRPr="006F580E">
        <w:t>24,5</w:t>
      </w:r>
      <w:r w:rsidRPr="006F580E">
        <w:t> dne v</w:t>
      </w:r>
      <w:r w:rsidR="006F580E" w:rsidRPr="006F580E">
        <w:t> 1. pol. 2022</w:t>
      </w:r>
      <w:r w:rsidRPr="006F580E">
        <w:t xml:space="preserve">. Jedná se o nejkratší dobu za posledních </w:t>
      </w:r>
      <w:r w:rsidR="009407AF">
        <w:t>více než 2</w:t>
      </w:r>
      <w:r w:rsidRPr="006F580E">
        <w:t xml:space="preserve">0 let. </w:t>
      </w:r>
      <w:r w:rsidR="00CD26D6">
        <w:t>Ve srovnání s 1. pol. 2020 poklesla průměrná délka trvání pracovní</w:t>
      </w:r>
      <w:r w:rsidR="005962BB">
        <w:t xml:space="preserve"> neschopnosti dokonce o 20 dní.</w:t>
      </w:r>
    </w:p>
    <w:p w14:paraId="05629303" w14:textId="35D7D9DC" w:rsidR="00107D20" w:rsidRPr="006F580E" w:rsidRDefault="00671EEE" w:rsidP="00107D20">
      <w:pPr>
        <w:pStyle w:val="Odstavecseseznamem"/>
        <w:numPr>
          <w:ilvl w:val="0"/>
          <w:numId w:val="23"/>
        </w:numPr>
        <w:spacing w:after="120"/>
        <w:ind w:left="283" w:hanging="357"/>
        <w:contextualSpacing w:val="0"/>
        <w:jc w:val="both"/>
      </w:pPr>
      <w:r w:rsidRPr="006F580E">
        <w:rPr>
          <w:b/>
        </w:rPr>
        <w:t>Ženy</w:t>
      </w:r>
      <w:r w:rsidRPr="006F580E">
        <w:t xml:space="preserve"> strávily </w:t>
      </w:r>
      <w:r w:rsidR="00392130" w:rsidRPr="006F580E">
        <w:t xml:space="preserve">v pracovní neschopnosti v průměru na 1 případ </w:t>
      </w:r>
      <w:r w:rsidR="006F580E" w:rsidRPr="006F580E">
        <w:t>24,9</w:t>
      </w:r>
      <w:r w:rsidRPr="006F580E">
        <w:t xml:space="preserve"> dne, muži </w:t>
      </w:r>
      <w:r w:rsidR="006F580E" w:rsidRPr="006F580E">
        <w:t>2</w:t>
      </w:r>
      <w:r w:rsidR="00107D20" w:rsidRPr="006F580E">
        <w:t>4,1</w:t>
      </w:r>
      <w:r w:rsidRPr="006F580E">
        <w:t xml:space="preserve"> dne.</w:t>
      </w:r>
      <w:r w:rsidR="00EC5EBA">
        <w:t xml:space="preserve"> Ženám se</w:t>
      </w:r>
      <w:r w:rsidR="00BB0B2B">
        <w:t xml:space="preserve"> meziročně</w:t>
      </w:r>
      <w:r w:rsidR="00EC5EBA">
        <w:t xml:space="preserve"> snížila průměrná délka pobytu v pracovní neschopnosti o necelých 14 dní, mužům o 10.</w:t>
      </w:r>
    </w:p>
    <w:p w14:paraId="4F036203" w14:textId="5DB795FE" w:rsidR="00107D20" w:rsidRPr="00EC5EBA" w:rsidRDefault="00107D20" w:rsidP="00107D20">
      <w:pPr>
        <w:pStyle w:val="Odstavecseseznamem"/>
        <w:numPr>
          <w:ilvl w:val="0"/>
          <w:numId w:val="23"/>
        </w:numPr>
        <w:spacing w:after="120"/>
        <w:ind w:left="283" w:hanging="357"/>
        <w:contextualSpacing w:val="0"/>
        <w:jc w:val="both"/>
      </w:pPr>
      <w:r w:rsidRPr="00EC5EBA">
        <w:t>Nejdelší doba pracovní neschopnost</w:t>
      </w:r>
      <w:r w:rsidR="0083196B" w:rsidRPr="00EC5EBA">
        <w:t>i (</w:t>
      </w:r>
      <w:r w:rsidR="00EC5EBA" w:rsidRPr="00EC5EBA">
        <w:t>3</w:t>
      </w:r>
      <w:r w:rsidR="0083196B" w:rsidRPr="00EC5EBA">
        <w:t>5 dnů) byla</w:t>
      </w:r>
      <w:r w:rsidRPr="00EC5EBA">
        <w:t xml:space="preserve"> v sekci </w:t>
      </w:r>
      <w:r w:rsidR="00EC5EBA" w:rsidRPr="00EC5EBA">
        <w:t>Zemědělství, lesnictví, rybářství a Ubytování</w:t>
      </w:r>
      <w:r w:rsidRPr="00EC5EBA">
        <w:t>, stravování a pohostinství</w:t>
      </w:r>
      <w:r w:rsidR="00EC5EBA" w:rsidRPr="00EC5EBA">
        <w:t xml:space="preserve"> (34).</w:t>
      </w:r>
      <w:r w:rsidR="00CD26D6">
        <w:t xml:space="preserve"> Nejkratší byla naopak ve Vzdělávání (16 dnů) a v </w:t>
      </w:r>
      <w:r w:rsidR="005962BB">
        <w:t>ICT</w:t>
      </w:r>
      <w:r w:rsidR="00CD26D6">
        <w:t xml:space="preserve"> činnostech (17).</w:t>
      </w:r>
    </w:p>
    <w:p w14:paraId="216ACF13" w14:textId="1657505F" w:rsidR="00096B50" w:rsidRPr="00EC5EBA" w:rsidRDefault="00671EEE" w:rsidP="0083196B">
      <w:pPr>
        <w:pStyle w:val="Odstavecseseznamem"/>
        <w:numPr>
          <w:ilvl w:val="0"/>
          <w:numId w:val="23"/>
        </w:numPr>
        <w:spacing w:after="120"/>
        <w:ind w:left="283" w:hanging="357"/>
        <w:contextualSpacing w:val="0"/>
        <w:jc w:val="both"/>
      </w:pPr>
      <w:r w:rsidRPr="00EC5EBA">
        <w:rPr>
          <w:b/>
        </w:rPr>
        <w:t xml:space="preserve">Průměrné procento dočasné pracovní neschopnosti </w:t>
      </w:r>
      <w:r w:rsidRPr="00EC5EBA">
        <w:t>v</w:t>
      </w:r>
      <w:r w:rsidR="00107D20" w:rsidRPr="00EC5EBA">
        <w:t> 1. pol. 202</w:t>
      </w:r>
      <w:r w:rsidR="00EC5EBA" w:rsidRPr="00EC5EBA">
        <w:t>2</w:t>
      </w:r>
      <w:r w:rsidRPr="00EC5EBA">
        <w:t xml:space="preserve"> dosáhlo </w:t>
      </w:r>
      <w:r w:rsidR="00EC5EBA" w:rsidRPr="00EC5EBA">
        <w:t>hodnoty 5,9.</w:t>
      </w:r>
      <w:r w:rsidRPr="00EC5EBA">
        <w:t xml:space="preserve"> V případě mužů činila hodnota </w:t>
      </w:r>
      <w:r w:rsidR="00107D20" w:rsidRPr="00EC5EBA">
        <w:t>5,</w:t>
      </w:r>
      <w:r w:rsidR="00EC5EBA" w:rsidRPr="00EC5EBA">
        <w:t>4</w:t>
      </w:r>
      <w:r w:rsidR="00107D20" w:rsidRPr="00EC5EBA">
        <w:t xml:space="preserve"> </w:t>
      </w:r>
      <w:r w:rsidRPr="00EC5EBA">
        <w:t xml:space="preserve">%, u žen </w:t>
      </w:r>
      <w:r w:rsidR="00107D20" w:rsidRPr="00EC5EBA">
        <w:t>6,</w:t>
      </w:r>
      <w:r w:rsidR="0083196B" w:rsidRPr="00EC5EBA">
        <w:t>4</w:t>
      </w:r>
      <w:r w:rsidRPr="00EC5EBA">
        <w:t xml:space="preserve"> %. Pr</w:t>
      </w:r>
      <w:r w:rsidR="00EC5EBA" w:rsidRPr="00EC5EBA">
        <w:t>ůměrné procento se meziročně snížilo</w:t>
      </w:r>
      <w:r w:rsidRPr="00EC5EBA">
        <w:t xml:space="preserve"> o 0,</w:t>
      </w:r>
      <w:r w:rsidR="00EC5EBA" w:rsidRPr="00EC5EBA">
        <w:t>1</w:t>
      </w:r>
      <w:r w:rsidRPr="00EC5EBA">
        <w:t xml:space="preserve"> p. b.</w:t>
      </w:r>
    </w:p>
    <w:p w14:paraId="2D418B2C" w14:textId="2EA10ABC" w:rsidR="00C42F7D" w:rsidRDefault="00107D20" w:rsidP="000A3F99">
      <w:pPr>
        <w:pStyle w:val="Odstavecseseznamem"/>
        <w:numPr>
          <w:ilvl w:val="0"/>
          <w:numId w:val="23"/>
        </w:numPr>
        <w:spacing w:after="120"/>
        <w:ind w:left="283" w:hanging="357"/>
        <w:contextualSpacing w:val="0"/>
        <w:jc w:val="both"/>
      </w:pPr>
      <w:r w:rsidRPr="00EC5EBA">
        <w:t>Během 1. pol. 202</w:t>
      </w:r>
      <w:r w:rsidR="00EC5EBA" w:rsidRPr="00EC5EBA">
        <w:t>2</w:t>
      </w:r>
      <w:r w:rsidR="00671EEE" w:rsidRPr="00EC5EBA">
        <w:t xml:space="preserve"> v České republice </w:t>
      </w:r>
      <w:r w:rsidR="007C22C0" w:rsidRPr="00EC5EBA">
        <w:t>kvůli</w:t>
      </w:r>
      <w:r w:rsidR="00671EEE" w:rsidRPr="00EC5EBA">
        <w:t xml:space="preserve"> dočasné pracovní neschopnosti </w:t>
      </w:r>
      <w:r w:rsidR="00671EEE" w:rsidRPr="00C42F7D">
        <w:rPr>
          <w:b/>
        </w:rPr>
        <w:t xml:space="preserve">denně na pracovištích </w:t>
      </w:r>
      <w:r w:rsidR="009F421D" w:rsidRPr="00C42F7D">
        <w:rPr>
          <w:b/>
        </w:rPr>
        <w:t xml:space="preserve">chybělo </w:t>
      </w:r>
      <w:r w:rsidR="00EC5EBA" w:rsidRPr="00C42F7D">
        <w:rPr>
          <w:b/>
        </w:rPr>
        <w:t>278 382</w:t>
      </w:r>
      <w:r w:rsidR="00671EEE" w:rsidRPr="00C42F7D">
        <w:rPr>
          <w:b/>
        </w:rPr>
        <w:t xml:space="preserve"> nemocensky pojištěných osob</w:t>
      </w:r>
      <w:r w:rsidR="00671EEE" w:rsidRPr="00EC5EBA">
        <w:t xml:space="preserve">, což bylo ve srovnání </w:t>
      </w:r>
      <w:r w:rsidR="00CD26D6">
        <w:t xml:space="preserve">s 1. pol. roku 2019 o </w:t>
      </w:r>
      <w:r w:rsidR="00E6607F">
        <w:t xml:space="preserve">přibližně </w:t>
      </w:r>
      <w:r w:rsidR="00CD26D6">
        <w:t>50</w:t>
      </w:r>
      <w:r w:rsidR="003E64F4">
        <w:t> </w:t>
      </w:r>
      <w:r w:rsidR="00CD26D6">
        <w:t>tisíc (20 %) zaměstnanců více.</w:t>
      </w:r>
    </w:p>
    <w:p w14:paraId="7CF380F8" w14:textId="19483A5D" w:rsidR="00FE69C1" w:rsidRPr="00D92E20" w:rsidRDefault="00451F24" w:rsidP="000A3F99">
      <w:pPr>
        <w:pStyle w:val="Odstavecseseznamem"/>
        <w:numPr>
          <w:ilvl w:val="0"/>
          <w:numId w:val="23"/>
        </w:numPr>
        <w:spacing w:after="120"/>
        <w:ind w:left="283" w:hanging="357"/>
        <w:contextualSpacing w:val="0"/>
        <w:jc w:val="both"/>
      </w:pPr>
      <w:r w:rsidRPr="00EC5EBA">
        <w:t xml:space="preserve">Za </w:t>
      </w:r>
      <w:r w:rsidR="00107D20" w:rsidRPr="00EC5EBA">
        <w:t>1. pol. 202</w:t>
      </w:r>
      <w:r w:rsidR="004813AE">
        <w:t>2</w:t>
      </w:r>
      <w:r w:rsidRPr="00EC5EBA">
        <w:t xml:space="preserve"> bylo pojištěncům vyplaceno </w:t>
      </w:r>
      <w:r w:rsidRPr="00C42F7D">
        <w:rPr>
          <w:b/>
        </w:rPr>
        <w:t xml:space="preserve">nemocenské ve výši </w:t>
      </w:r>
      <w:r w:rsidR="00107D20" w:rsidRPr="00C42F7D">
        <w:rPr>
          <w:b/>
        </w:rPr>
        <w:t>1</w:t>
      </w:r>
      <w:r w:rsidR="00EC5EBA" w:rsidRPr="00C42F7D">
        <w:rPr>
          <w:b/>
        </w:rPr>
        <w:t>7,7</w:t>
      </w:r>
      <w:r w:rsidRPr="00C42F7D">
        <w:rPr>
          <w:b/>
        </w:rPr>
        <w:t xml:space="preserve"> mld. Kč</w:t>
      </w:r>
      <w:r w:rsidRPr="00EC5EBA">
        <w:t xml:space="preserve">. Meziročně </w:t>
      </w:r>
      <w:r w:rsidR="007C22C0" w:rsidRPr="00EC5EBA">
        <w:t xml:space="preserve">výdaje </w:t>
      </w:r>
      <w:r w:rsidR="00EC5EBA" w:rsidRPr="00EC5EBA">
        <w:t>klesly</w:t>
      </w:r>
      <w:r w:rsidRPr="00EC5EBA">
        <w:t xml:space="preserve"> o</w:t>
      </w:r>
      <w:r w:rsidR="007C22C0" w:rsidRPr="00EC5EBA">
        <w:t> </w:t>
      </w:r>
      <w:r w:rsidR="00EC5EBA" w:rsidRPr="00EC5EBA">
        <w:t>0,7</w:t>
      </w:r>
      <w:r w:rsidR="007C22C0" w:rsidRPr="00EC5EBA">
        <w:t> </w:t>
      </w:r>
      <w:r w:rsidRPr="00EC5EBA">
        <w:t>mld.</w:t>
      </w:r>
      <w:r w:rsidR="0044667F" w:rsidRPr="00EC5EBA">
        <w:t> </w:t>
      </w:r>
      <w:r w:rsidRPr="00EC5EBA">
        <w:t xml:space="preserve">Kč, tj. o </w:t>
      </w:r>
      <w:r w:rsidR="00EC5EBA" w:rsidRPr="00EC5EBA">
        <w:t>4</w:t>
      </w:r>
      <w:r w:rsidRPr="00EC5EBA">
        <w:t xml:space="preserve"> %. </w:t>
      </w:r>
      <w:r w:rsidR="00EC5EBA" w:rsidRPr="00EC5EBA">
        <w:t>Výdaje na nemocenské v přepočtu na jednoho pojištěnce v 1. pol. 2022 činily 3</w:t>
      </w:r>
      <w:r w:rsidR="00EC5EBA">
        <w:t> </w:t>
      </w:r>
      <w:r w:rsidR="00EC5EBA" w:rsidRPr="00EC5EBA">
        <w:t>740</w:t>
      </w:r>
      <w:r w:rsidR="00EC5EBA">
        <w:t> </w:t>
      </w:r>
      <w:r w:rsidR="00EC5EBA" w:rsidRPr="00EC5EBA">
        <w:t>Kč.</w:t>
      </w:r>
    </w:p>
    <w:sectPr w:rsidR="00FE69C1" w:rsidRPr="00D92E20" w:rsidSect="00667858">
      <w:headerReference w:type="even" r:id="rId36"/>
      <w:headerReference w:type="default" r:id="rId37"/>
      <w:footerReference w:type="even" r:id="rId38"/>
      <w:footerReference w:type="default" r:id="rId39"/>
      <w:pgSz w:w="11906" w:h="16838" w:code="9"/>
      <w:pgMar w:top="1134" w:right="1134" w:bottom="1418" w:left="1134" w:header="680" w:footer="680" w:gutter="0"/>
      <w:pgNumType w:start="14"/>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6FAEF52" w16cex:dateUtc="2022-10-19T19:49:00Z"/>
  <w16cex:commentExtensible w16cex:durableId="26FAF0B6" w16cex:dateUtc="2022-10-19T19:55:00Z"/>
  <w16cex:commentExtensible w16cex:durableId="26FAF3AF" w16cex:dateUtc="2022-10-19T20:07:00Z"/>
  <w16cex:commentExtensible w16cex:durableId="26FAF347" w16cex:dateUtc="2022-10-19T20:05:00Z"/>
  <w16cex:commentExtensible w16cex:durableId="26FAF659" w16cex:dateUtc="2022-10-19T20:19:00Z"/>
  <w16cex:commentExtensible w16cex:durableId="26FBD402" w16cex:dateUtc="2022-10-20T12:04:00Z"/>
  <w16cex:commentExtensible w16cex:durableId="26FBD5BB" w16cex:dateUtc="2022-10-20T12:12:00Z"/>
  <w16cex:commentExtensible w16cex:durableId="26FBD7A4" w16cex:dateUtc="2022-10-20T12:20:00Z"/>
  <w16cex:commentExtensible w16cex:durableId="26FBDB69" w16cex:dateUtc="2022-10-20T12:36:00Z"/>
  <w16cex:commentExtensible w16cex:durableId="26FC423D" w16cex:dateUtc="2022-10-20T19:55:00Z"/>
  <w16cex:commentExtensible w16cex:durableId="26FC4607" w16cex:dateUtc="2022-10-20T20:11:00Z"/>
  <w16cex:commentExtensible w16cex:durableId="26FC44D0" w16cex:dateUtc="2022-10-20T20:06:00Z"/>
  <w16cex:commentExtensible w16cex:durableId="26FC48AE" w16cex:dateUtc="2022-10-20T20:22:00Z"/>
  <w16cex:commentExtensible w16cex:durableId="26FC4D80" w16cex:dateUtc="2022-10-20T20:43:00Z"/>
  <w16cex:commentExtensible w16cex:durableId="26FCF92B" w16cex:dateUtc="2022-10-21T08:55:00Z"/>
  <w16cex:commentExtensible w16cex:durableId="26FCFC17" w16cex:dateUtc="2022-10-21T09:08:00Z"/>
  <w16cex:commentExtensible w16cex:durableId="26FCFD47" w16cex:dateUtc="2022-10-21T09:13:00Z"/>
  <w16cex:commentExtensible w16cex:durableId="26FD004D" w16cex:dateUtc="2022-10-21T09:26:00Z"/>
  <w16cex:commentExtensible w16cex:durableId="26FD0228" w16cex:dateUtc="2022-10-21T09:34:00Z"/>
  <w16cex:commentExtensible w16cex:durableId="26FD2188" w16cex:dateUtc="2022-10-21T11:47:00Z"/>
  <w16cex:commentExtensible w16cex:durableId="26FD239E" w16cex:dateUtc="2022-10-21T11:56:00Z"/>
  <w16cex:commentExtensible w16cex:durableId="26FD2538" w16cex:dateUtc="2022-10-21T12:03:00Z"/>
  <w16cex:commentExtensible w16cex:durableId="26FD2E3E" w16cex:dateUtc="2022-10-21T12:42:00Z"/>
  <w16cex:commentExtensible w16cex:durableId="26FD34E3" w16cex:dateUtc="2022-10-21T13:10:00Z"/>
  <w16cex:commentExtensible w16cex:durableId="26FD3B9C" w16cex:dateUtc="2022-10-21T13:39: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38E3B9BD" w16cid:durableId="26FAEF52"/>
  <w16cid:commentId w16cid:paraId="4D7FD5E9" w16cid:durableId="26FAF0B6"/>
  <w16cid:commentId w16cid:paraId="32EFC6FA" w16cid:durableId="26FAF3AF"/>
  <w16cid:commentId w16cid:paraId="5E0AA3BC" w16cid:durableId="26FAF347"/>
  <w16cid:commentId w16cid:paraId="141BABA6" w16cid:durableId="26FAEDF5"/>
  <w16cid:commentId w16cid:paraId="2607DB3C" w16cid:durableId="26FAF659"/>
  <w16cid:commentId w16cid:paraId="5DF01EEB" w16cid:durableId="26FAEDF6"/>
  <w16cid:commentId w16cid:paraId="41757EE0" w16cid:durableId="26FBD402"/>
  <w16cid:commentId w16cid:paraId="49E18577" w16cid:durableId="26FBD5BB"/>
  <w16cid:commentId w16cid:paraId="3C495BB2" w16cid:durableId="26FBD7A4"/>
  <w16cid:commentId w16cid:paraId="45BE8E69" w16cid:durableId="26FBDB69"/>
  <w16cid:commentId w16cid:paraId="7E0D23BD" w16cid:durableId="26FC423D"/>
  <w16cid:commentId w16cid:paraId="0E368DB9" w16cid:durableId="26FAEDF7"/>
  <w16cid:commentId w16cid:paraId="6CDD9969" w16cid:durableId="26FC4607"/>
  <w16cid:commentId w16cid:paraId="2B050F58" w16cid:durableId="26FC44D0"/>
  <w16cid:commentId w16cid:paraId="1FE2A1AF" w16cid:durableId="26FAEDF8"/>
  <w16cid:commentId w16cid:paraId="09020B69" w16cid:durableId="26FC48AE"/>
  <w16cid:commentId w16cid:paraId="3C4B51C1" w16cid:durableId="26FAEDF9"/>
  <w16cid:commentId w16cid:paraId="244D602C" w16cid:durableId="26FC4D80"/>
  <w16cid:commentId w16cid:paraId="56546AB3" w16cid:durableId="26FCF92B"/>
  <w16cid:commentId w16cid:paraId="48A11A76" w16cid:durableId="26FCFC17"/>
  <w16cid:commentId w16cid:paraId="155D126F" w16cid:durableId="26FCFD47"/>
  <w16cid:commentId w16cid:paraId="66EAC5A0" w16cid:durableId="26FAEDFA"/>
  <w16cid:commentId w16cid:paraId="52B286E3" w16cid:durableId="26FD004D"/>
  <w16cid:commentId w16cid:paraId="2C62D080" w16cid:durableId="26FAEDFB"/>
  <w16cid:commentId w16cid:paraId="3115493D" w16cid:durableId="26FD0228"/>
  <w16cid:commentId w16cid:paraId="64D61055" w16cid:durableId="26FAEDFC"/>
  <w16cid:commentId w16cid:paraId="3DCD3AAC" w16cid:durableId="26FD2188"/>
  <w16cid:commentId w16cid:paraId="2ED2DB03" w16cid:durableId="26FD239E"/>
  <w16cid:commentId w16cid:paraId="2679CF1F" w16cid:durableId="26FD2538"/>
  <w16cid:commentId w16cid:paraId="73E3DEEE" w16cid:durableId="26FD2E3E"/>
  <w16cid:commentId w16cid:paraId="57E5E88B" w16cid:durableId="26FAEDFD"/>
  <w16cid:commentId w16cid:paraId="7B41BFEF" w16cid:durableId="26FD34E3"/>
  <w16cid:commentId w16cid:paraId="29128940" w16cid:durableId="26FD3B9C"/>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53B2BE8" w14:textId="77777777" w:rsidR="00984DE9" w:rsidRDefault="00984DE9" w:rsidP="00E71A58">
      <w:r>
        <w:separator/>
      </w:r>
    </w:p>
  </w:endnote>
  <w:endnote w:type="continuationSeparator" w:id="0">
    <w:p w14:paraId="5E80E35A" w14:textId="77777777" w:rsidR="00984DE9" w:rsidRDefault="00984DE9" w:rsidP="00E71A5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Minion Pro">
    <w:charset w:val="00"/>
    <w:family w:val="auto"/>
    <w:pitch w:val="variable"/>
    <w:sig w:usb0="60000287" w:usb1="00000001" w:usb2="00000000" w:usb3="00000000" w:csb0="0000019F" w:csb1="00000000"/>
  </w:font>
  <w:font w:name="Arial CE">
    <w:panose1 w:val="020B0604020202020204"/>
    <w:charset w:val="EE"/>
    <w:family w:val="swiss"/>
    <w:pitch w:val="variable"/>
    <w:sig w:usb0="E0002EFF" w:usb1="C000785B" w:usb2="00000009" w:usb3="00000000" w:csb0="000001FF" w:csb1="00000000"/>
  </w:font>
  <w:font w:name="MS Mincho">
    <w:altName w:val="Yu Gothic UI"/>
    <w:panose1 w:val="02020609040205080304"/>
    <w:charset w:val="80"/>
    <w:family w:val="roman"/>
    <w:notTrueType/>
    <w:pitch w:val="fixed"/>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6A58D08" w14:textId="7BD58120" w:rsidR="00790B93" w:rsidRPr="00932443" w:rsidRDefault="00790B93" w:rsidP="00A418BC">
    <w:pPr>
      <w:pStyle w:val="Zpat"/>
      <w:rPr>
        <w:szCs w:val="16"/>
      </w:rPr>
    </w:pPr>
    <w:r>
      <w:rPr>
        <w:szCs w:val="16"/>
        <w:lang w:eastAsia="cs-CZ"/>
      </w:rPr>
      <w:drawing>
        <wp:anchor distT="0" distB="0" distL="114300" distR="114300" simplePos="0" relativeHeight="251658240" behindDoc="0" locked="0" layoutInCell="1" allowOverlap="1" wp14:anchorId="0EEF2B1A" wp14:editId="08552C16">
          <wp:simplePos x="0" y="0"/>
          <wp:positionH relativeFrom="column">
            <wp:align>right</wp:align>
          </wp:positionH>
          <wp:positionV relativeFrom="paragraph">
            <wp:posOffset>-64770</wp:posOffset>
          </wp:positionV>
          <wp:extent cx="428625" cy="201295"/>
          <wp:effectExtent l="0" t="0" r="3175" b="1905"/>
          <wp:wrapNone/>
          <wp:docPr id="11" name="Picture 11" descr="CSU RGB CZ logo-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SU RGB CZ logo-0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625" cy="201295"/>
                  </a:xfrm>
                  <a:prstGeom prst="rect">
                    <a:avLst/>
                  </a:prstGeom>
                  <a:noFill/>
                  <a:ln>
                    <a:noFill/>
                  </a:ln>
                </pic:spPr>
              </pic:pic>
            </a:graphicData>
          </a:graphic>
          <wp14:sizeRelH relativeFrom="page">
            <wp14:pctWidth>0</wp14:pctWidth>
          </wp14:sizeRelH>
          <wp14:sizeRelV relativeFrom="page">
            <wp14:pctHeight>0</wp14:pctHeight>
          </wp14:sizeRelV>
        </wp:anchor>
      </w:drawing>
    </w:r>
    <w:r w:rsidRPr="00932443">
      <w:rPr>
        <w:szCs w:val="16"/>
      </w:rPr>
      <w:fldChar w:fldCharType="begin"/>
    </w:r>
    <w:r w:rsidRPr="00932443">
      <w:rPr>
        <w:szCs w:val="16"/>
      </w:rPr>
      <w:instrText>PAGE   \* MERGEFORMAT</w:instrText>
    </w:r>
    <w:r w:rsidRPr="00932443">
      <w:rPr>
        <w:szCs w:val="16"/>
      </w:rPr>
      <w:fldChar w:fldCharType="separate"/>
    </w:r>
    <w:r w:rsidR="00667858">
      <w:rPr>
        <w:szCs w:val="16"/>
      </w:rPr>
      <w:t>14</w:t>
    </w:r>
    <w:r w:rsidRPr="00932443">
      <w:rPr>
        <w:szCs w:val="16"/>
      </w:rPr>
      <w:fldChar w:fldCharType="end"/>
    </w:r>
    <w:r w:rsidRPr="00932443">
      <w:rPr>
        <w:szCs w:val="16"/>
      </w:rPr>
      <w:tab/>
    </w:r>
    <w:r>
      <w:rPr>
        <w:szCs w:val="16"/>
      </w:rPr>
      <w:t>1. pol. 2022</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D0DF3B" w14:textId="2D6B4CEF" w:rsidR="00790B93" w:rsidRPr="00932443" w:rsidRDefault="00790B93" w:rsidP="00A418BC">
    <w:pPr>
      <w:pStyle w:val="Zpat"/>
      <w:rPr>
        <w:szCs w:val="16"/>
      </w:rPr>
    </w:pPr>
    <w:r>
      <w:rPr>
        <w:szCs w:val="16"/>
        <w:lang w:eastAsia="cs-CZ"/>
      </w:rPr>
      <w:drawing>
        <wp:anchor distT="0" distB="0" distL="114300" distR="114300" simplePos="0" relativeHeight="251657216" behindDoc="0" locked="0" layoutInCell="1" allowOverlap="1" wp14:anchorId="4688FED7" wp14:editId="10A55673">
          <wp:simplePos x="0" y="0"/>
          <wp:positionH relativeFrom="column">
            <wp:align>left</wp:align>
          </wp:positionH>
          <wp:positionV relativeFrom="paragraph">
            <wp:posOffset>-122555</wp:posOffset>
          </wp:positionV>
          <wp:extent cx="510540" cy="272415"/>
          <wp:effectExtent l="0" t="0" r="0" b="6985"/>
          <wp:wrapNone/>
          <wp:docPr id="10" name="Picture 10" descr="CSU RGB CZ logo-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SU RGB CZ logo-0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10540" cy="272415"/>
                  </a:xfrm>
                  <a:prstGeom prst="rect">
                    <a:avLst/>
                  </a:prstGeom>
                  <a:noFill/>
                  <a:ln>
                    <a:noFill/>
                  </a:ln>
                </pic:spPr>
              </pic:pic>
            </a:graphicData>
          </a:graphic>
          <wp14:sizeRelH relativeFrom="page">
            <wp14:pctWidth>0</wp14:pctWidth>
          </wp14:sizeRelH>
          <wp14:sizeRelV relativeFrom="page">
            <wp14:pctHeight>0</wp14:pctHeight>
          </wp14:sizeRelV>
        </wp:anchor>
      </w:drawing>
    </w:r>
    <w:r w:rsidRPr="00932443">
      <w:rPr>
        <w:szCs w:val="16"/>
      </w:rPr>
      <w:tab/>
    </w:r>
    <w:r>
      <w:rPr>
        <w:szCs w:val="16"/>
      </w:rPr>
      <w:t xml:space="preserve">1. pol. </w:t>
    </w:r>
    <w:r>
      <w:rPr>
        <w:rStyle w:val="ZpatChar"/>
        <w:szCs w:val="16"/>
      </w:rPr>
      <w:t>2022</w:t>
    </w:r>
    <w:r w:rsidRPr="00932443">
      <w:rPr>
        <w:szCs w:val="16"/>
      </w:rPr>
      <w:tab/>
    </w:r>
    <w:r w:rsidRPr="00932443">
      <w:rPr>
        <w:rStyle w:val="ZpatChar"/>
        <w:szCs w:val="16"/>
      </w:rPr>
      <w:fldChar w:fldCharType="begin"/>
    </w:r>
    <w:r w:rsidRPr="00932443">
      <w:rPr>
        <w:rStyle w:val="ZpatChar"/>
        <w:szCs w:val="16"/>
      </w:rPr>
      <w:instrText>PAGE   \* MERGEFORMAT</w:instrText>
    </w:r>
    <w:r w:rsidRPr="00932443">
      <w:rPr>
        <w:rStyle w:val="ZpatChar"/>
        <w:szCs w:val="16"/>
      </w:rPr>
      <w:fldChar w:fldCharType="separate"/>
    </w:r>
    <w:r w:rsidR="00667858">
      <w:rPr>
        <w:rStyle w:val="ZpatChar"/>
        <w:szCs w:val="16"/>
      </w:rPr>
      <w:t>15</w:t>
    </w:r>
    <w:r w:rsidRPr="00932443">
      <w:rPr>
        <w:rStyle w:val="ZpatChar"/>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C9ABD87" w14:textId="77777777" w:rsidR="00984DE9" w:rsidRDefault="00984DE9" w:rsidP="00E71A58">
      <w:r>
        <w:separator/>
      </w:r>
    </w:p>
  </w:footnote>
  <w:footnote w:type="continuationSeparator" w:id="0">
    <w:p w14:paraId="23245071" w14:textId="77777777" w:rsidR="00984DE9" w:rsidRDefault="00984DE9" w:rsidP="00E71A58">
      <w:r>
        <w:continuationSeparator/>
      </w:r>
    </w:p>
  </w:footnote>
  <w:footnote w:id="1">
    <w:p w14:paraId="0DC62EB0" w14:textId="449418E5" w:rsidR="00790B93" w:rsidRDefault="00790B93" w:rsidP="00F35E90">
      <w:pPr>
        <w:pStyle w:val="Textpoznpodarou"/>
        <w:jc w:val="both"/>
      </w:pPr>
      <w:r w:rsidRPr="000547B7">
        <w:rPr>
          <w:rStyle w:val="Znakapoznpodarou"/>
          <w:sz w:val="16"/>
        </w:rPr>
        <w:footnoteRef/>
      </w:r>
      <w:r w:rsidRPr="000547B7">
        <w:rPr>
          <w:sz w:val="16"/>
        </w:rPr>
        <w:t xml:space="preserve"> </w:t>
      </w:r>
      <w:r>
        <w:rPr>
          <w:sz w:val="16"/>
        </w:rPr>
        <w:t>N</w:t>
      </w:r>
      <w:r w:rsidRPr="000547B7">
        <w:rPr>
          <w:sz w:val="16"/>
        </w:rPr>
        <w:t>ezahrnuje vojáky z povolání, příslušníky Policie ČR, Hasičského záchranného sboru ČR, Celní správy ČR, Vězeňské služby ČR, Generální inspekce bezpečnostních sborů, Bezpečnostní informační služby a Úřadu pro zahraniční styky a informace.</w:t>
      </w:r>
      <w:r>
        <w:rPr>
          <w:sz w:val="16"/>
        </w:rPr>
        <w:t xml:space="preserve"> </w:t>
      </w:r>
      <w:r>
        <w:rPr>
          <w:rFonts w:cs="Arial"/>
          <w:sz w:val="16"/>
        </w:rPr>
        <w:t>Správcem registrů těchto příslušníků je služební orgán v oborech své působnosti.</w:t>
      </w:r>
    </w:p>
  </w:footnote>
  <w:footnote w:id="2">
    <w:p w14:paraId="25B81A76" w14:textId="333B5B41" w:rsidR="00790B93" w:rsidRDefault="00790B93">
      <w:pPr>
        <w:pStyle w:val="Textpoznpodarou"/>
      </w:pPr>
      <w:r w:rsidRPr="009F305A">
        <w:rPr>
          <w:rStyle w:val="Znakapoznpodarou"/>
          <w:sz w:val="16"/>
        </w:rPr>
        <w:footnoteRef/>
      </w:r>
      <w:r w:rsidRPr="009F305A">
        <w:rPr>
          <w:sz w:val="16"/>
        </w:rPr>
        <w:t xml:space="preserve"> </w:t>
      </w:r>
      <w:r>
        <w:rPr>
          <w:sz w:val="16"/>
        </w:rPr>
        <w:t>Kromě karantén do počtu neschopností patří také</w:t>
      </w:r>
      <w:r w:rsidRPr="009F305A">
        <w:rPr>
          <w:sz w:val="16"/>
        </w:rPr>
        <w:t xml:space="preserve"> izolace.</w:t>
      </w:r>
      <w:r>
        <w:rPr>
          <w:sz w:val="16"/>
        </w:rPr>
        <w:t xml:space="preserve"> Více informací viz kap. 4.4.1.</w:t>
      </w:r>
    </w:p>
  </w:footnote>
  <w:footnote w:id="3">
    <w:p w14:paraId="3B01F8B5" w14:textId="4C7E562D" w:rsidR="00473D4E" w:rsidRDefault="00473D4E" w:rsidP="00473D4E">
      <w:pPr>
        <w:pStyle w:val="Textpoznpodarou"/>
        <w:jc w:val="both"/>
      </w:pPr>
      <w:r w:rsidRPr="003E42A9">
        <w:rPr>
          <w:rStyle w:val="Znakapoznpodarou"/>
          <w:sz w:val="16"/>
        </w:rPr>
        <w:footnoteRef/>
      </w:r>
      <w:r w:rsidRPr="003E42A9">
        <w:rPr>
          <w:sz w:val="16"/>
        </w:rPr>
        <w:t xml:space="preserve"> </w:t>
      </w:r>
      <w:r w:rsidRPr="00C36BB1">
        <w:rPr>
          <w:sz w:val="16"/>
        </w:rPr>
        <w:t>V Jeseníku se nachází personální útvar Úřadu práce ČR pro osoby pobírající odměnu pěstouna. Profesionální pěstouni zpravidla na neschopenku nechodí, protože i po dobu pracovní neschopnosti musí pečovat o svěřené dítě. Jsou však zahrnuti do jmenovatele ukazatele průměrného procenta pracovní neschopnosti v rámci počtu pojištěnců v okrese. Nicméně novelou zákona č</w:t>
      </w:r>
      <w:r w:rsidRPr="00C75F07">
        <w:rPr>
          <w:sz w:val="16"/>
        </w:rPr>
        <w:t>. 359/1999 Sb., o</w:t>
      </w:r>
      <w:r w:rsidR="003E64F4">
        <w:rPr>
          <w:sz w:val="16"/>
        </w:rPr>
        <w:t> </w:t>
      </w:r>
      <w:r w:rsidRPr="00C75F07">
        <w:rPr>
          <w:sz w:val="16"/>
        </w:rPr>
        <w:t>sociálně-právní ochraně dětí, a souvisejících předpisů, účinnou od 1.</w:t>
      </w:r>
      <w:r>
        <w:rPr>
          <w:sz w:val="16"/>
        </w:rPr>
        <w:t xml:space="preserve"> </w:t>
      </w:r>
      <w:r w:rsidRPr="00C75F07">
        <w:rPr>
          <w:sz w:val="16"/>
        </w:rPr>
        <w:t>1.</w:t>
      </w:r>
      <w:r>
        <w:rPr>
          <w:sz w:val="16"/>
        </w:rPr>
        <w:t xml:space="preserve"> </w:t>
      </w:r>
      <w:r w:rsidRPr="00C75F07">
        <w:rPr>
          <w:sz w:val="16"/>
        </w:rPr>
        <w:t xml:space="preserve">2022 – zákon č. 363/2021 Sb., </w:t>
      </w:r>
      <w:r>
        <w:rPr>
          <w:sz w:val="16"/>
        </w:rPr>
        <w:t>došlo k odlišení tzv. zprostředk</w:t>
      </w:r>
      <w:r w:rsidR="00101676">
        <w:rPr>
          <w:sz w:val="16"/>
        </w:rPr>
        <w:t xml:space="preserve">ovaných („profesionálních“) a </w:t>
      </w:r>
      <w:r>
        <w:rPr>
          <w:sz w:val="16"/>
        </w:rPr>
        <w:t>nezprostředkovaných pěstounů. Nezprostředkovaným pěstounům (obvykle příbuzným nebo blízkým osobám dítěte či rodiny) od ledna 2022 nenáleží odměna pěstouna (příjem ze závislé činnosti), nýbrž netestovaná sociální dávka příspěvek při pěstounské péči. Tím pádem došlo k poklesu nemocensky pojištěných v okrese Jeseník a k nárůstu průměrného procenta.</w:t>
      </w:r>
    </w:p>
  </w:footnote>
  <w:footnote w:id="4">
    <w:p w14:paraId="7DB53FC5" w14:textId="6B4B6AC3" w:rsidR="00790B93" w:rsidRPr="00DC6AB9" w:rsidRDefault="00790B93" w:rsidP="00E061D9">
      <w:pPr>
        <w:pStyle w:val="Textpoznpodarou"/>
        <w:jc w:val="both"/>
        <w:rPr>
          <w:sz w:val="18"/>
        </w:rPr>
      </w:pPr>
      <w:r w:rsidRPr="00DC6AB9">
        <w:rPr>
          <w:rStyle w:val="Znakapoznpodarou"/>
          <w:sz w:val="16"/>
        </w:rPr>
        <w:footnoteRef/>
      </w:r>
      <w:r w:rsidRPr="00DC6AB9">
        <w:rPr>
          <w:sz w:val="16"/>
        </w:rPr>
        <w:t xml:space="preserve"> Platí pro ni stejné podmínky jako pro běžnou pracovní neschopnost z důvodu nemoci či úrazu.</w:t>
      </w:r>
      <w:r>
        <w:rPr>
          <w:sz w:val="16"/>
        </w:rPr>
        <w:t xml:space="preserve"> </w:t>
      </w:r>
      <w:r w:rsidRPr="00B15EBE">
        <w:rPr>
          <w:sz w:val="16"/>
        </w:rPr>
        <w:t>Tato publikace nezahrnuje mimořádný karanténní příspěvek (tzv. izolačku) zaveden</w:t>
      </w:r>
      <w:r>
        <w:rPr>
          <w:sz w:val="16"/>
        </w:rPr>
        <w:t>ý</w:t>
      </w:r>
      <w:r w:rsidRPr="00B15EBE">
        <w:rPr>
          <w:sz w:val="16"/>
        </w:rPr>
        <w:t xml:space="preserve"> v roce 2021.</w:t>
      </w:r>
      <w:r>
        <w:rPr>
          <w:sz w:val="16"/>
        </w:rPr>
        <w:t xml:space="preserve"> ČSSZ ho vyplácí</w:t>
      </w:r>
      <w:r w:rsidRPr="00B15EBE">
        <w:rPr>
          <w:sz w:val="16"/>
        </w:rPr>
        <w:t xml:space="preserve"> zaměstnava</w:t>
      </w:r>
      <w:r>
        <w:rPr>
          <w:sz w:val="16"/>
        </w:rPr>
        <w:t>telům, kteří si ho odečtou od povinného odvodu na sociální pojištění na ČSSZ.</w:t>
      </w:r>
      <w:r w:rsidRPr="00B15EBE">
        <w:rPr>
          <w:sz w:val="16"/>
        </w:rPr>
        <w:t xml:space="preserve"> </w:t>
      </w:r>
    </w:p>
  </w:footnote>
  <w:footnote w:id="5">
    <w:p w14:paraId="2D5C68EC" w14:textId="77777777" w:rsidR="00790B93" w:rsidRPr="00F969DD" w:rsidRDefault="00790B93" w:rsidP="00E061D9">
      <w:pPr>
        <w:pStyle w:val="Textpoznpodarou"/>
        <w:spacing w:after="60" w:line="240" w:lineRule="auto"/>
        <w:jc w:val="both"/>
        <w:rPr>
          <w:sz w:val="16"/>
        </w:rPr>
      </w:pPr>
      <w:r w:rsidRPr="00B15EBE">
        <w:rPr>
          <w:rStyle w:val="Znakapoznpodarou"/>
          <w:sz w:val="16"/>
        </w:rPr>
        <w:footnoteRef/>
      </w:r>
      <w:r>
        <w:t xml:space="preserve"> </w:t>
      </w:r>
      <w:r w:rsidRPr="00F969DD">
        <w:rPr>
          <w:b/>
          <w:sz w:val="16"/>
        </w:rPr>
        <w:t>Karanténou</w:t>
      </w:r>
      <w:r w:rsidRPr="00F969DD">
        <w:rPr>
          <w:sz w:val="16"/>
        </w:rPr>
        <w:t xml:space="preserve"> se rozumí oddělení osoby, která sice nevykazuje příznaky onemocnění, ale byla během inkubační doby ve styku s</w:t>
      </w:r>
      <w:r>
        <w:rPr>
          <w:sz w:val="16"/>
        </w:rPr>
        <w:t> </w:t>
      </w:r>
      <w:r w:rsidRPr="00F969DD">
        <w:rPr>
          <w:sz w:val="16"/>
        </w:rPr>
        <w:t>infekčním onemocněním nebo pobývala v ohnisku nákazy, od ostatních fyzických osob, aby se nákaza dále nešířila.</w:t>
      </w:r>
    </w:p>
    <w:p w14:paraId="4D31DF0E" w14:textId="77777777" w:rsidR="00790B93" w:rsidRDefault="00790B93" w:rsidP="00E061D9">
      <w:pPr>
        <w:pStyle w:val="Textpoznpodarou"/>
        <w:spacing w:after="60"/>
        <w:jc w:val="both"/>
      </w:pPr>
      <w:r w:rsidRPr="00F969DD">
        <w:rPr>
          <w:b/>
          <w:sz w:val="16"/>
        </w:rPr>
        <w:t>Izolací</w:t>
      </w:r>
      <w:r w:rsidRPr="00F969DD">
        <w:rPr>
          <w:sz w:val="16"/>
        </w:rPr>
        <w:t xml:space="preserve"> se rozumí oddělení osoby, která onemocněla infekční nemocí nebo jeví příznaky tohoto onemocnění, od ostatn</w:t>
      </w:r>
      <w:r>
        <w:rPr>
          <w:sz w:val="16"/>
        </w:rPr>
        <w:t>ích fyzických osob</w:t>
      </w:r>
      <w:r w:rsidRPr="00F969DD">
        <w:rPr>
          <w:sz w:val="16"/>
        </w:rPr>
        <w:t>, aby se infekční onemocnění dále nešířilo.</w:t>
      </w:r>
    </w:p>
  </w:footnote>
  <w:footnote w:id="6">
    <w:p w14:paraId="19EACB53" w14:textId="77777777" w:rsidR="00790B93" w:rsidRPr="00B15EBE" w:rsidRDefault="00790B93" w:rsidP="001D4AB5">
      <w:pPr>
        <w:pStyle w:val="Textpoznpodarou"/>
        <w:jc w:val="both"/>
        <w:rPr>
          <w:sz w:val="16"/>
        </w:rPr>
      </w:pPr>
      <w:r w:rsidRPr="00B15EBE">
        <w:rPr>
          <w:rStyle w:val="Znakapoznpodarou"/>
          <w:sz w:val="16"/>
        </w:rPr>
        <w:footnoteRef/>
      </w:r>
      <w:r w:rsidRPr="00B15EBE">
        <w:rPr>
          <w:sz w:val="16"/>
        </w:rPr>
        <w:t xml:space="preserve"> </w:t>
      </w:r>
      <w:r>
        <w:rPr>
          <w:sz w:val="16"/>
        </w:rPr>
        <w:t>Údaje o počtu</w:t>
      </w:r>
      <w:r w:rsidRPr="00B15EBE">
        <w:rPr>
          <w:sz w:val="16"/>
          <w:szCs w:val="16"/>
        </w:rPr>
        <w:t xml:space="preserve"> vydaných neschopenek </w:t>
      </w:r>
      <w:r>
        <w:rPr>
          <w:sz w:val="16"/>
          <w:szCs w:val="16"/>
        </w:rPr>
        <w:t xml:space="preserve">(jmenovatel pro podílový ukazatel uvedený v tomto grafu) </w:t>
      </w:r>
      <w:r w:rsidRPr="00B15EBE">
        <w:rPr>
          <w:sz w:val="16"/>
          <w:szCs w:val="16"/>
        </w:rPr>
        <w:t>je dán součtem denních přírůstků počtu nových neschopenek za příslušný měsíc (bez jakéhokoliv rozlišování zaměstnavatele a typu zúčtovatele</w:t>
      </w:r>
      <w:r>
        <w:rPr>
          <w:sz w:val="16"/>
          <w:szCs w:val="16"/>
        </w:rPr>
        <w:t xml:space="preserve"> (tj. buď nemocensky pojištěná OSVČ, zaměstnavatel – fyzická osoba, zaměstnavatel – právnická osoba nebo zahraniční zaměstnanci</w:t>
      </w:r>
      <w:r w:rsidRPr="00B15EBE">
        <w:rPr>
          <w:sz w:val="16"/>
          <w:szCs w:val="16"/>
        </w:rPr>
        <w:t>). Liší se od počtu nově hlášených případů pracovní neschopnosti uvedeného v kap. 4.2, kdy se jedná o celkové počty za dané období z pohledu příslušných zaměstnavatelů a dle typů zúčtovatele.</w:t>
      </w:r>
    </w:p>
  </w:footnote>
  <w:footnote w:id="7">
    <w:p w14:paraId="6D9DE96A" w14:textId="77777777" w:rsidR="00790B93" w:rsidRDefault="00790B93" w:rsidP="00E061D9">
      <w:pPr>
        <w:pStyle w:val="Textpoznpodarou"/>
        <w:spacing w:after="60"/>
      </w:pPr>
      <w:r w:rsidRPr="006054AC">
        <w:rPr>
          <w:rStyle w:val="Znakapoznpodarou"/>
          <w:sz w:val="16"/>
        </w:rPr>
        <w:footnoteRef/>
      </w:r>
      <w:r w:rsidRPr="006054AC">
        <w:rPr>
          <w:sz w:val="16"/>
        </w:rPr>
        <w:t xml:space="preserve"> Platilo do 30. 6. 2021</w:t>
      </w:r>
      <w:r>
        <w:rPr>
          <w:sz w:val="16"/>
        </w:rPr>
        <w:t>.</w:t>
      </w:r>
    </w:p>
  </w:footnote>
  <w:footnote w:id="8">
    <w:p w14:paraId="5E1083E3" w14:textId="77777777" w:rsidR="00790B93" w:rsidRDefault="00790B93" w:rsidP="00E061D9">
      <w:pPr>
        <w:pStyle w:val="Textpoznpodarou"/>
      </w:pPr>
      <w:r w:rsidRPr="00B67A38">
        <w:rPr>
          <w:rStyle w:val="Znakapoznpodarou"/>
          <w:sz w:val="16"/>
        </w:rPr>
        <w:footnoteRef/>
      </w:r>
      <w:r>
        <w:t xml:space="preserve"> </w:t>
      </w:r>
      <w:r w:rsidRPr="00B67A38">
        <w:rPr>
          <w:sz w:val="16"/>
        </w:rPr>
        <w:t>Na jaře 2021 se</w:t>
      </w:r>
      <w:r>
        <w:rPr>
          <w:sz w:val="16"/>
        </w:rPr>
        <w:t xml:space="preserve"> podíl</w:t>
      </w:r>
      <w:r w:rsidRPr="00B67A38">
        <w:rPr>
          <w:sz w:val="16"/>
        </w:rPr>
        <w:t xml:space="preserve"> zvýšil na 80 %.</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BC4D4B7" w14:textId="1E753912" w:rsidR="00790B93" w:rsidRPr="007241C5" w:rsidRDefault="00790B93" w:rsidP="007241C5">
    <w:pPr>
      <w:pStyle w:val="Zhlav"/>
    </w:pPr>
    <w:r>
      <w:t>Pracovní neschopnost pro nemoc a úraz v České republice za 1. pololetí 2022</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2A4919" w14:textId="383C0087" w:rsidR="00790B93" w:rsidRPr="006F5416" w:rsidRDefault="00790B93" w:rsidP="00937AE2">
    <w:pPr>
      <w:pStyle w:val="Zhlav"/>
    </w:pPr>
    <w:r>
      <w:t>Pracovní neschopnost pro nemoc a úraz v České republice za 1. pololetí 2022</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2E1470"/>
    <w:multiLevelType w:val="hybridMultilevel"/>
    <w:tmpl w:val="5C96561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013746EB"/>
    <w:multiLevelType w:val="hybridMultilevel"/>
    <w:tmpl w:val="D616BA42"/>
    <w:lvl w:ilvl="0" w:tplc="04050001">
      <w:start w:val="1"/>
      <w:numFmt w:val="bullet"/>
      <w:lvlText w:val=""/>
      <w:lvlJc w:val="left"/>
      <w:pPr>
        <w:ind w:left="720" w:hanging="360"/>
      </w:pPr>
      <w:rPr>
        <w:rFonts w:ascii="Symbol" w:hAnsi="Symbol" w:hint="default"/>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084E4415"/>
    <w:multiLevelType w:val="hybridMultilevel"/>
    <w:tmpl w:val="189A16D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10FF2955"/>
    <w:multiLevelType w:val="hybridMultilevel"/>
    <w:tmpl w:val="D6BA33A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1D394626"/>
    <w:multiLevelType w:val="hybridMultilevel"/>
    <w:tmpl w:val="C29C83B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202556A7"/>
    <w:multiLevelType w:val="hybridMultilevel"/>
    <w:tmpl w:val="3F36775C"/>
    <w:lvl w:ilvl="0" w:tplc="04050001">
      <w:start w:val="1"/>
      <w:numFmt w:val="bullet"/>
      <w:lvlText w:val=""/>
      <w:lvlJc w:val="left"/>
      <w:pPr>
        <w:ind w:left="780" w:hanging="360"/>
      </w:pPr>
      <w:rPr>
        <w:rFonts w:ascii="Symbol" w:hAnsi="Symbol" w:hint="default"/>
      </w:rPr>
    </w:lvl>
    <w:lvl w:ilvl="1" w:tplc="04050003" w:tentative="1">
      <w:start w:val="1"/>
      <w:numFmt w:val="bullet"/>
      <w:lvlText w:val="o"/>
      <w:lvlJc w:val="left"/>
      <w:pPr>
        <w:ind w:left="1500" w:hanging="360"/>
      </w:pPr>
      <w:rPr>
        <w:rFonts w:ascii="Courier New" w:hAnsi="Courier New" w:cs="Courier New" w:hint="default"/>
      </w:rPr>
    </w:lvl>
    <w:lvl w:ilvl="2" w:tplc="04050005" w:tentative="1">
      <w:start w:val="1"/>
      <w:numFmt w:val="bullet"/>
      <w:lvlText w:val=""/>
      <w:lvlJc w:val="left"/>
      <w:pPr>
        <w:ind w:left="2220" w:hanging="360"/>
      </w:pPr>
      <w:rPr>
        <w:rFonts w:ascii="Wingdings" w:hAnsi="Wingdings" w:hint="default"/>
      </w:rPr>
    </w:lvl>
    <w:lvl w:ilvl="3" w:tplc="04050001" w:tentative="1">
      <w:start w:val="1"/>
      <w:numFmt w:val="bullet"/>
      <w:lvlText w:val=""/>
      <w:lvlJc w:val="left"/>
      <w:pPr>
        <w:ind w:left="2940" w:hanging="360"/>
      </w:pPr>
      <w:rPr>
        <w:rFonts w:ascii="Symbol" w:hAnsi="Symbol" w:hint="default"/>
      </w:rPr>
    </w:lvl>
    <w:lvl w:ilvl="4" w:tplc="04050003" w:tentative="1">
      <w:start w:val="1"/>
      <w:numFmt w:val="bullet"/>
      <w:lvlText w:val="o"/>
      <w:lvlJc w:val="left"/>
      <w:pPr>
        <w:ind w:left="3660" w:hanging="360"/>
      </w:pPr>
      <w:rPr>
        <w:rFonts w:ascii="Courier New" w:hAnsi="Courier New" w:cs="Courier New" w:hint="default"/>
      </w:rPr>
    </w:lvl>
    <w:lvl w:ilvl="5" w:tplc="04050005" w:tentative="1">
      <w:start w:val="1"/>
      <w:numFmt w:val="bullet"/>
      <w:lvlText w:val=""/>
      <w:lvlJc w:val="left"/>
      <w:pPr>
        <w:ind w:left="4380" w:hanging="360"/>
      </w:pPr>
      <w:rPr>
        <w:rFonts w:ascii="Wingdings" w:hAnsi="Wingdings" w:hint="default"/>
      </w:rPr>
    </w:lvl>
    <w:lvl w:ilvl="6" w:tplc="04050001" w:tentative="1">
      <w:start w:val="1"/>
      <w:numFmt w:val="bullet"/>
      <w:lvlText w:val=""/>
      <w:lvlJc w:val="left"/>
      <w:pPr>
        <w:ind w:left="5100" w:hanging="360"/>
      </w:pPr>
      <w:rPr>
        <w:rFonts w:ascii="Symbol" w:hAnsi="Symbol" w:hint="default"/>
      </w:rPr>
    </w:lvl>
    <w:lvl w:ilvl="7" w:tplc="04050003" w:tentative="1">
      <w:start w:val="1"/>
      <w:numFmt w:val="bullet"/>
      <w:lvlText w:val="o"/>
      <w:lvlJc w:val="left"/>
      <w:pPr>
        <w:ind w:left="5820" w:hanging="360"/>
      </w:pPr>
      <w:rPr>
        <w:rFonts w:ascii="Courier New" w:hAnsi="Courier New" w:cs="Courier New" w:hint="default"/>
      </w:rPr>
    </w:lvl>
    <w:lvl w:ilvl="8" w:tplc="04050005" w:tentative="1">
      <w:start w:val="1"/>
      <w:numFmt w:val="bullet"/>
      <w:lvlText w:val=""/>
      <w:lvlJc w:val="left"/>
      <w:pPr>
        <w:ind w:left="6540" w:hanging="360"/>
      </w:pPr>
      <w:rPr>
        <w:rFonts w:ascii="Wingdings" w:hAnsi="Wingdings" w:hint="default"/>
      </w:rPr>
    </w:lvl>
  </w:abstractNum>
  <w:abstractNum w:abstractNumId="6" w15:restartNumberingAfterBreak="0">
    <w:nsid w:val="23C9092A"/>
    <w:multiLevelType w:val="hybridMultilevel"/>
    <w:tmpl w:val="6106A15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27726B5B"/>
    <w:multiLevelType w:val="multilevel"/>
    <w:tmpl w:val="70A84550"/>
    <w:lvl w:ilvl="0">
      <w:start w:val="1"/>
      <w:numFmt w:val="decimal"/>
      <w:lvlText w:val="%1."/>
      <w:lvlJc w:val="left"/>
      <w:pPr>
        <w:ind w:left="720" w:hanging="360"/>
      </w:pPr>
      <w:rPr>
        <w:rFonts w:hint="default"/>
      </w:rPr>
    </w:lvl>
    <w:lvl w:ilvl="1">
      <w:start w:val="2"/>
      <w:numFmt w:val="decimal"/>
      <w:isLgl/>
      <w:suff w:val="space"/>
      <w:lvlText w:val="4.%2"/>
      <w:lvlJc w:val="left"/>
      <w:pPr>
        <w:ind w:left="720" w:hanging="360"/>
      </w:pPr>
      <w:rPr>
        <w:rFonts w:hint="default"/>
      </w:rPr>
    </w:lvl>
    <w:lvl w:ilvl="2">
      <w:start w:val="1"/>
      <w:numFmt w:val="decimal"/>
      <w:isLgl/>
      <w:suff w:val="space"/>
      <w:lvlText w:val="4.%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28AA48F6"/>
    <w:multiLevelType w:val="hybridMultilevel"/>
    <w:tmpl w:val="89FE51B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2B8016D3"/>
    <w:multiLevelType w:val="hybridMultilevel"/>
    <w:tmpl w:val="C9B2432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2ECC156E"/>
    <w:multiLevelType w:val="hybridMultilevel"/>
    <w:tmpl w:val="7EECABD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36BA2AA4"/>
    <w:multiLevelType w:val="multilevel"/>
    <w:tmpl w:val="615EED7A"/>
    <w:lvl w:ilvl="0">
      <w:start w:val="1"/>
      <w:numFmt w:val="none"/>
      <w:suff w:val="space"/>
      <w:lvlText w:val="6."/>
      <w:lvlJc w:val="left"/>
      <w:pPr>
        <w:ind w:left="720" w:hanging="360"/>
      </w:pPr>
      <w:rPr>
        <w:rFonts w:hint="default"/>
      </w:rPr>
    </w:lvl>
    <w:lvl w:ilvl="1">
      <w:start w:val="1"/>
      <w:numFmt w:val="none"/>
      <w:isLgl/>
      <w:suff w:val="space"/>
      <w:lvlText w:val="4.7"/>
      <w:lvlJc w:val="left"/>
      <w:pPr>
        <w:ind w:left="720" w:hanging="360"/>
      </w:pPr>
      <w:rPr>
        <w:rFonts w:hint="default"/>
      </w:rPr>
    </w:lvl>
    <w:lvl w:ilvl="2">
      <w:start w:val="1"/>
      <w:numFmt w:val="decimal"/>
      <w:isLgl/>
      <w:suff w:val="space"/>
      <w:lvlText w:val="%1.4%2.%3"/>
      <w:lvlJc w:val="left"/>
      <w:pPr>
        <w:ind w:left="1080" w:hanging="720"/>
      </w:pPr>
      <w:rPr>
        <w:rFonts w:hint="default"/>
      </w:rPr>
    </w:lvl>
    <w:lvl w:ilvl="3">
      <w:start w:val="1"/>
      <w:numFmt w:val="none"/>
      <w:isLgl/>
      <w:suff w:val="space"/>
      <w:lvlText w:val="4.4.1"/>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2" w15:restartNumberingAfterBreak="0">
    <w:nsid w:val="43AF4090"/>
    <w:multiLevelType w:val="hybridMultilevel"/>
    <w:tmpl w:val="F432E76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4E9A25DD"/>
    <w:multiLevelType w:val="hybridMultilevel"/>
    <w:tmpl w:val="989C032A"/>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15:restartNumberingAfterBreak="0">
    <w:nsid w:val="55363618"/>
    <w:multiLevelType w:val="hybridMultilevel"/>
    <w:tmpl w:val="E3E8EB9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590017F3"/>
    <w:multiLevelType w:val="hybridMultilevel"/>
    <w:tmpl w:val="D4C4002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5BA16842"/>
    <w:multiLevelType w:val="multilevel"/>
    <w:tmpl w:val="3A2CFECA"/>
    <w:lvl w:ilvl="0">
      <w:start w:val="1"/>
      <w:numFmt w:val="none"/>
      <w:suff w:val="space"/>
      <w:lvlText w:val="5."/>
      <w:lvlJc w:val="left"/>
      <w:pPr>
        <w:ind w:left="720" w:hanging="360"/>
      </w:pPr>
      <w:rPr>
        <w:rFonts w:hint="default"/>
      </w:rPr>
    </w:lvl>
    <w:lvl w:ilvl="1">
      <w:start w:val="1"/>
      <w:numFmt w:val="none"/>
      <w:isLgl/>
      <w:suff w:val="space"/>
      <w:lvlText w:val="4.7"/>
      <w:lvlJc w:val="left"/>
      <w:pPr>
        <w:ind w:left="720" w:hanging="360"/>
      </w:pPr>
      <w:rPr>
        <w:rFonts w:hint="default"/>
      </w:rPr>
    </w:lvl>
    <w:lvl w:ilvl="2">
      <w:start w:val="1"/>
      <w:numFmt w:val="decimal"/>
      <w:isLgl/>
      <w:suff w:val="space"/>
      <w:lvlText w:val="%1.4%2.%3"/>
      <w:lvlJc w:val="left"/>
      <w:pPr>
        <w:ind w:left="1080" w:hanging="720"/>
      </w:pPr>
      <w:rPr>
        <w:rFonts w:hint="default"/>
      </w:rPr>
    </w:lvl>
    <w:lvl w:ilvl="3">
      <w:start w:val="1"/>
      <w:numFmt w:val="none"/>
      <w:isLgl/>
      <w:suff w:val="space"/>
      <w:lvlText w:val="4.4.1"/>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7" w15:restartNumberingAfterBreak="0">
    <w:nsid w:val="5DD50F1A"/>
    <w:multiLevelType w:val="hybridMultilevel"/>
    <w:tmpl w:val="1410E98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5FD41ECA"/>
    <w:multiLevelType w:val="multilevel"/>
    <w:tmpl w:val="24FE976E"/>
    <w:lvl w:ilvl="0">
      <w:start w:val="1"/>
      <w:numFmt w:val="decimal"/>
      <w:lvlText w:val="%1."/>
      <w:lvlJc w:val="left"/>
      <w:pPr>
        <w:ind w:left="720" w:hanging="360"/>
      </w:pPr>
      <w:rPr>
        <w:rFonts w:hint="default"/>
      </w:rPr>
    </w:lvl>
    <w:lvl w:ilvl="1">
      <w:start w:val="1"/>
      <w:numFmt w:val="decimal"/>
      <w:isLgl/>
      <w:suff w:val="space"/>
      <w:lvlText w:val="4.%2"/>
      <w:lvlJc w:val="left"/>
      <w:pPr>
        <w:ind w:left="720" w:hanging="360"/>
      </w:pPr>
      <w:rPr>
        <w:rFonts w:hint="default"/>
      </w:rPr>
    </w:lvl>
    <w:lvl w:ilvl="2">
      <w:start w:val="1"/>
      <w:numFmt w:val="decimal"/>
      <w:isLgl/>
      <w:suff w:val="space"/>
      <w:lvlText w:val="4.%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9" w15:restartNumberingAfterBreak="0">
    <w:nsid w:val="66AA503E"/>
    <w:multiLevelType w:val="multilevel"/>
    <w:tmpl w:val="2688BBDA"/>
    <w:lvl w:ilvl="0">
      <w:start w:val="1"/>
      <w:numFmt w:val="decimal"/>
      <w:lvlText w:val="%1."/>
      <w:lvlJc w:val="left"/>
      <w:pPr>
        <w:ind w:left="720" w:hanging="360"/>
      </w:pPr>
      <w:rPr>
        <w:rFonts w:hint="default"/>
      </w:rPr>
    </w:lvl>
    <w:lvl w:ilvl="1">
      <w:start w:val="3"/>
      <w:numFmt w:val="decimal"/>
      <w:isLgl/>
      <w:suff w:val="space"/>
      <w:lvlText w:val="4.%2"/>
      <w:lvlJc w:val="left"/>
      <w:pPr>
        <w:ind w:left="720" w:hanging="360"/>
      </w:pPr>
      <w:rPr>
        <w:rFonts w:hint="default"/>
      </w:rPr>
    </w:lvl>
    <w:lvl w:ilvl="2">
      <w:start w:val="1"/>
      <w:numFmt w:val="decimal"/>
      <w:isLgl/>
      <w:suff w:val="space"/>
      <w:lvlText w:val="4.%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0" w15:restartNumberingAfterBreak="0">
    <w:nsid w:val="686C4312"/>
    <w:multiLevelType w:val="multilevel"/>
    <w:tmpl w:val="A544AB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6A157FE1"/>
    <w:multiLevelType w:val="multilevel"/>
    <w:tmpl w:val="EFEA78A6"/>
    <w:lvl w:ilvl="0">
      <w:start w:val="1"/>
      <w:numFmt w:val="decimal"/>
      <w:lvlText w:val="%1."/>
      <w:lvlJc w:val="left"/>
      <w:pPr>
        <w:ind w:left="720" w:hanging="360"/>
      </w:pPr>
      <w:rPr>
        <w:rFonts w:hint="default"/>
      </w:rPr>
    </w:lvl>
    <w:lvl w:ilvl="1">
      <w:start w:val="1"/>
      <w:numFmt w:val="decimal"/>
      <w:isLgl/>
      <w:lvlText w:val="%1.%2"/>
      <w:lvlJc w:val="left"/>
      <w:pPr>
        <w:ind w:left="765" w:hanging="405"/>
      </w:pPr>
      <w:rPr>
        <w:rFonts w:hint="default"/>
      </w:rPr>
    </w:lvl>
    <w:lvl w:ilvl="2">
      <w:start w:val="1"/>
      <w:numFmt w:val="none"/>
      <w:isLgl/>
      <w:suff w:val="space"/>
      <w:lvlText w:val="4.2.2"/>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2" w15:restartNumberingAfterBreak="0">
    <w:nsid w:val="6CE71B0D"/>
    <w:multiLevelType w:val="multilevel"/>
    <w:tmpl w:val="5EE4B558"/>
    <w:lvl w:ilvl="0">
      <w:start w:val="1"/>
      <w:numFmt w:val="decimal"/>
      <w:lvlText w:val="%1."/>
      <w:lvlJc w:val="left"/>
      <w:pPr>
        <w:ind w:left="720" w:hanging="360"/>
      </w:pPr>
      <w:rPr>
        <w:rFonts w:hint="default"/>
      </w:rPr>
    </w:lvl>
    <w:lvl w:ilvl="1">
      <w:start w:val="3"/>
      <w:numFmt w:val="decimal"/>
      <w:isLgl/>
      <w:suff w:val="space"/>
      <w:lvlText w:val="4.%2"/>
      <w:lvlJc w:val="left"/>
      <w:pPr>
        <w:ind w:left="720" w:hanging="360"/>
      </w:pPr>
      <w:rPr>
        <w:rFonts w:hint="default"/>
      </w:rPr>
    </w:lvl>
    <w:lvl w:ilvl="2">
      <w:start w:val="1"/>
      <w:numFmt w:val="none"/>
      <w:isLgl/>
      <w:suff w:val="space"/>
      <w:lvlText w:val="4.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3" w15:restartNumberingAfterBreak="0">
    <w:nsid w:val="71FB04D0"/>
    <w:multiLevelType w:val="hybridMultilevel"/>
    <w:tmpl w:val="A5FC219E"/>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77747833"/>
    <w:multiLevelType w:val="multilevel"/>
    <w:tmpl w:val="8C7E39DC"/>
    <w:lvl w:ilvl="0">
      <w:start w:val="4"/>
      <w:numFmt w:val="decimal"/>
      <w:lvlText w:val="%1."/>
      <w:lvlJc w:val="lef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suff w:val="space"/>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5" w15:restartNumberingAfterBreak="0">
    <w:nsid w:val="7FEF4B85"/>
    <w:multiLevelType w:val="hybridMultilevel"/>
    <w:tmpl w:val="E4FC5EA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6"/>
  </w:num>
  <w:num w:numId="2">
    <w:abstractNumId w:val="8"/>
  </w:num>
  <w:num w:numId="3">
    <w:abstractNumId w:val="17"/>
  </w:num>
  <w:num w:numId="4">
    <w:abstractNumId w:val="23"/>
  </w:num>
  <w:num w:numId="5">
    <w:abstractNumId w:val="19"/>
  </w:num>
  <w:num w:numId="6">
    <w:abstractNumId w:val="2"/>
  </w:num>
  <w:num w:numId="7">
    <w:abstractNumId w:val="9"/>
  </w:num>
  <w:num w:numId="8">
    <w:abstractNumId w:val="15"/>
  </w:num>
  <w:num w:numId="9">
    <w:abstractNumId w:val="4"/>
  </w:num>
  <w:num w:numId="10">
    <w:abstractNumId w:val="20"/>
  </w:num>
  <w:num w:numId="11">
    <w:abstractNumId w:val="10"/>
  </w:num>
  <w:num w:numId="12">
    <w:abstractNumId w:val="5"/>
  </w:num>
  <w:num w:numId="13">
    <w:abstractNumId w:val="14"/>
  </w:num>
  <w:num w:numId="14">
    <w:abstractNumId w:val="1"/>
  </w:num>
  <w:num w:numId="15">
    <w:abstractNumId w:val="0"/>
  </w:num>
  <w:num w:numId="16">
    <w:abstractNumId w:val="16"/>
  </w:num>
  <w:num w:numId="17">
    <w:abstractNumId w:val="11"/>
  </w:num>
  <w:num w:numId="18">
    <w:abstractNumId w:val="24"/>
  </w:num>
  <w:num w:numId="19">
    <w:abstractNumId w:val="7"/>
  </w:num>
  <w:num w:numId="20">
    <w:abstractNumId w:val="18"/>
  </w:num>
  <w:num w:numId="21">
    <w:abstractNumId w:val="21"/>
  </w:num>
  <w:num w:numId="22">
    <w:abstractNumId w:val="22"/>
  </w:num>
  <w:num w:numId="23">
    <w:abstractNumId w:val="12"/>
  </w:num>
  <w:num w:numId="24">
    <w:abstractNumId w:val="3"/>
  </w:num>
  <w:num w:numId="25">
    <w:abstractNumId w:val="25"/>
  </w:num>
  <w:num w:numId="26">
    <w:abstractNumId w:val="13"/>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stylePaneFormatFilter w:val="1001" w:allStyles="1" w:customStyles="0" w:latentStyles="0" w:stylesInUse="0" w:headingStyles="0" w:numberingStyles="0" w:tableStyles="0" w:directFormattingOnRuns="0" w:directFormattingOnParagraphs="0" w:directFormattingOnNumbering="0" w:directFormattingOnTables="0" w:clearFormatting="1" w:top3HeadingStyles="0" w:visibleStyles="0" w:alternateStyleNames="0"/>
  <w:stylePaneSortMethod w:val="0004"/>
  <w:defaultTabStop w:val="708"/>
  <w:hyphenationZone w:val="425"/>
  <w:evenAndOddHeaders/>
  <w:drawingGridHorizontalSpacing w:val="110"/>
  <w:displayHorizontalDrawingGridEvery w:val="2"/>
  <w:characterSpacingControl w:val="doNotCompress"/>
  <w:hdrShapeDefaults>
    <o:shapedefaults v:ext="edit" spidmax="2049">
      <o:colormru v:ext="edit" colors="#ecf4dd,#eaecee,#fcec0a,#fcecdb,#f1daf5"/>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F6DC0"/>
    <w:rsid w:val="000003B4"/>
    <w:rsid w:val="00000A90"/>
    <w:rsid w:val="0000209D"/>
    <w:rsid w:val="00002D3C"/>
    <w:rsid w:val="00004237"/>
    <w:rsid w:val="00004D5A"/>
    <w:rsid w:val="000056D5"/>
    <w:rsid w:val="0000767A"/>
    <w:rsid w:val="00010702"/>
    <w:rsid w:val="000107D3"/>
    <w:rsid w:val="00012105"/>
    <w:rsid w:val="0001377E"/>
    <w:rsid w:val="00013A43"/>
    <w:rsid w:val="00014366"/>
    <w:rsid w:val="000158B0"/>
    <w:rsid w:val="00016392"/>
    <w:rsid w:val="00016992"/>
    <w:rsid w:val="000221A2"/>
    <w:rsid w:val="00023479"/>
    <w:rsid w:val="000234D6"/>
    <w:rsid w:val="00023D29"/>
    <w:rsid w:val="00025240"/>
    <w:rsid w:val="00026389"/>
    <w:rsid w:val="000266C3"/>
    <w:rsid w:val="000273BE"/>
    <w:rsid w:val="00027E79"/>
    <w:rsid w:val="00031AE0"/>
    <w:rsid w:val="000322EF"/>
    <w:rsid w:val="00032C2E"/>
    <w:rsid w:val="00033735"/>
    <w:rsid w:val="00033FCD"/>
    <w:rsid w:val="00035B0A"/>
    <w:rsid w:val="0003626A"/>
    <w:rsid w:val="00041CEC"/>
    <w:rsid w:val="0004694F"/>
    <w:rsid w:val="0004774F"/>
    <w:rsid w:val="000522E4"/>
    <w:rsid w:val="00052303"/>
    <w:rsid w:val="00052498"/>
    <w:rsid w:val="000562AF"/>
    <w:rsid w:val="00060225"/>
    <w:rsid w:val="000610E1"/>
    <w:rsid w:val="0006277C"/>
    <w:rsid w:val="00062EC5"/>
    <w:rsid w:val="00062F22"/>
    <w:rsid w:val="000652B4"/>
    <w:rsid w:val="000675AD"/>
    <w:rsid w:val="00071196"/>
    <w:rsid w:val="000712B3"/>
    <w:rsid w:val="000722CF"/>
    <w:rsid w:val="00073AC2"/>
    <w:rsid w:val="00074873"/>
    <w:rsid w:val="0008263E"/>
    <w:rsid w:val="00082C19"/>
    <w:rsid w:val="0008376A"/>
    <w:rsid w:val="00085395"/>
    <w:rsid w:val="00087634"/>
    <w:rsid w:val="00087F2B"/>
    <w:rsid w:val="00096B50"/>
    <w:rsid w:val="000974A8"/>
    <w:rsid w:val="000974D1"/>
    <w:rsid w:val="0009799E"/>
    <w:rsid w:val="000A0257"/>
    <w:rsid w:val="000A1183"/>
    <w:rsid w:val="000A256D"/>
    <w:rsid w:val="000A3A2C"/>
    <w:rsid w:val="000A3F99"/>
    <w:rsid w:val="000B190B"/>
    <w:rsid w:val="000B30FA"/>
    <w:rsid w:val="000B3C40"/>
    <w:rsid w:val="000B3CA5"/>
    <w:rsid w:val="000C25F2"/>
    <w:rsid w:val="000C3408"/>
    <w:rsid w:val="000C6AFD"/>
    <w:rsid w:val="000D5637"/>
    <w:rsid w:val="000D642E"/>
    <w:rsid w:val="000D6CFA"/>
    <w:rsid w:val="000E0772"/>
    <w:rsid w:val="000E43B4"/>
    <w:rsid w:val="000E5351"/>
    <w:rsid w:val="000E6FBD"/>
    <w:rsid w:val="00100F5C"/>
    <w:rsid w:val="00101676"/>
    <w:rsid w:val="0010437D"/>
    <w:rsid w:val="00104C4C"/>
    <w:rsid w:val="00105452"/>
    <w:rsid w:val="00106B95"/>
    <w:rsid w:val="00107D20"/>
    <w:rsid w:val="0012192F"/>
    <w:rsid w:val="00125D69"/>
    <w:rsid w:val="00126E91"/>
    <w:rsid w:val="001359B8"/>
    <w:rsid w:val="001377CB"/>
    <w:rsid w:val="001405FA"/>
    <w:rsid w:val="001425C3"/>
    <w:rsid w:val="00143513"/>
    <w:rsid w:val="00145F42"/>
    <w:rsid w:val="00153C97"/>
    <w:rsid w:val="00155829"/>
    <w:rsid w:val="00161606"/>
    <w:rsid w:val="0016256B"/>
    <w:rsid w:val="00163793"/>
    <w:rsid w:val="00165278"/>
    <w:rsid w:val="001706D6"/>
    <w:rsid w:val="001706EA"/>
    <w:rsid w:val="001714F2"/>
    <w:rsid w:val="00174F62"/>
    <w:rsid w:val="001768ED"/>
    <w:rsid w:val="001771EA"/>
    <w:rsid w:val="00177916"/>
    <w:rsid w:val="00180D78"/>
    <w:rsid w:val="00184B08"/>
    <w:rsid w:val="00184B5C"/>
    <w:rsid w:val="00185010"/>
    <w:rsid w:val="0018528F"/>
    <w:rsid w:val="00185E38"/>
    <w:rsid w:val="001869B8"/>
    <w:rsid w:val="00192BCA"/>
    <w:rsid w:val="001A1912"/>
    <w:rsid w:val="001A2DD0"/>
    <w:rsid w:val="001A552F"/>
    <w:rsid w:val="001A5951"/>
    <w:rsid w:val="001A7621"/>
    <w:rsid w:val="001B2CA9"/>
    <w:rsid w:val="001B3110"/>
    <w:rsid w:val="001B4729"/>
    <w:rsid w:val="001B6C09"/>
    <w:rsid w:val="001C05CD"/>
    <w:rsid w:val="001C0B68"/>
    <w:rsid w:val="001C7D44"/>
    <w:rsid w:val="001D3F1E"/>
    <w:rsid w:val="001D4AB5"/>
    <w:rsid w:val="001D68B2"/>
    <w:rsid w:val="001D7EDB"/>
    <w:rsid w:val="001E0E41"/>
    <w:rsid w:val="001E2AAB"/>
    <w:rsid w:val="001E3265"/>
    <w:rsid w:val="001E3AB8"/>
    <w:rsid w:val="001E4CA4"/>
    <w:rsid w:val="001E57EE"/>
    <w:rsid w:val="001E680C"/>
    <w:rsid w:val="001E73B2"/>
    <w:rsid w:val="001F1B7D"/>
    <w:rsid w:val="001F4597"/>
    <w:rsid w:val="001F7DD3"/>
    <w:rsid w:val="0021138F"/>
    <w:rsid w:val="002118B9"/>
    <w:rsid w:val="00215DAD"/>
    <w:rsid w:val="00216AD5"/>
    <w:rsid w:val="00217C5B"/>
    <w:rsid w:val="00217CCC"/>
    <w:rsid w:val="002203FD"/>
    <w:rsid w:val="0022139E"/>
    <w:rsid w:val="002252E0"/>
    <w:rsid w:val="002255F6"/>
    <w:rsid w:val="00226A0F"/>
    <w:rsid w:val="00227850"/>
    <w:rsid w:val="00227A53"/>
    <w:rsid w:val="00230C6E"/>
    <w:rsid w:val="00231C42"/>
    <w:rsid w:val="00232285"/>
    <w:rsid w:val="00236048"/>
    <w:rsid w:val="00236443"/>
    <w:rsid w:val="002436BA"/>
    <w:rsid w:val="00244A15"/>
    <w:rsid w:val="00245A36"/>
    <w:rsid w:val="00246C9A"/>
    <w:rsid w:val="00247319"/>
    <w:rsid w:val="0024799E"/>
    <w:rsid w:val="00251D95"/>
    <w:rsid w:val="00253C0F"/>
    <w:rsid w:val="00253D4C"/>
    <w:rsid w:val="00256A1C"/>
    <w:rsid w:val="00257036"/>
    <w:rsid w:val="00257662"/>
    <w:rsid w:val="00265606"/>
    <w:rsid w:val="0026728F"/>
    <w:rsid w:val="00270278"/>
    <w:rsid w:val="00271465"/>
    <w:rsid w:val="00277304"/>
    <w:rsid w:val="002773F6"/>
    <w:rsid w:val="00277F3A"/>
    <w:rsid w:val="00282428"/>
    <w:rsid w:val="0028392B"/>
    <w:rsid w:val="00285412"/>
    <w:rsid w:val="002858F4"/>
    <w:rsid w:val="00285F60"/>
    <w:rsid w:val="002961FF"/>
    <w:rsid w:val="00297326"/>
    <w:rsid w:val="002A00BE"/>
    <w:rsid w:val="002A0537"/>
    <w:rsid w:val="002A16D4"/>
    <w:rsid w:val="002A1A8B"/>
    <w:rsid w:val="002A1CEC"/>
    <w:rsid w:val="002A230C"/>
    <w:rsid w:val="002B643E"/>
    <w:rsid w:val="002C05CC"/>
    <w:rsid w:val="002C43BD"/>
    <w:rsid w:val="002D0E59"/>
    <w:rsid w:val="002D1B28"/>
    <w:rsid w:val="002D3899"/>
    <w:rsid w:val="002E02A1"/>
    <w:rsid w:val="002E0A24"/>
    <w:rsid w:val="002E3A02"/>
    <w:rsid w:val="002E4CAA"/>
    <w:rsid w:val="002E4E4C"/>
    <w:rsid w:val="002F0504"/>
    <w:rsid w:val="002F607D"/>
    <w:rsid w:val="00300EE3"/>
    <w:rsid w:val="00302DD9"/>
    <w:rsid w:val="003044AF"/>
    <w:rsid w:val="00304771"/>
    <w:rsid w:val="003052D4"/>
    <w:rsid w:val="00306C5B"/>
    <w:rsid w:val="00311390"/>
    <w:rsid w:val="0031487B"/>
    <w:rsid w:val="00315DF2"/>
    <w:rsid w:val="003209D6"/>
    <w:rsid w:val="00321924"/>
    <w:rsid w:val="00321DDE"/>
    <w:rsid w:val="0032235A"/>
    <w:rsid w:val="00322DC1"/>
    <w:rsid w:val="00324EEC"/>
    <w:rsid w:val="0032643C"/>
    <w:rsid w:val="0032656E"/>
    <w:rsid w:val="00330CDD"/>
    <w:rsid w:val="00332190"/>
    <w:rsid w:val="00335F6A"/>
    <w:rsid w:val="003405F9"/>
    <w:rsid w:val="00344668"/>
    <w:rsid w:val="003462D9"/>
    <w:rsid w:val="00347261"/>
    <w:rsid w:val="0035096A"/>
    <w:rsid w:val="00350B58"/>
    <w:rsid w:val="0035176F"/>
    <w:rsid w:val="003552B6"/>
    <w:rsid w:val="0035708E"/>
    <w:rsid w:val="0036076A"/>
    <w:rsid w:val="003609B8"/>
    <w:rsid w:val="00360C86"/>
    <w:rsid w:val="00361B7D"/>
    <w:rsid w:val="003636A2"/>
    <w:rsid w:val="003657F3"/>
    <w:rsid w:val="003657FA"/>
    <w:rsid w:val="0036651D"/>
    <w:rsid w:val="00370BD6"/>
    <w:rsid w:val="00370D31"/>
    <w:rsid w:val="00372CD6"/>
    <w:rsid w:val="00374543"/>
    <w:rsid w:val="00374F83"/>
    <w:rsid w:val="0037686D"/>
    <w:rsid w:val="0038133B"/>
    <w:rsid w:val="00381389"/>
    <w:rsid w:val="003818DC"/>
    <w:rsid w:val="00381C62"/>
    <w:rsid w:val="0038272E"/>
    <w:rsid w:val="00384289"/>
    <w:rsid w:val="00384327"/>
    <w:rsid w:val="00385D98"/>
    <w:rsid w:val="0038632C"/>
    <w:rsid w:val="0038725E"/>
    <w:rsid w:val="00391FBE"/>
    <w:rsid w:val="00392130"/>
    <w:rsid w:val="0039463A"/>
    <w:rsid w:val="00394C23"/>
    <w:rsid w:val="00396FAF"/>
    <w:rsid w:val="003A2B4D"/>
    <w:rsid w:val="003A2C67"/>
    <w:rsid w:val="003A2D2A"/>
    <w:rsid w:val="003A478C"/>
    <w:rsid w:val="003A5525"/>
    <w:rsid w:val="003A6B38"/>
    <w:rsid w:val="003A78FF"/>
    <w:rsid w:val="003B04F2"/>
    <w:rsid w:val="003B1EAF"/>
    <w:rsid w:val="003B26E3"/>
    <w:rsid w:val="003B5A32"/>
    <w:rsid w:val="003B64A7"/>
    <w:rsid w:val="003C0BA9"/>
    <w:rsid w:val="003C209F"/>
    <w:rsid w:val="003C3490"/>
    <w:rsid w:val="003C38FC"/>
    <w:rsid w:val="003C601B"/>
    <w:rsid w:val="003C6B69"/>
    <w:rsid w:val="003D0F4F"/>
    <w:rsid w:val="003D6920"/>
    <w:rsid w:val="003E3C37"/>
    <w:rsid w:val="003E4C91"/>
    <w:rsid w:val="003E64F4"/>
    <w:rsid w:val="003F1873"/>
    <w:rsid w:val="003F313C"/>
    <w:rsid w:val="003F4B2C"/>
    <w:rsid w:val="003F551C"/>
    <w:rsid w:val="003F7D23"/>
    <w:rsid w:val="003F7F34"/>
    <w:rsid w:val="004022D8"/>
    <w:rsid w:val="00404BB0"/>
    <w:rsid w:val="004066CC"/>
    <w:rsid w:val="004071F1"/>
    <w:rsid w:val="00407C13"/>
    <w:rsid w:val="00410638"/>
    <w:rsid w:val="0041241E"/>
    <w:rsid w:val="00413919"/>
    <w:rsid w:val="00413923"/>
    <w:rsid w:val="00415731"/>
    <w:rsid w:val="00415A36"/>
    <w:rsid w:val="00417B81"/>
    <w:rsid w:val="00422B21"/>
    <w:rsid w:val="00425CDF"/>
    <w:rsid w:val="00432A58"/>
    <w:rsid w:val="00434617"/>
    <w:rsid w:val="004352A4"/>
    <w:rsid w:val="004373DF"/>
    <w:rsid w:val="00437453"/>
    <w:rsid w:val="004377C4"/>
    <w:rsid w:val="00440900"/>
    <w:rsid w:val="0044223A"/>
    <w:rsid w:val="004432B3"/>
    <w:rsid w:val="004440FE"/>
    <w:rsid w:val="004441A0"/>
    <w:rsid w:val="004453B9"/>
    <w:rsid w:val="004460FC"/>
    <w:rsid w:val="0044667F"/>
    <w:rsid w:val="00447329"/>
    <w:rsid w:val="004511CC"/>
    <w:rsid w:val="00451F24"/>
    <w:rsid w:val="004524C4"/>
    <w:rsid w:val="00453B04"/>
    <w:rsid w:val="00460FB3"/>
    <w:rsid w:val="00461007"/>
    <w:rsid w:val="00461B62"/>
    <w:rsid w:val="00462CDB"/>
    <w:rsid w:val="00467F89"/>
    <w:rsid w:val="00471D3F"/>
    <w:rsid w:val="00473D4E"/>
    <w:rsid w:val="00476240"/>
    <w:rsid w:val="00476439"/>
    <w:rsid w:val="0047735C"/>
    <w:rsid w:val="004776BC"/>
    <w:rsid w:val="0048113E"/>
    <w:rsid w:val="0048139F"/>
    <w:rsid w:val="004813AE"/>
    <w:rsid w:val="00481E40"/>
    <w:rsid w:val="0048385E"/>
    <w:rsid w:val="00483E6B"/>
    <w:rsid w:val="00484D52"/>
    <w:rsid w:val="00484ECE"/>
    <w:rsid w:val="004900FF"/>
    <w:rsid w:val="004907AB"/>
    <w:rsid w:val="0049149F"/>
    <w:rsid w:val="004915CB"/>
    <w:rsid w:val="004924DC"/>
    <w:rsid w:val="004A14E4"/>
    <w:rsid w:val="004A31C1"/>
    <w:rsid w:val="004A3212"/>
    <w:rsid w:val="004A37F3"/>
    <w:rsid w:val="004A61C5"/>
    <w:rsid w:val="004A6AC9"/>
    <w:rsid w:val="004A77DF"/>
    <w:rsid w:val="004B0288"/>
    <w:rsid w:val="004B1417"/>
    <w:rsid w:val="004B55B7"/>
    <w:rsid w:val="004B564D"/>
    <w:rsid w:val="004B6468"/>
    <w:rsid w:val="004B79E8"/>
    <w:rsid w:val="004C0781"/>
    <w:rsid w:val="004C0F5E"/>
    <w:rsid w:val="004C36AF"/>
    <w:rsid w:val="004C384C"/>
    <w:rsid w:val="004C3867"/>
    <w:rsid w:val="004C4C4A"/>
    <w:rsid w:val="004C4CD0"/>
    <w:rsid w:val="004C5ABF"/>
    <w:rsid w:val="004C70DC"/>
    <w:rsid w:val="004D0211"/>
    <w:rsid w:val="004D0233"/>
    <w:rsid w:val="004D0495"/>
    <w:rsid w:val="004D0794"/>
    <w:rsid w:val="004D1BAD"/>
    <w:rsid w:val="004E28A0"/>
    <w:rsid w:val="004E3132"/>
    <w:rsid w:val="004E34C7"/>
    <w:rsid w:val="004F04F3"/>
    <w:rsid w:val="004F0527"/>
    <w:rsid w:val="004F06F5"/>
    <w:rsid w:val="004F1E25"/>
    <w:rsid w:val="004F33A0"/>
    <w:rsid w:val="004F3FE2"/>
    <w:rsid w:val="004F44E4"/>
    <w:rsid w:val="0050059C"/>
    <w:rsid w:val="00500A8A"/>
    <w:rsid w:val="00501113"/>
    <w:rsid w:val="00502EDF"/>
    <w:rsid w:val="005108C0"/>
    <w:rsid w:val="00511873"/>
    <w:rsid w:val="00511B87"/>
    <w:rsid w:val="00512A2F"/>
    <w:rsid w:val="00513B7E"/>
    <w:rsid w:val="00515C74"/>
    <w:rsid w:val="00517A58"/>
    <w:rsid w:val="0052007E"/>
    <w:rsid w:val="0052337A"/>
    <w:rsid w:val="00523E81"/>
    <w:rsid w:val="00524B78"/>
    <w:rsid w:val="00525137"/>
    <w:rsid w:val="005251DD"/>
    <w:rsid w:val="005328D3"/>
    <w:rsid w:val="00532CE7"/>
    <w:rsid w:val="00532FD3"/>
    <w:rsid w:val="0053324C"/>
    <w:rsid w:val="00534A28"/>
    <w:rsid w:val="005377DA"/>
    <w:rsid w:val="00537BCC"/>
    <w:rsid w:val="00541508"/>
    <w:rsid w:val="005415A8"/>
    <w:rsid w:val="00542531"/>
    <w:rsid w:val="00543CC2"/>
    <w:rsid w:val="00544286"/>
    <w:rsid w:val="005444C6"/>
    <w:rsid w:val="00550835"/>
    <w:rsid w:val="00551C14"/>
    <w:rsid w:val="0055599F"/>
    <w:rsid w:val="00556D68"/>
    <w:rsid w:val="00560A04"/>
    <w:rsid w:val="00561055"/>
    <w:rsid w:val="005647BF"/>
    <w:rsid w:val="00572177"/>
    <w:rsid w:val="0057277C"/>
    <w:rsid w:val="0057364B"/>
    <w:rsid w:val="00574773"/>
    <w:rsid w:val="00583FFD"/>
    <w:rsid w:val="00586EBB"/>
    <w:rsid w:val="00591005"/>
    <w:rsid w:val="005911BE"/>
    <w:rsid w:val="0059291F"/>
    <w:rsid w:val="00593152"/>
    <w:rsid w:val="005962BB"/>
    <w:rsid w:val="005A10F2"/>
    <w:rsid w:val="005A1638"/>
    <w:rsid w:val="005A21E0"/>
    <w:rsid w:val="005A28FF"/>
    <w:rsid w:val="005A3DF8"/>
    <w:rsid w:val="005A3E66"/>
    <w:rsid w:val="005A5549"/>
    <w:rsid w:val="005A63A4"/>
    <w:rsid w:val="005A73C5"/>
    <w:rsid w:val="005B121D"/>
    <w:rsid w:val="005C064F"/>
    <w:rsid w:val="005C06ED"/>
    <w:rsid w:val="005C0BEE"/>
    <w:rsid w:val="005C496F"/>
    <w:rsid w:val="005C661C"/>
    <w:rsid w:val="005D14C3"/>
    <w:rsid w:val="005D57CF"/>
    <w:rsid w:val="005D5802"/>
    <w:rsid w:val="005D5A37"/>
    <w:rsid w:val="005D7890"/>
    <w:rsid w:val="005E16DB"/>
    <w:rsid w:val="005E46F7"/>
    <w:rsid w:val="005E7C78"/>
    <w:rsid w:val="005F31CD"/>
    <w:rsid w:val="005F3EB1"/>
    <w:rsid w:val="005F5469"/>
    <w:rsid w:val="0060061C"/>
    <w:rsid w:val="00600B22"/>
    <w:rsid w:val="00602326"/>
    <w:rsid w:val="00604307"/>
    <w:rsid w:val="0060487F"/>
    <w:rsid w:val="00604EAD"/>
    <w:rsid w:val="006054AC"/>
    <w:rsid w:val="0061019A"/>
    <w:rsid w:val="006104FB"/>
    <w:rsid w:val="00610CD5"/>
    <w:rsid w:val="00612A2F"/>
    <w:rsid w:val="006145A9"/>
    <w:rsid w:val="00616E05"/>
    <w:rsid w:val="00617700"/>
    <w:rsid w:val="0062225A"/>
    <w:rsid w:val="00624093"/>
    <w:rsid w:val="00626EB8"/>
    <w:rsid w:val="00631FED"/>
    <w:rsid w:val="00632857"/>
    <w:rsid w:val="0063722E"/>
    <w:rsid w:val="006404A7"/>
    <w:rsid w:val="0064296A"/>
    <w:rsid w:val="00642D96"/>
    <w:rsid w:val="0064464A"/>
    <w:rsid w:val="006451E4"/>
    <w:rsid w:val="00645B33"/>
    <w:rsid w:val="00646128"/>
    <w:rsid w:val="00650B10"/>
    <w:rsid w:val="006516CB"/>
    <w:rsid w:val="006575B3"/>
    <w:rsid w:val="00657E87"/>
    <w:rsid w:val="0066068F"/>
    <w:rsid w:val="00661D9C"/>
    <w:rsid w:val="00661F17"/>
    <w:rsid w:val="00661F19"/>
    <w:rsid w:val="00664803"/>
    <w:rsid w:val="006655D4"/>
    <w:rsid w:val="00665BA4"/>
    <w:rsid w:val="006662CA"/>
    <w:rsid w:val="00667858"/>
    <w:rsid w:val="00667AF2"/>
    <w:rsid w:val="00670342"/>
    <w:rsid w:val="00670A6B"/>
    <w:rsid w:val="006710C9"/>
    <w:rsid w:val="00671960"/>
    <w:rsid w:val="00671EEE"/>
    <w:rsid w:val="00673DCF"/>
    <w:rsid w:val="00674D89"/>
    <w:rsid w:val="00675E37"/>
    <w:rsid w:val="00676201"/>
    <w:rsid w:val="00680390"/>
    <w:rsid w:val="0068174E"/>
    <w:rsid w:val="00681DCE"/>
    <w:rsid w:val="0068260E"/>
    <w:rsid w:val="00684AA4"/>
    <w:rsid w:val="00686C69"/>
    <w:rsid w:val="006878BE"/>
    <w:rsid w:val="00693023"/>
    <w:rsid w:val="00695BEF"/>
    <w:rsid w:val="006977F6"/>
    <w:rsid w:val="00697A13"/>
    <w:rsid w:val="006A109C"/>
    <w:rsid w:val="006A14BB"/>
    <w:rsid w:val="006A4068"/>
    <w:rsid w:val="006A7BCA"/>
    <w:rsid w:val="006B344A"/>
    <w:rsid w:val="006B6D44"/>
    <w:rsid w:val="006B78D8"/>
    <w:rsid w:val="006C113F"/>
    <w:rsid w:val="006C123E"/>
    <w:rsid w:val="006C18FF"/>
    <w:rsid w:val="006C42D5"/>
    <w:rsid w:val="006C56D4"/>
    <w:rsid w:val="006C6924"/>
    <w:rsid w:val="006C7CA6"/>
    <w:rsid w:val="006C7D54"/>
    <w:rsid w:val="006D3E8A"/>
    <w:rsid w:val="006D42A0"/>
    <w:rsid w:val="006D618B"/>
    <w:rsid w:val="006D61F6"/>
    <w:rsid w:val="006E279A"/>
    <w:rsid w:val="006E313B"/>
    <w:rsid w:val="006E3982"/>
    <w:rsid w:val="006E5778"/>
    <w:rsid w:val="006E69A1"/>
    <w:rsid w:val="006E6AB3"/>
    <w:rsid w:val="006F113C"/>
    <w:rsid w:val="006F11B0"/>
    <w:rsid w:val="006F40AA"/>
    <w:rsid w:val="006F5416"/>
    <w:rsid w:val="006F580E"/>
    <w:rsid w:val="006F7137"/>
    <w:rsid w:val="00700B3E"/>
    <w:rsid w:val="00700CEF"/>
    <w:rsid w:val="0070383F"/>
    <w:rsid w:val="00703854"/>
    <w:rsid w:val="00704989"/>
    <w:rsid w:val="00705162"/>
    <w:rsid w:val="00706AD4"/>
    <w:rsid w:val="00710F87"/>
    <w:rsid w:val="00711A3B"/>
    <w:rsid w:val="00713C46"/>
    <w:rsid w:val="00713D1B"/>
    <w:rsid w:val="007140BE"/>
    <w:rsid w:val="007211F5"/>
    <w:rsid w:val="007241C5"/>
    <w:rsid w:val="00724A05"/>
    <w:rsid w:val="00724D4A"/>
    <w:rsid w:val="00725BB5"/>
    <w:rsid w:val="00730AE8"/>
    <w:rsid w:val="00736595"/>
    <w:rsid w:val="00741493"/>
    <w:rsid w:val="00752180"/>
    <w:rsid w:val="0075396C"/>
    <w:rsid w:val="00755202"/>
    <w:rsid w:val="00755D3A"/>
    <w:rsid w:val="00757542"/>
    <w:rsid w:val="007578D3"/>
    <w:rsid w:val="007609C6"/>
    <w:rsid w:val="0076175D"/>
    <w:rsid w:val="007622BE"/>
    <w:rsid w:val="0076521E"/>
    <w:rsid w:val="007661E9"/>
    <w:rsid w:val="00767C3C"/>
    <w:rsid w:val="0077346A"/>
    <w:rsid w:val="00775419"/>
    <w:rsid w:val="00776169"/>
    <w:rsid w:val="00776527"/>
    <w:rsid w:val="00776A26"/>
    <w:rsid w:val="00780EF1"/>
    <w:rsid w:val="007872B7"/>
    <w:rsid w:val="00790764"/>
    <w:rsid w:val="00790B93"/>
    <w:rsid w:val="007941AC"/>
    <w:rsid w:val="0079453C"/>
    <w:rsid w:val="00794677"/>
    <w:rsid w:val="00794B90"/>
    <w:rsid w:val="00795664"/>
    <w:rsid w:val="007960ED"/>
    <w:rsid w:val="007A4D36"/>
    <w:rsid w:val="007B03FA"/>
    <w:rsid w:val="007B0701"/>
    <w:rsid w:val="007B36AD"/>
    <w:rsid w:val="007B50D7"/>
    <w:rsid w:val="007B5824"/>
    <w:rsid w:val="007B6689"/>
    <w:rsid w:val="007C22C0"/>
    <w:rsid w:val="007C3147"/>
    <w:rsid w:val="007C6359"/>
    <w:rsid w:val="007D2E78"/>
    <w:rsid w:val="007D333B"/>
    <w:rsid w:val="007D40DF"/>
    <w:rsid w:val="007D4F06"/>
    <w:rsid w:val="007D615C"/>
    <w:rsid w:val="007E06C7"/>
    <w:rsid w:val="007E08BA"/>
    <w:rsid w:val="007E7E61"/>
    <w:rsid w:val="007F0845"/>
    <w:rsid w:val="007F4035"/>
    <w:rsid w:val="0080340D"/>
    <w:rsid w:val="00807C82"/>
    <w:rsid w:val="008126FD"/>
    <w:rsid w:val="00816905"/>
    <w:rsid w:val="00821BA1"/>
    <w:rsid w:val="00821FF6"/>
    <w:rsid w:val="008259FD"/>
    <w:rsid w:val="00825C4D"/>
    <w:rsid w:val="008266C6"/>
    <w:rsid w:val="00831173"/>
    <w:rsid w:val="0083143E"/>
    <w:rsid w:val="0083196B"/>
    <w:rsid w:val="00831CDE"/>
    <w:rsid w:val="00834304"/>
    <w:rsid w:val="00834FAA"/>
    <w:rsid w:val="0083517C"/>
    <w:rsid w:val="00835641"/>
    <w:rsid w:val="00836086"/>
    <w:rsid w:val="00840277"/>
    <w:rsid w:val="00844690"/>
    <w:rsid w:val="00844FBA"/>
    <w:rsid w:val="0084708F"/>
    <w:rsid w:val="00847387"/>
    <w:rsid w:val="008477C8"/>
    <w:rsid w:val="00850A1B"/>
    <w:rsid w:val="0085114D"/>
    <w:rsid w:val="00852217"/>
    <w:rsid w:val="00853033"/>
    <w:rsid w:val="00855408"/>
    <w:rsid w:val="00855978"/>
    <w:rsid w:val="00856D65"/>
    <w:rsid w:val="0086010C"/>
    <w:rsid w:val="008616F7"/>
    <w:rsid w:val="00861B41"/>
    <w:rsid w:val="008627B7"/>
    <w:rsid w:val="00863434"/>
    <w:rsid w:val="00865E4C"/>
    <w:rsid w:val="00867A29"/>
    <w:rsid w:val="00867F67"/>
    <w:rsid w:val="008701E4"/>
    <w:rsid w:val="008703A0"/>
    <w:rsid w:val="0087102D"/>
    <w:rsid w:val="00875A32"/>
    <w:rsid w:val="00876086"/>
    <w:rsid w:val="008769E4"/>
    <w:rsid w:val="00877802"/>
    <w:rsid w:val="0088045B"/>
    <w:rsid w:val="0088375E"/>
    <w:rsid w:val="008873D4"/>
    <w:rsid w:val="00893E85"/>
    <w:rsid w:val="00894031"/>
    <w:rsid w:val="008A3B50"/>
    <w:rsid w:val="008B012A"/>
    <w:rsid w:val="008B4180"/>
    <w:rsid w:val="008B62E3"/>
    <w:rsid w:val="008B7C02"/>
    <w:rsid w:val="008B7D2B"/>
    <w:rsid w:val="008B7D64"/>
    <w:rsid w:val="008C0049"/>
    <w:rsid w:val="008C0BDB"/>
    <w:rsid w:val="008C0E88"/>
    <w:rsid w:val="008C3456"/>
    <w:rsid w:val="008C65CE"/>
    <w:rsid w:val="008D1E6A"/>
    <w:rsid w:val="008D2A16"/>
    <w:rsid w:val="008D2F51"/>
    <w:rsid w:val="008D40A9"/>
    <w:rsid w:val="008D48F1"/>
    <w:rsid w:val="008D7B44"/>
    <w:rsid w:val="008E2C57"/>
    <w:rsid w:val="008E31FF"/>
    <w:rsid w:val="008E59DA"/>
    <w:rsid w:val="008E6F06"/>
    <w:rsid w:val="008E73DA"/>
    <w:rsid w:val="008E7461"/>
    <w:rsid w:val="008F029B"/>
    <w:rsid w:val="008F3FC9"/>
    <w:rsid w:val="008F585B"/>
    <w:rsid w:val="009003A8"/>
    <w:rsid w:val="00902500"/>
    <w:rsid w:val="00902EFF"/>
    <w:rsid w:val="009030AD"/>
    <w:rsid w:val="00903C13"/>
    <w:rsid w:val="00905511"/>
    <w:rsid w:val="00906401"/>
    <w:rsid w:val="0091155E"/>
    <w:rsid w:val="0091261F"/>
    <w:rsid w:val="009128F9"/>
    <w:rsid w:val="00912A92"/>
    <w:rsid w:val="00912DA3"/>
    <w:rsid w:val="00913648"/>
    <w:rsid w:val="00916F74"/>
    <w:rsid w:val="0091728D"/>
    <w:rsid w:val="009208D0"/>
    <w:rsid w:val="0092180B"/>
    <w:rsid w:val="00921C1C"/>
    <w:rsid w:val="00921F14"/>
    <w:rsid w:val="00922D0B"/>
    <w:rsid w:val="00923F2E"/>
    <w:rsid w:val="00924AC8"/>
    <w:rsid w:val="00925157"/>
    <w:rsid w:val="0092597A"/>
    <w:rsid w:val="00930F05"/>
    <w:rsid w:val="00932443"/>
    <w:rsid w:val="009342FC"/>
    <w:rsid w:val="00936F07"/>
    <w:rsid w:val="00937AE2"/>
    <w:rsid w:val="009407AF"/>
    <w:rsid w:val="0094191B"/>
    <w:rsid w:val="00941EC8"/>
    <w:rsid w:val="0094427A"/>
    <w:rsid w:val="00945181"/>
    <w:rsid w:val="00951947"/>
    <w:rsid w:val="0095348F"/>
    <w:rsid w:val="00954E16"/>
    <w:rsid w:val="00956085"/>
    <w:rsid w:val="009562CF"/>
    <w:rsid w:val="0095784F"/>
    <w:rsid w:val="00957C6D"/>
    <w:rsid w:val="009627E0"/>
    <w:rsid w:val="00964EAF"/>
    <w:rsid w:val="00967E2C"/>
    <w:rsid w:val="00974923"/>
    <w:rsid w:val="00980965"/>
    <w:rsid w:val="00980D3D"/>
    <w:rsid w:val="00982C1D"/>
    <w:rsid w:val="00984DE9"/>
    <w:rsid w:val="00987A30"/>
    <w:rsid w:val="00987D5E"/>
    <w:rsid w:val="00987E13"/>
    <w:rsid w:val="00991A19"/>
    <w:rsid w:val="00992CF3"/>
    <w:rsid w:val="009967C9"/>
    <w:rsid w:val="009968D6"/>
    <w:rsid w:val="009A1CAB"/>
    <w:rsid w:val="009A1D80"/>
    <w:rsid w:val="009A2109"/>
    <w:rsid w:val="009A3306"/>
    <w:rsid w:val="009A60D1"/>
    <w:rsid w:val="009B330C"/>
    <w:rsid w:val="009B37AD"/>
    <w:rsid w:val="009B6FD3"/>
    <w:rsid w:val="009C0542"/>
    <w:rsid w:val="009C1750"/>
    <w:rsid w:val="009C2E29"/>
    <w:rsid w:val="009C3182"/>
    <w:rsid w:val="009C554B"/>
    <w:rsid w:val="009C719E"/>
    <w:rsid w:val="009D3ACD"/>
    <w:rsid w:val="009E2142"/>
    <w:rsid w:val="009E3521"/>
    <w:rsid w:val="009E4AAB"/>
    <w:rsid w:val="009E5273"/>
    <w:rsid w:val="009E5DDB"/>
    <w:rsid w:val="009E707F"/>
    <w:rsid w:val="009E7132"/>
    <w:rsid w:val="009F0058"/>
    <w:rsid w:val="009F0B87"/>
    <w:rsid w:val="009F305A"/>
    <w:rsid w:val="009F34CD"/>
    <w:rsid w:val="009F421D"/>
    <w:rsid w:val="009F4CA7"/>
    <w:rsid w:val="009F67D0"/>
    <w:rsid w:val="009F68D8"/>
    <w:rsid w:val="00A100AA"/>
    <w:rsid w:val="00A101F1"/>
    <w:rsid w:val="00A10BE6"/>
    <w:rsid w:val="00A10D66"/>
    <w:rsid w:val="00A13390"/>
    <w:rsid w:val="00A14114"/>
    <w:rsid w:val="00A16413"/>
    <w:rsid w:val="00A1643E"/>
    <w:rsid w:val="00A23E43"/>
    <w:rsid w:val="00A26AF3"/>
    <w:rsid w:val="00A30F65"/>
    <w:rsid w:val="00A321B6"/>
    <w:rsid w:val="00A416CF"/>
    <w:rsid w:val="00A418BC"/>
    <w:rsid w:val="00A45322"/>
    <w:rsid w:val="00A46DE0"/>
    <w:rsid w:val="00A47BC0"/>
    <w:rsid w:val="00A50D73"/>
    <w:rsid w:val="00A52CAD"/>
    <w:rsid w:val="00A52F24"/>
    <w:rsid w:val="00A53FC7"/>
    <w:rsid w:val="00A55A64"/>
    <w:rsid w:val="00A6186A"/>
    <w:rsid w:val="00A62CE1"/>
    <w:rsid w:val="00A6741E"/>
    <w:rsid w:val="00A71AB2"/>
    <w:rsid w:val="00A75E40"/>
    <w:rsid w:val="00A76157"/>
    <w:rsid w:val="00A771D5"/>
    <w:rsid w:val="00A77D1D"/>
    <w:rsid w:val="00A808DE"/>
    <w:rsid w:val="00A80D3E"/>
    <w:rsid w:val="00A81B9F"/>
    <w:rsid w:val="00A81C2F"/>
    <w:rsid w:val="00A83569"/>
    <w:rsid w:val="00A83595"/>
    <w:rsid w:val="00A857C0"/>
    <w:rsid w:val="00A9119B"/>
    <w:rsid w:val="00A9687B"/>
    <w:rsid w:val="00A979CA"/>
    <w:rsid w:val="00AA0B8D"/>
    <w:rsid w:val="00AA1E11"/>
    <w:rsid w:val="00AA2996"/>
    <w:rsid w:val="00AA52BF"/>
    <w:rsid w:val="00AA559A"/>
    <w:rsid w:val="00AA60F7"/>
    <w:rsid w:val="00AB10AA"/>
    <w:rsid w:val="00AB2AF1"/>
    <w:rsid w:val="00AB3D6B"/>
    <w:rsid w:val="00AC5641"/>
    <w:rsid w:val="00AC6D21"/>
    <w:rsid w:val="00AC7EEB"/>
    <w:rsid w:val="00AD0A47"/>
    <w:rsid w:val="00AD306C"/>
    <w:rsid w:val="00AD40C0"/>
    <w:rsid w:val="00AD5696"/>
    <w:rsid w:val="00AD62A2"/>
    <w:rsid w:val="00AD7EB3"/>
    <w:rsid w:val="00AE09B3"/>
    <w:rsid w:val="00AE1A83"/>
    <w:rsid w:val="00AE3DD0"/>
    <w:rsid w:val="00AE4AEB"/>
    <w:rsid w:val="00AE5AA4"/>
    <w:rsid w:val="00AF2FBF"/>
    <w:rsid w:val="00B00913"/>
    <w:rsid w:val="00B0095F"/>
    <w:rsid w:val="00B01127"/>
    <w:rsid w:val="00B01593"/>
    <w:rsid w:val="00B02687"/>
    <w:rsid w:val="00B07661"/>
    <w:rsid w:val="00B10A4D"/>
    <w:rsid w:val="00B12C5F"/>
    <w:rsid w:val="00B15EBE"/>
    <w:rsid w:val="00B165C1"/>
    <w:rsid w:val="00B17E71"/>
    <w:rsid w:val="00B17FDE"/>
    <w:rsid w:val="00B212D5"/>
    <w:rsid w:val="00B2379C"/>
    <w:rsid w:val="00B23CF8"/>
    <w:rsid w:val="00B2687D"/>
    <w:rsid w:val="00B32DDB"/>
    <w:rsid w:val="00B34528"/>
    <w:rsid w:val="00B34EC0"/>
    <w:rsid w:val="00B402FC"/>
    <w:rsid w:val="00B40FC2"/>
    <w:rsid w:val="00B414A5"/>
    <w:rsid w:val="00B44634"/>
    <w:rsid w:val="00B46604"/>
    <w:rsid w:val="00B527E8"/>
    <w:rsid w:val="00B530CD"/>
    <w:rsid w:val="00B55F5E"/>
    <w:rsid w:val="00B56D19"/>
    <w:rsid w:val="00B5752E"/>
    <w:rsid w:val="00B606BA"/>
    <w:rsid w:val="00B608FE"/>
    <w:rsid w:val="00B63A11"/>
    <w:rsid w:val="00B64C24"/>
    <w:rsid w:val="00B6608F"/>
    <w:rsid w:val="00B679FB"/>
    <w:rsid w:val="00B67A38"/>
    <w:rsid w:val="00B71CB0"/>
    <w:rsid w:val="00B71F7A"/>
    <w:rsid w:val="00B74855"/>
    <w:rsid w:val="00B75B87"/>
    <w:rsid w:val="00B76D1E"/>
    <w:rsid w:val="00B80EC6"/>
    <w:rsid w:val="00B8489E"/>
    <w:rsid w:val="00B9122C"/>
    <w:rsid w:val="00B92D1D"/>
    <w:rsid w:val="00B938C5"/>
    <w:rsid w:val="00B9558B"/>
    <w:rsid w:val="00B95940"/>
    <w:rsid w:val="00B97091"/>
    <w:rsid w:val="00BA0B39"/>
    <w:rsid w:val="00BA34E3"/>
    <w:rsid w:val="00BA6B4E"/>
    <w:rsid w:val="00BB0B2B"/>
    <w:rsid w:val="00BB46F3"/>
    <w:rsid w:val="00BB4CB1"/>
    <w:rsid w:val="00BB4F98"/>
    <w:rsid w:val="00BB534D"/>
    <w:rsid w:val="00BC093C"/>
    <w:rsid w:val="00BC19BE"/>
    <w:rsid w:val="00BC1D43"/>
    <w:rsid w:val="00BC7154"/>
    <w:rsid w:val="00BD10B4"/>
    <w:rsid w:val="00BD366B"/>
    <w:rsid w:val="00BD6D50"/>
    <w:rsid w:val="00BE18B9"/>
    <w:rsid w:val="00BE1C2C"/>
    <w:rsid w:val="00BE2495"/>
    <w:rsid w:val="00BE4399"/>
    <w:rsid w:val="00BE43F5"/>
    <w:rsid w:val="00BF0828"/>
    <w:rsid w:val="00BF1578"/>
    <w:rsid w:val="00BF2411"/>
    <w:rsid w:val="00BF4256"/>
    <w:rsid w:val="00BF6635"/>
    <w:rsid w:val="00BF6EF4"/>
    <w:rsid w:val="00C02C40"/>
    <w:rsid w:val="00C0303E"/>
    <w:rsid w:val="00C035D0"/>
    <w:rsid w:val="00C05AB7"/>
    <w:rsid w:val="00C112EA"/>
    <w:rsid w:val="00C13A9E"/>
    <w:rsid w:val="00C15989"/>
    <w:rsid w:val="00C20DA9"/>
    <w:rsid w:val="00C21F94"/>
    <w:rsid w:val="00C22014"/>
    <w:rsid w:val="00C24683"/>
    <w:rsid w:val="00C27913"/>
    <w:rsid w:val="00C27ECC"/>
    <w:rsid w:val="00C32AD8"/>
    <w:rsid w:val="00C33B68"/>
    <w:rsid w:val="00C34A10"/>
    <w:rsid w:val="00C35DBB"/>
    <w:rsid w:val="00C36087"/>
    <w:rsid w:val="00C36A79"/>
    <w:rsid w:val="00C36BB1"/>
    <w:rsid w:val="00C36F71"/>
    <w:rsid w:val="00C37177"/>
    <w:rsid w:val="00C371A5"/>
    <w:rsid w:val="00C37437"/>
    <w:rsid w:val="00C405D4"/>
    <w:rsid w:val="00C42F7D"/>
    <w:rsid w:val="00C43670"/>
    <w:rsid w:val="00C44482"/>
    <w:rsid w:val="00C4513B"/>
    <w:rsid w:val="00C5031D"/>
    <w:rsid w:val="00C5419A"/>
    <w:rsid w:val="00C54697"/>
    <w:rsid w:val="00C5499E"/>
    <w:rsid w:val="00C56C80"/>
    <w:rsid w:val="00C577E3"/>
    <w:rsid w:val="00C6313F"/>
    <w:rsid w:val="00C73885"/>
    <w:rsid w:val="00C747B1"/>
    <w:rsid w:val="00C75F07"/>
    <w:rsid w:val="00C7753B"/>
    <w:rsid w:val="00C82191"/>
    <w:rsid w:val="00C83A1D"/>
    <w:rsid w:val="00C90CF4"/>
    <w:rsid w:val="00C92EB6"/>
    <w:rsid w:val="00C93050"/>
    <w:rsid w:val="00C93389"/>
    <w:rsid w:val="00C96C0D"/>
    <w:rsid w:val="00C97CF3"/>
    <w:rsid w:val="00CA23A5"/>
    <w:rsid w:val="00CA3130"/>
    <w:rsid w:val="00CA3FFD"/>
    <w:rsid w:val="00CA656C"/>
    <w:rsid w:val="00CB1614"/>
    <w:rsid w:val="00CB4930"/>
    <w:rsid w:val="00CB4EF7"/>
    <w:rsid w:val="00CC2E7D"/>
    <w:rsid w:val="00CD10A5"/>
    <w:rsid w:val="00CD1FD8"/>
    <w:rsid w:val="00CD2076"/>
    <w:rsid w:val="00CD26D6"/>
    <w:rsid w:val="00CD287A"/>
    <w:rsid w:val="00CD63E8"/>
    <w:rsid w:val="00CD6F60"/>
    <w:rsid w:val="00CD7B6E"/>
    <w:rsid w:val="00CE1DDB"/>
    <w:rsid w:val="00CE1E85"/>
    <w:rsid w:val="00CE2C2A"/>
    <w:rsid w:val="00CE53E0"/>
    <w:rsid w:val="00CE670B"/>
    <w:rsid w:val="00CF05FA"/>
    <w:rsid w:val="00CF0B5E"/>
    <w:rsid w:val="00CF1C7A"/>
    <w:rsid w:val="00CF2EE9"/>
    <w:rsid w:val="00CF3713"/>
    <w:rsid w:val="00CF385D"/>
    <w:rsid w:val="00CF51EC"/>
    <w:rsid w:val="00CF6DC0"/>
    <w:rsid w:val="00CF73AE"/>
    <w:rsid w:val="00D01776"/>
    <w:rsid w:val="00D040DD"/>
    <w:rsid w:val="00D042B7"/>
    <w:rsid w:val="00D04AA1"/>
    <w:rsid w:val="00D07285"/>
    <w:rsid w:val="00D12BE0"/>
    <w:rsid w:val="00D13986"/>
    <w:rsid w:val="00D20F57"/>
    <w:rsid w:val="00D235B7"/>
    <w:rsid w:val="00D2519A"/>
    <w:rsid w:val="00D25F28"/>
    <w:rsid w:val="00D27973"/>
    <w:rsid w:val="00D3132C"/>
    <w:rsid w:val="00D35F0C"/>
    <w:rsid w:val="00D45F63"/>
    <w:rsid w:val="00D50F46"/>
    <w:rsid w:val="00D529DD"/>
    <w:rsid w:val="00D56CD5"/>
    <w:rsid w:val="00D56D90"/>
    <w:rsid w:val="00D60D93"/>
    <w:rsid w:val="00D60D97"/>
    <w:rsid w:val="00D62BC0"/>
    <w:rsid w:val="00D63625"/>
    <w:rsid w:val="00D66223"/>
    <w:rsid w:val="00D72727"/>
    <w:rsid w:val="00D8084C"/>
    <w:rsid w:val="00D872A2"/>
    <w:rsid w:val="00D91258"/>
    <w:rsid w:val="00D92E20"/>
    <w:rsid w:val="00D93ABC"/>
    <w:rsid w:val="00D95A86"/>
    <w:rsid w:val="00DA3030"/>
    <w:rsid w:val="00DA5195"/>
    <w:rsid w:val="00DA5329"/>
    <w:rsid w:val="00DA558F"/>
    <w:rsid w:val="00DA7C0C"/>
    <w:rsid w:val="00DB17FF"/>
    <w:rsid w:val="00DB2EC8"/>
    <w:rsid w:val="00DB3BD8"/>
    <w:rsid w:val="00DC0DB3"/>
    <w:rsid w:val="00DC4882"/>
    <w:rsid w:val="00DC4ACC"/>
    <w:rsid w:val="00DC5B3B"/>
    <w:rsid w:val="00DD0824"/>
    <w:rsid w:val="00DD129F"/>
    <w:rsid w:val="00DD31CC"/>
    <w:rsid w:val="00DD6AF4"/>
    <w:rsid w:val="00DE09A0"/>
    <w:rsid w:val="00DE263C"/>
    <w:rsid w:val="00DE42AF"/>
    <w:rsid w:val="00DF07A5"/>
    <w:rsid w:val="00DF284E"/>
    <w:rsid w:val="00DF42FF"/>
    <w:rsid w:val="00DF6387"/>
    <w:rsid w:val="00E01C0E"/>
    <w:rsid w:val="00E0329C"/>
    <w:rsid w:val="00E03841"/>
    <w:rsid w:val="00E03972"/>
    <w:rsid w:val="00E03F9A"/>
    <w:rsid w:val="00E04694"/>
    <w:rsid w:val="00E061D9"/>
    <w:rsid w:val="00E10DD4"/>
    <w:rsid w:val="00E12B1E"/>
    <w:rsid w:val="00E13B88"/>
    <w:rsid w:val="00E14771"/>
    <w:rsid w:val="00E14C0A"/>
    <w:rsid w:val="00E17262"/>
    <w:rsid w:val="00E206F0"/>
    <w:rsid w:val="00E253A2"/>
    <w:rsid w:val="00E3009C"/>
    <w:rsid w:val="00E31C79"/>
    <w:rsid w:val="00E32371"/>
    <w:rsid w:val="00E3309D"/>
    <w:rsid w:val="00E34258"/>
    <w:rsid w:val="00E371CF"/>
    <w:rsid w:val="00E404AC"/>
    <w:rsid w:val="00E44890"/>
    <w:rsid w:val="00E454C5"/>
    <w:rsid w:val="00E45AD8"/>
    <w:rsid w:val="00E45F00"/>
    <w:rsid w:val="00E50156"/>
    <w:rsid w:val="00E50FF6"/>
    <w:rsid w:val="00E53470"/>
    <w:rsid w:val="00E539F6"/>
    <w:rsid w:val="00E57135"/>
    <w:rsid w:val="00E6519D"/>
    <w:rsid w:val="00E65904"/>
    <w:rsid w:val="00E6607F"/>
    <w:rsid w:val="00E67696"/>
    <w:rsid w:val="00E71A58"/>
    <w:rsid w:val="00E72A7A"/>
    <w:rsid w:val="00E73F0C"/>
    <w:rsid w:val="00E75C94"/>
    <w:rsid w:val="00E8019A"/>
    <w:rsid w:val="00E83157"/>
    <w:rsid w:val="00E85509"/>
    <w:rsid w:val="00E863E8"/>
    <w:rsid w:val="00E87615"/>
    <w:rsid w:val="00E9284B"/>
    <w:rsid w:val="00E93820"/>
    <w:rsid w:val="00EA098E"/>
    <w:rsid w:val="00EA0C68"/>
    <w:rsid w:val="00EA0F31"/>
    <w:rsid w:val="00EA20BB"/>
    <w:rsid w:val="00EA2DCF"/>
    <w:rsid w:val="00EA32BC"/>
    <w:rsid w:val="00EA5FF4"/>
    <w:rsid w:val="00EB2AD1"/>
    <w:rsid w:val="00EB4511"/>
    <w:rsid w:val="00EB48F6"/>
    <w:rsid w:val="00EB4EAA"/>
    <w:rsid w:val="00EB5555"/>
    <w:rsid w:val="00EC03D7"/>
    <w:rsid w:val="00EC21A5"/>
    <w:rsid w:val="00EC4C52"/>
    <w:rsid w:val="00EC525E"/>
    <w:rsid w:val="00EC5EBA"/>
    <w:rsid w:val="00EC684E"/>
    <w:rsid w:val="00ED0B23"/>
    <w:rsid w:val="00ED103E"/>
    <w:rsid w:val="00ED62C6"/>
    <w:rsid w:val="00ED64C1"/>
    <w:rsid w:val="00ED6777"/>
    <w:rsid w:val="00EE30F5"/>
    <w:rsid w:val="00EE3446"/>
    <w:rsid w:val="00EE3E78"/>
    <w:rsid w:val="00EE4B1B"/>
    <w:rsid w:val="00EF150D"/>
    <w:rsid w:val="00EF1F5A"/>
    <w:rsid w:val="00EF2129"/>
    <w:rsid w:val="00EF47BF"/>
    <w:rsid w:val="00F00430"/>
    <w:rsid w:val="00F04811"/>
    <w:rsid w:val="00F0488C"/>
    <w:rsid w:val="00F05F5E"/>
    <w:rsid w:val="00F10F11"/>
    <w:rsid w:val="00F12400"/>
    <w:rsid w:val="00F13B38"/>
    <w:rsid w:val="00F15AAA"/>
    <w:rsid w:val="00F15BEF"/>
    <w:rsid w:val="00F163D5"/>
    <w:rsid w:val="00F20CF3"/>
    <w:rsid w:val="00F24407"/>
    <w:rsid w:val="00F24FAA"/>
    <w:rsid w:val="00F25CD1"/>
    <w:rsid w:val="00F27CE9"/>
    <w:rsid w:val="00F3364D"/>
    <w:rsid w:val="00F35E90"/>
    <w:rsid w:val="00F437CC"/>
    <w:rsid w:val="00F45A64"/>
    <w:rsid w:val="00F47067"/>
    <w:rsid w:val="00F50B97"/>
    <w:rsid w:val="00F50CFB"/>
    <w:rsid w:val="00F525EB"/>
    <w:rsid w:val="00F623AA"/>
    <w:rsid w:val="00F63DDE"/>
    <w:rsid w:val="00F63FB7"/>
    <w:rsid w:val="00F649D2"/>
    <w:rsid w:val="00F6602B"/>
    <w:rsid w:val="00F714D1"/>
    <w:rsid w:val="00F71B6A"/>
    <w:rsid w:val="00F71EC4"/>
    <w:rsid w:val="00F7260E"/>
    <w:rsid w:val="00F73A0C"/>
    <w:rsid w:val="00F73A3B"/>
    <w:rsid w:val="00F756DB"/>
    <w:rsid w:val="00F762E2"/>
    <w:rsid w:val="00F8483C"/>
    <w:rsid w:val="00F85066"/>
    <w:rsid w:val="00F86726"/>
    <w:rsid w:val="00F969DD"/>
    <w:rsid w:val="00FA5D4D"/>
    <w:rsid w:val="00FB0EE2"/>
    <w:rsid w:val="00FB19E5"/>
    <w:rsid w:val="00FB3501"/>
    <w:rsid w:val="00FB50FB"/>
    <w:rsid w:val="00FB542E"/>
    <w:rsid w:val="00FB73B2"/>
    <w:rsid w:val="00FC0E5F"/>
    <w:rsid w:val="00FC1A95"/>
    <w:rsid w:val="00FC48E1"/>
    <w:rsid w:val="00FC56DE"/>
    <w:rsid w:val="00FC5D79"/>
    <w:rsid w:val="00FC684B"/>
    <w:rsid w:val="00FC6945"/>
    <w:rsid w:val="00FD28D3"/>
    <w:rsid w:val="00FD3265"/>
    <w:rsid w:val="00FE2F78"/>
    <w:rsid w:val="00FE3858"/>
    <w:rsid w:val="00FE69C1"/>
    <w:rsid w:val="00FF302A"/>
    <w:rsid w:val="00FF3D8E"/>
    <w:rsid w:val="00FF4E21"/>
    <w:rsid w:val="00FF5F37"/>
    <w:rsid w:val="00FF62CF"/>
    <w:rsid w:val="00FF6E1B"/>
    <w:rsid w:val="00FF7B96"/>
  </w:rsids>
  <m:mathPr>
    <m:mathFont m:val="Cambria Math"/>
    <m:brkBin m:val="before"/>
    <m:brkBinSub m:val="--"/>
    <m:smallFrac m:val="0"/>
    <m:dispDef/>
    <m:lMargin m:val="0"/>
    <m:rMargin m:val="0"/>
    <m:defJc m:val="centerGroup"/>
    <m:wrapIndent m:val="1440"/>
    <m:intLim m:val="subSup"/>
    <m:naryLim m:val="undOvr"/>
  </m:mathPr>
  <w:themeFontLang w:val="cs-CZ"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colormru v:ext="edit" colors="#ecf4dd,#eaecee,#fcec0a,#fcecdb,#f1daf5"/>
    </o:shapedefaults>
    <o:shapelayout v:ext="edit">
      <o:idmap v:ext="edit" data="1"/>
    </o:shapelayout>
  </w:shapeDefaults>
  <w:decimalSymbol w:val=","/>
  <w:listSeparator w:val=";"/>
  <w14:docId w14:val="18BFED52"/>
  <w15:docId w15:val="{8339DFA1-D011-4BFC-92C4-5BFAFF0DCA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cs-CZ"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qFormat="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DF42FF"/>
    <w:pPr>
      <w:spacing w:after="240" w:line="288" w:lineRule="auto"/>
    </w:pPr>
    <w:rPr>
      <w:rFonts w:ascii="Arial" w:eastAsia="Times New Roman" w:hAnsi="Arial"/>
      <w:szCs w:val="24"/>
      <w:lang w:eastAsia="cs-CZ"/>
    </w:rPr>
  </w:style>
  <w:style w:type="paragraph" w:styleId="Nadpis1">
    <w:name w:val="heading 1"/>
    <w:next w:val="Normln"/>
    <w:link w:val="Nadpis1Char"/>
    <w:uiPriority w:val="9"/>
    <w:qFormat/>
    <w:rsid w:val="004900FF"/>
    <w:pPr>
      <w:keepNext/>
      <w:keepLines/>
      <w:spacing w:after="100" w:line="288" w:lineRule="auto"/>
      <w:contextualSpacing/>
      <w:outlineLvl w:val="0"/>
    </w:pPr>
    <w:rPr>
      <w:rFonts w:ascii="Arial" w:eastAsia="MS Gothic" w:hAnsi="Arial"/>
      <w:b/>
      <w:bCs/>
      <w:color w:val="C00000"/>
      <w:sz w:val="32"/>
      <w:szCs w:val="28"/>
      <w:lang w:eastAsia="cs-CZ"/>
    </w:rPr>
  </w:style>
  <w:style w:type="paragraph" w:styleId="Nadpis2">
    <w:name w:val="heading 2"/>
    <w:next w:val="Normln"/>
    <w:link w:val="Nadpis2Char"/>
    <w:uiPriority w:val="9"/>
    <w:qFormat/>
    <w:rsid w:val="004900FF"/>
    <w:pPr>
      <w:keepNext/>
      <w:keepLines/>
      <w:spacing w:line="288" w:lineRule="auto"/>
      <w:outlineLvl w:val="1"/>
    </w:pPr>
    <w:rPr>
      <w:rFonts w:ascii="Arial" w:eastAsia="MS Gothic" w:hAnsi="Arial"/>
      <w:b/>
      <w:bCs/>
      <w:color w:val="BC091B"/>
      <w:sz w:val="28"/>
      <w:szCs w:val="26"/>
      <w:lang w:eastAsia="cs-CZ"/>
    </w:rPr>
  </w:style>
  <w:style w:type="paragraph" w:styleId="Nadpis3">
    <w:name w:val="heading 3"/>
    <w:next w:val="Normln"/>
    <w:link w:val="Nadpis3Char"/>
    <w:uiPriority w:val="9"/>
    <w:qFormat/>
    <w:rsid w:val="004900FF"/>
    <w:pPr>
      <w:keepNext/>
      <w:keepLines/>
      <w:spacing w:line="288" w:lineRule="auto"/>
      <w:outlineLvl w:val="2"/>
    </w:pPr>
    <w:rPr>
      <w:rFonts w:ascii="Arial" w:eastAsia="MS Gothic" w:hAnsi="Arial"/>
      <w:b/>
      <w:bCs/>
      <w:color w:val="BC091B"/>
      <w:sz w:val="24"/>
      <w:szCs w:val="24"/>
      <w:lang w:eastAsia="cs-CZ"/>
    </w:rPr>
  </w:style>
  <w:style w:type="paragraph" w:styleId="Nadpis4">
    <w:name w:val="heading 4"/>
    <w:next w:val="Normln"/>
    <w:link w:val="Nadpis4Char"/>
    <w:uiPriority w:val="9"/>
    <w:qFormat/>
    <w:rsid w:val="004900FF"/>
    <w:pPr>
      <w:keepNext/>
      <w:keepLines/>
      <w:spacing w:line="288" w:lineRule="auto"/>
      <w:outlineLvl w:val="3"/>
    </w:pPr>
    <w:rPr>
      <w:rFonts w:ascii="Arial" w:eastAsia="MS Gothic" w:hAnsi="Arial"/>
      <w:b/>
      <w:bCs/>
      <w:iCs/>
      <w:color w:val="BC091B"/>
      <w:szCs w:val="24"/>
      <w:lang w:eastAsia="cs-CZ"/>
    </w:rPr>
  </w:style>
  <w:style w:type="paragraph" w:styleId="Nadpis9">
    <w:name w:val="heading 9"/>
    <w:basedOn w:val="Normln"/>
    <w:next w:val="Normln"/>
    <w:link w:val="Nadpis9Char"/>
    <w:uiPriority w:val="9"/>
    <w:semiHidden/>
    <w:unhideWhenUsed/>
    <w:qFormat/>
    <w:rsid w:val="00A30F65"/>
    <w:pPr>
      <w:spacing w:before="240" w:after="60"/>
      <w:outlineLvl w:val="8"/>
    </w:pPr>
    <w:rPr>
      <w:rFonts w:ascii="Cambria" w:hAnsi="Cambria"/>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uiPriority w:val="9"/>
    <w:rsid w:val="004900FF"/>
    <w:rPr>
      <w:rFonts w:ascii="Arial" w:eastAsia="MS Gothic" w:hAnsi="Arial"/>
      <w:b/>
      <w:bCs/>
      <w:color w:val="C00000"/>
      <w:sz w:val="32"/>
      <w:szCs w:val="28"/>
    </w:rPr>
  </w:style>
  <w:style w:type="character" w:customStyle="1" w:styleId="Nadpis2Char">
    <w:name w:val="Nadpis 2 Char"/>
    <w:link w:val="Nadpis2"/>
    <w:uiPriority w:val="9"/>
    <w:rsid w:val="004900FF"/>
    <w:rPr>
      <w:rFonts w:ascii="Arial" w:eastAsia="MS Gothic" w:hAnsi="Arial"/>
      <w:b/>
      <w:bCs/>
      <w:color w:val="BC091B"/>
      <w:sz w:val="28"/>
      <w:szCs w:val="26"/>
    </w:rPr>
  </w:style>
  <w:style w:type="character" w:customStyle="1" w:styleId="Nadpis3Char">
    <w:name w:val="Nadpis 3 Char"/>
    <w:link w:val="Nadpis3"/>
    <w:uiPriority w:val="9"/>
    <w:rsid w:val="004900FF"/>
    <w:rPr>
      <w:rFonts w:ascii="Arial" w:eastAsia="MS Gothic" w:hAnsi="Arial"/>
      <w:b/>
      <w:bCs/>
      <w:color w:val="BC091B"/>
      <w:sz w:val="24"/>
      <w:szCs w:val="24"/>
    </w:rPr>
  </w:style>
  <w:style w:type="character" w:customStyle="1" w:styleId="Nadpis4Char">
    <w:name w:val="Nadpis 4 Char"/>
    <w:link w:val="Nadpis4"/>
    <w:uiPriority w:val="9"/>
    <w:rsid w:val="004900FF"/>
    <w:rPr>
      <w:rFonts w:ascii="Arial" w:eastAsia="MS Gothic" w:hAnsi="Arial"/>
      <w:b/>
      <w:bCs/>
      <w:iCs/>
      <w:color w:val="BC091B"/>
      <w:szCs w:val="24"/>
    </w:rPr>
  </w:style>
  <w:style w:type="character" w:customStyle="1" w:styleId="Nadpis9Char">
    <w:name w:val="Nadpis 9 Char"/>
    <w:link w:val="Nadpis9"/>
    <w:uiPriority w:val="9"/>
    <w:semiHidden/>
    <w:rsid w:val="00A30F65"/>
    <w:rPr>
      <w:rFonts w:ascii="Cambria" w:eastAsia="Times New Roman" w:hAnsi="Cambria" w:cs="Times New Roman"/>
      <w:sz w:val="22"/>
      <w:szCs w:val="22"/>
    </w:rPr>
  </w:style>
  <w:style w:type="character" w:styleId="Hypertextovodkaz">
    <w:name w:val="Hyperlink"/>
    <w:uiPriority w:val="99"/>
    <w:rsid w:val="00E71A58"/>
    <w:rPr>
      <w:color w:val="0000FF"/>
      <w:u w:val="single"/>
    </w:rPr>
  </w:style>
  <w:style w:type="paragraph" w:styleId="Zhlav">
    <w:name w:val="header"/>
    <w:link w:val="ZhlavChar"/>
    <w:uiPriority w:val="99"/>
    <w:unhideWhenUsed/>
    <w:qFormat/>
    <w:rsid w:val="00A418BC"/>
    <w:pPr>
      <w:spacing w:line="288" w:lineRule="auto"/>
    </w:pPr>
    <w:rPr>
      <w:rFonts w:ascii="Arial" w:hAnsi="Arial"/>
      <w:sz w:val="16"/>
      <w:szCs w:val="22"/>
    </w:rPr>
  </w:style>
  <w:style w:type="character" w:customStyle="1" w:styleId="ZhlavChar">
    <w:name w:val="Záhlaví Char"/>
    <w:link w:val="Zhlav"/>
    <w:uiPriority w:val="99"/>
    <w:rsid w:val="00A418BC"/>
    <w:rPr>
      <w:rFonts w:ascii="Arial" w:hAnsi="Arial"/>
      <w:sz w:val="16"/>
      <w:szCs w:val="22"/>
      <w:lang w:eastAsia="en-US"/>
    </w:rPr>
  </w:style>
  <w:style w:type="paragraph" w:styleId="Zpat">
    <w:name w:val="footer"/>
    <w:link w:val="ZpatChar"/>
    <w:uiPriority w:val="99"/>
    <w:unhideWhenUsed/>
    <w:qFormat/>
    <w:rsid w:val="00031AE0"/>
    <w:pPr>
      <w:tabs>
        <w:tab w:val="center" w:pos="4820"/>
        <w:tab w:val="right" w:pos="9639"/>
      </w:tabs>
    </w:pPr>
    <w:rPr>
      <w:rFonts w:ascii="Arial" w:hAnsi="Arial" w:cs="Arial"/>
      <w:noProof/>
      <w:sz w:val="16"/>
    </w:rPr>
  </w:style>
  <w:style w:type="character" w:customStyle="1" w:styleId="ZpatChar">
    <w:name w:val="Zápatí Char"/>
    <w:link w:val="Zpat"/>
    <w:uiPriority w:val="99"/>
    <w:rsid w:val="00031AE0"/>
    <w:rPr>
      <w:rFonts w:ascii="Arial" w:hAnsi="Arial" w:cs="Arial"/>
      <w:noProof/>
      <w:sz w:val="16"/>
      <w:lang w:eastAsia="en-US"/>
    </w:rPr>
  </w:style>
  <w:style w:type="paragraph" w:styleId="Textbubliny">
    <w:name w:val="Balloon Text"/>
    <w:basedOn w:val="Normln"/>
    <w:link w:val="TextbublinyChar"/>
    <w:uiPriority w:val="99"/>
    <w:semiHidden/>
    <w:unhideWhenUsed/>
    <w:rsid w:val="00E71A58"/>
    <w:rPr>
      <w:rFonts w:ascii="Tahoma" w:eastAsia="Calibri" w:hAnsi="Tahoma"/>
      <w:sz w:val="16"/>
      <w:szCs w:val="16"/>
      <w:lang w:val="x-none" w:eastAsia="x-none"/>
    </w:rPr>
  </w:style>
  <w:style w:type="character" w:customStyle="1" w:styleId="TextbublinyChar">
    <w:name w:val="Text bubliny Char"/>
    <w:link w:val="Textbubliny"/>
    <w:uiPriority w:val="99"/>
    <w:semiHidden/>
    <w:rsid w:val="00E71A58"/>
    <w:rPr>
      <w:rFonts w:ascii="Tahoma" w:hAnsi="Tahoma" w:cs="Tahoma"/>
      <w:sz w:val="16"/>
      <w:szCs w:val="16"/>
    </w:rPr>
  </w:style>
  <w:style w:type="paragraph" w:customStyle="1" w:styleId="Zkladnodstavec">
    <w:name w:val="[Základní odstavec]"/>
    <w:link w:val="ZkladnodstavecChar"/>
    <w:uiPriority w:val="99"/>
    <w:rsid w:val="0008263E"/>
    <w:pPr>
      <w:autoSpaceDE w:val="0"/>
      <w:autoSpaceDN w:val="0"/>
      <w:adjustRightInd w:val="0"/>
      <w:spacing w:line="276" w:lineRule="auto"/>
      <w:textAlignment w:val="center"/>
    </w:pPr>
    <w:rPr>
      <w:rFonts w:ascii="Arial" w:hAnsi="Arial" w:cs="Minion Pro"/>
      <w:color w:val="000000"/>
      <w:szCs w:val="24"/>
      <w:lang w:eastAsia="cs-CZ"/>
    </w:rPr>
  </w:style>
  <w:style w:type="character" w:customStyle="1" w:styleId="ZkladnodstavecChar">
    <w:name w:val="[Základní odstavec] Char"/>
    <w:link w:val="Zkladnodstavec"/>
    <w:uiPriority w:val="99"/>
    <w:rsid w:val="0008263E"/>
    <w:rPr>
      <w:rFonts w:ascii="Arial" w:hAnsi="Arial" w:cs="Minion Pro"/>
      <w:color w:val="000000"/>
      <w:szCs w:val="24"/>
    </w:rPr>
  </w:style>
  <w:style w:type="paragraph" w:styleId="Obsah1">
    <w:name w:val="toc 1"/>
    <w:basedOn w:val="Obsahpoloky"/>
    <w:next w:val="Obsahpoloky"/>
    <w:autoRedefine/>
    <w:uiPriority w:val="39"/>
    <w:unhideWhenUsed/>
    <w:rsid w:val="004B0288"/>
    <w:pPr>
      <w:tabs>
        <w:tab w:val="left" w:pos="400"/>
      </w:tabs>
      <w:ind w:left="142"/>
    </w:pPr>
  </w:style>
  <w:style w:type="paragraph" w:customStyle="1" w:styleId="TLIdentifikace-sted">
    <w:name w:val="TL Identifikace - střed"/>
    <w:qFormat/>
    <w:rsid w:val="009A60D1"/>
    <w:pPr>
      <w:spacing w:after="200" w:line="288" w:lineRule="auto"/>
    </w:pPr>
    <w:rPr>
      <w:rFonts w:ascii="Arial" w:eastAsia="Times New Roman" w:hAnsi="Arial"/>
      <w:sz w:val="24"/>
      <w:szCs w:val="24"/>
      <w:lang w:eastAsia="cs-CZ"/>
    </w:rPr>
  </w:style>
  <w:style w:type="paragraph" w:customStyle="1" w:styleId="Obsah">
    <w:name w:val="Obsah"/>
    <w:next w:val="Normln"/>
    <w:qFormat/>
    <w:rsid w:val="004900FF"/>
    <w:pPr>
      <w:spacing w:after="80" w:line="288" w:lineRule="auto"/>
    </w:pPr>
    <w:rPr>
      <w:rFonts w:ascii="Arial" w:eastAsia="Times New Roman" w:hAnsi="Arial"/>
      <w:b/>
      <w:color w:val="BC091B"/>
      <w:sz w:val="32"/>
      <w:szCs w:val="24"/>
      <w:lang w:eastAsia="cs-CZ"/>
    </w:rPr>
  </w:style>
  <w:style w:type="paragraph" w:customStyle="1" w:styleId="Obsahpoloky">
    <w:name w:val="Obsah položky"/>
    <w:qFormat/>
    <w:rsid w:val="00616E05"/>
    <w:pPr>
      <w:tabs>
        <w:tab w:val="right" w:leader="dot" w:pos="9639"/>
      </w:tabs>
      <w:spacing w:line="288" w:lineRule="auto"/>
    </w:pPr>
    <w:rPr>
      <w:rFonts w:ascii="Arial" w:eastAsia="Times New Roman" w:hAnsi="Arial"/>
      <w:szCs w:val="24"/>
      <w:lang w:eastAsia="cs-CZ"/>
    </w:rPr>
  </w:style>
  <w:style w:type="paragraph" w:customStyle="1" w:styleId="Box1">
    <w:name w:val="Box 1"/>
    <w:next w:val="Normln"/>
    <w:qFormat/>
    <w:rsid w:val="004900FF"/>
    <w:pPr>
      <w:shd w:val="clear" w:color="auto" w:fill="F5DADD"/>
      <w:spacing w:before="240" w:after="240" w:line="288" w:lineRule="auto"/>
      <w:ind w:left="709"/>
      <w:contextualSpacing/>
    </w:pPr>
    <w:rPr>
      <w:rFonts w:ascii="Arial" w:hAnsi="Arial" w:cs="Arial"/>
      <w:lang w:eastAsia="cs-CZ"/>
    </w:rPr>
  </w:style>
  <w:style w:type="paragraph" w:customStyle="1" w:styleId="Box2">
    <w:name w:val="Box 2"/>
    <w:qFormat/>
    <w:rsid w:val="004900FF"/>
    <w:pPr>
      <w:spacing w:before="240" w:after="240" w:line="288" w:lineRule="auto"/>
      <w:ind w:left="709"/>
      <w:contextualSpacing/>
    </w:pPr>
    <w:rPr>
      <w:rFonts w:ascii="Arial" w:hAnsi="Arial" w:cs="Arial"/>
      <w:color w:val="BC091B"/>
      <w:lang w:eastAsia="cs-CZ"/>
    </w:rPr>
  </w:style>
  <w:style w:type="paragraph" w:styleId="Seznam">
    <w:name w:val="List"/>
    <w:basedOn w:val="Normln"/>
    <w:uiPriority w:val="99"/>
    <w:unhideWhenUsed/>
    <w:qFormat/>
    <w:rsid w:val="00481E40"/>
    <w:pPr>
      <w:contextualSpacing/>
    </w:pPr>
  </w:style>
  <w:style w:type="character" w:styleId="Siln">
    <w:name w:val="Strong"/>
    <w:aliases w:val="Tučné"/>
    <w:uiPriority w:val="22"/>
    <w:qFormat/>
    <w:rsid w:val="00EC03D7"/>
    <w:rPr>
      <w:rFonts w:ascii="Arial" w:hAnsi="Arial"/>
      <w:b/>
      <w:bCs/>
      <w:sz w:val="20"/>
    </w:rPr>
  </w:style>
  <w:style w:type="paragraph" w:customStyle="1" w:styleId="TLKontaktyerven">
    <w:name w:val="TL Kontakty červené"/>
    <w:basedOn w:val="Normln"/>
    <w:qFormat/>
    <w:rsid w:val="00104C4C"/>
    <w:pPr>
      <w:spacing w:after="40"/>
      <w:contextualSpacing/>
    </w:pPr>
    <w:rPr>
      <w:b/>
      <w:caps/>
      <w:color w:val="BD1B21"/>
      <w:sz w:val="24"/>
    </w:rPr>
  </w:style>
  <w:style w:type="paragraph" w:customStyle="1" w:styleId="TLKontakty">
    <w:name w:val="TL Kontakty"/>
    <w:qFormat/>
    <w:rsid w:val="008E6F06"/>
    <w:pPr>
      <w:spacing w:after="160" w:line="259" w:lineRule="auto"/>
      <w:contextualSpacing/>
    </w:pPr>
    <w:rPr>
      <w:rFonts w:ascii="Arial" w:eastAsia="Times New Roman" w:hAnsi="Arial"/>
      <w:b/>
      <w:color w:val="0071BC"/>
      <w:lang w:eastAsia="cs-CZ"/>
    </w:rPr>
  </w:style>
  <w:style w:type="paragraph" w:styleId="Nzev">
    <w:name w:val="Title"/>
    <w:link w:val="NzevChar"/>
    <w:uiPriority w:val="10"/>
    <w:qFormat/>
    <w:rsid w:val="004900FF"/>
    <w:pPr>
      <w:spacing w:line="288" w:lineRule="auto"/>
    </w:pPr>
    <w:rPr>
      <w:rFonts w:ascii="Arial" w:eastAsia="Times New Roman" w:hAnsi="Arial"/>
      <w:b/>
      <w:bCs/>
      <w:caps/>
      <w:color w:val="BC091B"/>
      <w:kern w:val="28"/>
      <w:sz w:val="56"/>
      <w:szCs w:val="32"/>
      <w:lang w:eastAsia="cs-CZ"/>
    </w:rPr>
  </w:style>
  <w:style w:type="character" w:customStyle="1" w:styleId="NzevChar">
    <w:name w:val="Název Char"/>
    <w:link w:val="Nzev"/>
    <w:uiPriority w:val="10"/>
    <w:rsid w:val="004900FF"/>
    <w:rPr>
      <w:rFonts w:ascii="Arial" w:eastAsia="Times New Roman" w:hAnsi="Arial"/>
      <w:b/>
      <w:bCs/>
      <w:caps/>
      <w:color w:val="BC091B"/>
      <w:kern w:val="28"/>
      <w:sz w:val="56"/>
      <w:szCs w:val="32"/>
    </w:rPr>
  </w:style>
  <w:style w:type="paragraph" w:styleId="Podnadpis">
    <w:name w:val="Subtitle"/>
    <w:link w:val="PodnadpisChar"/>
    <w:uiPriority w:val="11"/>
    <w:qFormat/>
    <w:rsid w:val="004900FF"/>
    <w:pPr>
      <w:spacing w:line="288" w:lineRule="auto"/>
    </w:pPr>
    <w:rPr>
      <w:rFonts w:ascii="Arial" w:eastAsia="Times New Roman" w:hAnsi="Arial" w:cs="Arial"/>
      <w:b/>
      <w:color w:val="BC091B"/>
      <w:sz w:val="28"/>
      <w:szCs w:val="24"/>
      <w:lang w:eastAsia="cs-CZ"/>
    </w:rPr>
  </w:style>
  <w:style w:type="character" w:customStyle="1" w:styleId="PodnadpisChar">
    <w:name w:val="Podnadpis Char"/>
    <w:link w:val="Podnadpis"/>
    <w:uiPriority w:val="11"/>
    <w:rsid w:val="004900FF"/>
    <w:rPr>
      <w:rFonts w:ascii="Arial" w:eastAsia="Times New Roman" w:hAnsi="Arial" w:cs="Arial"/>
      <w:b/>
      <w:color w:val="BC091B"/>
      <w:sz w:val="28"/>
      <w:szCs w:val="24"/>
    </w:rPr>
  </w:style>
  <w:style w:type="paragraph" w:styleId="Obsah2">
    <w:name w:val="toc 2"/>
    <w:basedOn w:val="Obsahpoloky"/>
    <w:next w:val="Obsahpoloky"/>
    <w:autoRedefine/>
    <w:uiPriority w:val="39"/>
    <w:unhideWhenUsed/>
    <w:rsid w:val="004B0288"/>
    <w:pPr>
      <w:tabs>
        <w:tab w:val="left" w:pos="600"/>
      </w:tabs>
      <w:ind w:left="200"/>
    </w:pPr>
  </w:style>
  <w:style w:type="paragraph" w:styleId="Obsah3">
    <w:name w:val="toc 3"/>
    <w:basedOn w:val="Obsahpoloky"/>
    <w:next w:val="Obsahpoloky"/>
    <w:autoRedefine/>
    <w:uiPriority w:val="39"/>
    <w:unhideWhenUsed/>
    <w:rsid w:val="002858F4"/>
    <w:pPr>
      <w:tabs>
        <w:tab w:val="left" w:pos="1000"/>
      </w:tabs>
      <w:ind w:left="400"/>
    </w:pPr>
  </w:style>
  <w:style w:type="paragraph" w:styleId="Obsah4">
    <w:name w:val="toc 4"/>
    <w:basedOn w:val="Obsahpoloky"/>
    <w:next w:val="Obsahpoloky"/>
    <w:autoRedefine/>
    <w:uiPriority w:val="39"/>
    <w:unhideWhenUsed/>
    <w:rsid w:val="00FC1A95"/>
    <w:pPr>
      <w:ind w:left="600"/>
    </w:pPr>
  </w:style>
  <w:style w:type="paragraph" w:styleId="Obsah5">
    <w:name w:val="toc 5"/>
    <w:basedOn w:val="Obsahpoloky"/>
    <w:next w:val="Obsahpoloky"/>
    <w:autoRedefine/>
    <w:uiPriority w:val="39"/>
    <w:semiHidden/>
    <w:unhideWhenUsed/>
    <w:rsid w:val="00FC1A95"/>
    <w:pPr>
      <w:ind w:left="800"/>
    </w:pPr>
  </w:style>
  <w:style w:type="paragraph" w:styleId="Obsah6">
    <w:name w:val="toc 6"/>
    <w:basedOn w:val="Obsahpoloky"/>
    <w:next w:val="Obsahpoloky"/>
    <w:autoRedefine/>
    <w:uiPriority w:val="39"/>
    <w:semiHidden/>
    <w:unhideWhenUsed/>
    <w:rsid w:val="00FC1A95"/>
    <w:pPr>
      <w:ind w:left="1000"/>
    </w:pPr>
  </w:style>
  <w:style w:type="paragraph" w:styleId="Obsah7">
    <w:name w:val="toc 7"/>
    <w:basedOn w:val="Obsahpoloky"/>
    <w:next w:val="Obsahpoloky"/>
    <w:autoRedefine/>
    <w:uiPriority w:val="39"/>
    <w:semiHidden/>
    <w:unhideWhenUsed/>
    <w:rsid w:val="00FC1A95"/>
    <w:pPr>
      <w:ind w:left="1200"/>
    </w:pPr>
  </w:style>
  <w:style w:type="paragraph" w:styleId="Obsah8">
    <w:name w:val="toc 8"/>
    <w:basedOn w:val="Obsahpoloky"/>
    <w:next w:val="Obsahpoloky"/>
    <w:autoRedefine/>
    <w:uiPriority w:val="39"/>
    <w:semiHidden/>
    <w:unhideWhenUsed/>
    <w:rsid w:val="00FC1A95"/>
    <w:pPr>
      <w:ind w:left="1400"/>
    </w:pPr>
  </w:style>
  <w:style w:type="paragraph" w:styleId="Obsah9">
    <w:name w:val="toc 9"/>
    <w:basedOn w:val="Obsahpoloky"/>
    <w:next w:val="Obsahpoloky"/>
    <w:autoRedefine/>
    <w:uiPriority w:val="39"/>
    <w:semiHidden/>
    <w:unhideWhenUsed/>
    <w:rsid w:val="00924AC8"/>
    <w:pPr>
      <w:ind w:left="1600"/>
    </w:pPr>
  </w:style>
  <w:style w:type="character" w:styleId="Znakapoznpodarou">
    <w:name w:val="footnote reference"/>
    <w:rsid w:val="007241C5"/>
    <w:rPr>
      <w:vertAlign w:val="superscript"/>
    </w:rPr>
  </w:style>
  <w:style w:type="paragraph" w:styleId="Textpoznpodarou">
    <w:name w:val="footnote text"/>
    <w:basedOn w:val="Normln"/>
    <w:link w:val="TextpoznpodarouChar"/>
    <w:uiPriority w:val="99"/>
    <w:semiHidden/>
    <w:rsid w:val="007241C5"/>
    <w:pPr>
      <w:spacing w:after="0"/>
    </w:pPr>
    <w:rPr>
      <w:szCs w:val="20"/>
    </w:rPr>
  </w:style>
  <w:style w:type="character" w:customStyle="1" w:styleId="TextpoznpodarouChar">
    <w:name w:val="Text pozn. pod čarou Char"/>
    <w:basedOn w:val="Standardnpsmoodstavce"/>
    <w:link w:val="Textpoznpodarou"/>
    <w:uiPriority w:val="99"/>
    <w:semiHidden/>
    <w:rsid w:val="007241C5"/>
    <w:rPr>
      <w:rFonts w:ascii="Arial" w:eastAsia="Times New Roman" w:hAnsi="Arial"/>
      <w:lang w:eastAsia="cs-CZ"/>
    </w:rPr>
  </w:style>
  <w:style w:type="paragraph" w:styleId="Odstavecseseznamem">
    <w:name w:val="List Paragraph"/>
    <w:basedOn w:val="Normln"/>
    <w:uiPriority w:val="99"/>
    <w:qFormat/>
    <w:rsid w:val="007241C5"/>
    <w:pPr>
      <w:ind w:left="720"/>
      <w:contextualSpacing/>
    </w:pPr>
  </w:style>
  <w:style w:type="paragraph" w:styleId="Normlnweb">
    <w:name w:val="Normal (Web)"/>
    <w:basedOn w:val="Normln"/>
    <w:uiPriority w:val="99"/>
    <w:unhideWhenUsed/>
    <w:rsid w:val="0094191B"/>
    <w:pPr>
      <w:spacing w:before="100" w:beforeAutospacing="1" w:after="100" w:afterAutospacing="1" w:line="240" w:lineRule="auto"/>
    </w:pPr>
    <w:rPr>
      <w:rFonts w:ascii="Times New Roman" w:hAnsi="Times New Roman"/>
      <w:sz w:val="24"/>
    </w:rPr>
  </w:style>
  <w:style w:type="character" w:styleId="Sledovanodkaz">
    <w:name w:val="FollowedHyperlink"/>
    <w:basedOn w:val="Standardnpsmoodstavce"/>
    <w:uiPriority w:val="99"/>
    <w:semiHidden/>
    <w:unhideWhenUsed/>
    <w:rsid w:val="000E0772"/>
    <w:rPr>
      <w:color w:val="800080" w:themeColor="followedHyperlink"/>
      <w:u w:val="single"/>
    </w:rPr>
  </w:style>
  <w:style w:type="paragraph" w:customStyle="1" w:styleId="Default">
    <w:name w:val="Default"/>
    <w:rsid w:val="009F0B87"/>
    <w:pPr>
      <w:autoSpaceDE w:val="0"/>
      <w:autoSpaceDN w:val="0"/>
      <w:adjustRightInd w:val="0"/>
    </w:pPr>
    <w:rPr>
      <w:rFonts w:ascii="Arial" w:hAnsi="Arial" w:cs="Arial"/>
      <w:color w:val="000000"/>
      <w:sz w:val="24"/>
      <w:szCs w:val="24"/>
    </w:rPr>
  </w:style>
  <w:style w:type="paragraph" w:styleId="Zkladntextodsazen">
    <w:name w:val="Body Text Indent"/>
    <w:basedOn w:val="Normln"/>
    <w:link w:val="ZkladntextodsazenChar"/>
    <w:uiPriority w:val="99"/>
    <w:rsid w:val="00B608FE"/>
    <w:pPr>
      <w:spacing w:after="0" w:line="240" w:lineRule="auto"/>
      <w:ind w:left="360"/>
    </w:pPr>
    <w:rPr>
      <w:szCs w:val="20"/>
    </w:rPr>
  </w:style>
  <w:style w:type="character" w:customStyle="1" w:styleId="ZkladntextodsazenChar">
    <w:name w:val="Základní text odsazený Char"/>
    <w:basedOn w:val="Standardnpsmoodstavce"/>
    <w:link w:val="Zkladntextodsazen"/>
    <w:uiPriority w:val="99"/>
    <w:rsid w:val="00B608FE"/>
    <w:rPr>
      <w:rFonts w:ascii="Arial" w:eastAsia="Times New Roman" w:hAnsi="Arial"/>
      <w:lang w:eastAsia="cs-CZ"/>
    </w:rPr>
  </w:style>
  <w:style w:type="character" w:styleId="Odkaznakoment">
    <w:name w:val="annotation reference"/>
    <w:basedOn w:val="Standardnpsmoodstavce"/>
    <w:uiPriority w:val="99"/>
    <w:semiHidden/>
    <w:unhideWhenUsed/>
    <w:rsid w:val="00C577E3"/>
    <w:rPr>
      <w:sz w:val="16"/>
      <w:szCs w:val="16"/>
    </w:rPr>
  </w:style>
  <w:style w:type="paragraph" w:styleId="Textkomente">
    <w:name w:val="annotation text"/>
    <w:basedOn w:val="Normln"/>
    <w:link w:val="TextkomenteChar"/>
    <w:uiPriority w:val="99"/>
    <w:unhideWhenUsed/>
    <w:rsid w:val="00C577E3"/>
    <w:pPr>
      <w:spacing w:line="240" w:lineRule="auto"/>
    </w:pPr>
    <w:rPr>
      <w:szCs w:val="20"/>
    </w:rPr>
  </w:style>
  <w:style w:type="character" w:customStyle="1" w:styleId="TextkomenteChar">
    <w:name w:val="Text komentáře Char"/>
    <w:basedOn w:val="Standardnpsmoodstavce"/>
    <w:link w:val="Textkomente"/>
    <w:uiPriority w:val="99"/>
    <w:rsid w:val="00C577E3"/>
    <w:rPr>
      <w:rFonts w:ascii="Arial" w:eastAsia="Times New Roman" w:hAnsi="Arial"/>
      <w:lang w:eastAsia="cs-CZ"/>
    </w:rPr>
  </w:style>
  <w:style w:type="paragraph" w:styleId="Pedmtkomente">
    <w:name w:val="annotation subject"/>
    <w:basedOn w:val="Textkomente"/>
    <w:next w:val="Textkomente"/>
    <w:link w:val="PedmtkomenteChar"/>
    <w:uiPriority w:val="99"/>
    <w:semiHidden/>
    <w:unhideWhenUsed/>
    <w:rsid w:val="00C577E3"/>
    <w:rPr>
      <w:b/>
      <w:bCs/>
    </w:rPr>
  </w:style>
  <w:style w:type="character" w:customStyle="1" w:styleId="PedmtkomenteChar">
    <w:name w:val="Předmět komentáře Char"/>
    <w:basedOn w:val="TextkomenteChar"/>
    <w:link w:val="Pedmtkomente"/>
    <w:uiPriority w:val="99"/>
    <w:semiHidden/>
    <w:rsid w:val="00C577E3"/>
    <w:rPr>
      <w:rFonts w:ascii="Arial" w:eastAsia="Times New Roman" w:hAnsi="Arial"/>
      <w:b/>
      <w:bCs/>
      <w:lang w:eastAsia="cs-CZ"/>
    </w:rPr>
  </w:style>
  <w:style w:type="paragraph" w:styleId="Revize">
    <w:name w:val="Revision"/>
    <w:hidden/>
    <w:uiPriority w:val="99"/>
    <w:semiHidden/>
    <w:rsid w:val="00B71CB0"/>
    <w:rPr>
      <w:rFonts w:ascii="Arial" w:eastAsia="Times New Roman" w:hAnsi="Arial"/>
      <w:szCs w:val="24"/>
      <w:lang w:eastAsia="cs-CZ"/>
    </w:rPr>
  </w:style>
  <w:style w:type="character" w:customStyle="1" w:styleId="content">
    <w:name w:val="content"/>
    <w:basedOn w:val="Standardnpsmoodstavce"/>
    <w:rsid w:val="00DC488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86699">
      <w:bodyDiv w:val="1"/>
      <w:marLeft w:val="0"/>
      <w:marRight w:val="0"/>
      <w:marTop w:val="0"/>
      <w:marBottom w:val="0"/>
      <w:divBdr>
        <w:top w:val="none" w:sz="0" w:space="0" w:color="auto"/>
        <w:left w:val="none" w:sz="0" w:space="0" w:color="auto"/>
        <w:bottom w:val="none" w:sz="0" w:space="0" w:color="auto"/>
        <w:right w:val="none" w:sz="0" w:space="0" w:color="auto"/>
      </w:divBdr>
    </w:div>
    <w:div w:id="163784574">
      <w:bodyDiv w:val="1"/>
      <w:marLeft w:val="0"/>
      <w:marRight w:val="0"/>
      <w:marTop w:val="0"/>
      <w:marBottom w:val="0"/>
      <w:divBdr>
        <w:top w:val="none" w:sz="0" w:space="0" w:color="auto"/>
        <w:left w:val="none" w:sz="0" w:space="0" w:color="auto"/>
        <w:bottom w:val="none" w:sz="0" w:space="0" w:color="auto"/>
        <w:right w:val="none" w:sz="0" w:space="0" w:color="auto"/>
      </w:divBdr>
    </w:div>
    <w:div w:id="164168761">
      <w:bodyDiv w:val="1"/>
      <w:marLeft w:val="0"/>
      <w:marRight w:val="0"/>
      <w:marTop w:val="0"/>
      <w:marBottom w:val="0"/>
      <w:divBdr>
        <w:top w:val="none" w:sz="0" w:space="0" w:color="auto"/>
        <w:left w:val="none" w:sz="0" w:space="0" w:color="auto"/>
        <w:bottom w:val="none" w:sz="0" w:space="0" w:color="auto"/>
        <w:right w:val="none" w:sz="0" w:space="0" w:color="auto"/>
      </w:divBdr>
    </w:div>
    <w:div w:id="187254731">
      <w:bodyDiv w:val="1"/>
      <w:marLeft w:val="0"/>
      <w:marRight w:val="0"/>
      <w:marTop w:val="0"/>
      <w:marBottom w:val="0"/>
      <w:divBdr>
        <w:top w:val="none" w:sz="0" w:space="0" w:color="auto"/>
        <w:left w:val="none" w:sz="0" w:space="0" w:color="auto"/>
        <w:bottom w:val="none" w:sz="0" w:space="0" w:color="auto"/>
        <w:right w:val="none" w:sz="0" w:space="0" w:color="auto"/>
      </w:divBdr>
    </w:div>
    <w:div w:id="194389796">
      <w:bodyDiv w:val="1"/>
      <w:marLeft w:val="0"/>
      <w:marRight w:val="0"/>
      <w:marTop w:val="0"/>
      <w:marBottom w:val="0"/>
      <w:divBdr>
        <w:top w:val="none" w:sz="0" w:space="0" w:color="auto"/>
        <w:left w:val="none" w:sz="0" w:space="0" w:color="auto"/>
        <w:bottom w:val="none" w:sz="0" w:space="0" w:color="auto"/>
        <w:right w:val="none" w:sz="0" w:space="0" w:color="auto"/>
      </w:divBdr>
    </w:div>
    <w:div w:id="200362332">
      <w:bodyDiv w:val="1"/>
      <w:marLeft w:val="0"/>
      <w:marRight w:val="0"/>
      <w:marTop w:val="0"/>
      <w:marBottom w:val="0"/>
      <w:divBdr>
        <w:top w:val="none" w:sz="0" w:space="0" w:color="auto"/>
        <w:left w:val="none" w:sz="0" w:space="0" w:color="auto"/>
        <w:bottom w:val="none" w:sz="0" w:space="0" w:color="auto"/>
        <w:right w:val="none" w:sz="0" w:space="0" w:color="auto"/>
      </w:divBdr>
    </w:div>
    <w:div w:id="211164063">
      <w:bodyDiv w:val="1"/>
      <w:marLeft w:val="0"/>
      <w:marRight w:val="0"/>
      <w:marTop w:val="0"/>
      <w:marBottom w:val="0"/>
      <w:divBdr>
        <w:top w:val="none" w:sz="0" w:space="0" w:color="auto"/>
        <w:left w:val="none" w:sz="0" w:space="0" w:color="auto"/>
        <w:bottom w:val="none" w:sz="0" w:space="0" w:color="auto"/>
        <w:right w:val="none" w:sz="0" w:space="0" w:color="auto"/>
      </w:divBdr>
    </w:div>
    <w:div w:id="241523051">
      <w:bodyDiv w:val="1"/>
      <w:marLeft w:val="0"/>
      <w:marRight w:val="0"/>
      <w:marTop w:val="0"/>
      <w:marBottom w:val="0"/>
      <w:divBdr>
        <w:top w:val="none" w:sz="0" w:space="0" w:color="auto"/>
        <w:left w:val="none" w:sz="0" w:space="0" w:color="auto"/>
        <w:bottom w:val="none" w:sz="0" w:space="0" w:color="auto"/>
        <w:right w:val="none" w:sz="0" w:space="0" w:color="auto"/>
      </w:divBdr>
    </w:div>
    <w:div w:id="253560311">
      <w:bodyDiv w:val="1"/>
      <w:marLeft w:val="0"/>
      <w:marRight w:val="0"/>
      <w:marTop w:val="0"/>
      <w:marBottom w:val="0"/>
      <w:divBdr>
        <w:top w:val="none" w:sz="0" w:space="0" w:color="auto"/>
        <w:left w:val="none" w:sz="0" w:space="0" w:color="auto"/>
        <w:bottom w:val="none" w:sz="0" w:space="0" w:color="auto"/>
        <w:right w:val="none" w:sz="0" w:space="0" w:color="auto"/>
      </w:divBdr>
    </w:div>
    <w:div w:id="258635098">
      <w:bodyDiv w:val="1"/>
      <w:marLeft w:val="0"/>
      <w:marRight w:val="0"/>
      <w:marTop w:val="0"/>
      <w:marBottom w:val="0"/>
      <w:divBdr>
        <w:top w:val="none" w:sz="0" w:space="0" w:color="auto"/>
        <w:left w:val="none" w:sz="0" w:space="0" w:color="auto"/>
        <w:bottom w:val="none" w:sz="0" w:space="0" w:color="auto"/>
        <w:right w:val="none" w:sz="0" w:space="0" w:color="auto"/>
      </w:divBdr>
    </w:div>
    <w:div w:id="264115308">
      <w:bodyDiv w:val="1"/>
      <w:marLeft w:val="0"/>
      <w:marRight w:val="0"/>
      <w:marTop w:val="0"/>
      <w:marBottom w:val="0"/>
      <w:divBdr>
        <w:top w:val="none" w:sz="0" w:space="0" w:color="auto"/>
        <w:left w:val="none" w:sz="0" w:space="0" w:color="auto"/>
        <w:bottom w:val="none" w:sz="0" w:space="0" w:color="auto"/>
        <w:right w:val="none" w:sz="0" w:space="0" w:color="auto"/>
      </w:divBdr>
    </w:div>
    <w:div w:id="278606557">
      <w:bodyDiv w:val="1"/>
      <w:marLeft w:val="0"/>
      <w:marRight w:val="0"/>
      <w:marTop w:val="0"/>
      <w:marBottom w:val="0"/>
      <w:divBdr>
        <w:top w:val="none" w:sz="0" w:space="0" w:color="auto"/>
        <w:left w:val="none" w:sz="0" w:space="0" w:color="auto"/>
        <w:bottom w:val="none" w:sz="0" w:space="0" w:color="auto"/>
        <w:right w:val="none" w:sz="0" w:space="0" w:color="auto"/>
      </w:divBdr>
    </w:div>
    <w:div w:id="320161535">
      <w:bodyDiv w:val="1"/>
      <w:marLeft w:val="0"/>
      <w:marRight w:val="0"/>
      <w:marTop w:val="0"/>
      <w:marBottom w:val="0"/>
      <w:divBdr>
        <w:top w:val="none" w:sz="0" w:space="0" w:color="auto"/>
        <w:left w:val="none" w:sz="0" w:space="0" w:color="auto"/>
        <w:bottom w:val="none" w:sz="0" w:space="0" w:color="auto"/>
        <w:right w:val="none" w:sz="0" w:space="0" w:color="auto"/>
      </w:divBdr>
    </w:div>
    <w:div w:id="370963889">
      <w:bodyDiv w:val="1"/>
      <w:marLeft w:val="0"/>
      <w:marRight w:val="0"/>
      <w:marTop w:val="0"/>
      <w:marBottom w:val="0"/>
      <w:divBdr>
        <w:top w:val="none" w:sz="0" w:space="0" w:color="auto"/>
        <w:left w:val="none" w:sz="0" w:space="0" w:color="auto"/>
        <w:bottom w:val="none" w:sz="0" w:space="0" w:color="auto"/>
        <w:right w:val="none" w:sz="0" w:space="0" w:color="auto"/>
      </w:divBdr>
    </w:div>
    <w:div w:id="378943592">
      <w:bodyDiv w:val="1"/>
      <w:marLeft w:val="0"/>
      <w:marRight w:val="0"/>
      <w:marTop w:val="0"/>
      <w:marBottom w:val="0"/>
      <w:divBdr>
        <w:top w:val="none" w:sz="0" w:space="0" w:color="auto"/>
        <w:left w:val="none" w:sz="0" w:space="0" w:color="auto"/>
        <w:bottom w:val="none" w:sz="0" w:space="0" w:color="auto"/>
        <w:right w:val="none" w:sz="0" w:space="0" w:color="auto"/>
      </w:divBdr>
    </w:div>
    <w:div w:id="380594209">
      <w:bodyDiv w:val="1"/>
      <w:marLeft w:val="0"/>
      <w:marRight w:val="0"/>
      <w:marTop w:val="0"/>
      <w:marBottom w:val="0"/>
      <w:divBdr>
        <w:top w:val="none" w:sz="0" w:space="0" w:color="auto"/>
        <w:left w:val="none" w:sz="0" w:space="0" w:color="auto"/>
        <w:bottom w:val="none" w:sz="0" w:space="0" w:color="auto"/>
        <w:right w:val="none" w:sz="0" w:space="0" w:color="auto"/>
      </w:divBdr>
    </w:div>
    <w:div w:id="382171386">
      <w:bodyDiv w:val="1"/>
      <w:marLeft w:val="0"/>
      <w:marRight w:val="0"/>
      <w:marTop w:val="0"/>
      <w:marBottom w:val="0"/>
      <w:divBdr>
        <w:top w:val="none" w:sz="0" w:space="0" w:color="auto"/>
        <w:left w:val="none" w:sz="0" w:space="0" w:color="auto"/>
        <w:bottom w:val="none" w:sz="0" w:space="0" w:color="auto"/>
        <w:right w:val="none" w:sz="0" w:space="0" w:color="auto"/>
      </w:divBdr>
    </w:div>
    <w:div w:id="384379654">
      <w:bodyDiv w:val="1"/>
      <w:marLeft w:val="0"/>
      <w:marRight w:val="0"/>
      <w:marTop w:val="0"/>
      <w:marBottom w:val="0"/>
      <w:divBdr>
        <w:top w:val="none" w:sz="0" w:space="0" w:color="auto"/>
        <w:left w:val="none" w:sz="0" w:space="0" w:color="auto"/>
        <w:bottom w:val="none" w:sz="0" w:space="0" w:color="auto"/>
        <w:right w:val="none" w:sz="0" w:space="0" w:color="auto"/>
      </w:divBdr>
    </w:div>
    <w:div w:id="444927692">
      <w:bodyDiv w:val="1"/>
      <w:marLeft w:val="0"/>
      <w:marRight w:val="0"/>
      <w:marTop w:val="0"/>
      <w:marBottom w:val="0"/>
      <w:divBdr>
        <w:top w:val="none" w:sz="0" w:space="0" w:color="auto"/>
        <w:left w:val="none" w:sz="0" w:space="0" w:color="auto"/>
        <w:bottom w:val="none" w:sz="0" w:space="0" w:color="auto"/>
        <w:right w:val="none" w:sz="0" w:space="0" w:color="auto"/>
      </w:divBdr>
    </w:div>
    <w:div w:id="486241481">
      <w:bodyDiv w:val="1"/>
      <w:marLeft w:val="0"/>
      <w:marRight w:val="0"/>
      <w:marTop w:val="0"/>
      <w:marBottom w:val="0"/>
      <w:divBdr>
        <w:top w:val="none" w:sz="0" w:space="0" w:color="auto"/>
        <w:left w:val="none" w:sz="0" w:space="0" w:color="auto"/>
        <w:bottom w:val="none" w:sz="0" w:space="0" w:color="auto"/>
        <w:right w:val="none" w:sz="0" w:space="0" w:color="auto"/>
      </w:divBdr>
    </w:div>
    <w:div w:id="488714704">
      <w:bodyDiv w:val="1"/>
      <w:marLeft w:val="0"/>
      <w:marRight w:val="0"/>
      <w:marTop w:val="0"/>
      <w:marBottom w:val="0"/>
      <w:divBdr>
        <w:top w:val="none" w:sz="0" w:space="0" w:color="auto"/>
        <w:left w:val="none" w:sz="0" w:space="0" w:color="auto"/>
        <w:bottom w:val="none" w:sz="0" w:space="0" w:color="auto"/>
        <w:right w:val="none" w:sz="0" w:space="0" w:color="auto"/>
      </w:divBdr>
    </w:div>
    <w:div w:id="493226895">
      <w:bodyDiv w:val="1"/>
      <w:marLeft w:val="0"/>
      <w:marRight w:val="0"/>
      <w:marTop w:val="0"/>
      <w:marBottom w:val="0"/>
      <w:divBdr>
        <w:top w:val="none" w:sz="0" w:space="0" w:color="auto"/>
        <w:left w:val="none" w:sz="0" w:space="0" w:color="auto"/>
        <w:bottom w:val="none" w:sz="0" w:space="0" w:color="auto"/>
        <w:right w:val="none" w:sz="0" w:space="0" w:color="auto"/>
      </w:divBdr>
    </w:div>
    <w:div w:id="509567291">
      <w:bodyDiv w:val="1"/>
      <w:marLeft w:val="0"/>
      <w:marRight w:val="0"/>
      <w:marTop w:val="0"/>
      <w:marBottom w:val="0"/>
      <w:divBdr>
        <w:top w:val="none" w:sz="0" w:space="0" w:color="auto"/>
        <w:left w:val="none" w:sz="0" w:space="0" w:color="auto"/>
        <w:bottom w:val="none" w:sz="0" w:space="0" w:color="auto"/>
        <w:right w:val="none" w:sz="0" w:space="0" w:color="auto"/>
      </w:divBdr>
    </w:div>
    <w:div w:id="531697006">
      <w:bodyDiv w:val="1"/>
      <w:marLeft w:val="0"/>
      <w:marRight w:val="0"/>
      <w:marTop w:val="0"/>
      <w:marBottom w:val="0"/>
      <w:divBdr>
        <w:top w:val="none" w:sz="0" w:space="0" w:color="auto"/>
        <w:left w:val="none" w:sz="0" w:space="0" w:color="auto"/>
        <w:bottom w:val="none" w:sz="0" w:space="0" w:color="auto"/>
        <w:right w:val="none" w:sz="0" w:space="0" w:color="auto"/>
      </w:divBdr>
    </w:div>
    <w:div w:id="533806547">
      <w:bodyDiv w:val="1"/>
      <w:marLeft w:val="0"/>
      <w:marRight w:val="0"/>
      <w:marTop w:val="0"/>
      <w:marBottom w:val="0"/>
      <w:divBdr>
        <w:top w:val="none" w:sz="0" w:space="0" w:color="auto"/>
        <w:left w:val="none" w:sz="0" w:space="0" w:color="auto"/>
        <w:bottom w:val="none" w:sz="0" w:space="0" w:color="auto"/>
        <w:right w:val="none" w:sz="0" w:space="0" w:color="auto"/>
      </w:divBdr>
    </w:div>
    <w:div w:id="551356388">
      <w:bodyDiv w:val="1"/>
      <w:marLeft w:val="0"/>
      <w:marRight w:val="0"/>
      <w:marTop w:val="0"/>
      <w:marBottom w:val="0"/>
      <w:divBdr>
        <w:top w:val="none" w:sz="0" w:space="0" w:color="auto"/>
        <w:left w:val="none" w:sz="0" w:space="0" w:color="auto"/>
        <w:bottom w:val="none" w:sz="0" w:space="0" w:color="auto"/>
        <w:right w:val="none" w:sz="0" w:space="0" w:color="auto"/>
      </w:divBdr>
    </w:div>
    <w:div w:id="560288014">
      <w:bodyDiv w:val="1"/>
      <w:marLeft w:val="0"/>
      <w:marRight w:val="0"/>
      <w:marTop w:val="0"/>
      <w:marBottom w:val="0"/>
      <w:divBdr>
        <w:top w:val="none" w:sz="0" w:space="0" w:color="auto"/>
        <w:left w:val="none" w:sz="0" w:space="0" w:color="auto"/>
        <w:bottom w:val="none" w:sz="0" w:space="0" w:color="auto"/>
        <w:right w:val="none" w:sz="0" w:space="0" w:color="auto"/>
      </w:divBdr>
    </w:div>
    <w:div w:id="588467669">
      <w:bodyDiv w:val="1"/>
      <w:marLeft w:val="0"/>
      <w:marRight w:val="0"/>
      <w:marTop w:val="0"/>
      <w:marBottom w:val="0"/>
      <w:divBdr>
        <w:top w:val="none" w:sz="0" w:space="0" w:color="auto"/>
        <w:left w:val="none" w:sz="0" w:space="0" w:color="auto"/>
        <w:bottom w:val="none" w:sz="0" w:space="0" w:color="auto"/>
        <w:right w:val="none" w:sz="0" w:space="0" w:color="auto"/>
      </w:divBdr>
    </w:div>
    <w:div w:id="663896419">
      <w:bodyDiv w:val="1"/>
      <w:marLeft w:val="0"/>
      <w:marRight w:val="0"/>
      <w:marTop w:val="0"/>
      <w:marBottom w:val="0"/>
      <w:divBdr>
        <w:top w:val="none" w:sz="0" w:space="0" w:color="auto"/>
        <w:left w:val="none" w:sz="0" w:space="0" w:color="auto"/>
        <w:bottom w:val="none" w:sz="0" w:space="0" w:color="auto"/>
        <w:right w:val="none" w:sz="0" w:space="0" w:color="auto"/>
      </w:divBdr>
    </w:div>
    <w:div w:id="683020579">
      <w:bodyDiv w:val="1"/>
      <w:marLeft w:val="0"/>
      <w:marRight w:val="0"/>
      <w:marTop w:val="0"/>
      <w:marBottom w:val="0"/>
      <w:divBdr>
        <w:top w:val="none" w:sz="0" w:space="0" w:color="auto"/>
        <w:left w:val="none" w:sz="0" w:space="0" w:color="auto"/>
        <w:bottom w:val="none" w:sz="0" w:space="0" w:color="auto"/>
        <w:right w:val="none" w:sz="0" w:space="0" w:color="auto"/>
      </w:divBdr>
    </w:div>
    <w:div w:id="712848144">
      <w:bodyDiv w:val="1"/>
      <w:marLeft w:val="0"/>
      <w:marRight w:val="0"/>
      <w:marTop w:val="0"/>
      <w:marBottom w:val="0"/>
      <w:divBdr>
        <w:top w:val="none" w:sz="0" w:space="0" w:color="auto"/>
        <w:left w:val="none" w:sz="0" w:space="0" w:color="auto"/>
        <w:bottom w:val="none" w:sz="0" w:space="0" w:color="auto"/>
        <w:right w:val="none" w:sz="0" w:space="0" w:color="auto"/>
      </w:divBdr>
    </w:div>
    <w:div w:id="782194904">
      <w:bodyDiv w:val="1"/>
      <w:marLeft w:val="0"/>
      <w:marRight w:val="0"/>
      <w:marTop w:val="0"/>
      <w:marBottom w:val="0"/>
      <w:divBdr>
        <w:top w:val="none" w:sz="0" w:space="0" w:color="auto"/>
        <w:left w:val="none" w:sz="0" w:space="0" w:color="auto"/>
        <w:bottom w:val="none" w:sz="0" w:space="0" w:color="auto"/>
        <w:right w:val="none" w:sz="0" w:space="0" w:color="auto"/>
      </w:divBdr>
    </w:div>
    <w:div w:id="783690209">
      <w:bodyDiv w:val="1"/>
      <w:marLeft w:val="0"/>
      <w:marRight w:val="0"/>
      <w:marTop w:val="0"/>
      <w:marBottom w:val="0"/>
      <w:divBdr>
        <w:top w:val="none" w:sz="0" w:space="0" w:color="auto"/>
        <w:left w:val="none" w:sz="0" w:space="0" w:color="auto"/>
        <w:bottom w:val="none" w:sz="0" w:space="0" w:color="auto"/>
        <w:right w:val="none" w:sz="0" w:space="0" w:color="auto"/>
      </w:divBdr>
    </w:div>
    <w:div w:id="811364481">
      <w:bodyDiv w:val="1"/>
      <w:marLeft w:val="0"/>
      <w:marRight w:val="0"/>
      <w:marTop w:val="0"/>
      <w:marBottom w:val="0"/>
      <w:divBdr>
        <w:top w:val="none" w:sz="0" w:space="0" w:color="auto"/>
        <w:left w:val="none" w:sz="0" w:space="0" w:color="auto"/>
        <w:bottom w:val="none" w:sz="0" w:space="0" w:color="auto"/>
        <w:right w:val="none" w:sz="0" w:space="0" w:color="auto"/>
      </w:divBdr>
    </w:div>
    <w:div w:id="820735585">
      <w:bodyDiv w:val="1"/>
      <w:marLeft w:val="0"/>
      <w:marRight w:val="0"/>
      <w:marTop w:val="0"/>
      <w:marBottom w:val="0"/>
      <w:divBdr>
        <w:top w:val="none" w:sz="0" w:space="0" w:color="auto"/>
        <w:left w:val="none" w:sz="0" w:space="0" w:color="auto"/>
        <w:bottom w:val="none" w:sz="0" w:space="0" w:color="auto"/>
        <w:right w:val="none" w:sz="0" w:space="0" w:color="auto"/>
      </w:divBdr>
    </w:div>
    <w:div w:id="831411748">
      <w:bodyDiv w:val="1"/>
      <w:marLeft w:val="0"/>
      <w:marRight w:val="0"/>
      <w:marTop w:val="0"/>
      <w:marBottom w:val="0"/>
      <w:divBdr>
        <w:top w:val="none" w:sz="0" w:space="0" w:color="auto"/>
        <w:left w:val="none" w:sz="0" w:space="0" w:color="auto"/>
        <w:bottom w:val="none" w:sz="0" w:space="0" w:color="auto"/>
        <w:right w:val="none" w:sz="0" w:space="0" w:color="auto"/>
      </w:divBdr>
    </w:div>
    <w:div w:id="876547636">
      <w:bodyDiv w:val="1"/>
      <w:marLeft w:val="0"/>
      <w:marRight w:val="0"/>
      <w:marTop w:val="0"/>
      <w:marBottom w:val="0"/>
      <w:divBdr>
        <w:top w:val="none" w:sz="0" w:space="0" w:color="auto"/>
        <w:left w:val="none" w:sz="0" w:space="0" w:color="auto"/>
        <w:bottom w:val="none" w:sz="0" w:space="0" w:color="auto"/>
        <w:right w:val="none" w:sz="0" w:space="0" w:color="auto"/>
      </w:divBdr>
    </w:div>
    <w:div w:id="951015170">
      <w:bodyDiv w:val="1"/>
      <w:marLeft w:val="0"/>
      <w:marRight w:val="0"/>
      <w:marTop w:val="0"/>
      <w:marBottom w:val="0"/>
      <w:divBdr>
        <w:top w:val="none" w:sz="0" w:space="0" w:color="auto"/>
        <w:left w:val="none" w:sz="0" w:space="0" w:color="auto"/>
        <w:bottom w:val="none" w:sz="0" w:space="0" w:color="auto"/>
        <w:right w:val="none" w:sz="0" w:space="0" w:color="auto"/>
      </w:divBdr>
    </w:div>
    <w:div w:id="987176036">
      <w:bodyDiv w:val="1"/>
      <w:marLeft w:val="0"/>
      <w:marRight w:val="0"/>
      <w:marTop w:val="0"/>
      <w:marBottom w:val="0"/>
      <w:divBdr>
        <w:top w:val="none" w:sz="0" w:space="0" w:color="auto"/>
        <w:left w:val="none" w:sz="0" w:space="0" w:color="auto"/>
        <w:bottom w:val="none" w:sz="0" w:space="0" w:color="auto"/>
        <w:right w:val="none" w:sz="0" w:space="0" w:color="auto"/>
      </w:divBdr>
    </w:div>
    <w:div w:id="994381262">
      <w:bodyDiv w:val="1"/>
      <w:marLeft w:val="0"/>
      <w:marRight w:val="0"/>
      <w:marTop w:val="0"/>
      <w:marBottom w:val="0"/>
      <w:divBdr>
        <w:top w:val="none" w:sz="0" w:space="0" w:color="auto"/>
        <w:left w:val="none" w:sz="0" w:space="0" w:color="auto"/>
        <w:bottom w:val="none" w:sz="0" w:space="0" w:color="auto"/>
        <w:right w:val="none" w:sz="0" w:space="0" w:color="auto"/>
      </w:divBdr>
    </w:div>
    <w:div w:id="999040803">
      <w:bodyDiv w:val="1"/>
      <w:marLeft w:val="0"/>
      <w:marRight w:val="0"/>
      <w:marTop w:val="0"/>
      <w:marBottom w:val="0"/>
      <w:divBdr>
        <w:top w:val="none" w:sz="0" w:space="0" w:color="auto"/>
        <w:left w:val="none" w:sz="0" w:space="0" w:color="auto"/>
        <w:bottom w:val="none" w:sz="0" w:space="0" w:color="auto"/>
        <w:right w:val="none" w:sz="0" w:space="0" w:color="auto"/>
      </w:divBdr>
    </w:div>
    <w:div w:id="999651021">
      <w:bodyDiv w:val="1"/>
      <w:marLeft w:val="0"/>
      <w:marRight w:val="0"/>
      <w:marTop w:val="0"/>
      <w:marBottom w:val="0"/>
      <w:divBdr>
        <w:top w:val="none" w:sz="0" w:space="0" w:color="auto"/>
        <w:left w:val="none" w:sz="0" w:space="0" w:color="auto"/>
        <w:bottom w:val="none" w:sz="0" w:space="0" w:color="auto"/>
        <w:right w:val="none" w:sz="0" w:space="0" w:color="auto"/>
      </w:divBdr>
    </w:div>
    <w:div w:id="1014766576">
      <w:bodyDiv w:val="1"/>
      <w:marLeft w:val="0"/>
      <w:marRight w:val="0"/>
      <w:marTop w:val="0"/>
      <w:marBottom w:val="0"/>
      <w:divBdr>
        <w:top w:val="none" w:sz="0" w:space="0" w:color="auto"/>
        <w:left w:val="none" w:sz="0" w:space="0" w:color="auto"/>
        <w:bottom w:val="none" w:sz="0" w:space="0" w:color="auto"/>
        <w:right w:val="none" w:sz="0" w:space="0" w:color="auto"/>
      </w:divBdr>
    </w:div>
    <w:div w:id="1031145681">
      <w:bodyDiv w:val="1"/>
      <w:marLeft w:val="0"/>
      <w:marRight w:val="0"/>
      <w:marTop w:val="0"/>
      <w:marBottom w:val="0"/>
      <w:divBdr>
        <w:top w:val="none" w:sz="0" w:space="0" w:color="auto"/>
        <w:left w:val="none" w:sz="0" w:space="0" w:color="auto"/>
        <w:bottom w:val="none" w:sz="0" w:space="0" w:color="auto"/>
        <w:right w:val="none" w:sz="0" w:space="0" w:color="auto"/>
      </w:divBdr>
    </w:div>
    <w:div w:id="1079405987">
      <w:bodyDiv w:val="1"/>
      <w:marLeft w:val="0"/>
      <w:marRight w:val="0"/>
      <w:marTop w:val="0"/>
      <w:marBottom w:val="0"/>
      <w:divBdr>
        <w:top w:val="none" w:sz="0" w:space="0" w:color="auto"/>
        <w:left w:val="none" w:sz="0" w:space="0" w:color="auto"/>
        <w:bottom w:val="none" w:sz="0" w:space="0" w:color="auto"/>
        <w:right w:val="none" w:sz="0" w:space="0" w:color="auto"/>
      </w:divBdr>
    </w:div>
    <w:div w:id="1097210496">
      <w:bodyDiv w:val="1"/>
      <w:marLeft w:val="0"/>
      <w:marRight w:val="0"/>
      <w:marTop w:val="0"/>
      <w:marBottom w:val="0"/>
      <w:divBdr>
        <w:top w:val="none" w:sz="0" w:space="0" w:color="auto"/>
        <w:left w:val="none" w:sz="0" w:space="0" w:color="auto"/>
        <w:bottom w:val="none" w:sz="0" w:space="0" w:color="auto"/>
        <w:right w:val="none" w:sz="0" w:space="0" w:color="auto"/>
      </w:divBdr>
    </w:div>
    <w:div w:id="1101334648">
      <w:bodyDiv w:val="1"/>
      <w:marLeft w:val="0"/>
      <w:marRight w:val="0"/>
      <w:marTop w:val="0"/>
      <w:marBottom w:val="0"/>
      <w:divBdr>
        <w:top w:val="none" w:sz="0" w:space="0" w:color="auto"/>
        <w:left w:val="none" w:sz="0" w:space="0" w:color="auto"/>
        <w:bottom w:val="none" w:sz="0" w:space="0" w:color="auto"/>
        <w:right w:val="none" w:sz="0" w:space="0" w:color="auto"/>
      </w:divBdr>
    </w:div>
    <w:div w:id="1112943759">
      <w:bodyDiv w:val="1"/>
      <w:marLeft w:val="0"/>
      <w:marRight w:val="0"/>
      <w:marTop w:val="0"/>
      <w:marBottom w:val="0"/>
      <w:divBdr>
        <w:top w:val="none" w:sz="0" w:space="0" w:color="auto"/>
        <w:left w:val="none" w:sz="0" w:space="0" w:color="auto"/>
        <w:bottom w:val="none" w:sz="0" w:space="0" w:color="auto"/>
        <w:right w:val="none" w:sz="0" w:space="0" w:color="auto"/>
      </w:divBdr>
    </w:div>
    <w:div w:id="1138766779">
      <w:bodyDiv w:val="1"/>
      <w:marLeft w:val="0"/>
      <w:marRight w:val="0"/>
      <w:marTop w:val="0"/>
      <w:marBottom w:val="0"/>
      <w:divBdr>
        <w:top w:val="none" w:sz="0" w:space="0" w:color="auto"/>
        <w:left w:val="none" w:sz="0" w:space="0" w:color="auto"/>
        <w:bottom w:val="none" w:sz="0" w:space="0" w:color="auto"/>
        <w:right w:val="none" w:sz="0" w:space="0" w:color="auto"/>
      </w:divBdr>
    </w:div>
    <w:div w:id="1164587982">
      <w:bodyDiv w:val="1"/>
      <w:marLeft w:val="0"/>
      <w:marRight w:val="0"/>
      <w:marTop w:val="0"/>
      <w:marBottom w:val="0"/>
      <w:divBdr>
        <w:top w:val="none" w:sz="0" w:space="0" w:color="auto"/>
        <w:left w:val="none" w:sz="0" w:space="0" w:color="auto"/>
        <w:bottom w:val="none" w:sz="0" w:space="0" w:color="auto"/>
        <w:right w:val="none" w:sz="0" w:space="0" w:color="auto"/>
      </w:divBdr>
    </w:div>
    <w:div w:id="1177228853">
      <w:bodyDiv w:val="1"/>
      <w:marLeft w:val="0"/>
      <w:marRight w:val="0"/>
      <w:marTop w:val="0"/>
      <w:marBottom w:val="0"/>
      <w:divBdr>
        <w:top w:val="none" w:sz="0" w:space="0" w:color="auto"/>
        <w:left w:val="none" w:sz="0" w:space="0" w:color="auto"/>
        <w:bottom w:val="none" w:sz="0" w:space="0" w:color="auto"/>
        <w:right w:val="none" w:sz="0" w:space="0" w:color="auto"/>
      </w:divBdr>
    </w:div>
    <w:div w:id="1192185585">
      <w:bodyDiv w:val="1"/>
      <w:marLeft w:val="0"/>
      <w:marRight w:val="0"/>
      <w:marTop w:val="0"/>
      <w:marBottom w:val="0"/>
      <w:divBdr>
        <w:top w:val="none" w:sz="0" w:space="0" w:color="auto"/>
        <w:left w:val="none" w:sz="0" w:space="0" w:color="auto"/>
        <w:bottom w:val="none" w:sz="0" w:space="0" w:color="auto"/>
        <w:right w:val="none" w:sz="0" w:space="0" w:color="auto"/>
      </w:divBdr>
    </w:div>
    <w:div w:id="1197309826">
      <w:bodyDiv w:val="1"/>
      <w:marLeft w:val="0"/>
      <w:marRight w:val="0"/>
      <w:marTop w:val="0"/>
      <w:marBottom w:val="0"/>
      <w:divBdr>
        <w:top w:val="none" w:sz="0" w:space="0" w:color="auto"/>
        <w:left w:val="none" w:sz="0" w:space="0" w:color="auto"/>
        <w:bottom w:val="none" w:sz="0" w:space="0" w:color="auto"/>
        <w:right w:val="none" w:sz="0" w:space="0" w:color="auto"/>
      </w:divBdr>
    </w:div>
    <w:div w:id="1200317508">
      <w:bodyDiv w:val="1"/>
      <w:marLeft w:val="0"/>
      <w:marRight w:val="0"/>
      <w:marTop w:val="0"/>
      <w:marBottom w:val="0"/>
      <w:divBdr>
        <w:top w:val="none" w:sz="0" w:space="0" w:color="auto"/>
        <w:left w:val="none" w:sz="0" w:space="0" w:color="auto"/>
        <w:bottom w:val="none" w:sz="0" w:space="0" w:color="auto"/>
        <w:right w:val="none" w:sz="0" w:space="0" w:color="auto"/>
      </w:divBdr>
    </w:div>
    <w:div w:id="1208487203">
      <w:bodyDiv w:val="1"/>
      <w:marLeft w:val="0"/>
      <w:marRight w:val="0"/>
      <w:marTop w:val="0"/>
      <w:marBottom w:val="0"/>
      <w:divBdr>
        <w:top w:val="none" w:sz="0" w:space="0" w:color="auto"/>
        <w:left w:val="none" w:sz="0" w:space="0" w:color="auto"/>
        <w:bottom w:val="none" w:sz="0" w:space="0" w:color="auto"/>
        <w:right w:val="none" w:sz="0" w:space="0" w:color="auto"/>
      </w:divBdr>
    </w:div>
    <w:div w:id="1214080227">
      <w:bodyDiv w:val="1"/>
      <w:marLeft w:val="0"/>
      <w:marRight w:val="0"/>
      <w:marTop w:val="0"/>
      <w:marBottom w:val="0"/>
      <w:divBdr>
        <w:top w:val="none" w:sz="0" w:space="0" w:color="auto"/>
        <w:left w:val="none" w:sz="0" w:space="0" w:color="auto"/>
        <w:bottom w:val="none" w:sz="0" w:space="0" w:color="auto"/>
        <w:right w:val="none" w:sz="0" w:space="0" w:color="auto"/>
      </w:divBdr>
    </w:div>
    <w:div w:id="1221096843">
      <w:bodyDiv w:val="1"/>
      <w:marLeft w:val="0"/>
      <w:marRight w:val="0"/>
      <w:marTop w:val="0"/>
      <w:marBottom w:val="0"/>
      <w:divBdr>
        <w:top w:val="none" w:sz="0" w:space="0" w:color="auto"/>
        <w:left w:val="none" w:sz="0" w:space="0" w:color="auto"/>
        <w:bottom w:val="none" w:sz="0" w:space="0" w:color="auto"/>
        <w:right w:val="none" w:sz="0" w:space="0" w:color="auto"/>
      </w:divBdr>
    </w:div>
    <w:div w:id="1273172406">
      <w:bodyDiv w:val="1"/>
      <w:marLeft w:val="0"/>
      <w:marRight w:val="0"/>
      <w:marTop w:val="0"/>
      <w:marBottom w:val="0"/>
      <w:divBdr>
        <w:top w:val="none" w:sz="0" w:space="0" w:color="auto"/>
        <w:left w:val="none" w:sz="0" w:space="0" w:color="auto"/>
        <w:bottom w:val="none" w:sz="0" w:space="0" w:color="auto"/>
        <w:right w:val="none" w:sz="0" w:space="0" w:color="auto"/>
      </w:divBdr>
    </w:div>
    <w:div w:id="1286547837">
      <w:bodyDiv w:val="1"/>
      <w:marLeft w:val="0"/>
      <w:marRight w:val="0"/>
      <w:marTop w:val="0"/>
      <w:marBottom w:val="0"/>
      <w:divBdr>
        <w:top w:val="none" w:sz="0" w:space="0" w:color="auto"/>
        <w:left w:val="none" w:sz="0" w:space="0" w:color="auto"/>
        <w:bottom w:val="none" w:sz="0" w:space="0" w:color="auto"/>
        <w:right w:val="none" w:sz="0" w:space="0" w:color="auto"/>
      </w:divBdr>
    </w:div>
    <w:div w:id="1292134449">
      <w:bodyDiv w:val="1"/>
      <w:marLeft w:val="0"/>
      <w:marRight w:val="0"/>
      <w:marTop w:val="0"/>
      <w:marBottom w:val="0"/>
      <w:divBdr>
        <w:top w:val="none" w:sz="0" w:space="0" w:color="auto"/>
        <w:left w:val="none" w:sz="0" w:space="0" w:color="auto"/>
        <w:bottom w:val="none" w:sz="0" w:space="0" w:color="auto"/>
        <w:right w:val="none" w:sz="0" w:space="0" w:color="auto"/>
      </w:divBdr>
    </w:div>
    <w:div w:id="1295715576">
      <w:bodyDiv w:val="1"/>
      <w:marLeft w:val="0"/>
      <w:marRight w:val="0"/>
      <w:marTop w:val="0"/>
      <w:marBottom w:val="0"/>
      <w:divBdr>
        <w:top w:val="none" w:sz="0" w:space="0" w:color="auto"/>
        <w:left w:val="none" w:sz="0" w:space="0" w:color="auto"/>
        <w:bottom w:val="none" w:sz="0" w:space="0" w:color="auto"/>
        <w:right w:val="none" w:sz="0" w:space="0" w:color="auto"/>
      </w:divBdr>
    </w:div>
    <w:div w:id="1350133187">
      <w:bodyDiv w:val="1"/>
      <w:marLeft w:val="0"/>
      <w:marRight w:val="0"/>
      <w:marTop w:val="0"/>
      <w:marBottom w:val="0"/>
      <w:divBdr>
        <w:top w:val="none" w:sz="0" w:space="0" w:color="auto"/>
        <w:left w:val="none" w:sz="0" w:space="0" w:color="auto"/>
        <w:bottom w:val="none" w:sz="0" w:space="0" w:color="auto"/>
        <w:right w:val="none" w:sz="0" w:space="0" w:color="auto"/>
      </w:divBdr>
    </w:div>
    <w:div w:id="1365205297">
      <w:bodyDiv w:val="1"/>
      <w:marLeft w:val="0"/>
      <w:marRight w:val="0"/>
      <w:marTop w:val="0"/>
      <w:marBottom w:val="0"/>
      <w:divBdr>
        <w:top w:val="none" w:sz="0" w:space="0" w:color="auto"/>
        <w:left w:val="none" w:sz="0" w:space="0" w:color="auto"/>
        <w:bottom w:val="none" w:sz="0" w:space="0" w:color="auto"/>
        <w:right w:val="none" w:sz="0" w:space="0" w:color="auto"/>
      </w:divBdr>
    </w:div>
    <w:div w:id="1405689476">
      <w:bodyDiv w:val="1"/>
      <w:marLeft w:val="0"/>
      <w:marRight w:val="0"/>
      <w:marTop w:val="0"/>
      <w:marBottom w:val="0"/>
      <w:divBdr>
        <w:top w:val="none" w:sz="0" w:space="0" w:color="auto"/>
        <w:left w:val="none" w:sz="0" w:space="0" w:color="auto"/>
        <w:bottom w:val="none" w:sz="0" w:space="0" w:color="auto"/>
        <w:right w:val="none" w:sz="0" w:space="0" w:color="auto"/>
      </w:divBdr>
    </w:div>
    <w:div w:id="1444500963">
      <w:bodyDiv w:val="1"/>
      <w:marLeft w:val="0"/>
      <w:marRight w:val="0"/>
      <w:marTop w:val="0"/>
      <w:marBottom w:val="0"/>
      <w:divBdr>
        <w:top w:val="none" w:sz="0" w:space="0" w:color="auto"/>
        <w:left w:val="none" w:sz="0" w:space="0" w:color="auto"/>
        <w:bottom w:val="none" w:sz="0" w:space="0" w:color="auto"/>
        <w:right w:val="none" w:sz="0" w:space="0" w:color="auto"/>
      </w:divBdr>
    </w:div>
    <w:div w:id="1457791053">
      <w:bodyDiv w:val="1"/>
      <w:marLeft w:val="0"/>
      <w:marRight w:val="0"/>
      <w:marTop w:val="0"/>
      <w:marBottom w:val="0"/>
      <w:divBdr>
        <w:top w:val="none" w:sz="0" w:space="0" w:color="auto"/>
        <w:left w:val="none" w:sz="0" w:space="0" w:color="auto"/>
        <w:bottom w:val="none" w:sz="0" w:space="0" w:color="auto"/>
        <w:right w:val="none" w:sz="0" w:space="0" w:color="auto"/>
      </w:divBdr>
    </w:div>
    <w:div w:id="1458794530">
      <w:bodyDiv w:val="1"/>
      <w:marLeft w:val="0"/>
      <w:marRight w:val="0"/>
      <w:marTop w:val="0"/>
      <w:marBottom w:val="0"/>
      <w:divBdr>
        <w:top w:val="none" w:sz="0" w:space="0" w:color="auto"/>
        <w:left w:val="none" w:sz="0" w:space="0" w:color="auto"/>
        <w:bottom w:val="none" w:sz="0" w:space="0" w:color="auto"/>
        <w:right w:val="none" w:sz="0" w:space="0" w:color="auto"/>
      </w:divBdr>
    </w:div>
    <w:div w:id="1474786422">
      <w:bodyDiv w:val="1"/>
      <w:marLeft w:val="0"/>
      <w:marRight w:val="0"/>
      <w:marTop w:val="0"/>
      <w:marBottom w:val="0"/>
      <w:divBdr>
        <w:top w:val="none" w:sz="0" w:space="0" w:color="auto"/>
        <w:left w:val="none" w:sz="0" w:space="0" w:color="auto"/>
        <w:bottom w:val="none" w:sz="0" w:space="0" w:color="auto"/>
        <w:right w:val="none" w:sz="0" w:space="0" w:color="auto"/>
      </w:divBdr>
    </w:div>
    <w:div w:id="1486582325">
      <w:bodyDiv w:val="1"/>
      <w:marLeft w:val="0"/>
      <w:marRight w:val="0"/>
      <w:marTop w:val="0"/>
      <w:marBottom w:val="0"/>
      <w:divBdr>
        <w:top w:val="none" w:sz="0" w:space="0" w:color="auto"/>
        <w:left w:val="none" w:sz="0" w:space="0" w:color="auto"/>
        <w:bottom w:val="none" w:sz="0" w:space="0" w:color="auto"/>
        <w:right w:val="none" w:sz="0" w:space="0" w:color="auto"/>
      </w:divBdr>
    </w:div>
    <w:div w:id="1499613676">
      <w:bodyDiv w:val="1"/>
      <w:marLeft w:val="0"/>
      <w:marRight w:val="0"/>
      <w:marTop w:val="0"/>
      <w:marBottom w:val="0"/>
      <w:divBdr>
        <w:top w:val="none" w:sz="0" w:space="0" w:color="auto"/>
        <w:left w:val="none" w:sz="0" w:space="0" w:color="auto"/>
        <w:bottom w:val="none" w:sz="0" w:space="0" w:color="auto"/>
        <w:right w:val="none" w:sz="0" w:space="0" w:color="auto"/>
      </w:divBdr>
    </w:div>
    <w:div w:id="1504541705">
      <w:bodyDiv w:val="1"/>
      <w:marLeft w:val="0"/>
      <w:marRight w:val="0"/>
      <w:marTop w:val="0"/>
      <w:marBottom w:val="0"/>
      <w:divBdr>
        <w:top w:val="none" w:sz="0" w:space="0" w:color="auto"/>
        <w:left w:val="none" w:sz="0" w:space="0" w:color="auto"/>
        <w:bottom w:val="none" w:sz="0" w:space="0" w:color="auto"/>
        <w:right w:val="none" w:sz="0" w:space="0" w:color="auto"/>
      </w:divBdr>
    </w:div>
    <w:div w:id="1507598354">
      <w:bodyDiv w:val="1"/>
      <w:marLeft w:val="0"/>
      <w:marRight w:val="0"/>
      <w:marTop w:val="0"/>
      <w:marBottom w:val="0"/>
      <w:divBdr>
        <w:top w:val="none" w:sz="0" w:space="0" w:color="auto"/>
        <w:left w:val="none" w:sz="0" w:space="0" w:color="auto"/>
        <w:bottom w:val="none" w:sz="0" w:space="0" w:color="auto"/>
        <w:right w:val="none" w:sz="0" w:space="0" w:color="auto"/>
      </w:divBdr>
    </w:div>
    <w:div w:id="1511480554">
      <w:bodyDiv w:val="1"/>
      <w:marLeft w:val="0"/>
      <w:marRight w:val="0"/>
      <w:marTop w:val="0"/>
      <w:marBottom w:val="0"/>
      <w:divBdr>
        <w:top w:val="none" w:sz="0" w:space="0" w:color="auto"/>
        <w:left w:val="none" w:sz="0" w:space="0" w:color="auto"/>
        <w:bottom w:val="none" w:sz="0" w:space="0" w:color="auto"/>
        <w:right w:val="none" w:sz="0" w:space="0" w:color="auto"/>
      </w:divBdr>
    </w:div>
    <w:div w:id="1529102467">
      <w:bodyDiv w:val="1"/>
      <w:marLeft w:val="0"/>
      <w:marRight w:val="0"/>
      <w:marTop w:val="0"/>
      <w:marBottom w:val="0"/>
      <w:divBdr>
        <w:top w:val="none" w:sz="0" w:space="0" w:color="auto"/>
        <w:left w:val="none" w:sz="0" w:space="0" w:color="auto"/>
        <w:bottom w:val="none" w:sz="0" w:space="0" w:color="auto"/>
        <w:right w:val="none" w:sz="0" w:space="0" w:color="auto"/>
      </w:divBdr>
    </w:div>
    <w:div w:id="1574117382">
      <w:bodyDiv w:val="1"/>
      <w:marLeft w:val="0"/>
      <w:marRight w:val="0"/>
      <w:marTop w:val="0"/>
      <w:marBottom w:val="0"/>
      <w:divBdr>
        <w:top w:val="none" w:sz="0" w:space="0" w:color="auto"/>
        <w:left w:val="none" w:sz="0" w:space="0" w:color="auto"/>
        <w:bottom w:val="none" w:sz="0" w:space="0" w:color="auto"/>
        <w:right w:val="none" w:sz="0" w:space="0" w:color="auto"/>
      </w:divBdr>
    </w:div>
    <w:div w:id="1585650562">
      <w:bodyDiv w:val="1"/>
      <w:marLeft w:val="0"/>
      <w:marRight w:val="0"/>
      <w:marTop w:val="0"/>
      <w:marBottom w:val="0"/>
      <w:divBdr>
        <w:top w:val="none" w:sz="0" w:space="0" w:color="auto"/>
        <w:left w:val="none" w:sz="0" w:space="0" w:color="auto"/>
        <w:bottom w:val="none" w:sz="0" w:space="0" w:color="auto"/>
        <w:right w:val="none" w:sz="0" w:space="0" w:color="auto"/>
      </w:divBdr>
    </w:div>
    <w:div w:id="1595016659">
      <w:bodyDiv w:val="1"/>
      <w:marLeft w:val="0"/>
      <w:marRight w:val="0"/>
      <w:marTop w:val="0"/>
      <w:marBottom w:val="0"/>
      <w:divBdr>
        <w:top w:val="none" w:sz="0" w:space="0" w:color="auto"/>
        <w:left w:val="none" w:sz="0" w:space="0" w:color="auto"/>
        <w:bottom w:val="none" w:sz="0" w:space="0" w:color="auto"/>
        <w:right w:val="none" w:sz="0" w:space="0" w:color="auto"/>
      </w:divBdr>
    </w:div>
    <w:div w:id="1602372653">
      <w:bodyDiv w:val="1"/>
      <w:marLeft w:val="0"/>
      <w:marRight w:val="0"/>
      <w:marTop w:val="0"/>
      <w:marBottom w:val="0"/>
      <w:divBdr>
        <w:top w:val="none" w:sz="0" w:space="0" w:color="auto"/>
        <w:left w:val="none" w:sz="0" w:space="0" w:color="auto"/>
        <w:bottom w:val="none" w:sz="0" w:space="0" w:color="auto"/>
        <w:right w:val="none" w:sz="0" w:space="0" w:color="auto"/>
      </w:divBdr>
    </w:div>
    <w:div w:id="1608654044">
      <w:bodyDiv w:val="1"/>
      <w:marLeft w:val="0"/>
      <w:marRight w:val="0"/>
      <w:marTop w:val="0"/>
      <w:marBottom w:val="0"/>
      <w:divBdr>
        <w:top w:val="none" w:sz="0" w:space="0" w:color="auto"/>
        <w:left w:val="none" w:sz="0" w:space="0" w:color="auto"/>
        <w:bottom w:val="none" w:sz="0" w:space="0" w:color="auto"/>
        <w:right w:val="none" w:sz="0" w:space="0" w:color="auto"/>
      </w:divBdr>
    </w:div>
    <w:div w:id="1639409536">
      <w:bodyDiv w:val="1"/>
      <w:marLeft w:val="0"/>
      <w:marRight w:val="0"/>
      <w:marTop w:val="0"/>
      <w:marBottom w:val="0"/>
      <w:divBdr>
        <w:top w:val="none" w:sz="0" w:space="0" w:color="auto"/>
        <w:left w:val="none" w:sz="0" w:space="0" w:color="auto"/>
        <w:bottom w:val="none" w:sz="0" w:space="0" w:color="auto"/>
        <w:right w:val="none" w:sz="0" w:space="0" w:color="auto"/>
      </w:divBdr>
    </w:div>
    <w:div w:id="1707679545">
      <w:bodyDiv w:val="1"/>
      <w:marLeft w:val="0"/>
      <w:marRight w:val="0"/>
      <w:marTop w:val="0"/>
      <w:marBottom w:val="0"/>
      <w:divBdr>
        <w:top w:val="none" w:sz="0" w:space="0" w:color="auto"/>
        <w:left w:val="none" w:sz="0" w:space="0" w:color="auto"/>
        <w:bottom w:val="none" w:sz="0" w:space="0" w:color="auto"/>
        <w:right w:val="none" w:sz="0" w:space="0" w:color="auto"/>
      </w:divBdr>
    </w:div>
    <w:div w:id="1744377146">
      <w:bodyDiv w:val="1"/>
      <w:marLeft w:val="0"/>
      <w:marRight w:val="0"/>
      <w:marTop w:val="0"/>
      <w:marBottom w:val="0"/>
      <w:divBdr>
        <w:top w:val="none" w:sz="0" w:space="0" w:color="auto"/>
        <w:left w:val="none" w:sz="0" w:space="0" w:color="auto"/>
        <w:bottom w:val="none" w:sz="0" w:space="0" w:color="auto"/>
        <w:right w:val="none" w:sz="0" w:space="0" w:color="auto"/>
      </w:divBdr>
    </w:div>
    <w:div w:id="1759209375">
      <w:bodyDiv w:val="1"/>
      <w:marLeft w:val="0"/>
      <w:marRight w:val="0"/>
      <w:marTop w:val="0"/>
      <w:marBottom w:val="0"/>
      <w:divBdr>
        <w:top w:val="none" w:sz="0" w:space="0" w:color="auto"/>
        <w:left w:val="none" w:sz="0" w:space="0" w:color="auto"/>
        <w:bottom w:val="none" w:sz="0" w:space="0" w:color="auto"/>
        <w:right w:val="none" w:sz="0" w:space="0" w:color="auto"/>
      </w:divBdr>
    </w:div>
    <w:div w:id="1761757049">
      <w:bodyDiv w:val="1"/>
      <w:marLeft w:val="0"/>
      <w:marRight w:val="0"/>
      <w:marTop w:val="0"/>
      <w:marBottom w:val="0"/>
      <w:divBdr>
        <w:top w:val="none" w:sz="0" w:space="0" w:color="auto"/>
        <w:left w:val="none" w:sz="0" w:space="0" w:color="auto"/>
        <w:bottom w:val="none" w:sz="0" w:space="0" w:color="auto"/>
        <w:right w:val="none" w:sz="0" w:space="0" w:color="auto"/>
      </w:divBdr>
    </w:div>
    <w:div w:id="1762674352">
      <w:bodyDiv w:val="1"/>
      <w:marLeft w:val="0"/>
      <w:marRight w:val="0"/>
      <w:marTop w:val="0"/>
      <w:marBottom w:val="0"/>
      <w:divBdr>
        <w:top w:val="none" w:sz="0" w:space="0" w:color="auto"/>
        <w:left w:val="none" w:sz="0" w:space="0" w:color="auto"/>
        <w:bottom w:val="none" w:sz="0" w:space="0" w:color="auto"/>
        <w:right w:val="none" w:sz="0" w:space="0" w:color="auto"/>
      </w:divBdr>
    </w:div>
    <w:div w:id="1799059453">
      <w:bodyDiv w:val="1"/>
      <w:marLeft w:val="0"/>
      <w:marRight w:val="0"/>
      <w:marTop w:val="0"/>
      <w:marBottom w:val="0"/>
      <w:divBdr>
        <w:top w:val="none" w:sz="0" w:space="0" w:color="auto"/>
        <w:left w:val="none" w:sz="0" w:space="0" w:color="auto"/>
        <w:bottom w:val="none" w:sz="0" w:space="0" w:color="auto"/>
        <w:right w:val="none" w:sz="0" w:space="0" w:color="auto"/>
      </w:divBdr>
    </w:div>
    <w:div w:id="1830437499">
      <w:bodyDiv w:val="1"/>
      <w:marLeft w:val="0"/>
      <w:marRight w:val="0"/>
      <w:marTop w:val="0"/>
      <w:marBottom w:val="0"/>
      <w:divBdr>
        <w:top w:val="none" w:sz="0" w:space="0" w:color="auto"/>
        <w:left w:val="none" w:sz="0" w:space="0" w:color="auto"/>
        <w:bottom w:val="none" w:sz="0" w:space="0" w:color="auto"/>
        <w:right w:val="none" w:sz="0" w:space="0" w:color="auto"/>
      </w:divBdr>
    </w:div>
    <w:div w:id="1837184548">
      <w:bodyDiv w:val="1"/>
      <w:marLeft w:val="0"/>
      <w:marRight w:val="0"/>
      <w:marTop w:val="0"/>
      <w:marBottom w:val="0"/>
      <w:divBdr>
        <w:top w:val="none" w:sz="0" w:space="0" w:color="auto"/>
        <w:left w:val="none" w:sz="0" w:space="0" w:color="auto"/>
        <w:bottom w:val="none" w:sz="0" w:space="0" w:color="auto"/>
        <w:right w:val="none" w:sz="0" w:space="0" w:color="auto"/>
      </w:divBdr>
    </w:div>
    <w:div w:id="1886402493">
      <w:bodyDiv w:val="1"/>
      <w:marLeft w:val="0"/>
      <w:marRight w:val="0"/>
      <w:marTop w:val="0"/>
      <w:marBottom w:val="0"/>
      <w:divBdr>
        <w:top w:val="none" w:sz="0" w:space="0" w:color="auto"/>
        <w:left w:val="none" w:sz="0" w:space="0" w:color="auto"/>
        <w:bottom w:val="none" w:sz="0" w:space="0" w:color="auto"/>
        <w:right w:val="none" w:sz="0" w:space="0" w:color="auto"/>
      </w:divBdr>
    </w:div>
    <w:div w:id="1893350832">
      <w:bodyDiv w:val="1"/>
      <w:marLeft w:val="0"/>
      <w:marRight w:val="0"/>
      <w:marTop w:val="0"/>
      <w:marBottom w:val="0"/>
      <w:divBdr>
        <w:top w:val="none" w:sz="0" w:space="0" w:color="auto"/>
        <w:left w:val="none" w:sz="0" w:space="0" w:color="auto"/>
        <w:bottom w:val="none" w:sz="0" w:space="0" w:color="auto"/>
        <w:right w:val="none" w:sz="0" w:space="0" w:color="auto"/>
      </w:divBdr>
    </w:div>
    <w:div w:id="1895046911">
      <w:bodyDiv w:val="1"/>
      <w:marLeft w:val="0"/>
      <w:marRight w:val="0"/>
      <w:marTop w:val="0"/>
      <w:marBottom w:val="0"/>
      <w:divBdr>
        <w:top w:val="none" w:sz="0" w:space="0" w:color="auto"/>
        <w:left w:val="none" w:sz="0" w:space="0" w:color="auto"/>
        <w:bottom w:val="none" w:sz="0" w:space="0" w:color="auto"/>
        <w:right w:val="none" w:sz="0" w:space="0" w:color="auto"/>
      </w:divBdr>
    </w:div>
    <w:div w:id="1909340369">
      <w:bodyDiv w:val="1"/>
      <w:marLeft w:val="0"/>
      <w:marRight w:val="0"/>
      <w:marTop w:val="0"/>
      <w:marBottom w:val="0"/>
      <w:divBdr>
        <w:top w:val="none" w:sz="0" w:space="0" w:color="auto"/>
        <w:left w:val="none" w:sz="0" w:space="0" w:color="auto"/>
        <w:bottom w:val="none" w:sz="0" w:space="0" w:color="auto"/>
        <w:right w:val="none" w:sz="0" w:space="0" w:color="auto"/>
      </w:divBdr>
    </w:div>
    <w:div w:id="1943872845">
      <w:bodyDiv w:val="1"/>
      <w:marLeft w:val="0"/>
      <w:marRight w:val="0"/>
      <w:marTop w:val="0"/>
      <w:marBottom w:val="0"/>
      <w:divBdr>
        <w:top w:val="none" w:sz="0" w:space="0" w:color="auto"/>
        <w:left w:val="none" w:sz="0" w:space="0" w:color="auto"/>
        <w:bottom w:val="none" w:sz="0" w:space="0" w:color="auto"/>
        <w:right w:val="none" w:sz="0" w:space="0" w:color="auto"/>
      </w:divBdr>
    </w:div>
    <w:div w:id="1961102858">
      <w:bodyDiv w:val="1"/>
      <w:marLeft w:val="0"/>
      <w:marRight w:val="0"/>
      <w:marTop w:val="0"/>
      <w:marBottom w:val="0"/>
      <w:divBdr>
        <w:top w:val="none" w:sz="0" w:space="0" w:color="auto"/>
        <w:left w:val="none" w:sz="0" w:space="0" w:color="auto"/>
        <w:bottom w:val="none" w:sz="0" w:space="0" w:color="auto"/>
        <w:right w:val="none" w:sz="0" w:space="0" w:color="auto"/>
      </w:divBdr>
    </w:div>
    <w:div w:id="1981223737">
      <w:bodyDiv w:val="1"/>
      <w:marLeft w:val="0"/>
      <w:marRight w:val="0"/>
      <w:marTop w:val="0"/>
      <w:marBottom w:val="0"/>
      <w:divBdr>
        <w:top w:val="none" w:sz="0" w:space="0" w:color="auto"/>
        <w:left w:val="none" w:sz="0" w:space="0" w:color="auto"/>
        <w:bottom w:val="none" w:sz="0" w:space="0" w:color="auto"/>
        <w:right w:val="none" w:sz="0" w:space="0" w:color="auto"/>
      </w:divBdr>
    </w:div>
    <w:div w:id="2049333105">
      <w:bodyDiv w:val="1"/>
      <w:marLeft w:val="0"/>
      <w:marRight w:val="0"/>
      <w:marTop w:val="0"/>
      <w:marBottom w:val="0"/>
      <w:divBdr>
        <w:top w:val="none" w:sz="0" w:space="0" w:color="auto"/>
        <w:left w:val="none" w:sz="0" w:space="0" w:color="auto"/>
        <w:bottom w:val="none" w:sz="0" w:space="0" w:color="auto"/>
        <w:right w:val="none" w:sz="0" w:space="0" w:color="auto"/>
      </w:divBdr>
    </w:div>
    <w:div w:id="2067216400">
      <w:bodyDiv w:val="1"/>
      <w:marLeft w:val="0"/>
      <w:marRight w:val="0"/>
      <w:marTop w:val="0"/>
      <w:marBottom w:val="0"/>
      <w:divBdr>
        <w:top w:val="none" w:sz="0" w:space="0" w:color="auto"/>
        <w:left w:val="none" w:sz="0" w:space="0" w:color="auto"/>
        <w:bottom w:val="none" w:sz="0" w:space="0" w:color="auto"/>
        <w:right w:val="none" w:sz="0" w:space="0" w:color="auto"/>
      </w:divBdr>
    </w:div>
    <w:div w:id="2079933287">
      <w:bodyDiv w:val="1"/>
      <w:marLeft w:val="0"/>
      <w:marRight w:val="0"/>
      <w:marTop w:val="0"/>
      <w:marBottom w:val="0"/>
      <w:divBdr>
        <w:top w:val="none" w:sz="0" w:space="0" w:color="auto"/>
        <w:left w:val="none" w:sz="0" w:space="0" w:color="auto"/>
        <w:bottom w:val="none" w:sz="0" w:space="0" w:color="auto"/>
        <w:right w:val="none" w:sz="0" w:space="0" w:color="auto"/>
      </w:divBdr>
    </w:div>
    <w:div w:id="2085684578">
      <w:bodyDiv w:val="1"/>
      <w:marLeft w:val="0"/>
      <w:marRight w:val="0"/>
      <w:marTop w:val="0"/>
      <w:marBottom w:val="0"/>
      <w:divBdr>
        <w:top w:val="none" w:sz="0" w:space="0" w:color="auto"/>
        <w:left w:val="none" w:sz="0" w:space="0" w:color="auto"/>
        <w:bottom w:val="none" w:sz="0" w:space="0" w:color="auto"/>
        <w:right w:val="none" w:sz="0" w:space="0" w:color="auto"/>
      </w:divBdr>
    </w:div>
    <w:div w:id="2088262363">
      <w:bodyDiv w:val="1"/>
      <w:marLeft w:val="0"/>
      <w:marRight w:val="0"/>
      <w:marTop w:val="0"/>
      <w:marBottom w:val="0"/>
      <w:divBdr>
        <w:top w:val="none" w:sz="0" w:space="0" w:color="auto"/>
        <w:left w:val="none" w:sz="0" w:space="0" w:color="auto"/>
        <w:bottom w:val="none" w:sz="0" w:space="0" w:color="auto"/>
        <w:right w:val="none" w:sz="0" w:space="0" w:color="auto"/>
      </w:divBdr>
    </w:div>
    <w:div w:id="2094546436">
      <w:bodyDiv w:val="1"/>
      <w:marLeft w:val="0"/>
      <w:marRight w:val="0"/>
      <w:marTop w:val="0"/>
      <w:marBottom w:val="0"/>
      <w:divBdr>
        <w:top w:val="none" w:sz="0" w:space="0" w:color="auto"/>
        <w:left w:val="none" w:sz="0" w:space="0" w:color="auto"/>
        <w:bottom w:val="none" w:sz="0" w:space="0" w:color="auto"/>
        <w:right w:val="none" w:sz="0" w:space="0" w:color="auto"/>
      </w:divBdr>
    </w:div>
    <w:div w:id="2110923503">
      <w:bodyDiv w:val="1"/>
      <w:marLeft w:val="0"/>
      <w:marRight w:val="0"/>
      <w:marTop w:val="0"/>
      <w:marBottom w:val="0"/>
      <w:divBdr>
        <w:top w:val="none" w:sz="0" w:space="0" w:color="auto"/>
        <w:left w:val="none" w:sz="0" w:space="0" w:color="auto"/>
        <w:bottom w:val="none" w:sz="0" w:space="0" w:color="auto"/>
        <w:right w:val="none" w:sz="0" w:space="0" w:color="auto"/>
      </w:divBdr>
    </w:div>
    <w:div w:id="214022128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chart" Target="charts/chart6.xml"/><Relationship Id="rId18" Type="http://schemas.openxmlformats.org/officeDocument/2006/relationships/chart" Target="charts/chart11.xml"/><Relationship Id="rId26" Type="http://schemas.openxmlformats.org/officeDocument/2006/relationships/chart" Target="charts/chart18.xml"/><Relationship Id="rId39" Type="http://schemas.openxmlformats.org/officeDocument/2006/relationships/footer" Target="footer2.xml"/><Relationship Id="rId21" Type="http://schemas.openxmlformats.org/officeDocument/2006/relationships/chart" Target="charts/chart14.xml"/><Relationship Id="rId34" Type="http://schemas.openxmlformats.org/officeDocument/2006/relationships/chart" Target="charts/chart24.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chart" Target="charts/chart9.xml"/><Relationship Id="rId20" Type="http://schemas.openxmlformats.org/officeDocument/2006/relationships/chart" Target="charts/chart13.xml"/><Relationship Id="rId29" Type="http://schemas.openxmlformats.org/officeDocument/2006/relationships/hyperlink" Target="https://www.mpsv.cz/documents/20142/225490/Anal%C3%BDza+NP_2022.pdf/cdd09219-aa75-cf4a-e039-5d65aafb28ab" TargetMode="Externa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4.xml"/><Relationship Id="rId24" Type="http://schemas.openxmlformats.org/officeDocument/2006/relationships/chart" Target="charts/chart16.xml"/><Relationship Id="rId32" Type="http://schemas.openxmlformats.org/officeDocument/2006/relationships/chart" Target="charts/chart22.xml"/><Relationship Id="rId37" Type="http://schemas.openxmlformats.org/officeDocument/2006/relationships/header" Target="header2.xml"/><Relationship Id="rId40" Type="http://schemas.openxmlformats.org/officeDocument/2006/relationships/fontTable" Target="fontTable.xml"/><Relationship Id="rId58" Type="http://schemas.microsoft.com/office/2018/08/relationships/commentsExtensible" Target="commentsExtensible.xml"/><Relationship Id="rId5" Type="http://schemas.openxmlformats.org/officeDocument/2006/relationships/webSettings" Target="webSettings.xml"/><Relationship Id="rId15" Type="http://schemas.openxmlformats.org/officeDocument/2006/relationships/chart" Target="charts/chart8.xml"/><Relationship Id="rId23" Type="http://schemas.openxmlformats.org/officeDocument/2006/relationships/image" Target="media/image1.png"/><Relationship Id="rId28" Type="http://schemas.openxmlformats.org/officeDocument/2006/relationships/chart" Target="charts/chart19.xml"/><Relationship Id="rId36" Type="http://schemas.openxmlformats.org/officeDocument/2006/relationships/header" Target="header1.xml"/><Relationship Id="rId10" Type="http://schemas.openxmlformats.org/officeDocument/2006/relationships/chart" Target="charts/chart3.xml"/><Relationship Id="rId19" Type="http://schemas.openxmlformats.org/officeDocument/2006/relationships/chart" Target="charts/chart12.xml"/><Relationship Id="rId31" Type="http://schemas.openxmlformats.org/officeDocument/2006/relationships/chart" Target="charts/chart21.xml"/><Relationship Id="rId4" Type="http://schemas.openxmlformats.org/officeDocument/2006/relationships/settings" Target="settings.xml"/><Relationship Id="rId9" Type="http://schemas.openxmlformats.org/officeDocument/2006/relationships/chart" Target="charts/chart2.xml"/><Relationship Id="rId14" Type="http://schemas.openxmlformats.org/officeDocument/2006/relationships/chart" Target="charts/chart7.xml"/><Relationship Id="rId22" Type="http://schemas.openxmlformats.org/officeDocument/2006/relationships/chart" Target="charts/chart15.xml"/><Relationship Id="rId27" Type="http://schemas.openxmlformats.org/officeDocument/2006/relationships/image" Target="media/image2.png"/><Relationship Id="rId30" Type="http://schemas.openxmlformats.org/officeDocument/2006/relationships/chart" Target="charts/chart20.xml"/><Relationship Id="rId35" Type="http://schemas.openxmlformats.org/officeDocument/2006/relationships/chart" Target="charts/chart25.xml"/><Relationship Id="rId8" Type="http://schemas.openxmlformats.org/officeDocument/2006/relationships/chart" Target="charts/chart1.xml"/><Relationship Id="rId3" Type="http://schemas.openxmlformats.org/officeDocument/2006/relationships/styles" Target="styles.xml"/><Relationship Id="rId12" Type="http://schemas.openxmlformats.org/officeDocument/2006/relationships/chart" Target="charts/chart5.xml"/><Relationship Id="rId17" Type="http://schemas.openxmlformats.org/officeDocument/2006/relationships/chart" Target="charts/chart10.xml"/><Relationship Id="rId25" Type="http://schemas.openxmlformats.org/officeDocument/2006/relationships/chart" Target="charts/chart17.xml"/><Relationship Id="rId33" Type="http://schemas.openxmlformats.org/officeDocument/2006/relationships/chart" Target="charts/chart23.xml"/><Relationship Id="rId38" Type="http://schemas.openxmlformats.org/officeDocument/2006/relationships/footer" Target="footer1.xml"/><Relationship Id="rId59" Type="http://schemas.microsoft.com/office/2016/09/relationships/commentsIds" Target="commentsIds.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ykysova23070\AppData\Local\Temp\Publikace%20bar%20CZ_lide%20a%20spolecnost_2017-08-14.dotx"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file:///D:\hykysova23070\Documents\PN\2022\1.%20pol\publ\GRAFY_1.pol.22.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D:\hykysova23070\Documents\PN\2022\1.%20pol\publ\GRAFY_1.pol.22.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file:///D:\hykysova23070\Documents\PN\2022\1.%20pol\publ\GRAFY_1.pol.22.xlsx"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file:///D:\hykysova23070\Documents\PN\2022\1.%20pol\publ\GRAFY_1.pol.22.xlsx" TargetMode="External"/><Relationship Id="rId2" Type="http://schemas.microsoft.com/office/2011/relationships/chartColorStyle" Target="colors4.xml"/><Relationship Id="rId1" Type="http://schemas.microsoft.com/office/2011/relationships/chartStyle" Target="style4.xml"/><Relationship Id="rId4" Type="http://schemas.openxmlformats.org/officeDocument/2006/relationships/chartUserShapes" Target="../drawings/drawing1.xml"/></Relationships>
</file>

<file path=word/charts/_rels/chart5.xml.rels><?xml version="1.0" encoding="UTF-8" standalone="yes"?>
<Relationships xmlns="http://schemas.openxmlformats.org/package/2006/relationships"><Relationship Id="rId3" Type="http://schemas.openxmlformats.org/officeDocument/2006/relationships/oleObject" Target="file:///D:\hykysova23070\Documents\PN\2022\1.%20pol\publ\GRAFY_1.pol.22.xlsx" TargetMode="External"/><Relationship Id="rId2" Type="http://schemas.microsoft.com/office/2011/relationships/chartColorStyle" Target="colors5.xml"/><Relationship Id="rId1" Type="http://schemas.microsoft.com/office/2011/relationships/chartStyle" Target="style5.xml"/><Relationship Id="rId4" Type="http://schemas.openxmlformats.org/officeDocument/2006/relationships/chartUserShapes" Target="../drawings/drawing2.xml"/></Relationships>
</file>

<file path=word/charts/_rels/chart6.xml.rels><?xml version="1.0" encoding="UTF-8" standalone="yes"?>
<Relationships xmlns="http://schemas.openxmlformats.org/package/2006/relationships"><Relationship Id="rId3" Type="http://schemas.openxmlformats.org/officeDocument/2006/relationships/oleObject" Target="file:///D:\hykysova23070\Documents\PN\2022\1.%20pol\publ\GRAFY_1.pol.22.xlsx" TargetMode="External"/><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3" Type="http://schemas.openxmlformats.org/officeDocument/2006/relationships/oleObject" Target="file:///D:\hykysova23070\Documents\PN\2022\1.%20pol\publ\GRAFY_1.pol.22.xlsx" TargetMode="External"/><Relationship Id="rId2" Type="http://schemas.microsoft.com/office/2011/relationships/chartColorStyle" Target="colors7.xml"/><Relationship Id="rId1" Type="http://schemas.microsoft.com/office/2011/relationships/chartStyle" Target="style7.xml"/></Relationships>
</file>

<file path=word/charts/_rels/chart8.xml.rels><?xml version="1.0" encoding="UTF-8" standalone="yes"?>
<Relationships xmlns="http://schemas.openxmlformats.org/package/2006/relationships"><Relationship Id="rId3" Type="http://schemas.openxmlformats.org/officeDocument/2006/relationships/oleObject" Target="file:///D:\hykysova23070\Documents\PN\2022\1.%20pol\publ\GRAFY_1.pol.22.xlsx" TargetMode="External"/><Relationship Id="rId2" Type="http://schemas.microsoft.com/office/2011/relationships/chartColorStyle" Target="colors8.xml"/><Relationship Id="rId1" Type="http://schemas.microsoft.com/office/2011/relationships/chartStyle" Target="style8.xml"/></Relationships>
</file>

<file path=word/charts/_rels/chart9.xml.rels><?xml version="1.0" encoding="UTF-8" standalone="yes"?>
<Relationships xmlns="http://schemas.openxmlformats.org/package/2006/relationships"><Relationship Id="rId3" Type="http://schemas.openxmlformats.org/officeDocument/2006/relationships/oleObject" Target="file:///D:\hykysova23070\Documents\PN\2022\1.%20pol\publ\GRAFY_1.pol.22.xlsx" TargetMode="External"/><Relationship Id="rId2" Type="http://schemas.microsoft.com/office/2011/relationships/chartColorStyle" Target="colors9.xml"/><Relationship Id="rId1" Type="http://schemas.microsoft.com/office/2011/relationships/chartStyle" Target="style9.xml"/></Relationships>
</file>

<file path=word/charts/_rels/chart10.xml.rels><?xml version="1.0" encoding="UTF-8" standalone="yes"?>
<Relationships xmlns="http://schemas.openxmlformats.org/package/2006/relationships"><Relationship Id="rId3" Type="http://schemas.openxmlformats.org/officeDocument/2006/relationships/oleObject" Target="file:///D:\hykysova23070\Documents\PN\2022\1.%20pol\publ\GRAFY_1.pol.22.xlsx" TargetMode="External"/><Relationship Id="rId2" Type="http://schemas.microsoft.com/office/2011/relationships/chartColorStyle" Target="colors10.xml"/><Relationship Id="rId1" Type="http://schemas.microsoft.com/office/2011/relationships/chartStyle" Target="style10.xml"/></Relationships>
</file>

<file path=word/charts/_rels/chart11.xml.rels><?xml version="1.0" encoding="UTF-8" standalone="yes"?>
<Relationships xmlns="http://schemas.openxmlformats.org/package/2006/relationships"><Relationship Id="rId3" Type="http://schemas.openxmlformats.org/officeDocument/2006/relationships/oleObject" Target="file:///D:\hykysova23070\Documents\PN\2022\1.%20pol\publ\GRAFY_1.pol.22.xlsx" TargetMode="External"/><Relationship Id="rId2" Type="http://schemas.microsoft.com/office/2011/relationships/chartColorStyle" Target="colors11.xml"/><Relationship Id="rId1" Type="http://schemas.microsoft.com/office/2011/relationships/chartStyle" Target="style11.xml"/></Relationships>
</file>

<file path=word/charts/_rels/chart12.xml.rels><?xml version="1.0" encoding="UTF-8" standalone="yes"?>
<Relationships xmlns="http://schemas.openxmlformats.org/package/2006/relationships"><Relationship Id="rId3" Type="http://schemas.openxmlformats.org/officeDocument/2006/relationships/oleObject" Target="file:///D:\hykysova23070\Documents\PN\2022\1.%20pol\publ\GRAFY_1.pol.22.xlsx" TargetMode="External"/><Relationship Id="rId2" Type="http://schemas.microsoft.com/office/2011/relationships/chartColorStyle" Target="colors12.xml"/><Relationship Id="rId1" Type="http://schemas.microsoft.com/office/2011/relationships/chartStyle" Target="style12.xml"/></Relationships>
</file>

<file path=word/charts/_rels/chart13.xml.rels><?xml version="1.0" encoding="UTF-8" standalone="yes"?>
<Relationships xmlns="http://schemas.openxmlformats.org/package/2006/relationships"><Relationship Id="rId3" Type="http://schemas.openxmlformats.org/officeDocument/2006/relationships/oleObject" Target="file:///D:\hykysova23070\Documents\PN\2022\1.%20pol\publ\GRAFY_1.pol.22.xlsx" TargetMode="External"/><Relationship Id="rId2" Type="http://schemas.microsoft.com/office/2011/relationships/chartColorStyle" Target="colors13.xml"/><Relationship Id="rId1" Type="http://schemas.microsoft.com/office/2011/relationships/chartStyle" Target="style13.xml"/></Relationships>
</file>

<file path=word/charts/_rels/chart14.xml.rels><?xml version="1.0" encoding="UTF-8" standalone="yes"?>
<Relationships xmlns="http://schemas.openxmlformats.org/package/2006/relationships"><Relationship Id="rId3" Type="http://schemas.openxmlformats.org/officeDocument/2006/relationships/oleObject" Target="file:///D:\hykysova23070\Documents\PN\2022\1.%20pol\publ\GRAFY_1.pol.22.xlsx" TargetMode="External"/><Relationship Id="rId2" Type="http://schemas.microsoft.com/office/2011/relationships/chartColorStyle" Target="colors14.xml"/><Relationship Id="rId1" Type="http://schemas.microsoft.com/office/2011/relationships/chartStyle" Target="style14.xml"/></Relationships>
</file>

<file path=word/charts/_rels/chart15.xml.rels><?xml version="1.0" encoding="UTF-8" standalone="yes"?>
<Relationships xmlns="http://schemas.openxmlformats.org/package/2006/relationships"><Relationship Id="rId3" Type="http://schemas.openxmlformats.org/officeDocument/2006/relationships/oleObject" Target="file:///D:\hykysova23070\Documents\PN\2022\1.%20pol\publ\GRAFY_1.pol.22.xlsx" TargetMode="External"/><Relationship Id="rId2" Type="http://schemas.microsoft.com/office/2011/relationships/chartColorStyle" Target="colors15.xml"/><Relationship Id="rId1" Type="http://schemas.microsoft.com/office/2011/relationships/chartStyle" Target="style15.xml"/></Relationships>
</file>

<file path=word/charts/_rels/chart16.xml.rels><?xml version="1.0" encoding="UTF-8" standalone="yes"?>
<Relationships xmlns="http://schemas.openxmlformats.org/package/2006/relationships"><Relationship Id="rId3" Type="http://schemas.openxmlformats.org/officeDocument/2006/relationships/oleObject" Target="file:///D:\hykysova23070\Documents\PN\2022\1.%20pol\publ\GRAFY_1.pol.22.xlsx" TargetMode="External"/><Relationship Id="rId2" Type="http://schemas.microsoft.com/office/2011/relationships/chartColorStyle" Target="colors16.xml"/><Relationship Id="rId1" Type="http://schemas.microsoft.com/office/2011/relationships/chartStyle" Target="style16.xml"/></Relationships>
</file>

<file path=word/charts/_rels/chart17.xml.rels><?xml version="1.0" encoding="UTF-8" standalone="yes"?>
<Relationships xmlns="http://schemas.openxmlformats.org/package/2006/relationships"><Relationship Id="rId3" Type="http://schemas.openxmlformats.org/officeDocument/2006/relationships/oleObject" Target="file:///D:\hykysova23070\Documents\PN\2022\1.%20pol\publ\GRAFY_1.pol.22.xlsx" TargetMode="External"/><Relationship Id="rId2" Type="http://schemas.microsoft.com/office/2011/relationships/chartColorStyle" Target="colors17.xml"/><Relationship Id="rId1" Type="http://schemas.microsoft.com/office/2011/relationships/chartStyle" Target="style17.xml"/></Relationships>
</file>

<file path=word/charts/_rels/chart18.xml.rels><?xml version="1.0" encoding="UTF-8" standalone="yes"?>
<Relationships xmlns="http://schemas.openxmlformats.org/package/2006/relationships"><Relationship Id="rId3" Type="http://schemas.openxmlformats.org/officeDocument/2006/relationships/oleObject" Target="file:///D:\hykysova23070\Documents\PN\2022\1.%20pol\publ\GRAFY_1.pol.22.xlsx" TargetMode="External"/><Relationship Id="rId2" Type="http://schemas.microsoft.com/office/2011/relationships/chartColorStyle" Target="colors18.xml"/><Relationship Id="rId1" Type="http://schemas.microsoft.com/office/2011/relationships/chartStyle" Target="style18.xml"/></Relationships>
</file>

<file path=word/charts/_rels/chart19.xml.rels><?xml version="1.0" encoding="UTF-8" standalone="yes"?>
<Relationships xmlns="http://schemas.openxmlformats.org/package/2006/relationships"><Relationship Id="rId3" Type="http://schemas.openxmlformats.org/officeDocument/2006/relationships/oleObject" Target="file:///D:\hykysova23070\Documents\PN\2022\1.%20pol\publ\GRAFY_1.pol.22.xlsx" TargetMode="External"/><Relationship Id="rId2" Type="http://schemas.microsoft.com/office/2011/relationships/chartColorStyle" Target="colors19.xml"/><Relationship Id="rId1" Type="http://schemas.microsoft.com/office/2011/relationships/chartStyle" Target="style19.xml"/></Relationships>
</file>

<file path=word/charts/_rels/chart20.xml.rels><?xml version="1.0" encoding="UTF-8" standalone="yes"?>
<Relationships xmlns="http://schemas.openxmlformats.org/package/2006/relationships"><Relationship Id="rId3" Type="http://schemas.openxmlformats.org/officeDocument/2006/relationships/oleObject" Target="file:///D:\hykysova23070\Documents\PN\2022\1.%20pol\publ\GRAFY_1.pol.22.xlsx" TargetMode="External"/><Relationship Id="rId2" Type="http://schemas.microsoft.com/office/2011/relationships/chartColorStyle" Target="colors20.xml"/><Relationship Id="rId1" Type="http://schemas.microsoft.com/office/2011/relationships/chartStyle" Target="style20.xml"/></Relationships>
</file>

<file path=word/charts/_rels/chart21.xml.rels><?xml version="1.0" encoding="UTF-8" standalone="yes"?>
<Relationships xmlns="http://schemas.openxmlformats.org/package/2006/relationships"><Relationship Id="rId3" Type="http://schemas.openxmlformats.org/officeDocument/2006/relationships/oleObject" Target="file:///D:\hykysova23070\Documents\PN\2022\1.%20pol\publ\GRAFY_1.pol.22.xlsx" TargetMode="External"/><Relationship Id="rId2" Type="http://schemas.microsoft.com/office/2011/relationships/chartColorStyle" Target="colors21.xml"/><Relationship Id="rId1" Type="http://schemas.microsoft.com/office/2011/relationships/chartStyle" Target="style21.xml"/></Relationships>
</file>

<file path=word/charts/_rels/chart22.xml.rels><?xml version="1.0" encoding="UTF-8" standalone="yes"?>
<Relationships xmlns="http://schemas.openxmlformats.org/package/2006/relationships"><Relationship Id="rId3" Type="http://schemas.openxmlformats.org/officeDocument/2006/relationships/oleObject" Target="file:///D:\hykysova23070\Documents\PN\2022\1.%20pol\publ\GRAFY_1.pol.22.xlsx" TargetMode="External"/><Relationship Id="rId2" Type="http://schemas.microsoft.com/office/2011/relationships/chartColorStyle" Target="colors22.xml"/><Relationship Id="rId1" Type="http://schemas.microsoft.com/office/2011/relationships/chartStyle" Target="style22.xml"/></Relationships>
</file>

<file path=word/charts/_rels/chart23.xml.rels><?xml version="1.0" encoding="UTF-8" standalone="yes"?>
<Relationships xmlns="http://schemas.openxmlformats.org/package/2006/relationships"><Relationship Id="rId3" Type="http://schemas.openxmlformats.org/officeDocument/2006/relationships/oleObject" Target="file:///D:\hykysova23070\Documents\PN\2022\1.%20pol\publ\GRAFY_1.pol.22.xlsx" TargetMode="External"/><Relationship Id="rId2" Type="http://schemas.microsoft.com/office/2011/relationships/chartColorStyle" Target="colors23.xml"/><Relationship Id="rId1" Type="http://schemas.microsoft.com/office/2011/relationships/chartStyle" Target="style23.xml"/></Relationships>
</file>

<file path=word/charts/_rels/chart24.xml.rels><?xml version="1.0" encoding="UTF-8" standalone="yes"?>
<Relationships xmlns="http://schemas.openxmlformats.org/package/2006/relationships"><Relationship Id="rId3" Type="http://schemas.openxmlformats.org/officeDocument/2006/relationships/oleObject" Target="file:///D:\hykysova23070\Documents\PN\2022\1.%20pol\publ\GRAFY_1.pol.22.xlsx" TargetMode="External"/><Relationship Id="rId2" Type="http://schemas.microsoft.com/office/2011/relationships/chartColorStyle" Target="colors24.xml"/><Relationship Id="rId1" Type="http://schemas.microsoft.com/office/2011/relationships/chartStyle" Target="style24.xml"/></Relationships>
</file>

<file path=word/charts/_rels/chart25.xml.rels><?xml version="1.0" encoding="UTF-8" standalone="yes"?>
<Relationships xmlns="http://schemas.openxmlformats.org/package/2006/relationships"><Relationship Id="rId3" Type="http://schemas.openxmlformats.org/officeDocument/2006/relationships/oleObject" Target="file:///D:\hykysova23070\Documents\PN\2022\1.%20pol\publ\GRAFY_1.pol.22.xlsx" TargetMode="External"/><Relationship Id="rId2" Type="http://schemas.microsoft.com/office/2011/relationships/chartColorStyle" Target="colors25.xml"/><Relationship Id="rId1" Type="http://schemas.microsoft.com/office/2011/relationships/chartStyle" Target="style25.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percentStacked"/>
        <c:varyColors val="0"/>
        <c:ser>
          <c:idx val="4"/>
          <c:order val="0"/>
          <c:tx>
            <c:strRef>
              <c:f>'1.1'!$A$19</c:f>
              <c:strCache>
                <c:ptCount val="1"/>
                <c:pt idx="0">
                  <c:v> 500 a více zaměstnanců</c:v>
                </c:pt>
              </c:strCache>
            </c:strRef>
          </c:tx>
          <c:spPr>
            <a:solidFill>
              <a:srgbClr val="E8C1BE"/>
            </a:solidFill>
            <a:ln>
              <a:noFill/>
            </a:ln>
            <a:effectLst/>
          </c:spPr>
          <c:invertIfNegative val="0"/>
          <c:dLbls>
            <c:numFmt formatCode="0.0\ %" sourceLinked="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'1.1'!$B$14:$D$14</c:f>
              <c:strCache>
                <c:ptCount val="3"/>
                <c:pt idx="0">
                  <c:v>1. pol. 2012</c:v>
                </c:pt>
                <c:pt idx="1">
                  <c:v>1. pol. 2017</c:v>
                </c:pt>
                <c:pt idx="2">
                  <c:v>1. pol. 2022</c:v>
                </c:pt>
              </c:strCache>
            </c:strRef>
          </c:cat>
          <c:val>
            <c:numRef>
              <c:f>'1.1'!$B$19:$D$19</c:f>
              <c:numCache>
                <c:formatCode>0.0%</c:formatCode>
                <c:ptCount val="3"/>
                <c:pt idx="0">
                  <c:v>0.31470987558247132</c:v>
                </c:pt>
                <c:pt idx="1">
                  <c:v>0.33681587258691403</c:v>
                </c:pt>
                <c:pt idx="2">
                  <c:v>0.32433808866822711</c:v>
                </c:pt>
              </c:numCache>
            </c:numRef>
          </c:val>
          <c:extLst>
            <c:ext xmlns:c16="http://schemas.microsoft.com/office/drawing/2014/chart" uri="{C3380CC4-5D6E-409C-BE32-E72D297353CC}">
              <c16:uniqueId val="{00000000-3168-4240-A50D-1F18A93D9C51}"/>
            </c:ext>
          </c:extLst>
        </c:ser>
        <c:ser>
          <c:idx val="3"/>
          <c:order val="1"/>
          <c:tx>
            <c:strRef>
              <c:f>'1.1'!$A$18</c:f>
              <c:strCache>
                <c:ptCount val="1"/>
                <c:pt idx="0">
                  <c:v> 250–499 zaměstnanců</c:v>
                </c:pt>
              </c:strCache>
            </c:strRef>
          </c:tx>
          <c:spPr>
            <a:solidFill>
              <a:srgbClr val="F07373"/>
            </a:solidFill>
            <a:ln>
              <a:noFill/>
            </a:ln>
            <a:effectLst/>
          </c:spPr>
          <c:invertIfNegative val="0"/>
          <c:dLbls>
            <c:numFmt formatCode="0.0\ %" sourceLinked="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'1.1'!$B$14:$D$14</c:f>
              <c:strCache>
                <c:ptCount val="3"/>
                <c:pt idx="0">
                  <c:v>1. pol. 2012</c:v>
                </c:pt>
                <c:pt idx="1">
                  <c:v>1. pol. 2017</c:v>
                </c:pt>
                <c:pt idx="2">
                  <c:v>1. pol. 2022</c:v>
                </c:pt>
              </c:strCache>
            </c:strRef>
          </c:cat>
          <c:val>
            <c:numRef>
              <c:f>'1.1'!$B$18:$D$18</c:f>
              <c:numCache>
                <c:formatCode>0.0%</c:formatCode>
                <c:ptCount val="3"/>
                <c:pt idx="0">
                  <c:v>9.1999852882405947E-2</c:v>
                </c:pt>
                <c:pt idx="1">
                  <c:v>9.481171953194012E-2</c:v>
                </c:pt>
                <c:pt idx="2">
                  <c:v>9.5246339857649784E-2</c:v>
                </c:pt>
              </c:numCache>
            </c:numRef>
          </c:val>
          <c:extLst>
            <c:ext xmlns:c16="http://schemas.microsoft.com/office/drawing/2014/chart" uri="{C3380CC4-5D6E-409C-BE32-E72D297353CC}">
              <c16:uniqueId val="{00000001-3168-4240-A50D-1F18A93D9C51}"/>
            </c:ext>
          </c:extLst>
        </c:ser>
        <c:ser>
          <c:idx val="2"/>
          <c:order val="2"/>
          <c:tx>
            <c:strRef>
              <c:f>'1.1'!$A$17</c:f>
              <c:strCache>
                <c:ptCount val="1"/>
                <c:pt idx="0">
                  <c:v>  50–249 zaměstnanců</c:v>
                </c:pt>
              </c:strCache>
            </c:strRef>
          </c:tx>
          <c:spPr>
            <a:solidFill>
              <a:srgbClr val="C36969"/>
            </a:solidFill>
            <a:ln>
              <a:noFill/>
            </a:ln>
            <a:effectLst/>
          </c:spPr>
          <c:invertIfNegative val="0"/>
          <c:dLbls>
            <c:numFmt formatCode="0.0\ %" sourceLinked="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'1.1'!$B$14:$D$14</c:f>
              <c:strCache>
                <c:ptCount val="3"/>
                <c:pt idx="0">
                  <c:v>1. pol. 2012</c:v>
                </c:pt>
                <c:pt idx="1">
                  <c:v>1. pol. 2017</c:v>
                </c:pt>
                <c:pt idx="2">
                  <c:v>1. pol. 2022</c:v>
                </c:pt>
              </c:strCache>
            </c:strRef>
          </c:cat>
          <c:val>
            <c:numRef>
              <c:f>'1.1'!$B$17:$D$17</c:f>
              <c:numCache>
                <c:formatCode>0.0%</c:formatCode>
                <c:ptCount val="3"/>
                <c:pt idx="0">
                  <c:v>0.23847829275414451</c:v>
                </c:pt>
                <c:pt idx="1">
                  <c:v>0.2320176553302446</c:v>
                </c:pt>
                <c:pt idx="2">
                  <c:v>0.24159504853995573</c:v>
                </c:pt>
              </c:numCache>
            </c:numRef>
          </c:val>
          <c:extLst>
            <c:ext xmlns:c16="http://schemas.microsoft.com/office/drawing/2014/chart" uri="{C3380CC4-5D6E-409C-BE32-E72D297353CC}">
              <c16:uniqueId val="{00000002-3168-4240-A50D-1F18A93D9C51}"/>
            </c:ext>
          </c:extLst>
        </c:ser>
        <c:ser>
          <c:idx val="1"/>
          <c:order val="3"/>
          <c:tx>
            <c:strRef>
              <c:f>'1.1'!$A$16</c:f>
              <c:strCache>
                <c:ptCount val="1"/>
                <c:pt idx="0">
                  <c:v>  1–49 zaměstnanců</c:v>
                </c:pt>
              </c:strCache>
            </c:strRef>
          </c:tx>
          <c:spPr>
            <a:solidFill>
              <a:srgbClr val="9A403C"/>
            </a:solidFill>
            <a:ln>
              <a:noFill/>
            </a:ln>
            <a:effectLst/>
          </c:spPr>
          <c:invertIfNegative val="0"/>
          <c:dLbls>
            <c:numFmt formatCode="0.0\ %" sourceLinked="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'1.1'!$B$14:$D$14</c:f>
              <c:strCache>
                <c:ptCount val="3"/>
                <c:pt idx="0">
                  <c:v>1. pol. 2012</c:v>
                </c:pt>
                <c:pt idx="1">
                  <c:v>1. pol. 2017</c:v>
                </c:pt>
                <c:pt idx="2">
                  <c:v>1. pol. 2022</c:v>
                </c:pt>
              </c:strCache>
            </c:strRef>
          </c:cat>
          <c:val>
            <c:numRef>
              <c:f>'1.1'!$B$16:$D$16</c:f>
              <c:numCache>
                <c:formatCode>0.0%</c:formatCode>
                <c:ptCount val="3"/>
                <c:pt idx="0">
                  <c:v>0.32912784832893699</c:v>
                </c:pt>
                <c:pt idx="1">
                  <c:v>0.31732805356317018</c:v>
                </c:pt>
                <c:pt idx="2">
                  <c:v>0.31755528030309665</c:v>
                </c:pt>
              </c:numCache>
            </c:numRef>
          </c:val>
          <c:extLst>
            <c:ext xmlns:c16="http://schemas.microsoft.com/office/drawing/2014/chart" uri="{C3380CC4-5D6E-409C-BE32-E72D297353CC}">
              <c16:uniqueId val="{00000003-3168-4240-A50D-1F18A93D9C51}"/>
            </c:ext>
          </c:extLst>
        </c:ser>
        <c:ser>
          <c:idx val="0"/>
          <c:order val="4"/>
          <c:tx>
            <c:strRef>
              <c:f>'1.1'!$A$15</c:f>
              <c:strCache>
                <c:ptCount val="1"/>
                <c:pt idx="0">
                  <c:v> OSVČ</c:v>
                </c:pt>
              </c:strCache>
            </c:strRef>
          </c:tx>
          <c:spPr>
            <a:solidFill>
              <a:srgbClr val="4E201E"/>
            </a:solidFill>
            <a:ln>
              <a:noFill/>
            </a:ln>
            <a:effectLst/>
          </c:spPr>
          <c:invertIfNegative val="0"/>
          <c:dLbls>
            <c:numFmt formatCode="0.0\ %" sourceLinked="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'1.1'!$B$14:$D$14</c:f>
              <c:strCache>
                <c:ptCount val="3"/>
                <c:pt idx="0">
                  <c:v>1. pol. 2012</c:v>
                </c:pt>
                <c:pt idx="1">
                  <c:v>1. pol. 2017</c:v>
                </c:pt>
                <c:pt idx="2">
                  <c:v>1. pol. 2022</c:v>
                </c:pt>
              </c:strCache>
            </c:strRef>
          </c:cat>
          <c:val>
            <c:numRef>
              <c:f>'1.1'!$B$15:$D$15</c:f>
              <c:numCache>
                <c:formatCode>0.0%</c:formatCode>
                <c:ptCount val="3"/>
                <c:pt idx="0">
                  <c:v>2.5684130452041234E-2</c:v>
                </c:pt>
                <c:pt idx="1">
                  <c:v>1.9026698987730899E-2</c:v>
                </c:pt>
                <c:pt idx="2">
                  <c:v>2.1265242631070741E-2</c:v>
                </c:pt>
              </c:numCache>
            </c:numRef>
          </c:val>
          <c:extLst>
            <c:ext xmlns:c16="http://schemas.microsoft.com/office/drawing/2014/chart" uri="{C3380CC4-5D6E-409C-BE32-E72D297353CC}">
              <c16:uniqueId val="{00000004-3168-4240-A50D-1F18A93D9C51}"/>
            </c:ext>
          </c:extLst>
        </c:ser>
        <c:dLbls>
          <c:showLegendKey val="0"/>
          <c:showVal val="0"/>
          <c:showCatName val="0"/>
          <c:showSerName val="0"/>
          <c:showPercent val="0"/>
          <c:showBubbleSize val="0"/>
        </c:dLbls>
        <c:gapWidth val="54"/>
        <c:overlap val="100"/>
        <c:axId val="1985728400"/>
        <c:axId val="1985730064"/>
      </c:barChart>
      <c:catAx>
        <c:axId val="198572840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985730064"/>
        <c:crosses val="autoZero"/>
        <c:auto val="1"/>
        <c:lblAlgn val="ctr"/>
        <c:lblOffset val="100"/>
        <c:noMultiLvlLbl val="0"/>
      </c:catAx>
      <c:valAx>
        <c:axId val="1985730064"/>
        <c:scaling>
          <c:orientation val="minMax"/>
        </c:scaling>
        <c:delete val="1"/>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crossAx val="1985728400"/>
        <c:crosses val="autoZero"/>
        <c:crossBetween val="between"/>
      </c:valAx>
      <c:spPr>
        <a:noFill/>
        <a:ln>
          <a:noFill/>
        </a:ln>
        <a:effectLst/>
      </c:spPr>
    </c:plotArea>
    <c:legend>
      <c:legendPos val="l"/>
      <c:layout>
        <c:manualLayout>
          <c:xMode val="edge"/>
          <c:yMode val="edge"/>
          <c:x val="2.1917808219178082E-2"/>
          <c:y val="5.0137153908393017E-2"/>
          <c:w val="0.27970891309819146"/>
          <c:h val="0.89972569218321397"/>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stacked"/>
        <c:varyColors val="0"/>
        <c:ser>
          <c:idx val="4"/>
          <c:order val="0"/>
          <c:tx>
            <c:strRef>
              <c:f>'1.1'!$A$10</c:f>
              <c:strCache>
                <c:ptCount val="1"/>
                <c:pt idx="0">
                  <c:v> 500 a více zaměstnanců</c:v>
                </c:pt>
              </c:strCache>
            </c:strRef>
          </c:tx>
          <c:spPr>
            <a:solidFill>
              <a:srgbClr val="E8C1BE"/>
            </a:solidFill>
            <a:ln>
              <a:noFill/>
            </a:ln>
            <a:effectLst/>
          </c:spPr>
          <c:invertIfNegative val="0"/>
          <c:dLbls>
            <c:numFmt formatCode="#,##0.0" sourceLinked="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'1.1'!$B$5:$D$5</c:f>
              <c:strCache>
                <c:ptCount val="3"/>
                <c:pt idx="0">
                  <c:v>1. pol. 2012</c:v>
                </c:pt>
                <c:pt idx="1">
                  <c:v>1. pol. 2017</c:v>
                </c:pt>
                <c:pt idx="2">
                  <c:v>1. pol. 2022</c:v>
                </c:pt>
              </c:strCache>
            </c:strRef>
          </c:cat>
          <c:val>
            <c:numRef>
              <c:f>'1.1'!$B$10:$D$10</c:f>
              <c:numCache>
                <c:formatCode>#\ ###\ ###\ ##0.0</c:formatCode>
                <c:ptCount val="3"/>
                <c:pt idx="0">
                  <c:v>1403.297</c:v>
                </c:pt>
                <c:pt idx="1">
                  <c:v>1560.1675653</c:v>
                </c:pt>
                <c:pt idx="2">
                  <c:v>1530.8357080999999</c:v>
                </c:pt>
              </c:numCache>
            </c:numRef>
          </c:val>
          <c:extLst>
            <c:ext xmlns:c16="http://schemas.microsoft.com/office/drawing/2014/chart" uri="{C3380CC4-5D6E-409C-BE32-E72D297353CC}">
              <c16:uniqueId val="{00000000-3AE8-4D3E-9BBC-2A12B2150CD8}"/>
            </c:ext>
          </c:extLst>
        </c:ser>
        <c:ser>
          <c:idx val="3"/>
          <c:order val="1"/>
          <c:tx>
            <c:strRef>
              <c:f>'1.1'!$A$9</c:f>
              <c:strCache>
                <c:ptCount val="1"/>
                <c:pt idx="0">
                  <c:v> 250–499 zaměstnanců</c:v>
                </c:pt>
              </c:strCache>
            </c:strRef>
          </c:tx>
          <c:spPr>
            <a:solidFill>
              <a:srgbClr val="F07373"/>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'1.1'!$B$5:$D$5</c:f>
              <c:strCache>
                <c:ptCount val="3"/>
                <c:pt idx="0">
                  <c:v>1. pol. 2012</c:v>
                </c:pt>
                <c:pt idx="1">
                  <c:v>1. pol. 2017</c:v>
                </c:pt>
                <c:pt idx="2">
                  <c:v>1. pol. 2022</c:v>
                </c:pt>
              </c:strCache>
            </c:strRef>
          </c:cat>
          <c:val>
            <c:numRef>
              <c:f>'1.1'!$B$9:$D$9</c:f>
              <c:numCache>
                <c:formatCode>#\ ###\ ###\ ##0.0</c:formatCode>
                <c:ptCount val="3"/>
                <c:pt idx="0">
                  <c:v>410.22899999999998</c:v>
                </c:pt>
                <c:pt idx="1">
                  <c:v>439.17814350000003</c:v>
                </c:pt>
                <c:pt idx="2">
                  <c:v>449.55095690000002</c:v>
                </c:pt>
              </c:numCache>
            </c:numRef>
          </c:val>
          <c:extLst>
            <c:ext xmlns:c16="http://schemas.microsoft.com/office/drawing/2014/chart" uri="{C3380CC4-5D6E-409C-BE32-E72D297353CC}">
              <c16:uniqueId val="{00000001-3AE8-4D3E-9BBC-2A12B2150CD8}"/>
            </c:ext>
          </c:extLst>
        </c:ser>
        <c:ser>
          <c:idx val="2"/>
          <c:order val="2"/>
          <c:tx>
            <c:strRef>
              <c:f>'1.1'!$A$8</c:f>
              <c:strCache>
                <c:ptCount val="1"/>
                <c:pt idx="0">
                  <c:v> 50–249 zaměstnanců</c:v>
                </c:pt>
              </c:strCache>
            </c:strRef>
          </c:tx>
          <c:spPr>
            <a:solidFill>
              <a:srgbClr val="C36969"/>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'1.1'!$B$5:$D$5</c:f>
              <c:strCache>
                <c:ptCount val="3"/>
                <c:pt idx="0">
                  <c:v>1. pol. 2012</c:v>
                </c:pt>
                <c:pt idx="1">
                  <c:v>1. pol. 2017</c:v>
                </c:pt>
                <c:pt idx="2">
                  <c:v>1. pol. 2022</c:v>
                </c:pt>
              </c:strCache>
            </c:strRef>
          </c:cat>
          <c:val>
            <c:numRef>
              <c:f>'1.1'!$B$8:$D$8</c:f>
              <c:numCache>
                <c:formatCode>#\ ###\ ###\ ##0.0</c:formatCode>
                <c:ptCount val="3"/>
                <c:pt idx="0">
                  <c:v>1063.3789999999999</c:v>
                </c:pt>
                <c:pt idx="1">
                  <c:v>1074.7308837999999</c:v>
                </c:pt>
                <c:pt idx="2">
                  <c:v>1140.2987812000001</c:v>
                </c:pt>
              </c:numCache>
            </c:numRef>
          </c:val>
          <c:extLst>
            <c:ext xmlns:c16="http://schemas.microsoft.com/office/drawing/2014/chart" uri="{C3380CC4-5D6E-409C-BE32-E72D297353CC}">
              <c16:uniqueId val="{00000002-3AE8-4D3E-9BBC-2A12B2150CD8}"/>
            </c:ext>
          </c:extLst>
        </c:ser>
        <c:ser>
          <c:idx val="1"/>
          <c:order val="3"/>
          <c:tx>
            <c:strRef>
              <c:f>'1.1'!$A$7</c:f>
              <c:strCache>
                <c:ptCount val="1"/>
                <c:pt idx="0">
                  <c:v> 1–49 zaměstnanců</c:v>
                </c:pt>
              </c:strCache>
            </c:strRef>
          </c:tx>
          <c:spPr>
            <a:solidFill>
              <a:srgbClr val="9A403C"/>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'1.1'!$B$5:$D$5</c:f>
              <c:strCache>
                <c:ptCount val="3"/>
                <c:pt idx="0">
                  <c:v>1. pol. 2012</c:v>
                </c:pt>
                <c:pt idx="1">
                  <c:v>1. pol. 2017</c:v>
                </c:pt>
                <c:pt idx="2">
                  <c:v>1. pol. 2022</c:v>
                </c:pt>
              </c:strCache>
            </c:strRef>
          </c:cat>
          <c:val>
            <c:numRef>
              <c:f>'1.1'!$B$7:$D$7</c:f>
              <c:numCache>
                <c:formatCode>#\ ###\ ###\ ##0.0</c:formatCode>
                <c:ptCount val="3"/>
                <c:pt idx="0">
                  <c:v>1467.587</c:v>
                </c:pt>
                <c:pt idx="1">
                  <c:v>1469.8978789999999</c:v>
                </c:pt>
                <c:pt idx="2">
                  <c:v>1498.8216906</c:v>
                </c:pt>
              </c:numCache>
            </c:numRef>
          </c:val>
          <c:extLst>
            <c:ext xmlns:c16="http://schemas.microsoft.com/office/drawing/2014/chart" uri="{C3380CC4-5D6E-409C-BE32-E72D297353CC}">
              <c16:uniqueId val="{00000003-3AE8-4D3E-9BBC-2A12B2150CD8}"/>
            </c:ext>
          </c:extLst>
        </c:ser>
        <c:ser>
          <c:idx val="0"/>
          <c:order val="4"/>
          <c:tx>
            <c:strRef>
              <c:f>'1.1'!$A$6</c:f>
              <c:strCache>
                <c:ptCount val="1"/>
                <c:pt idx="0">
                  <c:v> OSVČ</c:v>
                </c:pt>
              </c:strCache>
            </c:strRef>
          </c:tx>
          <c:spPr>
            <a:solidFill>
              <a:srgbClr val="4E201E"/>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'1.1'!$B$5:$D$5</c:f>
              <c:strCache>
                <c:ptCount val="3"/>
                <c:pt idx="0">
                  <c:v>1. pol. 2012</c:v>
                </c:pt>
                <c:pt idx="1">
                  <c:v>1. pol. 2017</c:v>
                </c:pt>
                <c:pt idx="2">
                  <c:v>1. pol. 2022</c:v>
                </c:pt>
              </c:strCache>
            </c:strRef>
          </c:cat>
          <c:val>
            <c:numRef>
              <c:f>'1.1'!$B$6:$D$6</c:f>
              <c:numCache>
                <c:formatCode>#\ ###\ ###\ ##0.0</c:formatCode>
                <c:ptCount val="3"/>
                <c:pt idx="0">
                  <c:v>114.526</c:v>
                </c:pt>
                <c:pt idx="1">
                  <c:v>88.13372840000001</c:v>
                </c:pt>
                <c:pt idx="2">
                  <c:v>100.36931799999999</c:v>
                </c:pt>
              </c:numCache>
            </c:numRef>
          </c:val>
          <c:extLst>
            <c:ext xmlns:c16="http://schemas.microsoft.com/office/drawing/2014/chart" uri="{C3380CC4-5D6E-409C-BE32-E72D297353CC}">
              <c16:uniqueId val="{00000004-3AE8-4D3E-9BBC-2A12B2150CD8}"/>
            </c:ext>
          </c:extLst>
        </c:ser>
        <c:dLbls>
          <c:showLegendKey val="0"/>
          <c:showVal val="0"/>
          <c:showCatName val="0"/>
          <c:showSerName val="0"/>
          <c:showPercent val="0"/>
          <c:showBubbleSize val="0"/>
        </c:dLbls>
        <c:gapWidth val="54"/>
        <c:overlap val="100"/>
        <c:axId val="2028034928"/>
        <c:axId val="2028039504"/>
      </c:barChart>
      <c:catAx>
        <c:axId val="202803492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2028039504"/>
        <c:crosses val="autoZero"/>
        <c:auto val="1"/>
        <c:lblAlgn val="ctr"/>
        <c:lblOffset val="100"/>
        <c:noMultiLvlLbl val="0"/>
      </c:catAx>
      <c:valAx>
        <c:axId val="2028039504"/>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0"/>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2028034928"/>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9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51058555945707029"/>
          <c:y val="2.9100529100529099E-2"/>
          <c:w val="0.48941444054292965"/>
          <c:h val="0.90772374827192404"/>
        </c:manualLayout>
      </c:layout>
      <c:barChart>
        <c:barDir val="bar"/>
        <c:grouping val="clustered"/>
        <c:varyColors val="0"/>
        <c:ser>
          <c:idx val="0"/>
          <c:order val="0"/>
          <c:tx>
            <c:strRef>
              <c:f>'1.2'!$G$34</c:f>
              <c:strCache>
                <c:ptCount val="1"/>
                <c:pt idx="0">
                  <c:v> 1. pol. 2012</c:v>
                </c:pt>
              </c:strCache>
            </c:strRef>
          </c:tx>
          <c:spPr>
            <a:solidFill>
              <a:srgbClr val="B44946"/>
            </a:solidFill>
            <a:ln>
              <a:noFill/>
            </a:ln>
            <a:effectLst/>
          </c:spPr>
          <c:invertIfNegative val="0"/>
          <c:dLbls>
            <c:dLbl>
              <c:idx val="0"/>
              <c:layout>
                <c:manualLayout>
                  <c:x val="-7.0153514698721815E-3"/>
                  <c:y val="0"/>
                </c:manualLayout>
              </c:layout>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37E7-4578-8B39-1A9893C315AA}"/>
                </c:ext>
              </c:extLst>
            </c:dLbl>
            <c:dLbl>
              <c:idx val="1"/>
              <c:layout>
                <c:manualLayout>
                  <c:x val="-8.4850089055927627E-3"/>
                  <c:y val="0"/>
                </c:manualLayout>
              </c:layout>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37E7-4578-8B39-1A9893C315AA}"/>
                </c:ext>
              </c:extLst>
            </c:dLbl>
            <c:dLbl>
              <c:idx val="2"/>
              <c:layout>
                <c:manualLayout>
                  <c:x val="-5.2416138139845407E-2"/>
                  <c:y val="0"/>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37E7-4578-8B39-1A9893C315AA}"/>
                </c:ext>
              </c:extLst>
            </c:dLbl>
            <c:dLbl>
              <c:idx val="3"/>
              <c:layout>
                <c:manualLayout>
                  <c:x val="-4.8092586986810945E-2"/>
                  <c:y val="-8.1344965269212601E-17"/>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37E7-4578-8B39-1A9893C315AA}"/>
                </c:ext>
              </c:extLst>
            </c:dLbl>
            <c:dLbl>
              <c:idx val="4"/>
              <c:layout>
                <c:manualLayout>
                  <c:x val="-5.4818270073692846E-2"/>
                  <c:y val="-2.2185246810871584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37E7-4578-8B39-1A9893C315AA}"/>
                </c:ext>
              </c:extLst>
            </c:dLbl>
            <c:dLbl>
              <c:idx val="5"/>
              <c:layout>
                <c:manualLayout>
                  <c:x val="-4.8335806623050447E-2"/>
                  <c:y val="0"/>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37E7-4578-8B39-1A9893C315AA}"/>
                </c:ext>
              </c:extLst>
            </c:dLbl>
            <c:dLbl>
              <c:idx val="18"/>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37E7-4578-8B39-1A9893C315AA}"/>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'1.2'!$F$35:$F$53</c:f>
              <c:strCache>
                <c:ptCount val="19"/>
                <c:pt idx="0">
                  <c:v>B – Těžba a dobývání</c:v>
                </c:pt>
                <c:pt idx="1">
                  <c:v>D – Výroba a rozvod elektřiny, plynu, tepla a klimatiz. vzduchu</c:v>
                </c:pt>
                <c:pt idx="2">
                  <c:v>E – Zásobování vodou; činnosti související s odpady a sanacemi</c:v>
                </c:pt>
                <c:pt idx="3">
                  <c:v>R – Kulturní, zábavní a rekreační činnosti</c:v>
                </c:pt>
                <c:pt idx="4">
                  <c:v>L – Činnosti v oblasti nemovitostí</c:v>
                </c:pt>
                <c:pt idx="5">
                  <c:v>S – Ostatní činnosti</c:v>
                </c:pt>
                <c:pt idx="6">
                  <c:v>K – Peněžnictví a pojišťovnictví</c:v>
                </c:pt>
                <c:pt idx="7">
                  <c:v>A – Zemědělství, lesnictví, rybářství</c:v>
                </c:pt>
                <c:pt idx="8">
                  <c:v>I – Ubytování, stravování a pohostinství</c:v>
                </c:pt>
                <c:pt idx="9">
                  <c:v>J – Informační a komunikační činnosti</c:v>
                </c:pt>
                <c:pt idx="10">
                  <c:v>M – Profesní, vědecké a technické činnosti</c:v>
                </c:pt>
                <c:pt idx="11">
                  <c:v>N – Administrativní a podpůrné činnosti</c:v>
                </c:pt>
                <c:pt idx="12">
                  <c:v>F – Stavebnictví</c:v>
                </c:pt>
                <c:pt idx="13">
                  <c:v>O – Veřejná správa a obrana; povinné sociální zabezpečení</c:v>
                </c:pt>
                <c:pt idx="14">
                  <c:v>H – Doprava a skladování</c:v>
                </c:pt>
                <c:pt idx="15">
                  <c:v>P – Vzdělávání</c:v>
                </c:pt>
                <c:pt idx="16">
                  <c:v>Q – Zdravotní a sociální péče</c:v>
                </c:pt>
                <c:pt idx="17">
                  <c:v>G – Velkoobchod a maloobchod; opravy a údržba motor. vozidel</c:v>
                </c:pt>
                <c:pt idx="18">
                  <c:v>C – Zpracovatelský průmysl</c:v>
                </c:pt>
              </c:strCache>
            </c:strRef>
          </c:cat>
          <c:val>
            <c:numRef>
              <c:f>'1.2'!$G$35:$G$53</c:f>
              <c:numCache>
                <c:formatCode>#\ ###\ ###\ ##0</c:formatCode>
                <c:ptCount val="19"/>
                <c:pt idx="0">
                  <c:v>36.197000000000003</c:v>
                </c:pt>
                <c:pt idx="1">
                  <c:v>32.182000000000002</c:v>
                </c:pt>
                <c:pt idx="2">
                  <c:v>56.621000000000002</c:v>
                </c:pt>
                <c:pt idx="3">
                  <c:v>65.644000000000005</c:v>
                </c:pt>
                <c:pt idx="4">
                  <c:v>69.837999999999994</c:v>
                </c:pt>
                <c:pt idx="5">
                  <c:v>66.024000000000001</c:v>
                </c:pt>
                <c:pt idx="6">
                  <c:v>92.09</c:v>
                </c:pt>
                <c:pt idx="7">
                  <c:v>112.91200000000001</c:v>
                </c:pt>
                <c:pt idx="8">
                  <c:v>140.571</c:v>
                </c:pt>
                <c:pt idx="9">
                  <c:v>113.84399999999999</c:v>
                </c:pt>
                <c:pt idx="10">
                  <c:v>197.36699999999999</c:v>
                </c:pt>
                <c:pt idx="11">
                  <c:v>231.363</c:v>
                </c:pt>
                <c:pt idx="12">
                  <c:v>261.59899999999999</c:v>
                </c:pt>
                <c:pt idx="13">
                  <c:v>236.44</c:v>
                </c:pt>
                <c:pt idx="14">
                  <c:v>280.40100000000001</c:v>
                </c:pt>
                <c:pt idx="15">
                  <c:v>338.88799999999998</c:v>
                </c:pt>
                <c:pt idx="16">
                  <c:v>325.21199999999999</c:v>
                </c:pt>
                <c:pt idx="17">
                  <c:v>614.37199999999996</c:v>
                </c:pt>
                <c:pt idx="18">
                  <c:v>1167.404</c:v>
                </c:pt>
              </c:numCache>
            </c:numRef>
          </c:val>
          <c:extLst>
            <c:ext xmlns:c16="http://schemas.microsoft.com/office/drawing/2014/chart" uri="{C3380CC4-5D6E-409C-BE32-E72D297353CC}">
              <c16:uniqueId val="{00000007-37E7-4578-8B39-1A9893C315AA}"/>
            </c:ext>
          </c:extLst>
        </c:ser>
        <c:ser>
          <c:idx val="1"/>
          <c:order val="1"/>
          <c:tx>
            <c:strRef>
              <c:f>'1.2'!$H$34</c:f>
              <c:strCache>
                <c:ptCount val="1"/>
                <c:pt idx="0">
                  <c:v> 1. pol. 2022</c:v>
                </c:pt>
              </c:strCache>
            </c:strRef>
          </c:tx>
          <c:spPr>
            <a:solidFill>
              <a:srgbClr val="632827"/>
            </a:solidFill>
            <a:ln>
              <a:noFill/>
            </a:ln>
            <a:effectLst/>
          </c:spPr>
          <c:invertIfNegative val="0"/>
          <c:dLbls>
            <c:dLbl>
              <c:idx val="0"/>
              <c:layout>
                <c:manualLayout>
                  <c:x val="1.9902969840606033E-3"/>
                  <c:y val="0"/>
                </c:manualLayout>
              </c:layout>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37E7-4578-8B39-1A9893C315AA}"/>
                </c:ext>
              </c:extLst>
            </c:dLbl>
            <c:dLbl>
              <c:idx val="1"/>
              <c:layout>
                <c:manualLayout>
                  <c:x val="-6.18547779932837E-3"/>
                  <c:y val="0"/>
                </c:manualLayout>
              </c:layout>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37E7-4578-8B39-1A9893C315AA}"/>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'1.2'!$F$35:$F$53</c:f>
              <c:strCache>
                <c:ptCount val="19"/>
                <c:pt idx="0">
                  <c:v>B – Těžba a dobývání</c:v>
                </c:pt>
                <c:pt idx="1">
                  <c:v>D – Výroba a rozvod elektřiny, plynu, tepla a klimatiz. vzduchu</c:v>
                </c:pt>
                <c:pt idx="2">
                  <c:v>E – Zásobování vodou; činnosti související s odpady a sanacemi</c:v>
                </c:pt>
                <c:pt idx="3">
                  <c:v>R – Kulturní, zábavní a rekreační činnosti</c:v>
                </c:pt>
                <c:pt idx="4">
                  <c:v>L – Činnosti v oblasti nemovitostí</c:v>
                </c:pt>
                <c:pt idx="5">
                  <c:v>S – Ostatní činnosti</c:v>
                </c:pt>
                <c:pt idx="6">
                  <c:v>K – Peněžnictví a pojišťovnictví</c:v>
                </c:pt>
                <c:pt idx="7">
                  <c:v>A – Zemědělství, lesnictví, rybářství</c:v>
                </c:pt>
                <c:pt idx="8">
                  <c:v>I – Ubytování, stravování a pohostinství</c:v>
                </c:pt>
                <c:pt idx="9">
                  <c:v>J – Informační a komunikační činnosti</c:v>
                </c:pt>
                <c:pt idx="10">
                  <c:v>M – Profesní, vědecké a technické činnosti</c:v>
                </c:pt>
                <c:pt idx="11">
                  <c:v>N – Administrativní a podpůrné činnosti</c:v>
                </c:pt>
                <c:pt idx="12">
                  <c:v>F – Stavebnictví</c:v>
                </c:pt>
                <c:pt idx="13">
                  <c:v>O – Veřejná správa a obrana; povinné sociální zabezpečení</c:v>
                </c:pt>
                <c:pt idx="14">
                  <c:v>H – Doprava a skladování</c:v>
                </c:pt>
                <c:pt idx="15">
                  <c:v>P – Vzdělávání</c:v>
                </c:pt>
                <c:pt idx="16">
                  <c:v>Q – Zdravotní a sociální péče</c:v>
                </c:pt>
                <c:pt idx="17">
                  <c:v>G – Velkoobchod a maloobchod; opravy a údržba motor. vozidel</c:v>
                </c:pt>
                <c:pt idx="18">
                  <c:v>C – Zpracovatelský průmysl</c:v>
                </c:pt>
              </c:strCache>
            </c:strRef>
          </c:cat>
          <c:val>
            <c:numRef>
              <c:f>'1.2'!$H$35:$H$53</c:f>
              <c:numCache>
                <c:formatCode>#,##0</c:formatCode>
                <c:ptCount val="19"/>
                <c:pt idx="0">
                  <c:v>18.977199299999999</c:v>
                </c:pt>
                <c:pt idx="1">
                  <c:v>38.056095900000003</c:v>
                </c:pt>
                <c:pt idx="2">
                  <c:v>57.953620900000004</c:v>
                </c:pt>
                <c:pt idx="3">
                  <c:v>64.155146900000005</c:v>
                </c:pt>
                <c:pt idx="4">
                  <c:v>72.256687200000002</c:v>
                </c:pt>
                <c:pt idx="5">
                  <c:v>74.043541099999999</c:v>
                </c:pt>
                <c:pt idx="6">
                  <c:v>91.411763999999991</c:v>
                </c:pt>
                <c:pt idx="7">
                  <c:v>107.272383</c:v>
                </c:pt>
                <c:pt idx="8">
                  <c:v>136.15221260000001</c:v>
                </c:pt>
                <c:pt idx="9">
                  <c:v>155.69655</c:v>
                </c:pt>
                <c:pt idx="10">
                  <c:v>227.38166290000001</c:v>
                </c:pt>
                <c:pt idx="11">
                  <c:v>239.56933050000001</c:v>
                </c:pt>
                <c:pt idx="12">
                  <c:v>244.17746450000001</c:v>
                </c:pt>
                <c:pt idx="13">
                  <c:v>259.87729999999999</c:v>
                </c:pt>
                <c:pt idx="14">
                  <c:v>292.85303199999998</c:v>
                </c:pt>
                <c:pt idx="15">
                  <c:v>405.84858059999999</c:v>
                </c:pt>
                <c:pt idx="16">
                  <c:v>406.32920460000003</c:v>
                </c:pt>
                <c:pt idx="17">
                  <c:v>630.23792379999998</c:v>
                </c:pt>
                <c:pt idx="18">
                  <c:v>1197.5724346</c:v>
                </c:pt>
              </c:numCache>
            </c:numRef>
          </c:val>
          <c:extLst>
            <c:ext xmlns:c16="http://schemas.microsoft.com/office/drawing/2014/chart" uri="{C3380CC4-5D6E-409C-BE32-E72D297353CC}">
              <c16:uniqueId val="{0000000A-37E7-4578-8B39-1A9893C315AA}"/>
            </c:ext>
          </c:extLst>
        </c:ser>
        <c:dLbls>
          <c:showLegendKey val="0"/>
          <c:showVal val="0"/>
          <c:showCatName val="0"/>
          <c:showSerName val="0"/>
          <c:showPercent val="0"/>
          <c:showBubbleSize val="0"/>
        </c:dLbls>
        <c:gapWidth val="57"/>
        <c:axId val="895602015"/>
        <c:axId val="895596191"/>
      </c:barChart>
      <c:catAx>
        <c:axId val="895602015"/>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895596191"/>
        <c:crosses val="autoZero"/>
        <c:auto val="1"/>
        <c:lblAlgn val="ctr"/>
        <c:lblOffset val="100"/>
        <c:noMultiLvlLbl val="0"/>
      </c:catAx>
      <c:valAx>
        <c:axId val="895596191"/>
        <c:scaling>
          <c:orientation val="minMax"/>
          <c:max val="800"/>
        </c:scaling>
        <c:delete val="1"/>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cs-CZ">
                    <a:solidFill>
                      <a:sysClr val="windowText" lastClr="000000"/>
                    </a:solidFill>
                  </a:rPr>
                  <a:t>počet osob</a:t>
                </a:r>
                <a:endParaRPr lang="en-US">
                  <a:solidFill>
                    <a:sysClr val="windowText" lastClr="000000"/>
                  </a:solidFill>
                </a:endParaRPr>
              </a:p>
            </c:rich>
          </c:tx>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title>
        <c:numFmt formatCode="#\ ###\ ###\ ##0" sourceLinked="1"/>
        <c:majorTickMark val="out"/>
        <c:minorTickMark val="none"/>
        <c:tickLblPos val="nextTo"/>
        <c:crossAx val="895602015"/>
        <c:crosses val="autoZero"/>
        <c:crossBetween val="between"/>
      </c:valAx>
      <c:spPr>
        <a:noFill/>
        <a:ln>
          <a:noFill/>
        </a:ln>
        <a:effectLst/>
      </c:spPr>
    </c:plotArea>
    <c:legend>
      <c:legendPos val="r"/>
      <c:layout>
        <c:manualLayout>
          <c:xMode val="edge"/>
          <c:yMode val="edge"/>
          <c:x val="0.77961262699636158"/>
          <c:y val="0.46706460361340024"/>
          <c:w val="0.11735705358419686"/>
          <c:h val="6.5870618086216762E-2"/>
        </c:manualLayout>
      </c:layout>
      <c:overlay val="0"/>
      <c:spPr>
        <a:solidFill>
          <a:schemeClr val="bg1"/>
        </a:solidFill>
        <a:ln>
          <a:solidFill>
            <a:schemeClr val="bg1">
              <a:lumMod val="75000"/>
            </a:schemeClr>
          </a:solid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latin typeface="Arial" panose="020B0604020202020204" pitchFamily="34" charset="0"/>
          <a:cs typeface="Arial" panose="020B0604020202020204" pitchFamily="34" charset="0"/>
        </a:defRPr>
      </a:pPr>
      <a:endParaRPr lang="cs-CZ"/>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0" i="0" u="none" strike="noStrike" kern="1200" spc="0" baseline="0">
                <a:solidFill>
                  <a:sysClr val="windowText" lastClr="000000"/>
                </a:solidFill>
                <a:latin typeface="Arial" panose="020B0604020202020204" pitchFamily="34" charset="0"/>
                <a:ea typeface="+mn-ea"/>
                <a:cs typeface="Arial" panose="020B0604020202020204" pitchFamily="34" charset="0"/>
              </a:defRPr>
            </a:pPr>
            <a:r>
              <a:rPr lang="en-US" b="1"/>
              <a:t>ženy</a:t>
            </a:r>
          </a:p>
        </c:rich>
      </c:tx>
      <c:layout>
        <c:manualLayout>
          <c:xMode val="edge"/>
          <c:yMode val="edge"/>
          <c:x val="0.11093594069972022"/>
          <c:y val="5.4655911913449859E-2"/>
        </c:manualLayout>
      </c:layout>
      <c:overlay val="0"/>
      <c:spPr>
        <a:noFill/>
        <a:ln>
          <a:noFill/>
        </a:ln>
        <a:effectLst/>
      </c:spPr>
      <c:txPr>
        <a:bodyPr rot="0" spcFirstLastPara="1" vertOverflow="ellipsis" vert="horz" wrap="square" anchor="ctr" anchorCtr="1"/>
        <a:lstStyle/>
        <a:p>
          <a:pPr>
            <a:defRPr sz="1000" b="0" i="0" u="none" strike="noStrike" kern="1200" spc="0" baseline="0">
              <a:solidFill>
                <a:sysClr val="windowText" lastClr="000000"/>
              </a:solidFill>
              <a:latin typeface="Arial" panose="020B0604020202020204" pitchFamily="34" charset="0"/>
              <a:ea typeface="+mn-ea"/>
              <a:cs typeface="Arial" panose="020B0604020202020204" pitchFamily="34" charset="0"/>
            </a:defRPr>
          </a:pPr>
          <a:endParaRPr lang="cs-CZ"/>
        </a:p>
      </c:txPr>
    </c:title>
    <c:autoTitleDeleted val="0"/>
    <c:plotArea>
      <c:layout>
        <c:manualLayout>
          <c:layoutTarget val="inner"/>
          <c:xMode val="edge"/>
          <c:yMode val="edge"/>
          <c:x val="0.48956995760145372"/>
          <c:y val="0.2018654375520133"/>
          <c:w val="0.40660321305990593"/>
          <c:h val="0.60164052664148682"/>
        </c:manualLayout>
      </c:layout>
      <c:doughnutChart>
        <c:varyColors val="1"/>
        <c:ser>
          <c:idx val="0"/>
          <c:order val="0"/>
          <c:tx>
            <c:strRef>
              <c:f>'2.1'!$A$20</c:f>
              <c:strCache>
                <c:ptCount val="1"/>
                <c:pt idx="0">
                  <c:v>ženy</c:v>
                </c:pt>
              </c:strCache>
            </c:strRef>
          </c:tx>
          <c:dPt>
            <c:idx val="0"/>
            <c:bubble3D val="0"/>
            <c:spPr>
              <a:solidFill>
                <a:srgbClr val="632827"/>
              </a:solidFill>
              <a:ln w="19050">
                <a:solidFill>
                  <a:schemeClr val="lt1"/>
                </a:solidFill>
              </a:ln>
              <a:effectLst/>
            </c:spPr>
            <c:extLst>
              <c:ext xmlns:c16="http://schemas.microsoft.com/office/drawing/2014/chart" uri="{C3380CC4-5D6E-409C-BE32-E72D297353CC}">
                <c16:uniqueId val="{00000001-FBC2-496A-AAE9-1172E6D60A6A}"/>
              </c:ext>
            </c:extLst>
          </c:dPt>
          <c:dPt>
            <c:idx val="1"/>
            <c:bubble3D val="0"/>
            <c:spPr>
              <a:solidFill>
                <a:srgbClr val="C46A68"/>
              </a:solidFill>
              <a:ln w="19050">
                <a:solidFill>
                  <a:schemeClr val="lt1"/>
                </a:solidFill>
              </a:ln>
              <a:effectLst/>
            </c:spPr>
            <c:extLst>
              <c:ext xmlns:c16="http://schemas.microsoft.com/office/drawing/2014/chart" uri="{C3380CC4-5D6E-409C-BE32-E72D297353CC}">
                <c16:uniqueId val="{00000003-FBC2-496A-AAE9-1172E6D60A6A}"/>
              </c:ext>
            </c:extLst>
          </c:dPt>
          <c:dPt>
            <c:idx val="2"/>
            <c:bubble3D val="0"/>
            <c:spPr>
              <a:solidFill>
                <a:srgbClr val="B44946"/>
              </a:solidFill>
              <a:ln w="19050">
                <a:solidFill>
                  <a:schemeClr val="lt1"/>
                </a:solidFill>
              </a:ln>
              <a:effectLst/>
            </c:spPr>
            <c:extLst>
              <c:ext xmlns:c16="http://schemas.microsoft.com/office/drawing/2014/chart" uri="{C3380CC4-5D6E-409C-BE32-E72D297353CC}">
                <c16:uniqueId val="{00000005-FBC2-496A-AAE9-1172E6D60A6A}"/>
              </c:ext>
            </c:extLst>
          </c:dPt>
          <c:dLbls>
            <c:dLbl>
              <c:idx val="0"/>
              <c:layout>
                <c:manualLayout>
                  <c:x val="5.5555555555555558E-3"/>
                  <c:y val="-4.499186205076321E-3"/>
                </c:manualLayout>
              </c:layout>
              <c:tx>
                <c:rich>
                  <a:bodyPr rot="0" spcFirstLastPara="1" vertOverflow="ellipsis" vert="horz" wrap="square" lIns="38100" tIns="19050" rIns="38100" bIns="19050" anchor="ctr" anchorCtr="1">
                    <a:spAutoFit/>
                  </a:bodyPr>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fld id="{395325EF-C4F3-4C48-9FFC-CC78A6A38548}" type="CELLRANGE">
                      <a:rPr lang="en-US"/>
                      <a:pPr>
                        <a:defRPr>
                          <a:solidFill>
                            <a:schemeClr val="bg1"/>
                          </a:solidFill>
                        </a:defRPr>
                      </a:pPr>
                      <a:t>[OBLAST BUNĚK]</a:t>
                    </a:fld>
                    <a:endParaRPr lang="cs-CZ"/>
                  </a:p>
                </c:rich>
              </c:tx>
              <c:numFmt formatCode="#,##0" sourceLinked="0"/>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showLegendKey val="0"/>
              <c:showVal val="0"/>
              <c:showCatName val="0"/>
              <c:showSerName val="0"/>
              <c:showPercent val="0"/>
              <c:showBubbleSize val="0"/>
              <c:separator>
</c:separator>
              <c:extLst>
                <c:ext xmlns:c15="http://schemas.microsoft.com/office/drawing/2012/chart" uri="{CE6537A1-D6FC-4f65-9D91-7224C49458BB}">
                  <c15:dlblFieldTable/>
                  <c15:showDataLabelsRange val="1"/>
                </c:ext>
                <c:ext xmlns:c16="http://schemas.microsoft.com/office/drawing/2014/chart" uri="{C3380CC4-5D6E-409C-BE32-E72D297353CC}">
                  <c16:uniqueId val="{00000001-FBC2-496A-AAE9-1172E6D60A6A}"/>
                </c:ext>
              </c:extLst>
            </c:dLbl>
            <c:dLbl>
              <c:idx val="1"/>
              <c:layout>
                <c:manualLayout>
                  <c:x val="-8.9407862478728617E-2"/>
                  <c:y val="-0.11082090348462539"/>
                </c:manualLayout>
              </c:layout>
              <c:tx>
                <c:rich>
                  <a:bodyPr rot="0" spcFirstLastPara="1" vertOverflow="ellipsis" vert="horz" wrap="square" lIns="38100" tIns="19050" rIns="38100" bIns="19050" anchor="ctr" anchorCtr="1">
                    <a:spAutoFit/>
                  </a:bodyPr>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fld id="{B80F698B-9539-415C-AF88-CB26B695BD2B}" type="CELLRANGE">
                      <a:rPr lang="en-US"/>
                      <a:pPr>
                        <a:defRPr>
                          <a:solidFill>
                            <a:sysClr val="windowText" lastClr="000000"/>
                          </a:solidFill>
                        </a:defRPr>
                      </a:pPr>
                      <a:t>[OBLAST BUNĚK]</a:t>
                    </a:fld>
                    <a:endParaRPr lang="cs-CZ"/>
                  </a:p>
                </c:rich>
              </c:tx>
              <c:numFmt formatCode="#,##0" sourceLinked="0"/>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showLegendKey val="0"/>
              <c:showVal val="0"/>
              <c:showCatName val="0"/>
              <c:showSerName val="0"/>
              <c:showPercent val="0"/>
              <c:showBubbleSize val="0"/>
              <c:separator>
</c:separator>
              <c:extLst>
                <c:ext xmlns:c15="http://schemas.microsoft.com/office/drawing/2012/chart" uri="{CE6537A1-D6FC-4f65-9D91-7224C49458BB}">
                  <c15:dlblFieldTable/>
                  <c15:showDataLabelsRange val="1"/>
                </c:ext>
                <c:ext xmlns:c16="http://schemas.microsoft.com/office/drawing/2014/chart" uri="{C3380CC4-5D6E-409C-BE32-E72D297353CC}">
                  <c16:uniqueId val="{00000003-FBC2-496A-AAE9-1172E6D60A6A}"/>
                </c:ext>
              </c:extLst>
            </c:dLbl>
            <c:dLbl>
              <c:idx val="2"/>
              <c:layout>
                <c:manualLayout>
                  <c:x val="1.3369963369963369E-2"/>
                  <c:y val="-0.15466316710411199"/>
                </c:manualLayout>
              </c:layout>
              <c:tx>
                <c:rich>
                  <a:bodyPr rot="0" spcFirstLastPara="1" vertOverflow="ellipsis" vert="horz" wrap="square" lIns="38100" tIns="19050" rIns="38100" bIns="19050" anchor="ctr" anchorCtr="1">
                    <a:spAutoFit/>
                  </a:bodyPr>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fld id="{71437E55-D94A-4794-B645-9C974E6A8F93}" type="CELLRANGE">
                      <a:rPr lang="en-US"/>
                      <a:pPr>
                        <a:defRPr>
                          <a:solidFill>
                            <a:sysClr val="windowText" lastClr="000000"/>
                          </a:solidFill>
                        </a:defRPr>
                      </a:pPr>
                      <a:t>[OBLAST BUNĚK]</a:t>
                    </a:fld>
                    <a:endParaRPr lang="cs-CZ"/>
                  </a:p>
                </c:rich>
              </c:tx>
              <c:numFmt formatCode="#,##0" sourceLinked="0"/>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showLegendKey val="0"/>
              <c:showVal val="0"/>
              <c:showCatName val="0"/>
              <c:showSerName val="0"/>
              <c:showPercent val="0"/>
              <c:showBubbleSize val="0"/>
              <c:separator>
</c:separator>
              <c:extLst>
                <c:ext xmlns:c15="http://schemas.microsoft.com/office/drawing/2012/chart" uri="{CE6537A1-D6FC-4f65-9D91-7224C49458BB}">
                  <c15:dlblFieldTable/>
                  <c15:showDataLabelsRange val="1"/>
                </c:ext>
                <c:ext xmlns:c16="http://schemas.microsoft.com/office/drawing/2014/chart" uri="{C3380CC4-5D6E-409C-BE32-E72D297353CC}">
                  <c16:uniqueId val="{00000005-FBC2-496A-AAE9-1172E6D60A6A}"/>
                </c:ext>
              </c:extLst>
            </c:dLbl>
            <c:numFmt formatCode="#,##0" sourceLinked="0"/>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cs-CZ"/>
              </a:p>
            </c:txPr>
            <c:showLegendKey val="0"/>
            <c:showVal val="0"/>
            <c:showCatName val="0"/>
            <c:showSerName val="0"/>
            <c:showPercent val="0"/>
            <c:showBubbleSize val="0"/>
            <c:separator>
</c:separator>
            <c:showLeaderLines val="0"/>
            <c:extLst>
              <c:ext xmlns:c15="http://schemas.microsoft.com/office/drawing/2012/chart" uri="{CE6537A1-D6FC-4f65-9D91-7224C49458BB}">
                <c15:showDataLabelsRange val="1"/>
              </c:ext>
            </c:extLst>
          </c:dLbls>
          <c:cat>
            <c:strRef>
              <c:f>'2.1'!$B$10:$D$10</c:f>
              <c:strCache>
                <c:ptCount val="3"/>
                <c:pt idx="0">
                  <c:v> nemoc</c:v>
                </c:pt>
                <c:pt idx="1">
                  <c:v> pracovní úraz</c:v>
                </c:pt>
                <c:pt idx="2">
                  <c:v> ostatní úraz</c:v>
                </c:pt>
              </c:strCache>
            </c:strRef>
          </c:cat>
          <c:val>
            <c:numRef>
              <c:f>'2.1'!$B$20:$D$20</c:f>
              <c:numCache>
                <c:formatCode>#\ ##0.0</c:formatCode>
                <c:ptCount val="3"/>
                <c:pt idx="0">
                  <c:v>1065.829</c:v>
                </c:pt>
                <c:pt idx="1">
                  <c:v>7.6619999999999999</c:v>
                </c:pt>
                <c:pt idx="2">
                  <c:v>34.402999999999999</c:v>
                </c:pt>
              </c:numCache>
            </c:numRef>
          </c:val>
          <c:extLst>
            <c:ext xmlns:c15="http://schemas.microsoft.com/office/drawing/2012/chart" uri="{02D57815-91ED-43cb-92C2-25804820EDAC}">
              <c15:datalabelsRange>
                <c15:f>'2.1'!$F$25:$F$27</c15:f>
                <c15:dlblRangeCache>
                  <c:ptCount val="3"/>
                  <c:pt idx="0">
                    <c:v>1 065,8 tis.
96 %</c:v>
                  </c:pt>
                  <c:pt idx="1">
                    <c:v>7,7 tis.
1 %</c:v>
                  </c:pt>
                  <c:pt idx="2">
                    <c:v>34,4 tis.
3 %</c:v>
                  </c:pt>
                </c15:dlblRangeCache>
              </c15:datalabelsRange>
            </c:ext>
            <c:ext xmlns:c16="http://schemas.microsoft.com/office/drawing/2014/chart" uri="{C3380CC4-5D6E-409C-BE32-E72D297353CC}">
              <c16:uniqueId val="{00000006-FBC2-496A-AAE9-1172E6D60A6A}"/>
            </c:ext>
          </c:extLst>
        </c:ser>
        <c:dLbls>
          <c:showLegendKey val="0"/>
          <c:showVal val="0"/>
          <c:showCatName val="0"/>
          <c:showSerName val="0"/>
          <c:showPercent val="0"/>
          <c:showBubbleSize val="0"/>
          <c:showLeaderLines val="0"/>
        </c:dLbls>
        <c:firstSliceAng val="0"/>
        <c:holeSize val="50"/>
      </c:doughnutChart>
      <c:spPr>
        <a:noFill/>
        <a:ln>
          <a:noFill/>
        </a:ln>
        <a:effectLst/>
      </c:spPr>
    </c:plotArea>
    <c:legend>
      <c:legendPos val="l"/>
      <c:layout>
        <c:manualLayout>
          <c:xMode val="edge"/>
          <c:yMode val="edge"/>
          <c:x val="8.4249084249084255E-2"/>
          <c:y val="0.40233915882465909"/>
          <c:w val="0.23716737330910559"/>
          <c:h val="0.24139171627936751"/>
        </c:manualLayout>
      </c:layout>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latin typeface="Arial" panose="020B0604020202020204" pitchFamily="34" charset="0"/>
          <a:cs typeface="Arial" panose="020B0604020202020204" pitchFamily="34" charset="0"/>
        </a:defRPr>
      </a:pPr>
      <a:endParaRPr lang="cs-CZ"/>
    </a:p>
  </c:txPr>
  <c:externalData r:id="rId3">
    <c:autoUpdate val="0"/>
  </c:externalData>
  <c:userShapes r:id="rId4"/>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0" i="0" u="none" strike="noStrike" kern="1200" spc="0" baseline="0">
                <a:solidFill>
                  <a:sysClr val="windowText" lastClr="000000"/>
                </a:solidFill>
                <a:latin typeface="Arial" panose="020B0604020202020204" pitchFamily="34" charset="0"/>
                <a:ea typeface="+mn-ea"/>
                <a:cs typeface="Arial" panose="020B0604020202020204" pitchFamily="34" charset="0"/>
              </a:defRPr>
            </a:pPr>
            <a:r>
              <a:rPr lang="en-US" b="1"/>
              <a:t>muži</a:t>
            </a:r>
          </a:p>
        </c:rich>
      </c:tx>
      <c:layout>
        <c:manualLayout>
          <c:xMode val="edge"/>
          <c:yMode val="edge"/>
          <c:x val="5.4796829326100124E-2"/>
          <c:y val="4.1611932654759612E-2"/>
        </c:manualLayout>
      </c:layout>
      <c:overlay val="0"/>
      <c:spPr>
        <a:noFill/>
        <a:ln>
          <a:noFill/>
        </a:ln>
        <a:effectLst/>
      </c:spPr>
      <c:txPr>
        <a:bodyPr rot="0" spcFirstLastPara="1" vertOverflow="ellipsis" vert="horz" wrap="square" anchor="ctr" anchorCtr="1"/>
        <a:lstStyle/>
        <a:p>
          <a:pPr>
            <a:defRPr sz="1000" b="0" i="0" u="none" strike="noStrike" kern="1200" spc="0" baseline="0">
              <a:solidFill>
                <a:sysClr val="windowText" lastClr="000000"/>
              </a:solidFill>
              <a:latin typeface="Arial" panose="020B0604020202020204" pitchFamily="34" charset="0"/>
              <a:ea typeface="+mn-ea"/>
              <a:cs typeface="Arial" panose="020B0604020202020204" pitchFamily="34" charset="0"/>
            </a:defRPr>
          </a:pPr>
          <a:endParaRPr lang="cs-CZ"/>
        </a:p>
      </c:txPr>
    </c:title>
    <c:autoTitleDeleted val="0"/>
    <c:plotArea>
      <c:layout>
        <c:manualLayout>
          <c:layoutTarget val="inner"/>
          <c:xMode val="edge"/>
          <c:yMode val="edge"/>
          <c:x val="0.17625860285379638"/>
          <c:y val="0.20279772720717604"/>
          <c:w val="0.54387476809698465"/>
          <c:h val="0.61161008720063836"/>
        </c:manualLayout>
      </c:layout>
      <c:doughnutChart>
        <c:varyColors val="1"/>
        <c:ser>
          <c:idx val="0"/>
          <c:order val="0"/>
          <c:tx>
            <c:strRef>
              <c:f>'2.1'!$A$23</c:f>
              <c:strCache>
                <c:ptCount val="1"/>
                <c:pt idx="0">
                  <c:v>muži</c:v>
                </c:pt>
              </c:strCache>
            </c:strRef>
          </c:tx>
          <c:dPt>
            <c:idx val="0"/>
            <c:bubble3D val="0"/>
            <c:spPr>
              <a:solidFill>
                <a:srgbClr val="632827"/>
              </a:solidFill>
              <a:ln w="19050">
                <a:solidFill>
                  <a:schemeClr val="lt1"/>
                </a:solidFill>
              </a:ln>
              <a:effectLst/>
            </c:spPr>
            <c:extLst>
              <c:ext xmlns:c16="http://schemas.microsoft.com/office/drawing/2014/chart" uri="{C3380CC4-5D6E-409C-BE32-E72D297353CC}">
                <c16:uniqueId val="{00000001-5403-42F4-BB69-D7DB27BE5711}"/>
              </c:ext>
            </c:extLst>
          </c:dPt>
          <c:dPt>
            <c:idx val="1"/>
            <c:bubble3D val="0"/>
            <c:spPr>
              <a:solidFill>
                <a:srgbClr val="C46A68"/>
              </a:solidFill>
              <a:ln w="19050">
                <a:solidFill>
                  <a:schemeClr val="lt1"/>
                </a:solidFill>
              </a:ln>
              <a:effectLst/>
            </c:spPr>
            <c:extLst>
              <c:ext xmlns:c16="http://schemas.microsoft.com/office/drawing/2014/chart" uri="{C3380CC4-5D6E-409C-BE32-E72D297353CC}">
                <c16:uniqueId val="{00000003-5403-42F4-BB69-D7DB27BE5711}"/>
              </c:ext>
            </c:extLst>
          </c:dPt>
          <c:dPt>
            <c:idx val="2"/>
            <c:bubble3D val="0"/>
            <c:spPr>
              <a:solidFill>
                <a:srgbClr val="B44946"/>
              </a:solidFill>
              <a:ln w="19050">
                <a:solidFill>
                  <a:schemeClr val="lt1"/>
                </a:solidFill>
              </a:ln>
              <a:effectLst/>
            </c:spPr>
            <c:extLst>
              <c:ext xmlns:c16="http://schemas.microsoft.com/office/drawing/2014/chart" uri="{C3380CC4-5D6E-409C-BE32-E72D297353CC}">
                <c16:uniqueId val="{00000005-5403-42F4-BB69-D7DB27BE5711}"/>
              </c:ext>
            </c:extLst>
          </c:dPt>
          <c:dLbls>
            <c:dLbl>
              <c:idx val="0"/>
              <c:tx>
                <c:rich>
                  <a:bodyPr/>
                  <a:lstStyle/>
                  <a:p>
                    <a:fld id="{717408C7-4D5C-4FAB-9CED-53C2B1A9EDF1}" type="CELLRANGE">
                      <a:rPr lang="en-US"/>
                      <a:pPr/>
                      <a:t>[OBLAST BUNĚK]</a:t>
                    </a:fld>
                    <a:endParaRPr lang="cs-CZ"/>
                  </a:p>
                </c:rich>
              </c:tx>
              <c:showLegendKey val="0"/>
              <c:showVal val="1"/>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1-5403-42F4-BB69-D7DB27BE5711}"/>
                </c:ext>
              </c:extLst>
            </c:dLbl>
            <c:dLbl>
              <c:idx val="1"/>
              <c:layout>
                <c:manualLayout>
                  <c:x val="-8.8963210702341131E-2"/>
                  <c:y val="-0.12737127371273715"/>
                </c:manualLayout>
              </c:layout>
              <c:tx>
                <c:rich>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fld id="{E6FDDEB6-9B76-4806-9487-C2932E9F090D}" type="CELLRANGE">
                      <a:rPr lang="en-US">
                        <a:solidFill>
                          <a:sysClr val="windowText" lastClr="000000"/>
                        </a:solidFill>
                      </a:rPr>
                      <a:pPr>
                        <a:defRPr>
                          <a:solidFill>
                            <a:sysClr val="windowText" lastClr="000000"/>
                          </a:solidFill>
                        </a:defRPr>
                      </a:pPr>
                      <a:t>[OBLAST BUNĚK]</a:t>
                    </a:fld>
                    <a:endParaRPr lang="cs-CZ"/>
                  </a:p>
                </c:rich>
              </c:tx>
              <c:numFmt formatCode="#,##0.0" sourceLinked="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showLegendKey val="0"/>
              <c:showVal val="1"/>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3-5403-42F4-BB69-D7DB27BE5711}"/>
                </c:ext>
              </c:extLst>
            </c:dLbl>
            <c:dLbl>
              <c:idx val="2"/>
              <c:layout>
                <c:manualLayout>
                  <c:x val="2.1200326547810285E-2"/>
                  <c:y val="-0.15176151761517614"/>
                </c:manualLayout>
              </c:layout>
              <c:tx>
                <c:rich>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fld id="{25FA99C6-4008-4DD8-884D-9E7E4CB57DDD}" type="CELLRANGE">
                      <a:rPr lang="en-US">
                        <a:solidFill>
                          <a:sysClr val="windowText" lastClr="000000"/>
                        </a:solidFill>
                      </a:rPr>
                      <a:pPr>
                        <a:defRPr>
                          <a:solidFill>
                            <a:sysClr val="windowText" lastClr="000000"/>
                          </a:solidFill>
                        </a:defRPr>
                      </a:pPr>
                      <a:t>[OBLAST BUNĚK]</a:t>
                    </a:fld>
                    <a:endParaRPr lang="cs-CZ"/>
                  </a:p>
                </c:rich>
              </c:tx>
              <c:numFmt formatCode="#,##0.0" sourceLinked="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showLegendKey val="0"/>
              <c:showVal val="1"/>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5-5403-42F4-BB69-D7DB27BE5711}"/>
                </c:ext>
              </c:extLst>
            </c:dLbl>
            <c:numFmt formatCode="#,##0.0" sourceLinked="0"/>
            <c:spPr>
              <a:noFill/>
              <a:ln>
                <a:noFill/>
              </a:ln>
              <a:effectLst/>
            </c:spPr>
            <c:txPr>
              <a:bodyPr rot="0" spcFirstLastPara="1" vertOverflow="ellipsis" vert="horz" wrap="square" anchor="ctr" anchorCtr="1"/>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showLegendKey val="0"/>
            <c:showVal val="0"/>
            <c:showCatName val="0"/>
            <c:showSerName val="0"/>
            <c:showPercent val="0"/>
            <c:showBubbleSize val="0"/>
            <c:showLeaderLines val="0"/>
            <c:extLst>
              <c:ext xmlns:c15="http://schemas.microsoft.com/office/drawing/2012/chart" uri="{CE6537A1-D6FC-4f65-9D91-7224C49458BB}">
                <c15:showDataLabelsRange val="1"/>
              </c:ext>
            </c:extLst>
          </c:dLbls>
          <c:cat>
            <c:strRef>
              <c:f>'2.1'!$B$14:$D$14</c:f>
              <c:strCache>
                <c:ptCount val="3"/>
                <c:pt idx="0">
                  <c:v>nemoc</c:v>
                </c:pt>
                <c:pt idx="1">
                  <c:v>pracovní úraz</c:v>
                </c:pt>
                <c:pt idx="2">
                  <c:v>ostatní úraz</c:v>
                </c:pt>
              </c:strCache>
            </c:strRef>
          </c:cat>
          <c:val>
            <c:numRef>
              <c:f>'2.1'!$B$23:$D$23</c:f>
              <c:numCache>
                <c:formatCode>#\ ##0.0</c:formatCode>
                <c:ptCount val="3"/>
                <c:pt idx="0">
                  <c:v>876.58799999999997</c:v>
                </c:pt>
                <c:pt idx="1">
                  <c:v>15.616</c:v>
                </c:pt>
                <c:pt idx="2">
                  <c:v>53.828000000000003</c:v>
                </c:pt>
              </c:numCache>
            </c:numRef>
          </c:val>
          <c:extLst>
            <c:ext xmlns:c15="http://schemas.microsoft.com/office/drawing/2012/chart" uri="{02D57815-91ED-43cb-92C2-25804820EDAC}">
              <c15:datalabelsRange>
                <c15:f>'2.1'!$D$26:$D$28</c15:f>
                <c15:dlblRangeCache>
                  <c:ptCount val="3"/>
                  <c:pt idx="0">
                    <c:v>876,6 tis.
93 %</c:v>
                  </c:pt>
                  <c:pt idx="1">
                    <c:v>15,6 tis.
2 %</c:v>
                  </c:pt>
                  <c:pt idx="2">
                    <c:v>53,8 tis.
6 %</c:v>
                  </c:pt>
                </c15:dlblRangeCache>
              </c15:datalabelsRange>
            </c:ext>
            <c:ext xmlns:c16="http://schemas.microsoft.com/office/drawing/2014/chart" uri="{C3380CC4-5D6E-409C-BE32-E72D297353CC}">
              <c16:uniqueId val="{00000006-5403-42F4-BB69-D7DB27BE5711}"/>
            </c:ext>
          </c:extLst>
        </c:ser>
        <c:dLbls>
          <c:showLegendKey val="0"/>
          <c:showVal val="0"/>
          <c:showCatName val="0"/>
          <c:showSerName val="0"/>
          <c:showPercent val="0"/>
          <c:showBubbleSize val="0"/>
          <c:showLeaderLines val="0"/>
        </c:dLbls>
        <c:firstSliceAng val="0"/>
        <c:holeSize val="50"/>
      </c:doughnutChart>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latin typeface="Arial" panose="020B0604020202020204" pitchFamily="34" charset="0"/>
          <a:cs typeface="Arial" panose="020B0604020202020204" pitchFamily="34" charset="0"/>
        </a:defRPr>
      </a:pPr>
      <a:endParaRPr lang="cs-CZ"/>
    </a:p>
  </c:txPr>
  <c:externalData r:id="rId3">
    <c:autoUpdate val="0"/>
  </c:externalData>
  <c:userShapes r:id="rId4"/>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'2.2'!$A$5</c:f>
              <c:strCache>
                <c:ptCount val="1"/>
                <c:pt idx="0">
                  <c:v> 1. pololetí</c:v>
                </c:pt>
              </c:strCache>
            </c:strRef>
          </c:tx>
          <c:spPr>
            <a:solidFill>
              <a:srgbClr val="632827"/>
            </a:solidFill>
            <a:ln>
              <a:noFill/>
            </a:ln>
            <a:effectLst/>
          </c:spPr>
          <c:invertIfNegative val="0"/>
          <c:dLbls>
            <c:dLbl>
              <c:idx val="0"/>
              <c:layout>
                <c:manualLayout>
                  <c:x val="-2.4330900243309003E-3"/>
                  <c:y val="7.876640419947506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479F-48F3-909D-AE68D341ADC1}"/>
                </c:ext>
              </c:extLst>
            </c:dLbl>
            <c:dLbl>
              <c:idx val="1"/>
              <c:layout>
                <c:manualLayout>
                  <c:x val="-7.2992700729927005E-3"/>
                  <c:y val="7.876640419947499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479F-48F3-909D-AE68D341ADC1}"/>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'2.2'!$B$4:$G$4</c:f>
              <c:numCache>
                <c:formatCode>General</c:formatCode>
                <c:ptCount val="6"/>
                <c:pt idx="0">
                  <c:v>2017</c:v>
                </c:pt>
                <c:pt idx="1">
                  <c:v>2018</c:v>
                </c:pt>
                <c:pt idx="2">
                  <c:v>2019</c:v>
                </c:pt>
                <c:pt idx="3">
                  <c:v>2020</c:v>
                </c:pt>
                <c:pt idx="4">
                  <c:v>2021</c:v>
                </c:pt>
                <c:pt idx="5">
                  <c:v>2022</c:v>
                </c:pt>
              </c:numCache>
            </c:numRef>
          </c:cat>
          <c:val>
            <c:numRef>
              <c:f>'2.2'!$B$5:$G$5</c:f>
              <c:numCache>
                <c:formatCode>_-* #\ ##0_-;\-* #\ ##0_-;_-* "-"??_-;_-@_-</c:formatCode>
                <c:ptCount val="6"/>
                <c:pt idx="0">
                  <c:v>841.59900000000005</c:v>
                </c:pt>
                <c:pt idx="1">
                  <c:v>937.75099999999998</c:v>
                </c:pt>
                <c:pt idx="2">
                  <c:v>872.71400000000006</c:v>
                </c:pt>
                <c:pt idx="3" formatCode="#,##0">
                  <c:v>976.90099999999995</c:v>
                </c:pt>
                <c:pt idx="4" formatCode="#,##0">
                  <c:v>1300.2139999999999</c:v>
                </c:pt>
                <c:pt idx="5" formatCode="#,##0">
                  <c:v>1942.4169999999999</c:v>
                </c:pt>
              </c:numCache>
            </c:numRef>
          </c:val>
          <c:extLst>
            <c:ext xmlns:c16="http://schemas.microsoft.com/office/drawing/2014/chart" uri="{C3380CC4-5D6E-409C-BE32-E72D297353CC}">
              <c16:uniqueId val="{00000002-479F-48F3-909D-AE68D341ADC1}"/>
            </c:ext>
          </c:extLst>
        </c:ser>
        <c:ser>
          <c:idx val="1"/>
          <c:order val="1"/>
          <c:tx>
            <c:strRef>
              <c:f>'2.2'!$A$6</c:f>
              <c:strCache>
                <c:ptCount val="1"/>
                <c:pt idx="0">
                  <c:v> 2. pololetí</c:v>
                </c:pt>
              </c:strCache>
            </c:strRef>
          </c:tx>
          <c:spPr>
            <a:solidFill>
              <a:srgbClr val="B44946"/>
            </a:solidFill>
            <a:ln>
              <a:noFill/>
            </a:ln>
            <a:effectLst/>
          </c:spPr>
          <c:invertIfNegative val="0"/>
          <c:dLbls>
            <c:dLbl>
              <c:idx val="0"/>
              <c:layout>
                <c:manualLayout>
                  <c:x val="-9.7323600973236897E-3"/>
                  <c:y val="7.876640419947506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479F-48F3-909D-AE68D341ADC1}"/>
                </c:ext>
              </c:extLst>
            </c:dLbl>
            <c:dLbl>
              <c:idx val="1"/>
              <c:layout>
                <c:manualLayout>
                  <c:x val="-2.4330900243309003E-3"/>
                  <c:y val="7.876640419947499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479F-48F3-909D-AE68D341ADC1}"/>
                </c:ext>
              </c:extLst>
            </c:dLbl>
            <c:dLbl>
              <c:idx val="2"/>
              <c:layout>
                <c:manualLayout>
                  <c:x val="-7.2992700729927005E-3"/>
                  <c:y val="7.876640419947506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479F-48F3-909D-AE68D341ADC1}"/>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'2.2'!$B$4:$G$4</c:f>
              <c:numCache>
                <c:formatCode>General</c:formatCode>
                <c:ptCount val="6"/>
                <c:pt idx="0">
                  <c:v>2017</c:v>
                </c:pt>
                <c:pt idx="1">
                  <c:v>2018</c:v>
                </c:pt>
                <c:pt idx="2">
                  <c:v>2019</c:v>
                </c:pt>
                <c:pt idx="3">
                  <c:v>2020</c:v>
                </c:pt>
                <c:pt idx="4">
                  <c:v>2021</c:v>
                </c:pt>
                <c:pt idx="5">
                  <c:v>2022</c:v>
                </c:pt>
              </c:numCache>
            </c:numRef>
          </c:cat>
          <c:val>
            <c:numRef>
              <c:f>'2.2'!$B$6:$G$6</c:f>
              <c:numCache>
                <c:formatCode>_-* #\ ##0_-;\-* #\ ##0_-;_-* "-"??_-;_-@_-</c:formatCode>
                <c:ptCount val="6"/>
                <c:pt idx="0">
                  <c:v>669.27800000000002</c:v>
                </c:pt>
                <c:pt idx="1">
                  <c:v>712.51800000000003</c:v>
                </c:pt>
                <c:pt idx="2">
                  <c:v>838.52499999999998</c:v>
                </c:pt>
                <c:pt idx="3" formatCode="#,##0">
                  <c:v>1225.809</c:v>
                </c:pt>
                <c:pt idx="4" formatCode="#,##0">
                  <c:v>1249.5349999999999</c:v>
                </c:pt>
              </c:numCache>
            </c:numRef>
          </c:val>
          <c:extLst>
            <c:ext xmlns:c16="http://schemas.microsoft.com/office/drawing/2014/chart" uri="{C3380CC4-5D6E-409C-BE32-E72D297353CC}">
              <c16:uniqueId val="{00000006-479F-48F3-909D-AE68D341ADC1}"/>
            </c:ext>
          </c:extLst>
        </c:ser>
        <c:dLbls>
          <c:showLegendKey val="0"/>
          <c:showVal val="0"/>
          <c:showCatName val="0"/>
          <c:showSerName val="0"/>
          <c:showPercent val="0"/>
          <c:showBubbleSize val="0"/>
        </c:dLbls>
        <c:gapWidth val="33"/>
        <c:overlap val="-11"/>
        <c:axId val="1315640191"/>
        <c:axId val="1315654751"/>
      </c:barChart>
      <c:catAx>
        <c:axId val="1315640191"/>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315654751"/>
        <c:crosses val="autoZero"/>
        <c:auto val="1"/>
        <c:lblAlgn val="ctr"/>
        <c:lblOffset val="100"/>
        <c:noMultiLvlLbl val="0"/>
      </c:catAx>
      <c:valAx>
        <c:axId val="1315654751"/>
        <c:scaling>
          <c:orientation val="minMax"/>
          <c:max val="2000"/>
          <c:min val="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en-US"/>
                  <a:t>tisíce</a:t>
                </a:r>
              </a:p>
            </c:rich>
          </c:tx>
          <c:overlay val="0"/>
          <c:spPr>
            <a:noFill/>
            <a:ln>
              <a:noFill/>
            </a:ln>
            <a:effectLst/>
          </c:spPr>
          <c:txPr>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315640191"/>
        <c:crosses val="autoZero"/>
        <c:crossBetween val="between"/>
        <c:majorUnit val="200"/>
      </c:val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1243285214348206"/>
          <c:y val="5.0925925925925923E-2"/>
          <c:w val="0.8148425196850394"/>
          <c:h val="0.72545239136774575"/>
        </c:manualLayout>
      </c:layout>
      <c:barChart>
        <c:barDir val="col"/>
        <c:grouping val="stacked"/>
        <c:varyColors val="0"/>
        <c:ser>
          <c:idx val="0"/>
          <c:order val="0"/>
          <c:tx>
            <c:strRef>
              <c:f>'2.3'!$I$3</c:f>
              <c:strCache>
                <c:ptCount val="1"/>
                <c:pt idx="0">
                  <c:v>  nemoc</c:v>
                </c:pt>
              </c:strCache>
            </c:strRef>
          </c:tx>
          <c:spPr>
            <a:solidFill>
              <a:srgbClr val="632827"/>
            </a:solidFill>
            <a:ln>
              <a:noFill/>
            </a:ln>
            <a:effectLst/>
          </c:spPr>
          <c:invertIfNegative val="0"/>
          <c:dLbls>
            <c:numFmt formatCode="#,##0.0" sourceLinked="0"/>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'2.3'!$H$5:$H$15</c:f>
              <c:strCache>
                <c:ptCount val="11"/>
                <c:pt idx="0">
                  <c:v>1. pol. 
2012</c:v>
                </c:pt>
                <c:pt idx="1">
                  <c:v>1. pol. 
2013</c:v>
                </c:pt>
                <c:pt idx="2">
                  <c:v>1. pol. 
2014</c:v>
                </c:pt>
                <c:pt idx="3">
                  <c:v>1. pol. 
2015</c:v>
                </c:pt>
                <c:pt idx="4">
                  <c:v>1. pol. 
2016</c:v>
                </c:pt>
                <c:pt idx="5">
                  <c:v>1. pol. 
2017</c:v>
                </c:pt>
                <c:pt idx="6">
                  <c:v>1. pol. 
2018</c:v>
                </c:pt>
                <c:pt idx="7">
                  <c:v>1. pol. 
2019</c:v>
                </c:pt>
                <c:pt idx="8">
                  <c:v>1. pol. 2020</c:v>
                </c:pt>
                <c:pt idx="9">
                  <c:v>1. pol. 2021</c:v>
                </c:pt>
                <c:pt idx="10">
                  <c:v>1. pol. 2022</c:v>
                </c:pt>
              </c:strCache>
            </c:strRef>
          </c:cat>
          <c:val>
            <c:numRef>
              <c:f>'2.3'!$I$5:$I$15</c:f>
              <c:numCache>
                <c:formatCode>#\ ##0.0</c:formatCode>
                <c:ptCount val="11"/>
                <c:pt idx="0">
                  <c:v>11.93368136212951</c:v>
                </c:pt>
                <c:pt idx="1">
                  <c:v>15.22353919027414</c:v>
                </c:pt>
                <c:pt idx="2">
                  <c:v>13.124563413687495</c:v>
                </c:pt>
                <c:pt idx="3">
                  <c:v>17.529538058975476</c:v>
                </c:pt>
                <c:pt idx="4">
                  <c:v>17.118336039193487</c:v>
                </c:pt>
                <c:pt idx="5">
                  <c:v>18.168811341669436</c:v>
                </c:pt>
                <c:pt idx="6">
                  <c:v>19.906457263625533</c:v>
                </c:pt>
                <c:pt idx="7">
                  <c:v>18.423758849983905</c:v>
                </c:pt>
                <c:pt idx="8">
                  <c:v>20.841404631389988</c:v>
                </c:pt>
                <c:pt idx="9">
                  <c:v>27.731349386863791</c:v>
                </c:pt>
                <c:pt idx="10">
                  <c:v>41.153979740817341</c:v>
                </c:pt>
              </c:numCache>
            </c:numRef>
          </c:val>
          <c:extLst>
            <c:ext xmlns:c16="http://schemas.microsoft.com/office/drawing/2014/chart" uri="{C3380CC4-5D6E-409C-BE32-E72D297353CC}">
              <c16:uniqueId val="{00000000-1C81-4846-BAE4-4C312A0392EA}"/>
            </c:ext>
          </c:extLst>
        </c:ser>
        <c:ser>
          <c:idx val="1"/>
          <c:order val="1"/>
          <c:tx>
            <c:strRef>
              <c:f>'2.3'!$J$3</c:f>
              <c:strCache>
                <c:ptCount val="1"/>
                <c:pt idx="0">
                  <c:v> pracovní úrazy</c:v>
                </c:pt>
              </c:strCache>
            </c:strRef>
          </c:tx>
          <c:spPr>
            <a:solidFill>
              <a:srgbClr val="B44946"/>
            </a:solidFill>
            <a:ln>
              <a:noFill/>
            </a:ln>
            <a:effectLst/>
          </c:spPr>
          <c:invertIfNegative val="0"/>
          <c:cat>
            <c:strRef>
              <c:f>'2.3'!$H$5:$H$15</c:f>
              <c:strCache>
                <c:ptCount val="11"/>
                <c:pt idx="0">
                  <c:v>1. pol. 
2012</c:v>
                </c:pt>
                <c:pt idx="1">
                  <c:v>1. pol. 
2013</c:v>
                </c:pt>
                <c:pt idx="2">
                  <c:v>1. pol. 
2014</c:v>
                </c:pt>
                <c:pt idx="3">
                  <c:v>1. pol. 
2015</c:v>
                </c:pt>
                <c:pt idx="4">
                  <c:v>1. pol. 
2016</c:v>
                </c:pt>
                <c:pt idx="5">
                  <c:v>1. pol. 
2017</c:v>
                </c:pt>
                <c:pt idx="6">
                  <c:v>1. pol. 
2018</c:v>
                </c:pt>
                <c:pt idx="7">
                  <c:v>1. pol. 
2019</c:v>
                </c:pt>
                <c:pt idx="8">
                  <c:v>1. pol. 2020</c:v>
                </c:pt>
                <c:pt idx="9">
                  <c:v>1. pol. 2021</c:v>
                </c:pt>
                <c:pt idx="10">
                  <c:v>1. pol. 2022</c:v>
                </c:pt>
              </c:strCache>
            </c:strRef>
          </c:cat>
          <c:val>
            <c:numRef>
              <c:f>'2.3'!$J$5:$J$15</c:f>
              <c:numCache>
                <c:formatCode>#,##0.00</c:formatCode>
                <c:ptCount val="11"/>
                <c:pt idx="0">
                  <c:v>0.48925570607698826</c:v>
                </c:pt>
                <c:pt idx="1">
                  <c:v>0.49677892035797072</c:v>
                </c:pt>
                <c:pt idx="2">
                  <c:v>0.5035229385818929</c:v>
                </c:pt>
                <c:pt idx="3">
                  <c:v>0.52469612085835371</c:v>
                </c:pt>
                <c:pt idx="4">
                  <c:v>0.54785407299874656</c:v>
                </c:pt>
                <c:pt idx="5">
                  <c:v>0.53392535174372657</c:v>
                </c:pt>
                <c:pt idx="6">
                  <c:v>0.51078503214324233</c:v>
                </c:pt>
                <c:pt idx="7">
                  <c:v>0.49015236718893734</c:v>
                </c:pt>
                <c:pt idx="8">
                  <c:v>0.436988488152598</c:v>
                </c:pt>
                <c:pt idx="9">
                  <c:v>0.49750383844350604</c:v>
                </c:pt>
                <c:pt idx="10" formatCode="#\ ##0.0">
                  <c:v>0.49319087528926392</c:v>
                </c:pt>
              </c:numCache>
            </c:numRef>
          </c:val>
          <c:extLst>
            <c:ext xmlns:c16="http://schemas.microsoft.com/office/drawing/2014/chart" uri="{C3380CC4-5D6E-409C-BE32-E72D297353CC}">
              <c16:uniqueId val="{00000001-1C81-4846-BAE4-4C312A0392EA}"/>
            </c:ext>
          </c:extLst>
        </c:ser>
        <c:ser>
          <c:idx val="2"/>
          <c:order val="2"/>
          <c:tx>
            <c:strRef>
              <c:f>'2.3'!$K$3</c:f>
              <c:strCache>
                <c:ptCount val="1"/>
                <c:pt idx="0">
                  <c:v> ostatní úrazy</c:v>
                </c:pt>
              </c:strCache>
            </c:strRef>
          </c:tx>
          <c:spPr>
            <a:solidFill>
              <a:srgbClr val="C46A68"/>
            </a:solidFill>
            <a:ln>
              <a:noFill/>
            </a:ln>
            <a:effectLst/>
          </c:spPr>
          <c:invertIfNegative val="0"/>
          <c:cat>
            <c:strRef>
              <c:f>'2.3'!$H$5:$H$15</c:f>
              <c:strCache>
                <c:ptCount val="11"/>
                <c:pt idx="0">
                  <c:v>1. pol. 
2012</c:v>
                </c:pt>
                <c:pt idx="1">
                  <c:v>1. pol. 
2013</c:v>
                </c:pt>
                <c:pt idx="2">
                  <c:v>1. pol. 
2014</c:v>
                </c:pt>
                <c:pt idx="3">
                  <c:v>1. pol. 
2015</c:v>
                </c:pt>
                <c:pt idx="4">
                  <c:v>1. pol. 
2016</c:v>
                </c:pt>
                <c:pt idx="5">
                  <c:v>1. pol. 
2017</c:v>
                </c:pt>
                <c:pt idx="6">
                  <c:v>1. pol. 
2018</c:v>
                </c:pt>
                <c:pt idx="7">
                  <c:v>1. pol. 
2019</c:v>
                </c:pt>
                <c:pt idx="8">
                  <c:v>1. pol. 2020</c:v>
                </c:pt>
                <c:pt idx="9">
                  <c:v>1. pol. 2021</c:v>
                </c:pt>
                <c:pt idx="10">
                  <c:v>1. pol. 2022</c:v>
                </c:pt>
              </c:strCache>
            </c:strRef>
          </c:cat>
          <c:val>
            <c:numRef>
              <c:f>'2.3'!$K$5:$K$15</c:f>
              <c:numCache>
                <c:formatCode>#,##0.00</c:formatCode>
                <c:ptCount val="11"/>
                <c:pt idx="0">
                  <c:v>1.1980664801084004</c:v>
                </c:pt>
                <c:pt idx="1">
                  <c:v>1.3692391140643809</c:v>
                </c:pt>
                <c:pt idx="2">
                  <c:v>1.41934875766483</c:v>
                </c:pt>
                <c:pt idx="3">
                  <c:v>1.4892593959318774</c:v>
                </c:pt>
                <c:pt idx="4">
                  <c:v>1.6412271755005474</c:v>
                </c:pt>
                <c:pt idx="5">
                  <c:v>1.6923611585756999</c:v>
                </c:pt>
                <c:pt idx="6">
                  <c:v>1.6646259606673024</c:v>
                </c:pt>
                <c:pt idx="7">
                  <c:v>1.6686460249525363</c:v>
                </c:pt>
                <c:pt idx="8">
                  <c:v>1.5506339054042513</c:v>
                </c:pt>
                <c:pt idx="9">
                  <c:v>1.61868971597494</c:v>
                </c:pt>
                <c:pt idx="10" formatCode="#\ ##0.0">
                  <c:v>1.8693497773712109</c:v>
                </c:pt>
              </c:numCache>
            </c:numRef>
          </c:val>
          <c:extLst>
            <c:ext xmlns:c16="http://schemas.microsoft.com/office/drawing/2014/chart" uri="{C3380CC4-5D6E-409C-BE32-E72D297353CC}">
              <c16:uniqueId val="{00000002-1C81-4846-BAE4-4C312A0392EA}"/>
            </c:ext>
          </c:extLst>
        </c:ser>
        <c:dLbls>
          <c:showLegendKey val="0"/>
          <c:showVal val="0"/>
          <c:showCatName val="0"/>
          <c:showSerName val="0"/>
          <c:showPercent val="0"/>
          <c:showBubbleSize val="0"/>
        </c:dLbls>
        <c:gapWidth val="45"/>
        <c:overlap val="100"/>
        <c:axId val="870931312"/>
        <c:axId val="870925488"/>
      </c:barChart>
      <c:scatterChart>
        <c:scatterStyle val="lineMarker"/>
        <c:varyColors val="0"/>
        <c:ser>
          <c:idx val="3"/>
          <c:order val="3"/>
          <c:tx>
            <c:strRef>
              <c:f>'2.3'!$L$3</c:f>
              <c:strCache>
                <c:ptCount val="1"/>
                <c:pt idx="0">
                  <c:v> celkem</c:v>
                </c:pt>
              </c:strCache>
            </c:strRef>
          </c:tx>
          <c:spPr>
            <a:ln w="25400" cap="rnd">
              <a:no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xVal>
            <c:strRef>
              <c:f>'2.3'!$H$5:$H$15</c:f>
              <c:strCache>
                <c:ptCount val="11"/>
                <c:pt idx="0">
                  <c:v>1. pol. 
2012</c:v>
                </c:pt>
                <c:pt idx="1">
                  <c:v>1. pol. 
2013</c:v>
                </c:pt>
                <c:pt idx="2">
                  <c:v>1. pol. 
2014</c:v>
                </c:pt>
                <c:pt idx="3">
                  <c:v>1. pol. 
2015</c:v>
                </c:pt>
                <c:pt idx="4">
                  <c:v>1. pol. 
2016</c:v>
                </c:pt>
                <c:pt idx="5">
                  <c:v>1. pol. 
2017</c:v>
                </c:pt>
                <c:pt idx="6">
                  <c:v>1. pol. 
2018</c:v>
                </c:pt>
                <c:pt idx="7">
                  <c:v>1. pol. 
2019</c:v>
                </c:pt>
                <c:pt idx="8">
                  <c:v>1. pol. 2020</c:v>
                </c:pt>
                <c:pt idx="9">
                  <c:v>1. pol. 2021</c:v>
                </c:pt>
                <c:pt idx="10">
                  <c:v>1. pol. 2022</c:v>
                </c:pt>
              </c:strCache>
            </c:strRef>
          </c:xVal>
          <c:yVal>
            <c:numRef>
              <c:f>'2.3'!$L$5:$L$15</c:f>
              <c:numCache>
                <c:formatCode>#\ ##0.0</c:formatCode>
                <c:ptCount val="11"/>
                <c:pt idx="0">
                  <c:v>13.621003548314897</c:v>
                </c:pt>
                <c:pt idx="1">
                  <c:v>17.089557224696492</c:v>
                </c:pt>
                <c:pt idx="2">
                  <c:v>15.047435109934218</c:v>
                </c:pt>
                <c:pt idx="3">
                  <c:v>19.543493575765709</c:v>
                </c:pt>
                <c:pt idx="4">
                  <c:v>19.307439316405002</c:v>
                </c:pt>
                <c:pt idx="5">
                  <c:v>20.395097851988865</c:v>
                </c:pt>
                <c:pt idx="6">
                  <c:v>22.081868256436078</c:v>
                </c:pt>
                <c:pt idx="7">
                  <c:v>20.582557242125375</c:v>
                </c:pt>
                <c:pt idx="8">
                  <c:v>22.829027024946836</c:v>
                </c:pt>
                <c:pt idx="9">
                  <c:v>29.847542941282235</c:v>
                </c:pt>
                <c:pt idx="10">
                  <c:v>43.516520393477819</c:v>
                </c:pt>
              </c:numCache>
            </c:numRef>
          </c:yVal>
          <c:smooth val="0"/>
          <c:extLst>
            <c:ext xmlns:c16="http://schemas.microsoft.com/office/drawing/2014/chart" uri="{C3380CC4-5D6E-409C-BE32-E72D297353CC}">
              <c16:uniqueId val="{00000003-1C81-4846-BAE4-4C312A0392EA}"/>
            </c:ext>
          </c:extLst>
        </c:ser>
        <c:dLbls>
          <c:showLegendKey val="0"/>
          <c:showVal val="0"/>
          <c:showCatName val="0"/>
          <c:showSerName val="0"/>
          <c:showPercent val="0"/>
          <c:showBubbleSize val="0"/>
        </c:dLbls>
        <c:axId val="1911943232"/>
        <c:axId val="1911937408"/>
      </c:scatterChart>
      <c:catAx>
        <c:axId val="87093131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870925488"/>
        <c:crosses val="autoZero"/>
        <c:auto val="1"/>
        <c:lblAlgn val="ctr"/>
        <c:lblOffset val="100"/>
        <c:noMultiLvlLbl val="0"/>
      </c:catAx>
      <c:valAx>
        <c:axId val="870925488"/>
        <c:scaling>
          <c:orientation val="minMax"/>
          <c:max val="45"/>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en-US"/>
                  <a:t>počet případů</a:t>
                </a:r>
                <a:r>
                  <a:rPr lang="cs-CZ"/>
                  <a:t> na 100 pojištěnců</a:t>
                </a:r>
                <a:endParaRPr lang="en-US"/>
              </a:p>
            </c:rich>
          </c:tx>
          <c:layout>
            <c:manualLayout>
              <c:xMode val="edge"/>
              <c:yMode val="edge"/>
              <c:x val="3.8267020746118069E-2"/>
              <c:y val="0.1244693429714728"/>
            </c:manualLayout>
          </c:layout>
          <c:overlay val="0"/>
          <c:spPr>
            <a:noFill/>
            <a:ln>
              <a:noFill/>
            </a:ln>
            <a:effectLst/>
          </c:spPr>
          <c:txPr>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870931312"/>
        <c:crosses val="autoZero"/>
        <c:crossBetween val="between"/>
      </c:valAx>
      <c:valAx>
        <c:axId val="1911937408"/>
        <c:scaling>
          <c:orientation val="minMax"/>
          <c:max val="45"/>
        </c:scaling>
        <c:delete val="0"/>
        <c:axPos val="r"/>
        <c:numFmt formatCode="#\ ##0.0" sourceLinked="1"/>
        <c:majorTickMark val="out"/>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crossAx val="1911943232"/>
        <c:crosses val="max"/>
        <c:crossBetween val="midCat"/>
      </c:valAx>
      <c:valAx>
        <c:axId val="1911943232"/>
        <c:scaling>
          <c:orientation val="minMax"/>
        </c:scaling>
        <c:delete val="1"/>
        <c:axPos val="b"/>
        <c:numFmt formatCode="General" sourceLinked="1"/>
        <c:majorTickMark val="out"/>
        <c:minorTickMark val="none"/>
        <c:tickLblPos val="nextTo"/>
        <c:crossAx val="1911937408"/>
        <c:crosses val="autoZero"/>
        <c:crossBetween val="midCat"/>
      </c:valAx>
      <c:spPr>
        <a:noFill/>
        <a:ln>
          <a:noFill/>
        </a:ln>
        <a:effectLst/>
      </c:spPr>
    </c:plotArea>
    <c:legend>
      <c:legendPos val="b"/>
      <c:legendEntry>
        <c:idx val="3"/>
        <c:delete val="1"/>
      </c:legendEntry>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52609617769557171"/>
          <c:y val="3.2840722495894911E-2"/>
          <c:w val="0.44184322882030286"/>
          <c:h val="0.84443276878791407"/>
        </c:manualLayout>
      </c:layout>
      <c:barChart>
        <c:barDir val="bar"/>
        <c:grouping val="clustered"/>
        <c:varyColors val="0"/>
        <c:ser>
          <c:idx val="0"/>
          <c:order val="0"/>
          <c:tx>
            <c:strRef>
              <c:f>'2.4'!$J$3</c:f>
              <c:strCache>
                <c:ptCount val="1"/>
                <c:pt idx="0">
                  <c:v> 1. pol. 2019</c:v>
                </c:pt>
              </c:strCache>
            </c:strRef>
          </c:tx>
          <c:spPr>
            <a:solidFill>
              <a:srgbClr val="B44946"/>
            </a:solidFill>
            <a:ln>
              <a:noFill/>
            </a:ln>
            <a:effectLst/>
          </c:spPr>
          <c:invertIfNegative val="0"/>
          <c:cat>
            <c:strRef>
              <c:f>'2.4'!$G$4:$G$23</c:f>
              <c:strCache>
                <c:ptCount val="20"/>
                <c:pt idx="0">
                  <c:v>L – Činnosti v oblasti nemovitostí</c:v>
                </c:pt>
                <c:pt idx="1">
                  <c:v>J – Informační a komunikační činnosti</c:v>
                </c:pt>
                <c:pt idx="2">
                  <c:v>K – Peněžnictví a pojišťovnictví</c:v>
                </c:pt>
                <c:pt idx="3">
                  <c:v>M – Profesní, vědecké a technické činnosti</c:v>
                </c:pt>
                <c:pt idx="4">
                  <c:v>D – Výroba a rozvod elektřiny, plynu, tepla a klimatiz. vzduchu</c:v>
                </c:pt>
                <c:pt idx="5">
                  <c:v>I – Ubytování, stravování a pohostinství</c:v>
                </c:pt>
                <c:pt idx="6">
                  <c:v>F – Stavebnictví</c:v>
                </c:pt>
                <c:pt idx="7">
                  <c:v>S – Ostatní činnosti</c:v>
                </c:pt>
                <c:pt idx="8">
                  <c:v>R – Kulturní, zábavní a rekreační činnosti</c:v>
                </c:pt>
                <c:pt idx="9">
                  <c:v>A – Zemědělství, lesnictví, rybářství</c:v>
                </c:pt>
                <c:pt idx="10">
                  <c:v>N – Administrativní a podpůrné činnosti</c:v>
                </c:pt>
                <c:pt idx="11">
                  <c:v>H – Doprava a skladování</c:v>
                </c:pt>
                <c:pt idx="12">
                  <c:v>G – Velkoobchod a maloobchod; opravy a údržba motor. vozidel</c:v>
                </c:pt>
                <c:pt idx="13">
                  <c:v>Q – Zdravotní a sociální péče</c:v>
                </c:pt>
                <c:pt idx="14">
                  <c:v>CELKEM</c:v>
                </c:pt>
                <c:pt idx="15">
                  <c:v>E – Zásobování vodou; činnosti související s odpady a sanacemi</c:v>
                </c:pt>
                <c:pt idx="16">
                  <c:v>B – Těžba a dobývání</c:v>
                </c:pt>
                <c:pt idx="17">
                  <c:v>O – Veřejná správa a obrana; povinné sociální zabezpečení</c:v>
                </c:pt>
                <c:pt idx="18">
                  <c:v>C – Zpracovatelský průmysl</c:v>
                </c:pt>
                <c:pt idx="19">
                  <c:v>P – Vzdělávání</c:v>
                </c:pt>
              </c:strCache>
            </c:strRef>
          </c:cat>
          <c:val>
            <c:numRef>
              <c:f>'2.4'!$J$4:$J$23</c:f>
              <c:numCache>
                <c:formatCode>0.00</c:formatCode>
                <c:ptCount val="20"/>
                <c:pt idx="0">
                  <c:v>9.2297135669999992</c:v>
                </c:pt>
                <c:pt idx="1">
                  <c:v>13.5372292738</c:v>
                </c:pt>
                <c:pt idx="2">
                  <c:v>14.970705157599999</c:v>
                </c:pt>
                <c:pt idx="3">
                  <c:v>11.5954346093</c:v>
                </c:pt>
                <c:pt idx="4">
                  <c:v>15.7330079975</c:v>
                </c:pt>
                <c:pt idx="5">
                  <c:v>15.7685325512</c:v>
                </c:pt>
                <c:pt idx="6">
                  <c:v>17.238029836799999</c:v>
                </c:pt>
                <c:pt idx="7">
                  <c:v>16.151619930999999</c:v>
                </c:pt>
                <c:pt idx="8">
                  <c:v>14.6777903195</c:v>
                </c:pt>
                <c:pt idx="9">
                  <c:v>18.106071715900001</c:v>
                </c:pt>
                <c:pt idx="10">
                  <c:v>23.525716510199999</c:v>
                </c:pt>
                <c:pt idx="11">
                  <c:v>20.1726852223</c:v>
                </c:pt>
                <c:pt idx="12">
                  <c:v>20.408255940499998</c:v>
                </c:pt>
                <c:pt idx="13">
                  <c:v>18.4770092959</c:v>
                </c:pt>
                <c:pt idx="14">
                  <c:v>20.582557242099998</c:v>
                </c:pt>
                <c:pt idx="15">
                  <c:v>21.308281770200001</c:v>
                </c:pt>
                <c:pt idx="16">
                  <c:v>22.000516627</c:v>
                </c:pt>
                <c:pt idx="17">
                  <c:v>18.008724815600001</c:v>
                </c:pt>
                <c:pt idx="18">
                  <c:v>27.048496434400001</c:v>
                </c:pt>
                <c:pt idx="19">
                  <c:v>20.262612829399998</c:v>
                </c:pt>
              </c:numCache>
            </c:numRef>
          </c:val>
          <c:extLst>
            <c:ext xmlns:c16="http://schemas.microsoft.com/office/drawing/2014/chart" uri="{C3380CC4-5D6E-409C-BE32-E72D297353CC}">
              <c16:uniqueId val="{00000000-E56C-4045-BBB5-7865425B5204}"/>
            </c:ext>
          </c:extLst>
        </c:ser>
        <c:ser>
          <c:idx val="1"/>
          <c:order val="1"/>
          <c:tx>
            <c:strRef>
              <c:f>'2.4'!$I$3</c:f>
              <c:strCache>
                <c:ptCount val="1"/>
                <c:pt idx="0">
                  <c:v> 1. pol. 2022</c:v>
                </c:pt>
              </c:strCache>
            </c:strRef>
          </c:tx>
          <c:spPr>
            <a:solidFill>
              <a:srgbClr val="632827"/>
            </a:solidFill>
            <a:ln>
              <a:noFill/>
            </a:ln>
            <a:effectLst/>
          </c:spPr>
          <c:invertIfNegative val="0"/>
          <c:dPt>
            <c:idx val="14"/>
            <c:invertIfNegative val="0"/>
            <c:bubble3D val="0"/>
            <c:spPr>
              <a:solidFill>
                <a:srgbClr val="632827"/>
              </a:solidFill>
              <a:ln w="15875">
                <a:solidFill>
                  <a:srgbClr val="00B0F0"/>
                </a:solidFill>
              </a:ln>
              <a:effectLst/>
            </c:spPr>
            <c:extLst>
              <c:ext xmlns:c16="http://schemas.microsoft.com/office/drawing/2014/chart" uri="{C3380CC4-5D6E-409C-BE32-E72D297353CC}">
                <c16:uniqueId val="{00000002-E56C-4045-BBB5-7865425B5204}"/>
              </c:ext>
            </c:extLst>
          </c:dPt>
          <c:cat>
            <c:strRef>
              <c:f>'2.4'!$G$4:$G$23</c:f>
              <c:strCache>
                <c:ptCount val="20"/>
                <c:pt idx="0">
                  <c:v>L – Činnosti v oblasti nemovitostí</c:v>
                </c:pt>
                <c:pt idx="1">
                  <c:v>J – Informační a komunikační činnosti</c:v>
                </c:pt>
                <c:pt idx="2">
                  <c:v>K – Peněžnictví a pojišťovnictví</c:v>
                </c:pt>
                <c:pt idx="3">
                  <c:v>M – Profesní, vědecké a technické činnosti</c:v>
                </c:pt>
                <c:pt idx="4">
                  <c:v>D – Výroba a rozvod elektřiny, plynu, tepla a klimatiz. vzduchu</c:v>
                </c:pt>
                <c:pt idx="5">
                  <c:v>I – Ubytování, stravování a pohostinství</c:v>
                </c:pt>
                <c:pt idx="6">
                  <c:v>F – Stavebnictví</c:v>
                </c:pt>
                <c:pt idx="7">
                  <c:v>S – Ostatní činnosti</c:v>
                </c:pt>
                <c:pt idx="8">
                  <c:v>R – Kulturní, zábavní a rekreační činnosti</c:v>
                </c:pt>
                <c:pt idx="9">
                  <c:v>A – Zemědělství, lesnictví, rybářství</c:v>
                </c:pt>
                <c:pt idx="10">
                  <c:v>N – Administrativní a podpůrné činnosti</c:v>
                </c:pt>
                <c:pt idx="11">
                  <c:v>H – Doprava a skladování</c:v>
                </c:pt>
                <c:pt idx="12">
                  <c:v>G – Velkoobchod a maloobchod; opravy a údržba motor. vozidel</c:v>
                </c:pt>
                <c:pt idx="13">
                  <c:v>Q – Zdravotní a sociální péče</c:v>
                </c:pt>
                <c:pt idx="14">
                  <c:v>CELKEM</c:v>
                </c:pt>
                <c:pt idx="15">
                  <c:v>E – Zásobování vodou; činnosti související s odpady a sanacemi</c:v>
                </c:pt>
                <c:pt idx="16">
                  <c:v>B – Těžba a dobývání</c:v>
                </c:pt>
                <c:pt idx="17">
                  <c:v>O – Veřejná správa a obrana; povinné sociální zabezpečení</c:v>
                </c:pt>
                <c:pt idx="18">
                  <c:v>C – Zpracovatelský průmysl</c:v>
                </c:pt>
                <c:pt idx="19">
                  <c:v>P – Vzdělávání</c:v>
                </c:pt>
              </c:strCache>
            </c:strRef>
          </c:cat>
          <c:val>
            <c:numRef>
              <c:f>'2.4'!$I$4:$I$23</c:f>
              <c:numCache>
                <c:formatCode>0.00</c:formatCode>
                <c:ptCount val="20"/>
                <c:pt idx="0">
                  <c:v>20.114401259200001</c:v>
                </c:pt>
                <c:pt idx="1">
                  <c:v>21.440423696</c:v>
                </c:pt>
                <c:pt idx="2">
                  <c:v>22.719176494599999</c:v>
                </c:pt>
                <c:pt idx="3">
                  <c:v>23.437246135100001</c:v>
                </c:pt>
                <c:pt idx="4">
                  <c:v>30.347306329999999</c:v>
                </c:pt>
                <c:pt idx="5">
                  <c:v>30.558445731799999</c:v>
                </c:pt>
                <c:pt idx="6">
                  <c:v>33.022293914400002</c:v>
                </c:pt>
                <c:pt idx="7">
                  <c:v>33.677481694599997</c:v>
                </c:pt>
                <c:pt idx="8">
                  <c:v>34.468006182700002</c:v>
                </c:pt>
                <c:pt idx="9">
                  <c:v>34.828162622199997</c:v>
                </c:pt>
                <c:pt idx="10">
                  <c:v>39.651152258000003</c:v>
                </c:pt>
                <c:pt idx="11">
                  <c:v>40.215393774699997</c:v>
                </c:pt>
                <c:pt idx="12">
                  <c:v>42.267212102000002</c:v>
                </c:pt>
                <c:pt idx="13">
                  <c:v>42.721024734300002</c:v>
                </c:pt>
                <c:pt idx="14">
                  <c:v>43.516520393500002</c:v>
                </c:pt>
                <c:pt idx="15">
                  <c:v>44.204313038899997</c:v>
                </c:pt>
                <c:pt idx="16">
                  <c:v>45.691673797200004</c:v>
                </c:pt>
                <c:pt idx="17">
                  <c:v>46.1510104961</c:v>
                </c:pt>
                <c:pt idx="18">
                  <c:v>56.436085239900002</c:v>
                </c:pt>
                <c:pt idx="19">
                  <c:v>56.8988068552</c:v>
                </c:pt>
              </c:numCache>
            </c:numRef>
          </c:val>
          <c:extLst>
            <c:ext xmlns:c16="http://schemas.microsoft.com/office/drawing/2014/chart" uri="{C3380CC4-5D6E-409C-BE32-E72D297353CC}">
              <c16:uniqueId val="{00000003-E56C-4045-BBB5-7865425B5204}"/>
            </c:ext>
          </c:extLst>
        </c:ser>
        <c:dLbls>
          <c:showLegendKey val="0"/>
          <c:showVal val="0"/>
          <c:showCatName val="0"/>
          <c:showSerName val="0"/>
          <c:showPercent val="0"/>
          <c:showBubbleSize val="0"/>
        </c:dLbls>
        <c:gapWidth val="182"/>
        <c:axId val="1351571983"/>
        <c:axId val="1351561167"/>
      </c:barChart>
      <c:catAx>
        <c:axId val="1351571983"/>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351561167"/>
        <c:crosses val="autoZero"/>
        <c:auto val="1"/>
        <c:lblAlgn val="ctr"/>
        <c:lblOffset val="100"/>
        <c:noMultiLvlLbl val="0"/>
      </c:catAx>
      <c:valAx>
        <c:axId val="1351561167"/>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cs-CZ"/>
                  <a:t>počet případů na 100 pojištěnců</a:t>
                </a:r>
              </a:p>
            </c:rich>
          </c:tx>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351571983"/>
        <c:crosses val="autoZero"/>
        <c:crossBetween val="between"/>
        <c:majorUnit val="5"/>
      </c:valAx>
      <c:spPr>
        <a:noFill/>
        <a:ln>
          <a:noFill/>
        </a:ln>
        <a:effectLst/>
      </c:spPr>
    </c:plotArea>
    <c:legend>
      <c:legendPos val="b"/>
      <c:layout>
        <c:manualLayout>
          <c:xMode val="edge"/>
          <c:yMode val="edge"/>
          <c:x val="0.37235924727089131"/>
          <c:y val="0.95567818912918012"/>
          <c:w val="0.25943174409693914"/>
          <c:h val="4.4321810870819829E-2"/>
        </c:manualLayout>
      </c:layout>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52849449814222538"/>
          <c:y val="3.1473540710247647E-2"/>
          <c:w val="0.43237101885103013"/>
          <c:h val="0.83539773079546165"/>
        </c:manualLayout>
      </c:layout>
      <c:barChart>
        <c:barDir val="bar"/>
        <c:grouping val="clustered"/>
        <c:varyColors val="0"/>
        <c:ser>
          <c:idx val="0"/>
          <c:order val="0"/>
          <c:tx>
            <c:strRef>
              <c:f>'2.5'!$G$3</c:f>
              <c:strCache>
                <c:ptCount val="1"/>
                <c:pt idx="0">
                  <c:v> 1. pol. 2021</c:v>
                </c:pt>
              </c:strCache>
            </c:strRef>
          </c:tx>
          <c:spPr>
            <a:solidFill>
              <a:srgbClr val="B44946"/>
            </a:solidFill>
            <a:ln>
              <a:noFill/>
            </a:ln>
            <a:effectLst/>
          </c:spPr>
          <c:invertIfNegative val="0"/>
          <c:dPt>
            <c:idx val="15"/>
            <c:invertIfNegative val="0"/>
            <c:bubble3D val="0"/>
            <c:spPr>
              <a:solidFill>
                <a:srgbClr val="B44946"/>
              </a:solidFill>
              <a:ln w="15875">
                <a:solidFill>
                  <a:srgbClr val="00B0F0"/>
                </a:solidFill>
              </a:ln>
              <a:effectLst/>
            </c:spPr>
            <c:extLst>
              <c:ext xmlns:c16="http://schemas.microsoft.com/office/drawing/2014/chart" uri="{C3380CC4-5D6E-409C-BE32-E72D297353CC}">
                <c16:uniqueId val="{00000001-2ABC-48AF-A6FB-0775544098C4}"/>
              </c:ext>
            </c:extLst>
          </c:dPt>
          <c:cat>
            <c:strRef>
              <c:f>'2.5'!$F$4:$F$23</c:f>
              <c:strCache>
                <c:ptCount val="20"/>
                <c:pt idx="0">
                  <c:v>L – Činnosti v oblasti nemovitostí</c:v>
                </c:pt>
                <c:pt idx="1">
                  <c:v>J – Informační a komunikační činnosti</c:v>
                </c:pt>
                <c:pt idx="2">
                  <c:v>K – Peněžnictví a pojišťovnictví</c:v>
                </c:pt>
                <c:pt idx="3">
                  <c:v>M – Profesní, vědecké a technické činnosti</c:v>
                </c:pt>
                <c:pt idx="4">
                  <c:v>I – Ubytování, stravování a pohostinství</c:v>
                </c:pt>
                <c:pt idx="5">
                  <c:v>D – Výroba a rozvod elektřiny, plynu, tepla a klimatiz. vzduchu</c:v>
                </c:pt>
                <c:pt idx="6">
                  <c:v>F – Stavebnictví</c:v>
                </c:pt>
                <c:pt idx="7">
                  <c:v>A – Zemědělství, lesnictví, rybářství</c:v>
                </c:pt>
                <c:pt idx="8">
                  <c:v>S – Ostatní činnosti</c:v>
                </c:pt>
                <c:pt idx="9">
                  <c:v>R – Kulturní, zábavní a rekreační činnosti</c:v>
                </c:pt>
                <c:pt idx="10">
                  <c:v>N – Administrativní a podpůrné činnosti</c:v>
                </c:pt>
                <c:pt idx="11">
                  <c:v>H – Doprava a skladování</c:v>
                </c:pt>
                <c:pt idx="12">
                  <c:v>G – Velkoobchod a maloobchod; opravy a údržba motor. vozidel</c:v>
                </c:pt>
                <c:pt idx="13">
                  <c:v>Q – Zdravotní a sociální péče</c:v>
                </c:pt>
                <c:pt idx="14">
                  <c:v>E – Zásobování vodou; činnosti související s odpady a sanacemi</c:v>
                </c:pt>
                <c:pt idx="15">
                  <c:v>CELKEM</c:v>
                </c:pt>
                <c:pt idx="16">
                  <c:v>B – Těžba a dobývání</c:v>
                </c:pt>
                <c:pt idx="17">
                  <c:v>O – Veřejná správa a obrana; povinné sociální zabezpečení</c:v>
                </c:pt>
                <c:pt idx="18">
                  <c:v>C – Zpracovatelský průmysl</c:v>
                </c:pt>
                <c:pt idx="19">
                  <c:v>P – Vzdělávání</c:v>
                </c:pt>
              </c:strCache>
            </c:strRef>
          </c:cat>
          <c:val>
            <c:numRef>
              <c:f>'2.5'!$G$4:$G$23</c:f>
              <c:numCache>
                <c:formatCode>0.00</c:formatCode>
                <c:ptCount val="20"/>
                <c:pt idx="0">
                  <c:v>13.1075781894</c:v>
                </c:pt>
                <c:pt idx="1">
                  <c:v>12.6362255792</c:v>
                </c:pt>
                <c:pt idx="2">
                  <c:v>14.3433543296</c:v>
                </c:pt>
                <c:pt idx="3">
                  <c:v>14.4945226641</c:v>
                </c:pt>
                <c:pt idx="4">
                  <c:v>15.385548032699999</c:v>
                </c:pt>
                <c:pt idx="5">
                  <c:v>20.6075909184</c:v>
                </c:pt>
                <c:pt idx="6">
                  <c:v>25.490627867699999</c:v>
                </c:pt>
                <c:pt idx="7">
                  <c:v>26.175353243099998</c:v>
                </c:pt>
                <c:pt idx="8">
                  <c:v>19.925568461299999</c:v>
                </c:pt>
                <c:pt idx="9">
                  <c:v>14.851070200700001</c:v>
                </c:pt>
                <c:pt idx="10">
                  <c:v>32.723412024399998</c:v>
                </c:pt>
                <c:pt idx="11">
                  <c:v>29.416788456799999</c:v>
                </c:pt>
                <c:pt idx="12">
                  <c:v>26.6144092153</c:v>
                </c:pt>
                <c:pt idx="13">
                  <c:v>24.666918343900001</c:v>
                </c:pt>
                <c:pt idx="14">
                  <c:v>31.594074008500002</c:v>
                </c:pt>
                <c:pt idx="15">
                  <c:v>27.7313493869</c:v>
                </c:pt>
                <c:pt idx="16">
                  <c:v>37.577279288100002</c:v>
                </c:pt>
                <c:pt idx="17">
                  <c:v>26.027023538200002</c:v>
                </c:pt>
                <c:pt idx="18">
                  <c:v>39.135252074599997</c:v>
                </c:pt>
                <c:pt idx="19">
                  <c:v>22.839104846400001</c:v>
                </c:pt>
              </c:numCache>
            </c:numRef>
          </c:val>
          <c:extLst>
            <c:ext xmlns:c16="http://schemas.microsoft.com/office/drawing/2014/chart" uri="{C3380CC4-5D6E-409C-BE32-E72D297353CC}">
              <c16:uniqueId val="{00000002-2ABC-48AF-A6FB-0775544098C4}"/>
            </c:ext>
          </c:extLst>
        </c:ser>
        <c:ser>
          <c:idx val="1"/>
          <c:order val="1"/>
          <c:tx>
            <c:strRef>
              <c:f>'2.5'!$H$3</c:f>
              <c:strCache>
                <c:ptCount val="1"/>
                <c:pt idx="0">
                  <c:v> 1. pol. 2022</c:v>
                </c:pt>
              </c:strCache>
            </c:strRef>
          </c:tx>
          <c:spPr>
            <a:solidFill>
              <a:srgbClr val="632827"/>
            </a:solidFill>
            <a:ln>
              <a:noFill/>
            </a:ln>
            <a:effectLst/>
          </c:spPr>
          <c:invertIfNegative val="0"/>
          <c:dPt>
            <c:idx val="15"/>
            <c:invertIfNegative val="0"/>
            <c:bubble3D val="0"/>
            <c:spPr>
              <a:solidFill>
                <a:srgbClr val="632827"/>
              </a:solidFill>
              <a:ln w="15875">
                <a:solidFill>
                  <a:srgbClr val="00B0F0"/>
                </a:solidFill>
              </a:ln>
              <a:effectLst/>
            </c:spPr>
            <c:extLst>
              <c:ext xmlns:c16="http://schemas.microsoft.com/office/drawing/2014/chart" uri="{C3380CC4-5D6E-409C-BE32-E72D297353CC}">
                <c16:uniqueId val="{00000004-2ABC-48AF-A6FB-0775544098C4}"/>
              </c:ext>
            </c:extLst>
          </c:dPt>
          <c:cat>
            <c:strRef>
              <c:f>'2.5'!$F$4:$F$23</c:f>
              <c:strCache>
                <c:ptCount val="20"/>
                <c:pt idx="0">
                  <c:v>L – Činnosti v oblasti nemovitostí</c:v>
                </c:pt>
                <c:pt idx="1">
                  <c:v>J – Informační a komunikační činnosti</c:v>
                </c:pt>
                <c:pt idx="2">
                  <c:v>K – Peněžnictví a pojišťovnictví</c:v>
                </c:pt>
                <c:pt idx="3">
                  <c:v>M – Profesní, vědecké a technické činnosti</c:v>
                </c:pt>
                <c:pt idx="4">
                  <c:v>I – Ubytování, stravování a pohostinství</c:v>
                </c:pt>
                <c:pt idx="5">
                  <c:v>D – Výroba a rozvod elektřiny, plynu, tepla a klimatiz. vzduchu</c:v>
                </c:pt>
                <c:pt idx="6">
                  <c:v>F – Stavebnictví</c:v>
                </c:pt>
                <c:pt idx="7">
                  <c:v>A – Zemědělství, lesnictví, rybářství</c:v>
                </c:pt>
                <c:pt idx="8">
                  <c:v>S – Ostatní činnosti</c:v>
                </c:pt>
                <c:pt idx="9">
                  <c:v>R – Kulturní, zábavní a rekreační činnosti</c:v>
                </c:pt>
                <c:pt idx="10">
                  <c:v>N – Administrativní a podpůrné činnosti</c:v>
                </c:pt>
                <c:pt idx="11">
                  <c:v>H – Doprava a skladování</c:v>
                </c:pt>
                <c:pt idx="12">
                  <c:v>G – Velkoobchod a maloobchod; opravy a údržba motor. vozidel</c:v>
                </c:pt>
                <c:pt idx="13">
                  <c:v>Q – Zdravotní a sociální péče</c:v>
                </c:pt>
                <c:pt idx="14">
                  <c:v>E – Zásobování vodou; činnosti související s odpady a sanacemi</c:v>
                </c:pt>
                <c:pt idx="15">
                  <c:v>CELKEM</c:v>
                </c:pt>
                <c:pt idx="16">
                  <c:v>B – Těžba a dobývání</c:v>
                </c:pt>
                <c:pt idx="17">
                  <c:v>O – Veřejná správa a obrana; povinné sociální zabezpečení</c:v>
                </c:pt>
                <c:pt idx="18">
                  <c:v>C – Zpracovatelský průmysl</c:v>
                </c:pt>
                <c:pt idx="19">
                  <c:v>P – Vzdělávání</c:v>
                </c:pt>
              </c:strCache>
            </c:strRef>
          </c:cat>
          <c:val>
            <c:numRef>
              <c:f>'2.5'!$H$4:$H$23</c:f>
              <c:numCache>
                <c:formatCode>0.00</c:formatCode>
                <c:ptCount val="20"/>
                <c:pt idx="0">
                  <c:v>18.951879100300001</c:v>
                </c:pt>
                <c:pt idx="1">
                  <c:v>20.738417132599999</c:v>
                </c:pt>
                <c:pt idx="2">
                  <c:v>22.027799397900001</c:v>
                </c:pt>
                <c:pt idx="3">
                  <c:v>22.515008179199999</c:v>
                </c:pt>
                <c:pt idx="4">
                  <c:v>28.355763937100001</c:v>
                </c:pt>
                <c:pt idx="5">
                  <c:v>28.783824879899999</c:v>
                </c:pt>
                <c:pt idx="6">
                  <c:v>30.088771767099999</c:v>
                </c:pt>
                <c:pt idx="7">
                  <c:v>31.519762174</c:v>
                </c:pt>
                <c:pt idx="8">
                  <c:v>32.231035476499997</c:v>
                </c:pt>
                <c:pt idx="9">
                  <c:v>32.9466941023</c:v>
                </c:pt>
                <c:pt idx="10">
                  <c:v>37.222210294600004</c:v>
                </c:pt>
                <c:pt idx="11">
                  <c:v>37.425257048399999</c:v>
                </c:pt>
                <c:pt idx="12">
                  <c:v>40.005209219999998</c:v>
                </c:pt>
                <c:pt idx="13">
                  <c:v>40.843236991399998</c:v>
                </c:pt>
                <c:pt idx="14">
                  <c:v>40.880965903499998</c:v>
                </c:pt>
                <c:pt idx="15">
                  <c:v>41.153979740799997</c:v>
                </c:pt>
                <c:pt idx="16">
                  <c:v>42.213816029199997</c:v>
                </c:pt>
                <c:pt idx="17">
                  <c:v>44.631062428299998</c:v>
                </c:pt>
                <c:pt idx="18">
                  <c:v>52.929658506400003</c:v>
                </c:pt>
                <c:pt idx="19">
                  <c:v>55.398247215200001</c:v>
                </c:pt>
              </c:numCache>
            </c:numRef>
          </c:val>
          <c:extLst>
            <c:ext xmlns:c16="http://schemas.microsoft.com/office/drawing/2014/chart" uri="{C3380CC4-5D6E-409C-BE32-E72D297353CC}">
              <c16:uniqueId val="{00000005-2ABC-48AF-A6FB-0775544098C4}"/>
            </c:ext>
          </c:extLst>
        </c:ser>
        <c:dLbls>
          <c:showLegendKey val="0"/>
          <c:showVal val="0"/>
          <c:showCatName val="0"/>
          <c:showSerName val="0"/>
          <c:showPercent val="0"/>
          <c:showBubbleSize val="0"/>
        </c:dLbls>
        <c:gapWidth val="182"/>
        <c:axId val="704834064"/>
        <c:axId val="704822416"/>
      </c:barChart>
      <c:catAx>
        <c:axId val="704834064"/>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704822416"/>
        <c:crosses val="autoZero"/>
        <c:auto val="1"/>
        <c:lblAlgn val="ctr"/>
        <c:lblOffset val="100"/>
        <c:noMultiLvlLbl val="0"/>
      </c:catAx>
      <c:valAx>
        <c:axId val="704822416"/>
        <c:scaling>
          <c:orientation val="minMax"/>
          <c:max val="6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en-US"/>
                  <a:t>počet případů na 100 pojištěnců</a:t>
                </a:r>
              </a:p>
            </c:rich>
          </c:tx>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704834064"/>
        <c:crosses val="autoZero"/>
        <c:crossBetween val="between"/>
        <c:majorUnit val="5"/>
      </c:val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'2.6'!$F$3</c:f>
              <c:strCache>
                <c:ptCount val="1"/>
                <c:pt idx="0">
                  <c:v> 1. pol. 2022</c:v>
                </c:pt>
              </c:strCache>
            </c:strRef>
          </c:tx>
          <c:spPr>
            <a:solidFill>
              <a:srgbClr val="632827"/>
            </a:solidFill>
            <a:ln>
              <a:noFill/>
            </a:ln>
            <a:effectLst/>
          </c:spPr>
          <c:invertIfNegative val="0"/>
          <c:dPt>
            <c:idx val="2"/>
            <c:invertIfNegative val="0"/>
            <c:bubble3D val="0"/>
            <c:spPr>
              <a:solidFill>
                <a:srgbClr val="632827"/>
              </a:solidFill>
              <a:ln>
                <a:noFill/>
              </a:ln>
              <a:effectLst/>
            </c:spPr>
            <c:extLst>
              <c:ext xmlns:c16="http://schemas.microsoft.com/office/drawing/2014/chart" uri="{C3380CC4-5D6E-409C-BE32-E72D297353CC}">
                <c16:uniqueId val="{00000001-41A7-439C-B222-CBF5750933DA}"/>
              </c:ext>
            </c:extLst>
          </c:dPt>
          <c:dPt>
            <c:idx val="12"/>
            <c:invertIfNegative val="0"/>
            <c:bubble3D val="0"/>
            <c:spPr>
              <a:solidFill>
                <a:srgbClr val="632827"/>
              </a:solidFill>
              <a:ln w="15875">
                <a:solidFill>
                  <a:srgbClr val="00B0F0"/>
                </a:solidFill>
              </a:ln>
              <a:effectLst/>
            </c:spPr>
            <c:extLst>
              <c:ext xmlns:c16="http://schemas.microsoft.com/office/drawing/2014/chart" uri="{C3380CC4-5D6E-409C-BE32-E72D297353CC}">
                <c16:uniqueId val="{00000003-41A7-439C-B222-CBF5750933DA}"/>
              </c:ext>
            </c:extLst>
          </c:dPt>
          <c:cat>
            <c:strRef>
              <c:f>'2.6'!$H$4:$H$18</c:f>
              <c:strCache>
                <c:ptCount val="15"/>
                <c:pt idx="0">
                  <c:v>LBK</c:v>
                </c:pt>
                <c:pt idx="1">
                  <c:v>PLK</c:v>
                </c:pt>
                <c:pt idx="2">
                  <c:v>HKK</c:v>
                </c:pt>
                <c:pt idx="3">
                  <c:v>PAK</c:v>
                </c:pt>
                <c:pt idx="4">
                  <c:v>ULK</c:v>
                </c:pt>
                <c:pt idx="5">
                  <c:v>ZLK</c:v>
                </c:pt>
                <c:pt idx="6">
                  <c:v>STC</c:v>
                </c:pt>
                <c:pt idx="7">
                  <c:v>VYS</c:v>
                </c:pt>
                <c:pt idx="8">
                  <c:v>MSK</c:v>
                </c:pt>
                <c:pt idx="9">
                  <c:v>JHC</c:v>
                </c:pt>
                <c:pt idx="10">
                  <c:v>KVK</c:v>
                </c:pt>
                <c:pt idx="11">
                  <c:v>OLK</c:v>
                </c:pt>
                <c:pt idx="12">
                  <c:v>ČR</c:v>
                </c:pt>
                <c:pt idx="13">
                  <c:v>JHM</c:v>
                </c:pt>
                <c:pt idx="14">
                  <c:v>PHA</c:v>
                </c:pt>
              </c:strCache>
            </c:strRef>
          </c:cat>
          <c:val>
            <c:numRef>
              <c:f>'2.6'!$F$4:$F$18</c:f>
              <c:numCache>
                <c:formatCode>0.00</c:formatCode>
                <c:ptCount val="15"/>
                <c:pt idx="0">
                  <c:v>53.979799878599998</c:v>
                </c:pt>
                <c:pt idx="1">
                  <c:v>50.410465961100002</c:v>
                </c:pt>
                <c:pt idx="2">
                  <c:v>49.840675669900001</c:v>
                </c:pt>
                <c:pt idx="3">
                  <c:v>48.938326770800003</c:v>
                </c:pt>
                <c:pt idx="4">
                  <c:v>48.903543976400002</c:v>
                </c:pt>
                <c:pt idx="5">
                  <c:v>48.160513354000003</c:v>
                </c:pt>
                <c:pt idx="6">
                  <c:v>47.167083120599997</c:v>
                </c:pt>
                <c:pt idx="7">
                  <c:v>47.163127845299996</c:v>
                </c:pt>
                <c:pt idx="8">
                  <c:v>47.072019346799998</c:v>
                </c:pt>
                <c:pt idx="9">
                  <c:v>47.062828031599999</c:v>
                </c:pt>
                <c:pt idx="10">
                  <c:v>46.885208807600002</c:v>
                </c:pt>
                <c:pt idx="11">
                  <c:v>46.323398106500001</c:v>
                </c:pt>
                <c:pt idx="12">
                  <c:v>43.516520393500002</c:v>
                </c:pt>
                <c:pt idx="13">
                  <c:v>42.577847657100001</c:v>
                </c:pt>
                <c:pt idx="14">
                  <c:v>33.083009218800001</c:v>
                </c:pt>
              </c:numCache>
            </c:numRef>
          </c:val>
          <c:extLst>
            <c:ext xmlns:c16="http://schemas.microsoft.com/office/drawing/2014/chart" uri="{C3380CC4-5D6E-409C-BE32-E72D297353CC}">
              <c16:uniqueId val="{00000004-41A7-439C-B222-CBF5750933DA}"/>
            </c:ext>
          </c:extLst>
        </c:ser>
        <c:ser>
          <c:idx val="1"/>
          <c:order val="1"/>
          <c:tx>
            <c:strRef>
              <c:f>'2.6'!$G$3</c:f>
              <c:strCache>
                <c:ptCount val="1"/>
                <c:pt idx="0">
                  <c:v> 1. pol. 2019</c:v>
                </c:pt>
              </c:strCache>
            </c:strRef>
          </c:tx>
          <c:spPr>
            <a:solidFill>
              <a:srgbClr val="B44946"/>
            </a:solidFill>
            <a:ln>
              <a:noFill/>
            </a:ln>
            <a:effectLst/>
          </c:spPr>
          <c:invertIfNegative val="0"/>
          <c:dPt>
            <c:idx val="12"/>
            <c:invertIfNegative val="0"/>
            <c:bubble3D val="0"/>
            <c:spPr>
              <a:solidFill>
                <a:srgbClr val="B44946"/>
              </a:solidFill>
              <a:ln w="15875">
                <a:solidFill>
                  <a:srgbClr val="00B0F0"/>
                </a:solidFill>
              </a:ln>
              <a:effectLst/>
            </c:spPr>
            <c:extLst>
              <c:ext xmlns:c16="http://schemas.microsoft.com/office/drawing/2014/chart" uri="{C3380CC4-5D6E-409C-BE32-E72D297353CC}">
                <c16:uniqueId val="{00000006-41A7-439C-B222-CBF5750933DA}"/>
              </c:ext>
            </c:extLst>
          </c:dPt>
          <c:cat>
            <c:strRef>
              <c:f>'2.6'!$H$4:$H$18</c:f>
              <c:strCache>
                <c:ptCount val="15"/>
                <c:pt idx="0">
                  <c:v>LBK</c:v>
                </c:pt>
                <c:pt idx="1">
                  <c:v>PLK</c:v>
                </c:pt>
                <c:pt idx="2">
                  <c:v>HKK</c:v>
                </c:pt>
                <c:pt idx="3">
                  <c:v>PAK</c:v>
                </c:pt>
                <c:pt idx="4">
                  <c:v>ULK</c:v>
                </c:pt>
                <c:pt idx="5">
                  <c:v>ZLK</c:v>
                </c:pt>
                <c:pt idx="6">
                  <c:v>STC</c:v>
                </c:pt>
                <c:pt idx="7">
                  <c:v>VYS</c:v>
                </c:pt>
                <c:pt idx="8">
                  <c:v>MSK</c:v>
                </c:pt>
                <c:pt idx="9">
                  <c:v>JHC</c:v>
                </c:pt>
                <c:pt idx="10">
                  <c:v>KVK</c:v>
                </c:pt>
                <c:pt idx="11">
                  <c:v>OLK</c:v>
                </c:pt>
                <c:pt idx="12">
                  <c:v>ČR</c:v>
                </c:pt>
                <c:pt idx="13">
                  <c:v>JHM</c:v>
                </c:pt>
                <c:pt idx="14">
                  <c:v>PHA</c:v>
                </c:pt>
              </c:strCache>
            </c:strRef>
          </c:cat>
          <c:val>
            <c:numRef>
              <c:f>'2.6'!$G$4:$G$18</c:f>
              <c:numCache>
                <c:formatCode>General</c:formatCode>
                <c:ptCount val="15"/>
                <c:pt idx="0">
                  <c:v>25.143577818899999</c:v>
                </c:pt>
                <c:pt idx="1">
                  <c:v>24.087065974000001</c:v>
                </c:pt>
                <c:pt idx="2">
                  <c:v>23.583670675600001</c:v>
                </c:pt>
                <c:pt idx="3">
                  <c:v>22.080192067399999</c:v>
                </c:pt>
                <c:pt idx="4">
                  <c:v>22.540256962800001</c:v>
                </c:pt>
                <c:pt idx="5">
                  <c:v>21.3421812944</c:v>
                </c:pt>
                <c:pt idx="6">
                  <c:v>22.088831174999999</c:v>
                </c:pt>
                <c:pt idx="7">
                  <c:v>22.503696683400001</c:v>
                </c:pt>
                <c:pt idx="8">
                  <c:v>22.041629765300002</c:v>
                </c:pt>
                <c:pt idx="9">
                  <c:v>22.6211835808</c:v>
                </c:pt>
                <c:pt idx="10">
                  <c:v>23.340594642100001</c:v>
                </c:pt>
                <c:pt idx="11">
                  <c:v>20.263627657800001</c:v>
                </c:pt>
                <c:pt idx="12">
                  <c:v>20.582557242099998</c:v>
                </c:pt>
                <c:pt idx="13">
                  <c:v>19.719659031999999</c:v>
                </c:pt>
                <c:pt idx="14">
                  <c:v>16.6203329143</c:v>
                </c:pt>
              </c:numCache>
            </c:numRef>
          </c:val>
          <c:extLst>
            <c:ext xmlns:c16="http://schemas.microsoft.com/office/drawing/2014/chart" uri="{C3380CC4-5D6E-409C-BE32-E72D297353CC}">
              <c16:uniqueId val="{00000007-41A7-439C-B222-CBF5750933DA}"/>
            </c:ext>
          </c:extLst>
        </c:ser>
        <c:dLbls>
          <c:showLegendKey val="0"/>
          <c:showVal val="0"/>
          <c:showCatName val="0"/>
          <c:showSerName val="0"/>
          <c:showPercent val="0"/>
          <c:showBubbleSize val="0"/>
        </c:dLbls>
        <c:gapWidth val="182"/>
        <c:axId val="807591664"/>
        <c:axId val="807577936"/>
      </c:barChart>
      <c:catAx>
        <c:axId val="80759166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807577936"/>
        <c:crosses val="autoZero"/>
        <c:auto val="1"/>
        <c:lblAlgn val="ctr"/>
        <c:lblOffset val="100"/>
        <c:noMultiLvlLbl val="0"/>
      </c:catAx>
      <c:valAx>
        <c:axId val="807577936"/>
        <c:scaling>
          <c:orientation val="minMax"/>
          <c:max val="55"/>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cs-CZ"/>
                  <a:t>počet případů na 100 pojištěnců</a:t>
                </a:r>
              </a:p>
            </c:rich>
          </c:tx>
          <c:overlay val="0"/>
          <c:spPr>
            <a:noFill/>
            <a:ln>
              <a:noFill/>
            </a:ln>
            <a:effectLst/>
          </c:spPr>
          <c:txPr>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807591664"/>
        <c:crosses val="autoZero"/>
        <c:crossBetween val="between"/>
        <c:majorUnit val="5"/>
      </c:val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'2.7'!$A$4</c:f>
              <c:strCache>
                <c:ptCount val="1"/>
                <c:pt idx="0">
                  <c:v> 1. pololetí</c:v>
                </c:pt>
              </c:strCache>
            </c:strRef>
          </c:tx>
          <c:spPr>
            <a:solidFill>
              <a:srgbClr val="632827"/>
            </a:solidFill>
            <a:ln>
              <a:noFill/>
            </a:ln>
            <a:effectLst/>
          </c:spPr>
          <c:invertIfNegative val="0"/>
          <c:dLbls>
            <c:numFmt formatCode="#,##0.0" sourceLinked="0"/>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'2.7'!$C$3:$H$3</c:f>
              <c:numCache>
                <c:formatCode>General</c:formatCode>
                <c:ptCount val="6"/>
                <c:pt idx="0">
                  <c:v>2017</c:v>
                </c:pt>
                <c:pt idx="1">
                  <c:v>2018</c:v>
                </c:pt>
                <c:pt idx="2">
                  <c:v>2019</c:v>
                </c:pt>
                <c:pt idx="3">
                  <c:v>2020</c:v>
                </c:pt>
                <c:pt idx="4">
                  <c:v>2021</c:v>
                </c:pt>
                <c:pt idx="5">
                  <c:v>2022</c:v>
                </c:pt>
              </c:numCache>
            </c:numRef>
          </c:cat>
          <c:val>
            <c:numRef>
              <c:f>'2.7'!$C$4:$H$4</c:f>
              <c:numCache>
                <c:formatCode>#,##0</c:formatCode>
                <c:ptCount val="6"/>
                <c:pt idx="0">
                  <c:v>33258915</c:v>
                </c:pt>
                <c:pt idx="1">
                  <c:v>35167407</c:v>
                </c:pt>
                <c:pt idx="2">
                  <c:v>35860458</c:v>
                </c:pt>
                <c:pt idx="3">
                  <c:v>41551126</c:v>
                </c:pt>
                <c:pt idx="4">
                  <c:v>45205015</c:v>
                </c:pt>
                <c:pt idx="5">
                  <c:v>44375655</c:v>
                </c:pt>
              </c:numCache>
            </c:numRef>
          </c:val>
          <c:extLst>
            <c:ext xmlns:c16="http://schemas.microsoft.com/office/drawing/2014/chart" uri="{C3380CC4-5D6E-409C-BE32-E72D297353CC}">
              <c16:uniqueId val="{00000000-3D8D-454F-8161-9DD4E7E372FF}"/>
            </c:ext>
          </c:extLst>
        </c:ser>
        <c:ser>
          <c:idx val="1"/>
          <c:order val="1"/>
          <c:tx>
            <c:strRef>
              <c:f>'2.7'!$A$5</c:f>
              <c:strCache>
                <c:ptCount val="1"/>
                <c:pt idx="0">
                  <c:v> 2. pololetí</c:v>
                </c:pt>
              </c:strCache>
            </c:strRef>
          </c:tx>
          <c:spPr>
            <a:solidFill>
              <a:srgbClr val="B44946"/>
            </a:solidFill>
            <a:ln>
              <a:noFill/>
            </a:ln>
            <a:effectLst/>
          </c:spPr>
          <c:invertIfNegative val="0"/>
          <c:dLbls>
            <c:numFmt formatCode="#,##0.0" sourceLinked="0"/>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'2.7'!$C$3:$H$3</c:f>
              <c:numCache>
                <c:formatCode>General</c:formatCode>
                <c:ptCount val="6"/>
                <c:pt idx="0">
                  <c:v>2017</c:v>
                </c:pt>
                <c:pt idx="1">
                  <c:v>2018</c:v>
                </c:pt>
                <c:pt idx="2">
                  <c:v>2019</c:v>
                </c:pt>
                <c:pt idx="3">
                  <c:v>2020</c:v>
                </c:pt>
                <c:pt idx="4">
                  <c:v>2021</c:v>
                </c:pt>
                <c:pt idx="5">
                  <c:v>2022</c:v>
                </c:pt>
              </c:numCache>
            </c:numRef>
          </c:cat>
          <c:val>
            <c:numRef>
              <c:f>'2.7'!$C$5:$G$5</c:f>
              <c:numCache>
                <c:formatCode>#,##0</c:formatCode>
                <c:ptCount val="5"/>
                <c:pt idx="0">
                  <c:v>28853900.999999996</c:v>
                </c:pt>
                <c:pt idx="1">
                  <c:v>31055960</c:v>
                </c:pt>
                <c:pt idx="2">
                  <c:v>34042075</c:v>
                </c:pt>
                <c:pt idx="3">
                  <c:v>40736349.000000007</c:v>
                </c:pt>
                <c:pt idx="4">
                  <c:v>38157901</c:v>
                </c:pt>
              </c:numCache>
            </c:numRef>
          </c:val>
          <c:extLst>
            <c:ext xmlns:c16="http://schemas.microsoft.com/office/drawing/2014/chart" uri="{C3380CC4-5D6E-409C-BE32-E72D297353CC}">
              <c16:uniqueId val="{00000001-3D8D-454F-8161-9DD4E7E372FF}"/>
            </c:ext>
          </c:extLst>
        </c:ser>
        <c:dLbls>
          <c:showLegendKey val="0"/>
          <c:showVal val="0"/>
          <c:showCatName val="0"/>
          <c:showSerName val="0"/>
          <c:showPercent val="0"/>
          <c:showBubbleSize val="0"/>
        </c:dLbls>
        <c:gapWidth val="81"/>
        <c:overlap val="-27"/>
        <c:axId val="612142767"/>
        <c:axId val="612139023"/>
      </c:barChart>
      <c:catAx>
        <c:axId val="612142767"/>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612139023"/>
        <c:crosses val="autoZero"/>
        <c:auto val="1"/>
        <c:lblAlgn val="ctr"/>
        <c:lblOffset val="100"/>
        <c:noMultiLvlLbl val="0"/>
      </c:catAx>
      <c:valAx>
        <c:axId val="612139023"/>
        <c:scaling>
          <c:orientation val="minMax"/>
          <c:max val="48000000"/>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612142767"/>
        <c:crosses val="autoZero"/>
        <c:crossBetween val="between"/>
        <c:majorUnit val="4000000"/>
        <c:dispUnits>
          <c:builtInUnit val="millions"/>
          <c:dispUnitsLbl>
            <c:layout>
              <c:manualLayout>
                <c:xMode val="edge"/>
                <c:yMode val="edge"/>
                <c:x val="1.7610062893081761E-2"/>
                <c:y val="0.43981481481481483"/>
              </c:manualLayout>
            </c:layout>
            <c:tx>
              <c:rich>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cs-CZ"/>
                    <a:t>m</a:t>
                  </a:r>
                  <a:r>
                    <a:rPr lang="en-US"/>
                    <a:t>iliony</a:t>
                  </a:r>
                </a:p>
              </c:rich>
            </c:tx>
            <c:spPr>
              <a:noFill/>
              <a:ln>
                <a:noFill/>
              </a:ln>
              <a:effectLst/>
            </c:spPr>
            <c:txPr>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dispUnitsLbl>
        </c:dispUnits>
      </c:val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'2.8'!$A$4</c:f>
              <c:strCache>
                <c:ptCount val="1"/>
                <c:pt idx="0">
                  <c:v> 1. pololetí</c:v>
                </c:pt>
              </c:strCache>
            </c:strRef>
          </c:tx>
          <c:spPr>
            <a:solidFill>
              <a:srgbClr val="632827"/>
            </a:solidFill>
            <a:ln>
              <a:noFill/>
            </a:ln>
            <a:effectLst/>
          </c:spPr>
          <c:invertIfNegative val="0"/>
          <c:dLbls>
            <c:numFmt formatCode="#,##0.0" sourceLinked="0"/>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'2.8'!$C$3:$H$3</c:f>
              <c:numCache>
                <c:formatCode>General</c:formatCode>
                <c:ptCount val="6"/>
                <c:pt idx="0">
                  <c:v>2017</c:v>
                </c:pt>
                <c:pt idx="1">
                  <c:v>2018</c:v>
                </c:pt>
                <c:pt idx="2">
                  <c:v>2019</c:v>
                </c:pt>
                <c:pt idx="3">
                  <c:v>2020</c:v>
                </c:pt>
                <c:pt idx="4">
                  <c:v>2021</c:v>
                </c:pt>
                <c:pt idx="5">
                  <c:v>2022</c:v>
                </c:pt>
              </c:numCache>
            </c:numRef>
          </c:cat>
          <c:val>
            <c:numRef>
              <c:f>'2.8'!$C$4:$H$4</c:f>
              <c:numCache>
                <c:formatCode>General</c:formatCode>
                <c:ptCount val="6"/>
                <c:pt idx="0">
                  <c:v>39.518719722813358</c:v>
                </c:pt>
                <c:pt idx="1">
                  <c:v>37.50186030193516</c:v>
                </c:pt>
                <c:pt idx="2">
                  <c:v>41.090733046565084</c:v>
                </c:pt>
                <c:pt idx="3">
                  <c:v>42.533609854017961</c:v>
                </c:pt>
                <c:pt idx="4">
                  <c:v>34.7673652183</c:v>
                </c:pt>
                <c:pt idx="5" formatCode="0.00">
                  <c:v>22.845586194900001</c:v>
                </c:pt>
              </c:numCache>
            </c:numRef>
          </c:val>
          <c:extLst>
            <c:ext xmlns:c16="http://schemas.microsoft.com/office/drawing/2014/chart" uri="{C3380CC4-5D6E-409C-BE32-E72D297353CC}">
              <c16:uniqueId val="{00000000-1A51-4081-A51C-8844B37F0BB5}"/>
            </c:ext>
          </c:extLst>
        </c:ser>
        <c:ser>
          <c:idx val="1"/>
          <c:order val="1"/>
          <c:tx>
            <c:strRef>
              <c:f>'2.8'!$A$5</c:f>
              <c:strCache>
                <c:ptCount val="1"/>
                <c:pt idx="0">
                  <c:v> 2. pololetí</c:v>
                </c:pt>
              </c:strCache>
            </c:strRef>
          </c:tx>
          <c:spPr>
            <a:solidFill>
              <a:srgbClr val="B44946"/>
            </a:solidFill>
            <a:ln>
              <a:noFill/>
            </a:ln>
            <a:effectLst/>
          </c:spPr>
          <c:invertIfNegative val="0"/>
          <c:dLbls>
            <c:numFmt formatCode="#,##0.0" sourceLinked="0"/>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'2.8'!$C$3:$H$3</c:f>
              <c:numCache>
                <c:formatCode>General</c:formatCode>
                <c:ptCount val="6"/>
                <c:pt idx="0">
                  <c:v>2017</c:v>
                </c:pt>
                <c:pt idx="1">
                  <c:v>2018</c:v>
                </c:pt>
                <c:pt idx="2">
                  <c:v>2019</c:v>
                </c:pt>
                <c:pt idx="3">
                  <c:v>2020</c:v>
                </c:pt>
                <c:pt idx="4">
                  <c:v>2021</c:v>
                </c:pt>
                <c:pt idx="5">
                  <c:v>2022</c:v>
                </c:pt>
              </c:numCache>
            </c:numRef>
          </c:cat>
          <c:val>
            <c:numRef>
              <c:f>'2.8'!$C$5:$G$5</c:f>
              <c:numCache>
                <c:formatCode>General</c:formatCode>
                <c:ptCount val="5"/>
                <c:pt idx="0">
                  <c:v>43.111981867026856</c:v>
                </c:pt>
                <c:pt idx="1">
                  <c:v>43.586211155367302</c:v>
                </c:pt>
                <c:pt idx="2">
                  <c:v>40.597567156614296</c:v>
                </c:pt>
                <c:pt idx="3">
                  <c:v>33.232215622499098</c:v>
                </c:pt>
                <c:pt idx="4">
                  <c:v>30.537680817264022</c:v>
                </c:pt>
              </c:numCache>
            </c:numRef>
          </c:val>
          <c:extLst>
            <c:ext xmlns:c16="http://schemas.microsoft.com/office/drawing/2014/chart" uri="{C3380CC4-5D6E-409C-BE32-E72D297353CC}">
              <c16:uniqueId val="{00000001-1A51-4081-A51C-8844B37F0BB5}"/>
            </c:ext>
          </c:extLst>
        </c:ser>
        <c:dLbls>
          <c:showLegendKey val="0"/>
          <c:showVal val="0"/>
          <c:showCatName val="0"/>
          <c:showSerName val="0"/>
          <c:showPercent val="0"/>
          <c:showBubbleSize val="0"/>
        </c:dLbls>
        <c:gapWidth val="94"/>
        <c:overlap val="-10"/>
        <c:axId val="1237737583"/>
        <c:axId val="1237740911"/>
      </c:barChart>
      <c:catAx>
        <c:axId val="1237737583"/>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237740911"/>
        <c:crosses val="autoZero"/>
        <c:auto val="1"/>
        <c:lblAlgn val="ctr"/>
        <c:lblOffset val="100"/>
        <c:noMultiLvlLbl val="0"/>
      </c:catAx>
      <c:valAx>
        <c:axId val="1237740911"/>
        <c:scaling>
          <c:orientation val="minMax"/>
          <c:max val="45"/>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en-US"/>
                  <a:t>počet dnů</a:t>
                </a:r>
              </a:p>
            </c:rich>
          </c:tx>
          <c:overlay val="0"/>
          <c:spPr>
            <a:noFill/>
            <a:ln>
              <a:noFill/>
            </a:ln>
            <a:effectLst/>
          </c:spPr>
          <c:txPr>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237737583"/>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'2.9'!$B$3</c:f>
              <c:strCache>
                <c:ptCount val="1"/>
                <c:pt idx="0">
                  <c:v> muži</c:v>
                </c:pt>
              </c:strCache>
            </c:strRef>
          </c:tx>
          <c:spPr>
            <a:solidFill>
              <a:srgbClr val="632827"/>
            </a:solidFill>
            <a:ln>
              <a:noFill/>
            </a:ln>
            <a:effectLst/>
          </c:spPr>
          <c:invertIfNegative val="0"/>
          <c:cat>
            <c:strRef>
              <c:f>'2.9'!$A$5:$A$15</c:f>
              <c:strCache>
                <c:ptCount val="11"/>
                <c:pt idx="0">
                  <c:v>1. pol. 2012</c:v>
                </c:pt>
                <c:pt idx="1">
                  <c:v>1. pol. 2013</c:v>
                </c:pt>
                <c:pt idx="2">
                  <c:v>1. pol. 2014</c:v>
                </c:pt>
                <c:pt idx="3">
                  <c:v>1. pol. 2015</c:v>
                </c:pt>
                <c:pt idx="4">
                  <c:v>1. pol. 2016</c:v>
                </c:pt>
                <c:pt idx="5">
                  <c:v>1. pol. 2017</c:v>
                </c:pt>
                <c:pt idx="6">
                  <c:v>1. pol. 2018</c:v>
                </c:pt>
                <c:pt idx="7">
                  <c:v>1. pol. 2019</c:v>
                </c:pt>
                <c:pt idx="8">
                  <c:v>1. pol. 2020</c:v>
                </c:pt>
                <c:pt idx="9">
                  <c:v>1. pol. 2021</c:v>
                </c:pt>
                <c:pt idx="10">
                  <c:v>1. pol. 2022</c:v>
                </c:pt>
              </c:strCache>
            </c:strRef>
          </c:cat>
          <c:val>
            <c:numRef>
              <c:f>'2.9'!$B$5:$B$15</c:f>
              <c:numCache>
                <c:formatCode>General</c:formatCode>
                <c:ptCount val="11"/>
                <c:pt idx="0">
                  <c:v>46.309226338471738</c:v>
                </c:pt>
                <c:pt idx="1">
                  <c:v>41.648443843031117</c:v>
                </c:pt>
                <c:pt idx="2">
                  <c:v>44.369332844223997</c:v>
                </c:pt>
                <c:pt idx="3">
                  <c:v>38.512040612976676</c:v>
                </c:pt>
                <c:pt idx="4">
                  <c:v>40.213732148761729</c:v>
                </c:pt>
                <c:pt idx="5">
                  <c:v>39.560644848976111</c:v>
                </c:pt>
                <c:pt idx="6">
                  <c:v>38.078554728484917</c:v>
                </c:pt>
                <c:pt idx="7">
                  <c:v>41.476622667113119</c:v>
                </c:pt>
                <c:pt idx="8">
                  <c:v>42.520543784148188</c:v>
                </c:pt>
                <c:pt idx="9">
                  <c:v>34.109682565047912</c:v>
                </c:pt>
                <c:pt idx="10">
                  <c:v>24.148536201735247</c:v>
                </c:pt>
              </c:numCache>
            </c:numRef>
          </c:val>
          <c:extLst>
            <c:ext xmlns:c16="http://schemas.microsoft.com/office/drawing/2014/chart" uri="{C3380CC4-5D6E-409C-BE32-E72D297353CC}">
              <c16:uniqueId val="{00000000-2E62-49A4-9F4F-57C525C30067}"/>
            </c:ext>
          </c:extLst>
        </c:ser>
        <c:ser>
          <c:idx val="1"/>
          <c:order val="1"/>
          <c:tx>
            <c:strRef>
              <c:f>'2.9'!$C$3</c:f>
              <c:strCache>
                <c:ptCount val="1"/>
                <c:pt idx="0">
                  <c:v> ženy</c:v>
                </c:pt>
              </c:strCache>
            </c:strRef>
          </c:tx>
          <c:spPr>
            <a:solidFill>
              <a:srgbClr val="C46A68"/>
            </a:solidFill>
            <a:ln>
              <a:noFill/>
            </a:ln>
            <a:effectLst/>
          </c:spPr>
          <c:invertIfNegative val="0"/>
          <c:cat>
            <c:strRef>
              <c:f>'2.9'!$A$5:$A$15</c:f>
              <c:strCache>
                <c:ptCount val="11"/>
                <c:pt idx="0">
                  <c:v>1. pol. 2012</c:v>
                </c:pt>
                <c:pt idx="1">
                  <c:v>1. pol. 2013</c:v>
                </c:pt>
                <c:pt idx="2">
                  <c:v>1. pol. 2014</c:v>
                </c:pt>
                <c:pt idx="3">
                  <c:v>1. pol. 2015</c:v>
                </c:pt>
                <c:pt idx="4">
                  <c:v>1. pol. 2016</c:v>
                </c:pt>
                <c:pt idx="5">
                  <c:v>1. pol. 2017</c:v>
                </c:pt>
                <c:pt idx="6">
                  <c:v>1. pol. 2018</c:v>
                </c:pt>
                <c:pt idx="7">
                  <c:v>1. pol. 2019</c:v>
                </c:pt>
                <c:pt idx="8">
                  <c:v>1. pol. 2020</c:v>
                </c:pt>
                <c:pt idx="9">
                  <c:v>1. pol. 2021</c:v>
                </c:pt>
                <c:pt idx="10">
                  <c:v>1. pol. 2022</c:v>
                </c:pt>
              </c:strCache>
            </c:strRef>
          </c:cat>
          <c:val>
            <c:numRef>
              <c:f>'2.9'!$C$5:$C$15</c:f>
              <c:numCache>
                <c:formatCode>General</c:formatCode>
                <c:ptCount val="11"/>
                <c:pt idx="0">
                  <c:v>48.97222598094902</c:v>
                </c:pt>
                <c:pt idx="1">
                  <c:v>42.769681888661026</c:v>
                </c:pt>
                <c:pt idx="2">
                  <c:v>47.351635940494653</c:v>
                </c:pt>
                <c:pt idx="3">
                  <c:v>41.541888555829374</c:v>
                </c:pt>
                <c:pt idx="4">
                  <c:v>43.547922707404688</c:v>
                </c:pt>
                <c:pt idx="5">
                  <c:v>42.227270729621964</c:v>
                </c:pt>
                <c:pt idx="6">
                  <c:v>39.901001334393179</c:v>
                </c:pt>
                <c:pt idx="7">
                  <c:v>43.663270828934998</c:v>
                </c:pt>
                <c:pt idx="8">
                  <c:v>45.918585686443691</c:v>
                </c:pt>
                <c:pt idx="9">
                  <c:v>38.578608177323261</c:v>
                </c:pt>
                <c:pt idx="10">
                  <c:v>24.859640904274237</c:v>
                </c:pt>
              </c:numCache>
            </c:numRef>
          </c:val>
          <c:extLst>
            <c:ext xmlns:c16="http://schemas.microsoft.com/office/drawing/2014/chart" uri="{C3380CC4-5D6E-409C-BE32-E72D297353CC}">
              <c16:uniqueId val="{00000001-2E62-49A4-9F4F-57C525C30067}"/>
            </c:ext>
          </c:extLst>
        </c:ser>
        <c:dLbls>
          <c:showLegendKey val="0"/>
          <c:showVal val="0"/>
          <c:showCatName val="0"/>
          <c:showSerName val="0"/>
          <c:showPercent val="0"/>
          <c:showBubbleSize val="0"/>
        </c:dLbls>
        <c:gapWidth val="124"/>
        <c:overlap val="-27"/>
        <c:axId val="807622032"/>
        <c:axId val="807614960"/>
      </c:barChart>
      <c:catAx>
        <c:axId val="80762203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807614960"/>
        <c:crosses val="autoZero"/>
        <c:auto val="1"/>
        <c:lblAlgn val="ctr"/>
        <c:lblOffset val="100"/>
        <c:noMultiLvlLbl val="0"/>
      </c:catAx>
      <c:valAx>
        <c:axId val="807614960"/>
        <c:scaling>
          <c:orientation val="minMax"/>
          <c:max val="5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en-US"/>
                  <a:t>počet dnů</a:t>
                </a:r>
              </a:p>
            </c:rich>
          </c:tx>
          <c:overlay val="0"/>
          <c:spPr>
            <a:noFill/>
            <a:ln>
              <a:noFill/>
            </a:ln>
            <a:effectLst/>
          </c:spPr>
          <c:txPr>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80762203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49503577075977984"/>
          <c:y val="3.2234432234432238E-2"/>
          <c:w val="0.47930986904108164"/>
          <c:h val="0.87258346874053061"/>
        </c:manualLayout>
      </c:layout>
      <c:barChart>
        <c:barDir val="bar"/>
        <c:grouping val="clustered"/>
        <c:varyColors val="0"/>
        <c:ser>
          <c:idx val="0"/>
          <c:order val="0"/>
          <c:spPr>
            <a:solidFill>
              <a:srgbClr val="C46A68"/>
            </a:solidFill>
            <a:ln>
              <a:noFill/>
            </a:ln>
            <a:effectLst/>
          </c:spPr>
          <c:invertIfNegative val="0"/>
          <c:dPt>
            <c:idx val="8"/>
            <c:invertIfNegative val="0"/>
            <c:bubble3D val="0"/>
            <c:spPr>
              <a:solidFill>
                <a:srgbClr val="632827"/>
              </a:solidFill>
              <a:ln>
                <a:noFill/>
              </a:ln>
              <a:effectLst/>
            </c:spPr>
            <c:extLst>
              <c:ext xmlns:c16="http://schemas.microsoft.com/office/drawing/2014/chart" uri="{C3380CC4-5D6E-409C-BE32-E72D297353CC}">
                <c16:uniqueId val="{00000001-23E0-4153-91AF-575FC7FBFAB5}"/>
              </c:ext>
            </c:extLst>
          </c:dPt>
          <c:cat>
            <c:strRef>
              <c:f>'2.10'!$D$3:$D$22</c:f>
              <c:strCache>
                <c:ptCount val="20"/>
                <c:pt idx="0">
                  <c:v>P – Vzdělávání</c:v>
                </c:pt>
                <c:pt idx="1">
                  <c:v>J – Informační a komunikační činnosti</c:v>
                </c:pt>
                <c:pt idx="2">
                  <c:v>O – Veřejná správa a obrana; povinné sociální zabezpečení</c:v>
                </c:pt>
                <c:pt idx="3">
                  <c:v>K – Peněžnictví a pojišťovnictví</c:v>
                </c:pt>
                <c:pt idx="4">
                  <c:v>M – Profesní, vědecké a technické činnosti</c:v>
                </c:pt>
                <c:pt idx="5">
                  <c:v>R – Kulturní, zábavní a rekreační činnosti</c:v>
                </c:pt>
                <c:pt idx="6">
                  <c:v>D – Výroba a rozvod elektřiny, plynu, tepla a klimatiz. vzduchu</c:v>
                </c:pt>
                <c:pt idx="7">
                  <c:v>C – Zpracovatelský průmysl</c:v>
                </c:pt>
                <c:pt idx="8">
                  <c:v>CELKEM</c:v>
                </c:pt>
                <c:pt idx="9">
                  <c:v>Q – Zdravotní a sociální péče</c:v>
                </c:pt>
                <c:pt idx="10">
                  <c:v>G – Velkoobchod a maloobchod; opravy a údržba motor. vozidel</c:v>
                </c:pt>
                <c:pt idx="11">
                  <c:v>S – Ostatní činnosti</c:v>
                </c:pt>
                <c:pt idx="12">
                  <c:v>E – Zásobování vodou; činnosti související s odpady a sanacemi</c:v>
                </c:pt>
                <c:pt idx="13">
                  <c:v>H – Doprava a skladování</c:v>
                </c:pt>
                <c:pt idx="14">
                  <c:v>B – Těžba a dobývání</c:v>
                </c:pt>
                <c:pt idx="15">
                  <c:v>L – Činnosti v oblasti nemovitostí</c:v>
                </c:pt>
                <c:pt idx="16">
                  <c:v>N – Administrativní a podpůrné činnosti</c:v>
                </c:pt>
                <c:pt idx="17">
                  <c:v>F – Stavebnictví</c:v>
                </c:pt>
                <c:pt idx="18">
                  <c:v>I – Ubytování, stravování a pohostinství</c:v>
                </c:pt>
                <c:pt idx="19">
                  <c:v>A – Zemědělství, lesnictví, rybářství</c:v>
                </c:pt>
              </c:strCache>
            </c:strRef>
          </c:cat>
          <c:val>
            <c:numRef>
              <c:f>'2.10'!$E$3:$E$22</c:f>
              <c:numCache>
                <c:formatCode>0.00</c:formatCode>
                <c:ptCount val="20"/>
                <c:pt idx="0">
                  <c:v>15.559346622</c:v>
                </c:pt>
                <c:pt idx="1">
                  <c:v>16.884458690300001</c:v>
                </c:pt>
                <c:pt idx="2">
                  <c:v>19.5601737593</c:v>
                </c:pt>
                <c:pt idx="3">
                  <c:v>21.431962634800001</c:v>
                </c:pt>
                <c:pt idx="4">
                  <c:v>21.9195376417</c:v>
                </c:pt>
                <c:pt idx="5">
                  <c:v>22.137973138</c:v>
                </c:pt>
                <c:pt idx="6">
                  <c:v>22.663087713199999</c:v>
                </c:pt>
                <c:pt idx="7">
                  <c:v>24.3516333932</c:v>
                </c:pt>
                <c:pt idx="8">
                  <c:v>24.5321082649</c:v>
                </c:pt>
                <c:pt idx="9">
                  <c:v>25.576894716200002</c:v>
                </c:pt>
                <c:pt idx="10">
                  <c:v>26.186475163699999</c:v>
                </c:pt>
                <c:pt idx="11">
                  <c:v>27.010506897700001</c:v>
                </c:pt>
                <c:pt idx="12">
                  <c:v>27.380201420900001</c:v>
                </c:pt>
                <c:pt idx="13">
                  <c:v>28.187625241999999</c:v>
                </c:pt>
                <c:pt idx="14">
                  <c:v>28.728866336100001</c:v>
                </c:pt>
                <c:pt idx="15">
                  <c:v>28.8652814091</c:v>
                </c:pt>
                <c:pt idx="16">
                  <c:v>31.152275981100001</c:v>
                </c:pt>
                <c:pt idx="17">
                  <c:v>32.502374958099999</c:v>
                </c:pt>
                <c:pt idx="18">
                  <c:v>33.874080661400001</c:v>
                </c:pt>
                <c:pt idx="19">
                  <c:v>34.6177029523</c:v>
                </c:pt>
              </c:numCache>
            </c:numRef>
          </c:val>
          <c:extLst>
            <c:ext xmlns:c16="http://schemas.microsoft.com/office/drawing/2014/chart" uri="{C3380CC4-5D6E-409C-BE32-E72D297353CC}">
              <c16:uniqueId val="{00000002-23E0-4153-91AF-575FC7FBFAB5}"/>
            </c:ext>
          </c:extLst>
        </c:ser>
        <c:dLbls>
          <c:showLegendKey val="0"/>
          <c:showVal val="0"/>
          <c:showCatName val="0"/>
          <c:showSerName val="0"/>
          <c:showPercent val="0"/>
          <c:showBubbleSize val="0"/>
        </c:dLbls>
        <c:gapWidth val="182"/>
        <c:axId val="807607472"/>
        <c:axId val="807612464"/>
      </c:barChart>
      <c:catAx>
        <c:axId val="807607472"/>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807612464"/>
        <c:crosses val="autoZero"/>
        <c:auto val="1"/>
        <c:lblAlgn val="ctr"/>
        <c:lblOffset val="100"/>
        <c:noMultiLvlLbl val="0"/>
      </c:catAx>
      <c:valAx>
        <c:axId val="807612464"/>
        <c:scaling>
          <c:orientation val="minMax"/>
          <c:max val="35"/>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en-US"/>
                  <a:t>počet dnů</a:t>
                </a:r>
              </a:p>
            </c:rich>
          </c:tx>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807607472"/>
        <c:crosses val="autoZero"/>
        <c:crossBetween val="between"/>
        <c:majorUnit val="5"/>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'2.11'!$I$3</c:f>
              <c:strCache>
                <c:ptCount val="1"/>
                <c:pt idx="0">
                  <c:v> 1. pol. 2022</c:v>
                </c:pt>
              </c:strCache>
            </c:strRef>
          </c:tx>
          <c:spPr>
            <a:solidFill>
              <a:srgbClr val="632827"/>
            </a:solidFill>
            <a:ln>
              <a:noFill/>
            </a:ln>
            <a:effectLst/>
          </c:spPr>
          <c:invertIfNegative val="0"/>
          <c:dPt>
            <c:idx val="7"/>
            <c:invertIfNegative val="0"/>
            <c:bubble3D val="0"/>
            <c:spPr>
              <a:solidFill>
                <a:srgbClr val="632827"/>
              </a:solidFill>
              <a:ln w="15875">
                <a:solidFill>
                  <a:srgbClr val="00B0F0"/>
                </a:solidFill>
              </a:ln>
              <a:effectLst/>
            </c:spPr>
            <c:extLst>
              <c:ext xmlns:c16="http://schemas.microsoft.com/office/drawing/2014/chart" uri="{C3380CC4-5D6E-409C-BE32-E72D297353CC}">
                <c16:uniqueId val="{00000001-5D85-47BA-A5B5-24C437739236}"/>
              </c:ext>
            </c:extLst>
          </c:dPt>
          <c:dPt>
            <c:idx val="14"/>
            <c:invertIfNegative val="0"/>
            <c:bubble3D val="0"/>
            <c:spPr>
              <a:solidFill>
                <a:srgbClr val="632827"/>
              </a:solidFill>
              <a:ln w="15875">
                <a:noFill/>
              </a:ln>
              <a:effectLst/>
            </c:spPr>
            <c:extLst>
              <c:ext xmlns:c16="http://schemas.microsoft.com/office/drawing/2014/chart" uri="{C3380CC4-5D6E-409C-BE32-E72D297353CC}">
                <c16:uniqueId val="{00000003-5D85-47BA-A5B5-24C437739236}"/>
              </c:ext>
            </c:extLst>
          </c:dPt>
          <c:cat>
            <c:strRef>
              <c:f>'2.11'!$F$4:$F$18</c:f>
              <c:strCache>
                <c:ptCount val="15"/>
                <c:pt idx="0">
                  <c:v>MSK</c:v>
                </c:pt>
                <c:pt idx="1">
                  <c:v>ZLK</c:v>
                </c:pt>
                <c:pt idx="2">
                  <c:v>OLK</c:v>
                </c:pt>
                <c:pt idx="3">
                  <c:v>VYS</c:v>
                </c:pt>
                <c:pt idx="4">
                  <c:v>JHC</c:v>
                </c:pt>
                <c:pt idx="5">
                  <c:v>JHM</c:v>
                </c:pt>
                <c:pt idx="6">
                  <c:v>KVK</c:v>
                </c:pt>
                <c:pt idx="7">
                  <c:v>ČR</c:v>
                </c:pt>
                <c:pt idx="8">
                  <c:v>ULK</c:v>
                </c:pt>
                <c:pt idx="9">
                  <c:v>PAK</c:v>
                </c:pt>
                <c:pt idx="10">
                  <c:v>PHA</c:v>
                </c:pt>
                <c:pt idx="11">
                  <c:v>PLK</c:v>
                </c:pt>
                <c:pt idx="12">
                  <c:v>STC</c:v>
                </c:pt>
                <c:pt idx="13">
                  <c:v>LBK</c:v>
                </c:pt>
                <c:pt idx="14">
                  <c:v>HKK</c:v>
                </c:pt>
              </c:strCache>
            </c:strRef>
          </c:cat>
          <c:val>
            <c:numRef>
              <c:f>'2.11'!$I$4:$I$18</c:f>
              <c:numCache>
                <c:formatCode>0.00</c:formatCode>
                <c:ptCount val="15"/>
                <c:pt idx="0">
                  <c:v>28.236105627499999</c:v>
                </c:pt>
                <c:pt idx="1">
                  <c:v>26.964542144799999</c:v>
                </c:pt>
                <c:pt idx="2">
                  <c:v>26.153739572500001</c:v>
                </c:pt>
                <c:pt idx="3">
                  <c:v>25.441758084</c:v>
                </c:pt>
                <c:pt idx="4">
                  <c:v>25.118776305400001</c:v>
                </c:pt>
                <c:pt idx="5">
                  <c:v>24.965979660999999</c:v>
                </c:pt>
                <c:pt idx="6">
                  <c:v>24.842080063800001</c:v>
                </c:pt>
                <c:pt idx="7">
                  <c:v>24.5321082649</c:v>
                </c:pt>
                <c:pt idx="8">
                  <c:v>24.284978889600001</c:v>
                </c:pt>
                <c:pt idx="9">
                  <c:v>23.7020905199</c:v>
                </c:pt>
                <c:pt idx="10">
                  <c:v>23.289436586299999</c:v>
                </c:pt>
                <c:pt idx="11">
                  <c:v>23.111023930999998</c:v>
                </c:pt>
                <c:pt idx="12">
                  <c:v>22.979162971800001</c:v>
                </c:pt>
                <c:pt idx="13">
                  <c:v>22.821535026900001</c:v>
                </c:pt>
                <c:pt idx="14">
                  <c:v>22.556193031500001</c:v>
                </c:pt>
              </c:numCache>
            </c:numRef>
          </c:val>
          <c:extLst>
            <c:ext xmlns:c16="http://schemas.microsoft.com/office/drawing/2014/chart" uri="{C3380CC4-5D6E-409C-BE32-E72D297353CC}">
              <c16:uniqueId val="{00000004-5D85-47BA-A5B5-24C437739236}"/>
            </c:ext>
          </c:extLst>
        </c:ser>
        <c:ser>
          <c:idx val="1"/>
          <c:order val="1"/>
          <c:tx>
            <c:strRef>
              <c:f>'2.11'!$J$3</c:f>
              <c:strCache>
                <c:ptCount val="1"/>
                <c:pt idx="0">
                  <c:v> 1. pol. 2019</c:v>
                </c:pt>
              </c:strCache>
            </c:strRef>
          </c:tx>
          <c:spPr>
            <a:solidFill>
              <a:srgbClr val="B44946"/>
            </a:solidFill>
            <a:ln>
              <a:noFill/>
            </a:ln>
            <a:effectLst/>
          </c:spPr>
          <c:invertIfNegative val="0"/>
          <c:dPt>
            <c:idx val="7"/>
            <c:invertIfNegative val="0"/>
            <c:bubble3D val="0"/>
            <c:spPr>
              <a:solidFill>
                <a:srgbClr val="B44946"/>
              </a:solidFill>
              <a:ln w="15875">
                <a:solidFill>
                  <a:srgbClr val="00B0F0"/>
                </a:solidFill>
              </a:ln>
              <a:effectLst/>
            </c:spPr>
            <c:extLst>
              <c:ext xmlns:c16="http://schemas.microsoft.com/office/drawing/2014/chart" uri="{C3380CC4-5D6E-409C-BE32-E72D297353CC}">
                <c16:uniqueId val="{00000006-5D85-47BA-A5B5-24C437739236}"/>
              </c:ext>
            </c:extLst>
          </c:dPt>
          <c:cat>
            <c:strRef>
              <c:f>'2.11'!$F$4:$F$18</c:f>
              <c:strCache>
                <c:ptCount val="15"/>
                <c:pt idx="0">
                  <c:v>MSK</c:v>
                </c:pt>
                <c:pt idx="1">
                  <c:v>ZLK</c:v>
                </c:pt>
                <c:pt idx="2">
                  <c:v>OLK</c:v>
                </c:pt>
                <c:pt idx="3">
                  <c:v>VYS</c:v>
                </c:pt>
                <c:pt idx="4">
                  <c:v>JHC</c:v>
                </c:pt>
                <c:pt idx="5">
                  <c:v>JHM</c:v>
                </c:pt>
                <c:pt idx="6">
                  <c:v>KVK</c:v>
                </c:pt>
                <c:pt idx="7">
                  <c:v>ČR</c:v>
                </c:pt>
                <c:pt idx="8">
                  <c:v>ULK</c:v>
                </c:pt>
                <c:pt idx="9">
                  <c:v>PAK</c:v>
                </c:pt>
                <c:pt idx="10">
                  <c:v>PHA</c:v>
                </c:pt>
                <c:pt idx="11">
                  <c:v>PLK</c:v>
                </c:pt>
                <c:pt idx="12">
                  <c:v>STC</c:v>
                </c:pt>
                <c:pt idx="13">
                  <c:v>LBK</c:v>
                </c:pt>
                <c:pt idx="14">
                  <c:v>HKK</c:v>
                </c:pt>
              </c:strCache>
            </c:strRef>
          </c:cat>
          <c:val>
            <c:numRef>
              <c:f>'2.11'!$J$4:$J$18</c:f>
              <c:numCache>
                <c:formatCode>General</c:formatCode>
                <c:ptCount val="15"/>
                <c:pt idx="0">
                  <c:v>48.9816142516</c:v>
                </c:pt>
                <c:pt idx="1">
                  <c:v>49.338880264899998</c:v>
                </c:pt>
                <c:pt idx="2">
                  <c:v>46.328880262600002</c:v>
                </c:pt>
                <c:pt idx="3">
                  <c:v>45.244468201499998</c:v>
                </c:pt>
                <c:pt idx="4">
                  <c:v>44.670645706999998</c:v>
                </c:pt>
                <c:pt idx="5">
                  <c:v>43.984949430100002</c:v>
                </c:pt>
                <c:pt idx="6">
                  <c:v>40.346099789199997</c:v>
                </c:pt>
                <c:pt idx="7">
                  <c:v>42.645176179099998</c:v>
                </c:pt>
                <c:pt idx="8">
                  <c:v>42.215175127899997</c:v>
                </c:pt>
                <c:pt idx="9">
                  <c:v>41.872768899100002</c:v>
                </c:pt>
                <c:pt idx="10">
                  <c:v>39.468143992000002</c:v>
                </c:pt>
                <c:pt idx="11">
                  <c:v>39.247807658600003</c:v>
                </c:pt>
                <c:pt idx="12">
                  <c:v>40.629772793400001</c:v>
                </c:pt>
                <c:pt idx="13">
                  <c:v>38.556967234200002</c:v>
                </c:pt>
                <c:pt idx="14">
                  <c:v>38.719804721300001</c:v>
                </c:pt>
              </c:numCache>
            </c:numRef>
          </c:val>
          <c:extLst>
            <c:ext xmlns:c16="http://schemas.microsoft.com/office/drawing/2014/chart" uri="{C3380CC4-5D6E-409C-BE32-E72D297353CC}">
              <c16:uniqueId val="{00000007-5D85-47BA-A5B5-24C437739236}"/>
            </c:ext>
          </c:extLst>
        </c:ser>
        <c:dLbls>
          <c:showLegendKey val="0"/>
          <c:showVal val="0"/>
          <c:showCatName val="0"/>
          <c:showSerName val="0"/>
          <c:showPercent val="0"/>
          <c:showBubbleSize val="0"/>
        </c:dLbls>
        <c:gapWidth val="182"/>
        <c:axId val="1195532048"/>
        <c:axId val="1195533296"/>
      </c:barChart>
      <c:catAx>
        <c:axId val="119553204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195533296"/>
        <c:crosses val="autoZero"/>
        <c:auto val="1"/>
        <c:lblAlgn val="ctr"/>
        <c:lblOffset val="100"/>
        <c:noMultiLvlLbl val="0"/>
      </c:catAx>
      <c:valAx>
        <c:axId val="1195533296"/>
        <c:scaling>
          <c:orientation val="minMax"/>
          <c:max val="5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en-US"/>
                  <a:t>počet dnů</a:t>
                </a:r>
              </a:p>
            </c:rich>
          </c:tx>
          <c:overlay val="0"/>
          <c:spPr>
            <a:noFill/>
            <a:ln>
              <a:noFill/>
            </a:ln>
            <a:effectLst/>
          </c:spPr>
          <c:txPr>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195532048"/>
        <c:crosses val="autoZero"/>
        <c:crossBetween val="between"/>
        <c:majorUnit val="5"/>
      </c:val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'2.12'!$E$20</c:f>
              <c:strCache>
                <c:ptCount val="1"/>
                <c:pt idx="0">
                  <c:v> nemoc</c:v>
                </c:pt>
              </c:strCache>
            </c:strRef>
          </c:tx>
          <c:spPr>
            <a:solidFill>
              <a:srgbClr val="632827"/>
            </a:solidFill>
            <a:ln>
              <a:noFill/>
            </a:ln>
            <a:effectLst/>
          </c:spPr>
          <c:invertIfNegative val="0"/>
          <c:cat>
            <c:multiLvlStrRef>
              <c:f>'2.12'!$B$21:$C$27</c:f>
              <c:multiLvlStrCache>
                <c:ptCount val="7"/>
                <c:lvl>
                  <c:pt idx="2">
                    <c:v>1–49</c:v>
                  </c:pt>
                  <c:pt idx="3">
                    <c:v>50–99</c:v>
                  </c:pt>
                  <c:pt idx="4">
                    <c:v>100–249</c:v>
                  </c:pt>
                  <c:pt idx="5">
                    <c:v>250–499</c:v>
                  </c:pt>
                  <c:pt idx="6">
                    <c:v>500 a více</c:v>
                  </c:pt>
                </c:lvl>
                <c:lvl>
                  <c:pt idx="0">
                    <c:v>CELKEM</c:v>
                  </c:pt>
                  <c:pt idx="1">
                    <c:v>OSVČ</c:v>
                  </c:pt>
                  <c:pt idx="2">
                    <c:v>zaměstnanci (počet)</c:v>
                  </c:pt>
                </c:lvl>
              </c:multiLvlStrCache>
            </c:multiLvlStrRef>
          </c:cat>
          <c:val>
            <c:numRef>
              <c:f>'2.12'!$E$21:$E$27</c:f>
              <c:numCache>
                <c:formatCode>0.00</c:formatCode>
                <c:ptCount val="7"/>
                <c:pt idx="0">
                  <c:v>22.845586194900001</c:v>
                </c:pt>
                <c:pt idx="1">
                  <c:v>74.784615384600002</c:v>
                </c:pt>
                <c:pt idx="2">
                  <c:v>25.168781118999998</c:v>
                </c:pt>
                <c:pt idx="3">
                  <c:v>20.035445812300001</c:v>
                </c:pt>
                <c:pt idx="4">
                  <c:v>21.864913241899998</c:v>
                </c:pt>
                <c:pt idx="5">
                  <c:v>22.390960670199998</c:v>
                </c:pt>
                <c:pt idx="6">
                  <c:v>22.051884381499999</c:v>
                </c:pt>
              </c:numCache>
            </c:numRef>
          </c:val>
          <c:extLst>
            <c:ext xmlns:c16="http://schemas.microsoft.com/office/drawing/2014/chart" uri="{C3380CC4-5D6E-409C-BE32-E72D297353CC}">
              <c16:uniqueId val="{00000000-40B7-4B0C-8909-9D0F0C96F617}"/>
            </c:ext>
          </c:extLst>
        </c:ser>
        <c:ser>
          <c:idx val="1"/>
          <c:order val="1"/>
          <c:tx>
            <c:strRef>
              <c:f>'2.12'!$F$20</c:f>
              <c:strCache>
                <c:ptCount val="1"/>
                <c:pt idx="0">
                  <c:v> pracovní úraz</c:v>
                </c:pt>
              </c:strCache>
            </c:strRef>
          </c:tx>
          <c:spPr>
            <a:solidFill>
              <a:srgbClr val="B44946"/>
            </a:solidFill>
            <a:ln>
              <a:noFill/>
            </a:ln>
            <a:effectLst/>
          </c:spPr>
          <c:invertIfNegative val="0"/>
          <c:cat>
            <c:multiLvlStrRef>
              <c:f>'2.12'!$B$21:$C$27</c:f>
              <c:multiLvlStrCache>
                <c:ptCount val="7"/>
                <c:lvl>
                  <c:pt idx="2">
                    <c:v>1–49</c:v>
                  </c:pt>
                  <c:pt idx="3">
                    <c:v>50–99</c:v>
                  </c:pt>
                  <c:pt idx="4">
                    <c:v>100–249</c:v>
                  </c:pt>
                  <c:pt idx="5">
                    <c:v>250–499</c:v>
                  </c:pt>
                  <c:pt idx="6">
                    <c:v>500 a více</c:v>
                  </c:pt>
                </c:lvl>
                <c:lvl>
                  <c:pt idx="0">
                    <c:v>CELKEM</c:v>
                  </c:pt>
                  <c:pt idx="1">
                    <c:v>OSVČ</c:v>
                  </c:pt>
                  <c:pt idx="2">
                    <c:v>zaměstnanci (počet)</c:v>
                  </c:pt>
                </c:lvl>
              </c:multiLvlStrCache>
            </c:multiLvlStrRef>
          </c:cat>
          <c:val>
            <c:numRef>
              <c:f>'2.12'!$F$21:$F$27</c:f>
              <c:numCache>
                <c:formatCode>0.00</c:formatCode>
                <c:ptCount val="7"/>
                <c:pt idx="0">
                  <c:v>55.870435604400001</c:v>
                </c:pt>
                <c:pt idx="1">
                  <c:v>93.910958904099999</c:v>
                </c:pt>
                <c:pt idx="2">
                  <c:v>57.687058823500003</c:v>
                </c:pt>
                <c:pt idx="3">
                  <c:v>52.999687402299998</c:v>
                </c:pt>
                <c:pt idx="4">
                  <c:v>52.443368828700002</c:v>
                </c:pt>
                <c:pt idx="5">
                  <c:v>52.838143953200003</c:v>
                </c:pt>
                <c:pt idx="6">
                  <c:v>58.018414394200001</c:v>
                </c:pt>
              </c:numCache>
            </c:numRef>
          </c:val>
          <c:extLst>
            <c:ext xmlns:c16="http://schemas.microsoft.com/office/drawing/2014/chart" uri="{C3380CC4-5D6E-409C-BE32-E72D297353CC}">
              <c16:uniqueId val="{00000001-40B7-4B0C-8909-9D0F0C96F617}"/>
            </c:ext>
          </c:extLst>
        </c:ser>
        <c:ser>
          <c:idx val="2"/>
          <c:order val="2"/>
          <c:tx>
            <c:strRef>
              <c:f>'2.12'!$G$20</c:f>
              <c:strCache>
                <c:ptCount val="1"/>
                <c:pt idx="0">
                  <c:v> ostatní úraz</c:v>
                </c:pt>
              </c:strCache>
            </c:strRef>
          </c:tx>
          <c:spPr>
            <a:solidFill>
              <a:srgbClr val="C46A68"/>
            </a:solidFill>
            <a:ln>
              <a:noFill/>
            </a:ln>
            <a:effectLst/>
          </c:spPr>
          <c:invertIfNegative val="0"/>
          <c:cat>
            <c:multiLvlStrRef>
              <c:f>'2.12'!$B$21:$C$27</c:f>
              <c:multiLvlStrCache>
                <c:ptCount val="7"/>
                <c:lvl>
                  <c:pt idx="2">
                    <c:v>1–49</c:v>
                  </c:pt>
                  <c:pt idx="3">
                    <c:v>50–99</c:v>
                  </c:pt>
                  <c:pt idx="4">
                    <c:v>100–249</c:v>
                  </c:pt>
                  <c:pt idx="5">
                    <c:v>250–499</c:v>
                  </c:pt>
                  <c:pt idx="6">
                    <c:v>500 a více</c:v>
                  </c:pt>
                </c:lvl>
                <c:lvl>
                  <c:pt idx="0">
                    <c:v>CELKEM</c:v>
                  </c:pt>
                  <c:pt idx="1">
                    <c:v>OSVČ</c:v>
                  </c:pt>
                  <c:pt idx="2">
                    <c:v>zaměstnanci (počet)</c:v>
                  </c:pt>
                </c:lvl>
              </c:multiLvlStrCache>
            </c:multiLvlStrRef>
          </c:cat>
          <c:val>
            <c:numRef>
              <c:f>'2.12'!$G$21:$G$27</c:f>
              <c:numCache>
                <c:formatCode>0.00</c:formatCode>
                <c:ptCount val="7"/>
                <c:pt idx="0">
                  <c:v>53.393115798300002</c:v>
                </c:pt>
                <c:pt idx="1">
                  <c:v>99.209056603799993</c:v>
                </c:pt>
                <c:pt idx="2">
                  <c:v>59.484853229000002</c:v>
                </c:pt>
                <c:pt idx="3">
                  <c:v>49.690564153799997</c:v>
                </c:pt>
                <c:pt idx="4">
                  <c:v>50.2578666454</c:v>
                </c:pt>
                <c:pt idx="5">
                  <c:v>49.843942505100003</c:v>
                </c:pt>
                <c:pt idx="6">
                  <c:v>49.767868630400002</c:v>
                </c:pt>
              </c:numCache>
            </c:numRef>
          </c:val>
          <c:extLst>
            <c:ext xmlns:c16="http://schemas.microsoft.com/office/drawing/2014/chart" uri="{C3380CC4-5D6E-409C-BE32-E72D297353CC}">
              <c16:uniqueId val="{00000002-40B7-4B0C-8909-9D0F0C96F617}"/>
            </c:ext>
          </c:extLst>
        </c:ser>
        <c:dLbls>
          <c:showLegendKey val="0"/>
          <c:showVal val="0"/>
          <c:showCatName val="0"/>
          <c:showSerName val="0"/>
          <c:showPercent val="0"/>
          <c:showBubbleSize val="0"/>
        </c:dLbls>
        <c:gapWidth val="186"/>
        <c:axId val="764445184"/>
        <c:axId val="916133408"/>
      </c:barChart>
      <c:catAx>
        <c:axId val="76444518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916133408"/>
        <c:crosses val="autoZero"/>
        <c:auto val="1"/>
        <c:lblAlgn val="ctr"/>
        <c:lblOffset val="100"/>
        <c:noMultiLvlLbl val="0"/>
      </c:catAx>
      <c:valAx>
        <c:axId val="916133408"/>
        <c:scaling>
          <c:orientation val="minMax"/>
          <c:max val="10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en-US"/>
                  <a:t>počet dnů</a:t>
                </a:r>
              </a:p>
            </c:rich>
          </c:tx>
          <c:overlay val="0"/>
          <c:spPr>
            <a:noFill/>
            <a:ln>
              <a:noFill/>
            </a:ln>
            <a:effectLst/>
          </c:spPr>
          <c:txPr>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764445184"/>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52038606651171415"/>
          <c:y val="3.3755270183513174E-2"/>
          <c:w val="0.45176906061002792"/>
          <c:h val="0.90406858529657164"/>
        </c:manualLayout>
      </c:layout>
      <c:barChart>
        <c:barDir val="bar"/>
        <c:grouping val="clustered"/>
        <c:varyColors val="0"/>
        <c:ser>
          <c:idx val="0"/>
          <c:order val="0"/>
          <c:tx>
            <c:strRef>
              <c:f>'2.13'!$E$3</c:f>
              <c:strCache>
                <c:ptCount val="1"/>
                <c:pt idx="0">
                  <c:v>1. pol. 2022</c:v>
                </c:pt>
              </c:strCache>
            </c:strRef>
          </c:tx>
          <c:spPr>
            <a:solidFill>
              <a:srgbClr val="C46A68"/>
            </a:solidFill>
            <a:ln>
              <a:noFill/>
            </a:ln>
            <a:effectLst/>
          </c:spPr>
          <c:invertIfNegative val="0"/>
          <c:dPt>
            <c:idx val="9"/>
            <c:invertIfNegative val="0"/>
            <c:bubble3D val="0"/>
            <c:spPr>
              <a:solidFill>
                <a:srgbClr val="C46A68"/>
              </a:solidFill>
              <a:ln>
                <a:noFill/>
              </a:ln>
              <a:effectLst/>
            </c:spPr>
            <c:extLst>
              <c:ext xmlns:c16="http://schemas.microsoft.com/office/drawing/2014/chart" uri="{C3380CC4-5D6E-409C-BE32-E72D297353CC}">
                <c16:uniqueId val="{00000001-90D3-4312-8313-8EBB9B225C3C}"/>
              </c:ext>
            </c:extLst>
          </c:dPt>
          <c:dPt>
            <c:idx val="10"/>
            <c:invertIfNegative val="0"/>
            <c:bubble3D val="0"/>
            <c:spPr>
              <a:solidFill>
                <a:srgbClr val="632827"/>
              </a:solidFill>
              <a:ln>
                <a:noFill/>
              </a:ln>
              <a:effectLst/>
            </c:spPr>
            <c:extLst>
              <c:ext xmlns:c16="http://schemas.microsoft.com/office/drawing/2014/chart" uri="{C3380CC4-5D6E-409C-BE32-E72D297353CC}">
                <c16:uniqueId val="{00000003-90D3-4312-8313-8EBB9B225C3C}"/>
              </c:ext>
            </c:extLst>
          </c:dPt>
          <c:cat>
            <c:strRef>
              <c:f>'2.13'!$D$4:$D$23</c:f>
              <c:strCache>
                <c:ptCount val="20"/>
                <c:pt idx="0">
                  <c:v>J – Informační a komunikační činnosti</c:v>
                </c:pt>
                <c:pt idx="1">
                  <c:v>K – Peněžnictví a pojišťovnictví</c:v>
                </c:pt>
                <c:pt idx="2">
                  <c:v>M – Profesní, vědecké a technické činnosti</c:v>
                </c:pt>
                <c:pt idx="3">
                  <c:v>L – Činnosti v oblasti nemovitostí</c:v>
                </c:pt>
                <c:pt idx="4">
                  <c:v>D – Výroba a rozvod elektřiny, plynu, tepla a klimatiz. vzduchu</c:v>
                </c:pt>
                <c:pt idx="5">
                  <c:v>R – Kulturní, zábavní a rekreační činnosti</c:v>
                </c:pt>
                <c:pt idx="6">
                  <c:v>P – Vzdělávání</c:v>
                </c:pt>
                <c:pt idx="7">
                  <c:v>O – Veřejná správa a obrana; povinné sociální zabezpečení</c:v>
                </c:pt>
                <c:pt idx="8">
                  <c:v>S – Ostatní činnosti</c:v>
                </c:pt>
                <c:pt idx="9">
                  <c:v>I – Ubytování, stravování a pohostinství</c:v>
                </c:pt>
                <c:pt idx="10">
                  <c:v>CELKEM</c:v>
                </c:pt>
                <c:pt idx="11">
                  <c:v>F – Stavebnictví</c:v>
                </c:pt>
                <c:pt idx="12">
                  <c:v>Q – Zdravotní a sociální péče</c:v>
                </c:pt>
                <c:pt idx="13">
                  <c:v>G – Velkoobchod a maloobchod; údržba motor. vozidel</c:v>
                </c:pt>
                <c:pt idx="14">
                  <c:v>H – Doprava a skladování</c:v>
                </c:pt>
                <c:pt idx="15">
                  <c:v>A – Zemědělství, lesnictví a rybářství</c:v>
                </c:pt>
                <c:pt idx="16">
                  <c:v>E – Zásobování vodou; činnosti souvis. s odpady a sanacemi</c:v>
                </c:pt>
                <c:pt idx="17">
                  <c:v>N – Administrativní a podpůrné činnosti</c:v>
                </c:pt>
                <c:pt idx="18">
                  <c:v>B – Těžba a dobývání</c:v>
                </c:pt>
                <c:pt idx="19">
                  <c:v>C – Zpracovatelský průmysl</c:v>
                </c:pt>
              </c:strCache>
            </c:strRef>
          </c:cat>
          <c:val>
            <c:numRef>
              <c:f>'2.13'!$E$4:$E$23</c:f>
              <c:numCache>
                <c:formatCode>0.00</c:formatCode>
                <c:ptCount val="20"/>
                <c:pt idx="0">
                  <c:v>2.0000549624E-2</c:v>
                </c:pt>
                <c:pt idx="1">
                  <c:v>2.6901466393999998E-2</c:v>
                </c:pt>
                <c:pt idx="2">
                  <c:v>2.8383071760999998E-2</c:v>
                </c:pt>
                <c:pt idx="3">
                  <c:v>3.2077781918000002E-2</c:v>
                </c:pt>
                <c:pt idx="4">
                  <c:v>3.7997992553000001E-2</c:v>
                </c:pt>
                <c:pt idx="5">
                  <c:v>4.2157557733999998E-2</c:v>
                </c:pt>
                <c:pt idx="6">
                  <c:v>4.8912058466000004E-2</c:v>
                </c:pt>
                <c:pt idx="7">
                  <c:v>4.9874131739000002E-2</c:v>
                </c:pt>
                <c:pt idx="8">
                  <c:v>5.0256676884000005E-2</c:v>
                </c:pt>
                <c:pt idx="9">
                  <c:v>5.7190014121999998E-2</c:v>
                </c:pt>
                <c:pt idx="10">
                  <c:v>5.8980772905999998E-2</c:v>
                </c:pt>
                <c:pt idx="11">
                  <c:v>5.9298507115000003E-2</c:v>
                </c:pt>
                <c:pt idx="12">
                  <c:v>6.0368571923000006E-2</c:v>
                </c:pt>
                <c:pt idx="13">
                  <c:v>6.1150790051999998E-2</c:v>
                </c:pt>
                <c:pt idx="14">
                  <c:v>6.2628533075999998E-2</c:v>
                </c:pt>
                <c:pt idx="15">
                  <c:v>6.6611656796999999E-2</c:v>
                </c:pt>
                <c:pt idx="16">
                  <c:v>6.6868673739000004E-2</c:v>
                </c:pt>
                <c:pt idx="17">
                  <c:v>6.8244399896000008E-2</c:v>
                </c:pt>
                <c:pt idx="18">
                  <c:v>7.2523203822999996E-2</c:v>
                </c:pt>
                <c:pt idx="19">
                  <c:v>7.5928776680000004E-2</c:v>
                </c:pt>
              </c:numCache>
            </c:numRef>
          </c:val>
          <c:extLst>
            <c:ext xmlns:c16="http://schemas.microsoft.com/office/drawing/2014/chart" uri="{C3380CC4-5D6E-409C-BE32-E72D297353CC}">
              <c16:uniqueId val="{00000004-90D3-4312-8313-8EBB9B225C3C}"/>
            </c:ext>
          </c:extLst>
        </c:ser>
        <c:dLbls>
          <c:showLegendKey val="0"/>
          <c:showVal val="0"/>
          <c:showCatName val="0"/>
          <c:showSerName val="0"/>
          <c:showPercent val="0"/>
          <c:showBubbleSize val="0"/>
        </c:dLbls>
        <c:gapWidth val="182"/>
        <c:axId val="1925427887"/>
        <c:axId val="1925424559"/>
      </c:barChart>
      <c:catAx>
        <c:axId val="1925427887"/>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925424559"/>
        <c:crosses val="autoZero"/>
        <c:auto val="1"/>
        <c:lblAlgn val="ctr"/>
        <c:lblOffset val="100"/>
        <c:noMultiLvlLbl val="0"/>
      </c:catAx>
      <c:valAx>
        <c:axId val="1925424559"/>
        <c:scaling>
          <c:orientation val="minMax"/>
          <c:max val="8.0000000000000016E-2"/>
        </c:scaling>
        <c:delete val="0"/>
        <c:axPos val="b"/>
        <c:majorGridlines>
          <c:spPr>
            <a:ln w="9525" cap="flat" cmpd="sng" algn="ctr">
              <a:solidFill>
                <a:schemeClr val="tx1">
                  <a:lumMod val="15000"/>
                  <a:lumOff val="85000"/>
                </a:schemeClr>
              </a:solidFill>
              <a:round/>
            </a:ln>
            <a:effectLst/>
          </c:spPr>
        </c:majorGridlines>
        <c:numFmt formatCode="0\ %"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925427887"/>
        <c:crosses val="autoZero"/>
        <c:crossBetween val="between"/>
        <c:majorUnit val="1.0000000000000002E-2"/>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1"/>
          <c:order val="0"/>
          <c:tx>
            <c:strRef>
              <c:f>'2.14'!$J$3</c:f>
              <c:strCache>
                <c:ptCount val="1"/>
                <c:pt idx="0">
                  <c:v> 1. pol. 2022</c:v>
                </c:pt>
              </c:strCache>
            </c:strRef>
          </c:tx>
          <c:spPr>
            <a:solidFill>
              <a:srgbClr val="632827"/>
            </a:solidFill>
            <a:ln>
              <a:noFill/>
            </a:ln>
            <a:effectLst/>
          </c:spPr>
          <c:invertIfNegative val="0"/>
          <c:dPt>
            <c:idx val="11"/>
            <c:invertIfNegative val="0"/>
            <c:bubble3D val="0"/>
            <c:spPr>
              <a:solidFill>
                <a:srgbClr val="632827"/>
              </a:solidFill>
              <a:ln>
                <a:noFill/>
              </a:ln>
              <a:effectLst/>
            </c:spPr>
            <c:extLst>
              <c:ext xmlns:c16="http://schemas.microsoft.com/office/drawing/2014/chart" uri="{C3380CC4-5D6E-409C-BE32-E72D297353CC}">
                <c16:uniqueId val="{00000001-9D4C-4C1A-9B12-0A06451D1B72}"/>
              </c:ext>
            </c:extLst>
          </c:dPt>
          <c:dPt>
            <c:idx val="12"/>
            <c:invertIfNegative val="0"/>
            <c:bubble3D val="0"/>
            <c:spPr>
              <a:solidFill>
                <a:srgbClr val="632827"/>
              </a:solidFill>
              <a:ln w="15875">
                <a:solidFill>
                  <a:srgbClr val="00B0F0"/>
                </a:solidFill>
              </a:ln>
              <a:effectLst/>
            </c:spPr>
            <c:extLst>
              <c:ext xmlns:c16="http://schemas.microsoft.com/office/drawing/2014/chart" uri="{C3380CC4-5D6E-409C-BE32-E72D297353CC}">
                <c16:uniqueId val="{00000003-9D4C-4C1A-9B12-0A06451D1B72}"/>
              </c:ext>
            </c:extLst>
          </c:dPt>
          <c:cat>
            <c:strRef>
              <c:f>'2.14'!$F$4:$F$18</c:f>
              <c:strCache>
                <c:ptCount val="15"/>
                <c:pt idx="0">
                  <c:v>MSK</c:v>
                </c:pt>
                <c:pt idx="1">
                  <c:v>ZLK</c:v>
                </c:pt>
                <c:pt idx="2">
                  <c:v>LBK</c:v>
                </c:pt>
                <c:pt idx="3">
                  <c:v>OLK</c:v>
                </c:pt>
                <c:pt idx="4">
                  <c:v>VYS</c:v>
                </c:pt>
                <c:pt idx="5">
                  <c:v>ULK</c:v>
                </c:pt>
                <c:pt idx="6">
                  <c:v>JHC</c:v>
                </c:pt>
                <c:pt idx="7">
                  <c:v>PLK</c:v>
                </c:pt>
                <c:pt idx="8">
                  <c:v>KVK</c:v>
                </c:pt>
                <c:pt idx="9">
                  <c:v>PAK</c:v>
                </c:pt>
                <c:pt idx="10">
                  <c:v>HKK</c:v>
                </c:pt>
                <c:pt idx="11">
                  <c:v>STC</c:v>
                </c:pt>
                <c:pt idx="12">
                  <c:v>ČR</c:v>
                </c:pt>
                <c:pt idx="13">
                  <c:v>JHM</c:v>
                </c:pt>
                <c:pt idx="14">
                  <c:v>PHA</c:v>
                </c:pt>
              </c:strCache>
            </c:strRef>
          </c:cat>
          <c:val>
            <c:numRef>
              <c:f>'2.14'!$J$4:$J$18</c:f>
              <c:numCache>
                <c:formatCode>0.0000</c:formatCode>
                <c:ptCount val="15"/>
                <c:pt idx="0">
                  <c:v>7.3432624882999994E-2</c:v>
                </c:pt>
                <c:pt idx="1">
                  <c:v>7.1747303428000009E-2</c:v>
                </c:pt>
                <c:pt idx="2">
                  <c:v>6.8060878104000008E-2</c:v>
                </c:pt>
                <c:pt idx="3">
                  <c:v>6.6935364099E-2</c:v>
                </c:pt>
                <c:pt idx="4">
                  <c:v>6.6293529786000005E-2</c:v>
                </c:pt>
                <c:pt idx="5">
                  <c:v>6.5614449342000003E-2</c:v>
                </c:pt>
                <c:pt idx="6">
                  <c:v>6.5312743073000001E-2</c:v>
                </c:pt>
                <c:pt idx="7">
                  <c:v>6.4366711889000006E-2</c:v>
                </c:pt>
                <c:pt idx="8">
                  <c:v>6.434950889499999E-2</c:v>
                </c:pt>
                <c:pt idx="9">
                  <c:v>6.4085118841000002E-2</c:v>
                </c:pt>
                <c:pt idx="10">
                  <c:v>6.2111375758999998E-2</c:v>
                </c:pt>
                <c:pt idx="11">
                  <c:v>5.9881772923999994E-2</c:v>
                </c:pt>
                <c:pt idx="12">
                  <c:v>5.8980772905999998E-2</c:v>
                </c:pt>
                <c:pt idx="13">
                  <c:v>5.8729153514999993E-2</c:v>
                </c:pt>
                <c:pt idx="14">
                  <c:v>4.2568212447000001E-2</c:v>
                </c:pt>
              </c:numCache>
            </c:numRef>
          </c:val>
          <c:extLst>
            <c:ext xmlns:c16="http://schemas.microsoft.com/office/drawing/2014/chart" uri="{C3380CC4-5D6E-409C-BE32-E72D297353CC}">
              <c16:uniqueId val="{00000004-9D4C-4C1A-9B12-0A06451D1B72}"/>
            </c:ext>
          </c:extLst>
        </c:ser>
        <c:ser>
          <c:idx val="0"/>
          <c:order val="1"/>
          <c:tx>
            <c:strRef>
              <c:f>'2.14'!$H$3</c:f>
              <c:strCache>
                <c:ptCount val="1"/>
                <c:pt idx="0">
                  <c:v> 1. pol. 2019</c:v>
                </c:pt>
              </c:strCache>
            </c:strRef>
          </c:tx>
          <c:spPr>
            <a:solidFill>
              <a:srgbClr val="B44946"/>
            </a:solidFill>
            <a:ln>
              <a:noFill/>
            </a:ln>
            <a:effectLst/>
          </c:spPr>
          <c:invertIfNegative val="0"/>
          <c:dPt>
            <c:idx val="12"/>
            <c:invertIfNegative val="0"/>
            <c:bubble3D val="0"/>
            <c:spPr>
              <a:solidFill>
                <a:srgbClr val="B44946"/>
              </a:solidFill>
              <a:ln w="15875">
                <a:solidFill>
                  <a:srgbClr val="00B0F0"/>
                </a:solidFill>
              </a:ln>
              <a:effectLst/>
            </c:spPr>
            <c:extLst>
              <c:ext xmlns:c16="http://schemas.microsoft.com/office/drawing/2014/chart" uri="{C3380CC4-5D6E-409C-BE32-E72D297353CC}">
                <c16:uniqueId val="{00000006-9D4C-4C1A-9B12-0A06451D1B72}"/>
              </c:ext>
            </c:extLst>
          </c:dPt>
          <c:cat>
            <c:strRef>
              <c:f>'2.14'!$F$4:$F$18</c:f>
              <c:strCache>
                <c:ptCount val="15"/>
                <c:pt idx="0">
                  <c:v>MSK</c:v>
                </c:pt>
                <c:pt idx="1">
                  <c:v>ZLK</c:v>
                </c:pt>
                <c:pt idx="2">
                  <c:v>LBK</c:v>
                </c:pt>
                <c:pt idx="3">
                  <c:v>OLK</c:v>
                </c:pt>
                <c:pt idx="4">
                  <c:v>VYS</c:v>
                </c:pt>
                <c:pt idx="5">
                  <c:v>ULK</c:v>
                </c:pt>
                <c:pt idx="6">
                  <c:v>JHC</c:v>
                </c:pt>
                <c:pt idx="7">
                  <c:v>PLK</c:v>
                </c:pt>
                <c:pt idx="8">
                  <c:v>KVK</c:v>
                </c:pt>
                <c:pt idx="9">
                  <c:v>PAK</c:v>
                </c:pt>
                <c:pt idx="10">
                  <c:v>HKK</c:v>
                </c:pt>
                <c:pt idx="11">
                  <c:v>STC</c:v>
                </c:pt>
                <c:pt idx="12">
                  <c:v>ČR</c:v>
                </c:pt>
                <c:pt idx="13">
                  <c:v>JHM</c:v>
                </c:pt>
                <c:pt idx="14">
                  <c:v>PHA</c:v>
                </c:pt>
              </c:strCache>
            </c:strRef>
          </c:cat>
          <c:val>
            <c:numRef>
              <c:f>'2.14'!$H$4:$H$18</c:f>
              <c:numCache>
                <c:formatCode>General</c:formatCode>
                <c:ptCount val="15"/>
                <c:pt idx="0">
                  <c:v>5.9648320808999997E-2</c:v>
                </c:pt>
                <c:pt idx="1">
                  <c:v>5.8176758423999997E-2</c:v>
                </c:pt>
                <c:pt idx="2">
                  <c:v>5.3561331828999997E-2</c:v>
                </c:pt>
                <c:pt idx="3">
                  <c:v>5.1866915991000004E-2</c:v>
                </c:pt>
                <c:pt idx="4">
                  <c:v>5.6252364033999996E-2</c:v>
                </c:pt>
                <c:pt idx="5">
                  <c:v>5.2571320172000002E-2</c:v>
                </c:pt>
                <c:pt idx="6">
                  <c:v>5.5828888244000001E-2</c:v>
                </c:pt>
                <c:pt idx="7">
                  <c:v>5.2230084662999998E-2</c:v>
                </c:pt>
                <c:pt idx="8">
                  <c:v>5.2027732627999999E-2</c:v>
                </c:pt>
                <c:pt idx="9">
                  <c:v>5.1080595563E-2</c:v>
                </c:pt>
                <c:pt idx="10">
                  <c:v>5.0450559291000001E-2</c:v>
                </c:pt>
                <c:pt idx="11">
                  <c:v>4.9583657012000001E-2</c:v>
                </c:pt>
                <c:pt idx="12">
                  <c:v>4.8494297227000001E-2</c:v>
                </c:pt>
                <c:pt idx="13">
                  <c:v>4.7920895321000002E-2</c:v>
                </c:pt>
                <c:pt idx="14">
                  <c:v>3.6241640477999999E-2</c:v>
                </c:pt>
              </c:numCache>
            </c:numRef>
          </c:val>
          <c:extLst>
            <c:ext xmlns:c16="http://schemas.microsoft.com/office/drawing/2014/chart" uri="{C3380CC4-5D6E-409C-BE32-E72D297353CC}">
              <c16:uniqueId val="{00000007-9D4C-4C1A-9B12-0A06451D1B72}"/>
            </c:ext>
          </c:extLst>
        </c:ser>
        <c:dLbls>
          <c:showLegendKey val="0"/>
          <c:showVal val="0"/>
          <c:showCatName val="0"/>
          <c:showSerName val="0"/>
          <c:showPercent val="0"/>
          <c:showBubbleSize val="0"/>
        </c:dLbls>
        <c:gapWidth val="182"/>
        <c:axId val="1928479695"/>
        <c:axId val="1928478031"/>
      </c:barChart>
      <c:catAx>
        <c:axId val="1928479695"/>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928478031"/>
        <c:crosses val="autoZero"/>
        <c:auto val="1"/>
        <c:lblAlgn val="ctr"/>
        <c:lblOffset val="100"/>
        <c:noMultiLvlLbl val="0"/>
      </c:catAx>
      <c:valAx>
        <c:axId val="1928478031"/>
        <c:scaling>
          <c:orientation val="minMax"/>
        </c:scaling>
        <c:delete val="0"/>
        <c:axPos val="l"/>
        <c:majorGridlines>
          <c:spPr>
            <a:ln w="9525" cap="flat" cmpd="sng" algn="ctr">
              <a:solidFill>
                <a:schemeClr val="tx1">
                  <a:lumMod val="15000"/>
                  <a:lumOff val="85000"/>
                </a:schemeClr>
              </a:solidFill>
              <a:round/>
            </a:ln>
            <a:effectLst/>
          </c:spPr>
        </c:majorGridlines>
        <c:numFmt formatCode="0\ %"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928479695"/>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2261274878332497"/>
          <c:y val="8.2437641732255651E-2"/>
          <c:w val="0.50786083067696719"/>
          <c:h val="0.82017144844183809"/>
        </c:manualLayout>
      </c:layout>
      <c:pieChart>
        <c:varyColors val="1"/>
        <c:ser>
          <c:idx val="0"/>
          <c:order val="0"/>
          <c:dPt>
            <c:idx val="0"/>
            <c:bubble3D val="0"/>
            <c:spPr>
              <a:solidFill>
                <a:srgbClr val="4E201E"/>
              </a:solidFill>
              <a:ln w="19050">
                <a:solidFill>
                  <a:schemeClr val="lt1"/>
                </a:solidFill>
              </a:ln>
              <a:effectLst/>
            </c:spPr>
            <c:extLst>
              <c:ext xmlns:c16="http://schemas.microsoft.com/office/drawing/2014/chart" uri="{C3380CC4-5D6E-409C-BE32-E72D297353CC}">
                <c16:uniqueId val="{00000001-AA16-46D3-81F6-0B190C930FDD}"/>
              </c:ext>
            </c:extLst>
          </c:dPt>
          <c:dPt>
            <c:idx val="1"/>
            <c:bubble3D val="0"/>
            <c:spPr>
              <a:solidFill>
                <a:srgbClr val="722F2C"/>
              </a:solidFill>
              <a:ln w="19050">
                <a:solidFill>
                  <a:schemeClr val="lt1"/>
                </a:solidFill>
              </a:ln>
              <a:effectLst/>
            </c:spPr>
            <c:extLst>
              <c:ext xmlns:c16="http://schemas.microsoft.com/office/drawing/2014/chart" uri="{C3380CC4-5D6E-409C-BE32-E72D297353CC}">
                <c16:uniqueId val="{00000003-AA16-46D3-81F6-0B190C930FDD}"/>
              </c:ext>
            </c:extLst>
          </c:dPt>
          <c:dPt>
            <c:idx val="2"/>
            <c:bubble3D val="0"/>
            <c:spPr>
              <a:solidFill>
                <a:srgbClr val="9A403C"/>
              </a:solidFill>
              <a:ln w="19050">
                <a:solidFill>
                  <a:schemeClr val="lt1"/>
                </a:solidFill>
              </a:ln>
              <a:effectLst/>
            </c:spPr>
            <c:extLst>
              <c:ext xmlns:c16="http://schemas.microsoft.com/office/drawing/2014/chart" uri="{C3380CC4-5D6E-409C-BE32-E72D297353CC}">
                <c16:uniqueId val="{00000005-AA16-46D3-81F6-0B190C930FDD}"/>
              </c:ext>
            </c:extLst>
          </c:dPt>
          <c:dPt>
            <c:idx val="3"/>
            <c:bubble3D val="0"/>
            <c:spPr>
              <a:solidFill>
                <a:srgbClr val="C36969"/>
              </a:solidFill>
              <a:ln w="19050">
                <a:solidFill>
                  <a:schemeClr val="lt1"/>
                </a:solidFill>
              </a:ln>
              <a:effectLst/>
            </c:spPr>
            <c:extLst>
              <c:ext xmlns:c16="http://schemas.microsoft.com/office/drawing/2014/chart" uri="{C3380CC4-5D6E-409C-BE32-E72D297353CC}">
                <c16:uniqueId val="{00000007-AA16-46D3-81F6-0B190C930FDD}"/>
              </c:ext>
            </c:extLst>
          </c:dPt>
          <c:dPt>
            <c:idx val="4"/>
            <c:bubble3D val="0"/>
            <c:spPr>
              <a:solidFill>
                <a:srgbClr val="F07373"/>
              </a:solidFill>
              <a:ln w="19050">
                <a:solidFill>
                  <a:schemeClr val="lt1"/>
                </a:solidFill>
              </a:ln>
              <a:effectLst/>
            </c:spPr>
            <c:extLst>
              <c:ext xmlns:c16="http://schemas.microsoft.com/office/drawing/2014/chart" uri="{C3380CC4-5D6E-409C-BE32-E72D297353CC}">
                <c16:uniqueId val="{00000009-AA16-46D3-81F6-0B190C930FDD}"/>
              </c:ext>
            </c:extLst>
          </c:dPt>
          <c:dPt>
            <c:idx val="5"/>
            <c:bubble3D val="0"/>
            <c:spPr>
              <a:solidFill>
                <a:srgbClr val="FA9696"/>
              </a:solidFill>
              <a:ln w="19050">
                <a:solidFill>
                  <a:schemeClr val="lt1"/>
                </a:solidFill>
              </a:ln>
              <a:effectLst/>
            </c:spPr>
            <c:extLst>
              <c:ext xmlns:c16="http://schemas.microsoft.com/office/drawing/2014/chart" uri="{C3380CC4-5D6E-409C-BE32-E72D297353CC}">
                <c16:uniqueId val="{0000000B-AA16-46D3-81F6-0B190C930FDD}"/>
              </c:ext>
            </c:extLst>
          </c:dPt>
          <c:dPt>
            <c:idx val="6"/>
            <c:bubble3D val="0"/>
            <c:spPr>
              <a:solidFill>
                <a:srgbClr val="D79895"/>
              </a:solidFill>
              <a:ln w="19050">
                <a:solidFill>
                  <a:schemeClr val="lt1"/>
                </a:solidFill>
              </a:ln>
              <a:effectLst/>
            </c:spPr>
            <c:extLst>
              <c:ext xmlns:c16="http://schemas.microsoft.com/office/drawing/2014/chart" uri="{C3380CC4-5D6E-409C-BE32-E72D297353CC}">
                <c16:uniqueId val="{0000000D-AA16-46D3-81F6-0B190C930FDD}"/>
              </c:ext>
            </c:extLst>
          </c:dPt>
          <c:dPt>
            <c:idx val="7"/>
            <c:bubble3D val="0"/>
            <c:spPr>
              <a:solidFill>
                <a:srgbClr val="EBCDCB"/>
              </a:solidFill>
              <a:ln w="19050">
                <a:solidFill>
                  <a:schemeClr val="lt1"/>
                </a:solidFill>
              </a:ln>
              <a:effectLst/>
            </c:spPr>
            <c:extLst>
              <c:ext xmlns:c16="http://schemas.microsoft.com/office/drawing/2014/chart" uri="{C3380CC4-5D6E-409C-BE32-E72D297353CC}">
                <c16:uniqueId val="{0000000F-AA16-46D3-81F6-0B190C930FDD}"/>
              </c:ext>
            </c:extLst>
          </c:dPt>
          <c:dPt>
            <c:idx val="8"/>
            <c:bubble3D val="0"/>
            <c:spPr>
              <a:solidFill>
                <a:srgbClr val="F6E7E6"/>
              </a:solidFill>
              <a:ln w="19050">
                <a:solidFill>
                  <a:schemeClr val="lt1"/>
                </a:solidFill>
              </a:ln>
              <a:effectLst/>
            </c:spPr>
            <c:extLst>
              <c:ext xmlns:c16="http://schemas.microsoft.com/office/drawing/2014/chart" uri="{C3380CC4-5D6E-409C-BE32-E72D297353CC}">
                <c16:uniqueId val="{00000011-AA16-46D3-81F6-0B190C930FDD}"/>
              </c:ext>
            </c:extLst>
          </c:dPt>
          <c:dPt>
            <c:idx val="9"/>
            <c:bubble3D val="0"/>
            <c:spPr>
              <a:solidFill>
                <a:srgbClr val="E2B6B4"/>
              </a:solidFill>
              <a:ln w="19050">
                <a:solidFill>
                  <a:schemeClr val="lt1"/>
                </a:solidFill>
              </a:ln>
              <a:effectLst/>
            </c:spPr>
            <c:extLst>
              <c:ext xmlns:c16="http://schemas.microsoft.com/office/drawing/2014/chart" uri="{C3380CC4-5D6E-409C-BE32-E72D297353CC}">
                <c16:uniqueId val="{00000013-AA16-46D3-81F6-0B190C930FDD}"/>
              </c:ext>
            </c:extLst>
          </c:dPt>
          <c:dPt>
            <c:idx val="10"/>
            <c:bubble3D val="0"/>
            <c:spPr>
              <a:solidFill>
                <a:srgbClr val="D9D9D9"/>
              </a:solidFill>
              <a:ln w="19050">
                <a:solidFill>
                  <a:schemeClr val="lt1"/>
                </a:solidFill>
              </a:ln>
              <a:effectLst/>
            </c:spPr>
            <c:extLst>
              <c:ext xmlns:c16="http://schemas.microsoft.com/office/drawing/2014/chart" uri="{C3380CC4-5D6E-409C-BE32-E72D297353CC}">
                <c16:uniqueId val="{00000015-AA16-46D3-81F6-0B190C930FDD}"/>
              </c:ext>
            </c:extLst>
          </c:dPt>
          <c:dPt>
            <c:idx val="11"/>
            <c:bubble3D val="0"/>
            <c:spPr>
              <a:solidFill>
                <a:srgbClr val="BFBFBF"/>
              </a:solidFill>
              <a:ln w="19050">
                <a:solidFill>
                  <a:schemeClr val="lt1"/>
                </a:solidFill>
              </a:ln>
              <a:effectLst/>
            </c:spPr>
            <c:extLst>
              <c:ext xmlns:c16="http://schemas.microsoft.com/office/drawing/2014/chart" uri="{C3380CC4-5D6E-409C-BE32-E72D297353CC}">
                <c16:uniqueId val="{00000017-AA16-46D3-81F6-0B190C930FDD}"/>
              </c:ext>
            </c:extLst>
          </c:dPt>
          <c:dLbls>
            <c:dLbl>
              <c:idx val="0"/>
              <c:layout>
                <c:manualLayout>
                  <c:x val="0.10248524132657308"/>
                  <c:y val="0.17012300260519536"/>
                </c:manualLayout>
              </c:layout>
              <c:numFmt formatCode="0\ %" sourceLinked="0"/>
              <c:spPr>
                <a:noFill/>
                <a:ln>
                  <a:noFill/>
                </a:ln>
                <a:effectLst/>
              </c:spPr>
              <c:txPr>
                <a:bodyPr rot="0" spcFirstLastPara="1" vertOverflow="ellipsis" vert="horz" wrap="square" anchor="ctr" anchorCtr="1"/>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showLegendKey val="0"/>
              <c:showVal val="1"/>
              <c:showCatName val="1"/>
              <c:showSerName val="0"/>
              <c:showPercent val="0"/>
              <c:showBubbleSize val="0"/>
              <c:separator>
</c:separator>
              <c:extLst>
                <c:ext xmlns:c15="http://schemas.microsoft.com/office/drawing/2012/chart" uri="{CE6537A1-D6FC-4f65-9D91-7224C49458BB}">
                  <c15:layout>
                    <c:manualLayout>
                      <c:w val="0.12669191667497257"/>
                      <c:h val="0.20447853695707391"/>
                    </c:manualLayout>
                  </c15:layout>
                </c:ext>
                <c:ext xmlns:c16="http://schemas.microsoft.com/office/drawing/2014/chart" uri="{C3380CC4-5D6E-409C-BE32-E72D297353CC}">
                  <c16:uniqueId val="{00000001-AA16-46D3-81F6-0B190C930FDD}"/>
                </c:ext>
              </c:extLst>
            </c:dLbl>
            <c:dLbl>
              <c:idx val="1"/>
              <c:layout>
                <c:manualLayout>
                  <c:x val="-3.6643175880250907E-2"/>
                  <c:y val="0.1010759461518923"/>
                </c:manualLayout>
              </c:layout>
              <c:numFmt formatCode="0\ %" sourceLinked="0"/>
              <c:spPr>
                <a:noFill/>
                <a:ln>
                  <a:noFill/>
                </a:ln>
                <a:effectLst/>
              </c:spPr>
              <c:txPr>
                <a:bodyPr rot="0" spcFirstLastPara="1" vertOverflow="ellipsis" vert="horz" wrap="square" anchor="ctr" anchorCtr="1"/>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showLegendKey val="0"/>
              <c:showVal val="1"/>
              <c:showCatName val="1"/>
              <c:showSerName val="0"/>
              <c:showPercent val="0"/>
              <c:showBubbleSize val="0"/>
              <c:separator>
</c:separator>
              <c:extLst>
                <c:ext xmlns:c15="http://schemas.microsoft.com/office/drawing/2012/chart" uri="{CE6537A1-D6FC-4f65-9D91-7224C49458BB}">
                  <c15:layout>
                    <c:manualLayout>
                      <c:w val="0.1539071882460013"/>
                      <c:h val="0.18984302768605538"/>
                    </c:manualLayout>
                  </c15:layout>
                </c:ext>
                <c:ext xmlns:c16="http://schemas.microsoft.com/office/drawing/2014/chart" uri="{C3380CC4-5D6E-409C-BE32-E72D297353CC}">
                  <c16:uniqueId val="{00000003-AA16-46D3-81F6-0B190C930FDD}"/>
                </c:ext>
              </c:extLst>
            </c:dLbl>
            <c:dLbl>
              <c:idx val="2"/>
              <c:layout>
                <c:manualLayout>
                  <c:x val="-6.109281992375979E-2"/>
                  <c:y val="0.14469359072051474"/>
                </c:manualLayout>
              </c:layout>
              <c:numFmt formatCode="0\ %" sourceLinked="0"/>
              <c:spPr>
                <a:noFill/>
                <a:ln>
                  <a:noFill/>
                </a:ln>
                <a:effectLst/>
              </c:spPr>
              <c:txPr>
                <a:bodyPr rot="0" spcFirstLastPara="1" vertOverflow="ellipsis" vert="horz" wrap="square" anchor="ctr" anchorCtr="1"/>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showLegendKey val="0"/>
              <c:showVal val="1"/>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AA16-46D3-81F6-0B190C930FDD}"/>
                </c:ext>
              </c:extLst>
            </c:dLbl>
            <c:dLbl>
              <c:idx val="3"/>
              <c:layout>
                <c:manualLayout>
                  <c:x val="-7.3394437699852863E-2"/>
                  <c:y val="-8.1366861400389484E-2"/>
                </c:manualLayout>
              </c:layout>
              <c:showLegendKey val="0"/>
              <c:showVal val="1"/>
              <c:showCatName val="1"/>
              <c:showSerName val="0"/>
              <c:showPercent val="0"/>
              <c:showBubbleSize val="0"/>
              <c:separator>
</c:separator>
              <c:extLst>
                <c:ext xmlns:c15="http://schemas.microsoft.com/office/drawing/2012/chart" uri="{CE6537A1-D6FC-4f65-9D91-7224C49458BB}">
                  <c15:layout>
                    <c:manualLayout>
                      <c:w val="0.23689856261223205"/>
                      <c:h val="0.12102582338498011"/>
                    </c:manualLayout>
                  </c15:layout>
                </c:ext>
                <c:ext xmlns:c16="http://schemas.microsoft.com/office/drawing/2014/chart" uri="{C3380CC4-5D6E-409C-BE32-E72D297353CC}">
                  <c16:uniqueId val="{00000007-AA16-46D3-81F6-0B190C930FDD}"/>
                </c:ext>
              </c:extLst>
            </c:dLbl>
            <c:dLbl>
              <c:idx val="4"/>
              <c:layout>
                <c:manualLayout>
                  <c:x val="4.3262234625735072E-2"/>
                  <c:y val="-8.5681822030310731E-2"/>
                </c:manualLayout>
              </c:layout>
              <c:showLegendKey val="0"/>
              <c:showVal val="1"/>
              <c:showCatName val="1"/>
              <c:showSerName val="0"/>
              <c:showPercent val="0"/>
              <c:showBubbleSize val="0"/>
              <c:separator>
</c:separator>
              <c:extLst>
                <c:ext xmlns:c15="http://schemas.microsoft.com/office/drawing/2012/chart" uri="{CE6537A1-D6FC-4f65-9D91-7224C49458BB}">
                  <c15:layout>
                    <c:manualLayout>
                      <c:w val="0.29090836305764745"/>
                      <c:h val="0.16530522394378122"/>
                    </c:manualLayout>
                  </c15:layout>
                </c:ext>
                <c:ext xmlns:c16="http://schemas.microsoft.com/office/drawing/2014/chart" uri="{C3380CC4-5D6E-409C-BE32-E72D297353CC}">
                  <c16:uniqueId val="{00000009-AA16-46D3-81F6-0B190C930FDD}"/>
                </c:ext>
              </c:extLst>
            </c:dLbl>
            <c:dLbl>
              <c:idx val="5"/>
              <c:layout>
                <c:manualLayout>
                  <c:x val="0.23303900407344275"/>
                  <c:y val="-0.10271441876217088"/>
                </c:manualLayout>
              </c:layou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B-AA16-46D3-81F6-0B190C930FDD}"/>
                </c:ext>
              </c:extLst>
            </c:dLbl>
            <c:dLbl>
              <c:idx val="6"/>
              <c:layout>
                <c:manualLayout>
                  <c:x val="0.15498200201629703"/>
                  <c:y val="-4.8505630344594021E-2"/>
                </c:manualLayout>
              </c:layout>
              <c:numFmt formatCode="0\ %" sourceLinked="0"/>
              <c:spPr>
                <a:noFill/>
                <a:ln>
                  <a:noFill/>
                </a:ln>
                <a:effectLst/>
              </c:spPr>
              <c:txPr>
                <a:bodyPr rot="0" spcFirstLastPara="1" vertOverflow="ellipsis" vert="horz" wrap="square" lIns="38100" tIns="19050" rIns="38100" bIns="19050" anchor="ctr" anchorCtr="1">
                  <a:noAutofit/>
                </a:bodyPr>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showLegendKey val="0"/>
              <c:showVal val="1"/>
              <c:showCatName val="1"/>
              <c:showSerName val="0"/>
              <c:showPercent val="0"/>
              <c:showBubbleSize val="0"/>
              <c:separator>
</c:separator>
              <c:extLst>
                <c:ext xmlns:c15="http://schemas.microsoft.com/office/drawing/2012/chart" uri="{CE6537A1-D6FC-4f65-9D91-7224C49458BB}">
                  <c15:layout>
                    <c:manualLayout>
                      <c:w val="0.26706703942563315"/>
                      <c:h val="0.10438472610278554"/>
                    </c:manualLayout>
                  </c15:layout>
                </c:ext>
                <c:ext xmlns:c16="http://schemas.microsoft.com/office/drawing/2014/chart" uri="{C3380CC4-5D6E-409C-BE32-E72D297353CC}">
                  <c16:uniqueId val="{0000000D-AA16-46D3-81F6-0B190C930FDD}"/>
                </c:ext>
              </c:extLst>
            </c:dLbl>
            <c:dLbl>
              <c:idx val="7"/>
              <c:layout>
                <c:manualLayout>
                  <c:x val="0.26381155302256654"/>
                  <c:y val="2.4008466683599995E-2"/>
                </c:manualLayout>
              </c:layou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F-AA16-46D3-81F6-0B190C930FDD}"/>
                </c:ext>
              </c:extLst>
            </c:dLbl>
            <c:dLbl>
              <c:idx val="8"/>
              <c:layout>
                <c:manualLayout>
                  <c:x val="0.27958540096370504"/>
                  <c:y val="0.12567674202015069"/>
                </c:manualLayout>
              </c:layou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11-AA16-46D3-81F6-0B190C930FDD}"/>
                </c:ext>
              </c:extLst>
            </c:dLbl>
            <c:dLbl>
              <c:idx val="9"/>
              <c:layout>
                <c:manualLayout>
                  <c:x val="0.22022930885455033"/>
                  <c:y val="0.28234865803064946"/>
                </c:manualLayout>
              </c:layou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13-AA16-46D3-81F6-0B190C930FDD}"/>
                </c:ext>
              </c:extLst>
            </c:dLbl>
            <c:dLbl>
              <c:idx val="10"/>
              <c:layout>
                <c:manualLayout>
                  <c:x val="0.15912112977992299"/>
                  <c:y val="0.44983557700448734"/>
                </c:manualLayout>
              </c:layou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15-AA16-46D3-81F6-0B190C930FDD}"/>
                </c:ext>
              </c:extLst>
            </c:dLbl>
            <c:numFmt formatCode="0\ %" sourceLinked="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showLegendKey val="0"/>
            <c:showVal val="1"/>
            <c:showCatName val="1"/>
            <c:showSerName val="0"/>
            <c:showPercent val="0"/>
            <c:showBubbleSize val="0"/>
            <c:separator>
</c:separator>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'3.1'!$G$4:$G$15</c:f>
              <c:strCache>
                <c:ptCount val="12"/>
                <c:pt idx="0">
                  <c:v>   nemoci dýchací soustavy</c:v>
                </c:pt>
                <c:pt idx="1">
                  <c:v>   nemoci pohybové soustavy</c:v>
                </c:pt>
                <c:pt idx="2">
                  <c:v>   úrazy, 
otravy</c:v>
                </c:pt>
                <c:pt idx="3">
                  <c:v>   nemoci trávicí soustavy</c:v>
                </c:pt>
                <c:pt idx="4">
                  <c:v>   nemoci močové a pohlavní soustavy</c:v>
                </c:pt>
                <c:pt idx="5">
                  <c:v>   nemoci duševní</c:v>
                </c:pt>
                <c:pt idx="6">
                  <c:v>   nemoci oběhové soustavy</c:v>
                </c:pt>
                <c:pt idx="7">
                  <c:v>   nemoci nervové soustavy</c:v>
                </c:pt>
                <c:pt idx="8">
                  <c:v>   nemoci kůže</c:v>
                </c:pt>
                <c:pt idx="9">
                  <c:v>   těhotenství, porod, šestinedělí</c:v>
                </c:pt>
                <c:pt idx="10">
                  <c:v>   zhoubné novotvary</c:v>
                </c:pt>
                <c:pt idx="11">
                  <c:v>   nemoci ostatní</c:v>
                </c:pt>
              </c:strCache>
            </c:strRef>
          </c:cat>
          <c:val>
            <c:numRef>
              <c:f>'3.1'!$H$4:$H$15</c:f>
              <c:numCache>
                <c:formatCode>0.00%</c:formatCode>
                <c:ptCount val="12"/>
                <c:pt idx="0">
                  <c:v>0.22113738913956746</c:v>
                </c:pt>
                <c:pt idx="1">
                  <c:v>9.9652411604592511E-2</c:v>
                </c:pt>
                <c:pt idx="2">
                  <c:v>4.9918649524479095E-2</c:v>
                </c:pt>
                <c:pt idx="3">
                  <c:v>4.1220775778112013E-2</c:v>
                </c:pt>
                <c:pt idx="4">
                  <c:v>2.0690585819469177E-2</c:v>
                </c:pt>
                <c:pt idx="5">
                  <c:v>1.3988536017995072E-2</c:v>
                </c:pt>
                <c:pt idx="6">
                  <c:v>1.3601953179775908E-2</c:v>
                </c:pt>
                <c:pt idx="7">
                  <c:v>8.8765182380658759E-3</c:v>
                </c:pt>
                <c:pt idx="8">
                  <c:v>7.765752890487085E-3</c:v>
                </c:pt>
                <c:pt idx="9">
                  <c:v>7.2528703175453865E-3</c:v>
                </c:pt>
                <c:pt idx="10">
                  <c:v>3.8984838269107759E-3</c:v>
                </c:pt>
                <c:pt idx="11">
                  <c:v>0.51197350298797317</c:v>
                </c:pt>
              </c:numCache>
            </c:numRef>
          </c:val>
          <c:extLst>
            <c:ext xmlns:c16="http://schemas.microsoft.com/office/drawing/2014/chart" uri="{C3380CC4-5D6E-409C-BE32-E72D297353CC}">
              <c16:uniqueId val="{00000018-AA16-46D3-81F6-0B190C930FDD}"/>
            </c:ext>
          </c:extLst>
        </c:ser>
        <c:dLbls>
          <c:showLegendKey val="0"/>
          <c:showVal val="0"/>
          <c:showCatName val="0"/>
          <c:showSerName val="0"/>
          <c:showPercent val="0"/>
          <c:showBubbleSize val="0"/>
          <c:showLeaderLines val="1"/>
        </c:dLbls>
        <c:firstSliceAng val="268"/>
      </c:pieChart>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solidFill>
            <a:sysClr val="windowText" lastClr="000000"/>
          </a:solidFill>
        </a:defRPr>
      </a:pPr>
      <a:endParaRPr lang="cs-CZ"/>
    </a:p>
  </c:txPr>
  <c:externalData r:id="rId3">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3881538429743524E-2"/>
          <c:y val="4.8404840484048403E-2"/>
          <c:w val="0.85647368094736187"/>
          <c:h val="0.72521930509394539"/>
        </c:manualLayout>
      </c:layout>
      <c:barChart>
        <c:barDir val="col"/>
        <c:grouping val="clustered"/>
        <c:varyColors val="0"/>
        <c:ser>
          <c:idx val="0"/>
          <c:order val="0"/>
          <c:tx>
            <c:strRef>
              <c:f>'4.1'!$B$3</c:f>
              <c:strCache>
                <c:ptCount val="1"/>
                <c:pt idx="0">
                  <c:v> nemocenské</c:v>
                </c:pt>
              </c:strCache>
            </c:strRef>
          </c:tx>
          <c:spPr>
            <a:solidFill>
              <a:srgbClr val="9A403C"/>
            </a:solidFill>
            <a:ln>
              <a:noFill/>
            </a:ln>
            <a:effectLst/>
          </c:spPr>
          <c:invertIfNegative val="0"/>
          <c:dLbls>
            <c:spPr>
              <a:noFill/>
              <a:ln>
                <a:noFill/>
              </a:ln>
              <a:effectLst/>
            </c:spPr>
            <c:txPr>
              <a:bodyPr rot="0" spcFirstLastPara="1" vertOverflow="ellipsis" vert="horz" wrap="square" anchor="ctr" anchorCtr="1"/>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'4.1'!$A$5:$A$15</c:f>
              <c:strCache>
                <c:ptCount val="11"/>
                <c:pt idx="0">
                  <c:v>1. pol. 
2012</c:v>
                </c:pt>
                <c:pt idx="1">
                  <c:v>1. pol. 
2013</c:v>
                </c:pt>
                <c:pt idx="2">
                  <c:v>1. pol. 
2014</c:v>
                </c:pt>
                <c:pt idx="3">
                  <c:v>1. pol. 
2015</c:v>
                </c:pt>
                <c:pt idx="4">
                  <c:v>1. pol. 
2016</c:v>
                </c:pt>
                <c:pt idx="5">
                  <c:v>1. pol. 
2017</c:v>
                </c:pt>
                <c:pt idx="6">
                  <c:v>1. pol. 
2018</c:v>
                </c:pt>
                <c:pt idx="7">
                  <c:v>1. pol. 2019</c:v>
                </c:pt>
                <c:pt idx="8">
                  <c:v>1. pol. 2020</c:v>
                </c:pt>
                <c:pt idx="9">
                  <c:v>1. pol. 2021</c:v>
                </c:pt>
                <c:pt idx="10">
                  <c:v>1. pol. 2022</c:v>
                </c:pt>
              </c:strCache>
            </c:strRef>
          </c:cat>
          <c:val>
            <c:numRef>
              <c:f>'4.1'!$B$5:$B$15</c:f>
              <c:numCache>
                <c:formatCode>#,##0.00</c:formatCode>
                <c:ptCount val="11"/>
                <c:pt idx="0">
                  <c:v>6.2087213491500002</c:v>
                </c:pt>
                <c:pt idx="1">
                  <c:v>6.4451856920499999</c:v>
                </c:pt>
                <c:pt idx="2">
                  <c:v>7.0990587236899998</c:v>
                </c:pt>
                <c:pt idx="3">
                  <c:v>8.0224034105699999</c:v>
                </c:pt>
                <c:pt idx="4">
                  <c:v>8.8471537781199991</c:v>
                </c:pt>
                <c:pt idx="5">
                  <c:v>9.6800929760399992</c:v>
                </c:pt>
                <c:pt idx="6">
                  <c:v>11.60475287349</c:v>
                </c:pt>
                <c:pt idx="7">
                  <c:v>13.78</c:v>
                </c:pt>
                <c:pt idx="8">
                  <c:v>17.03</c:v>
                </c:pt>
                <c:pt idx="9">
                  <c:v>18.38838624568</c:v>
                </c:pt>
                <c:pt idx="10">
                  <c:v>17.65371558268</c:v>
                </c:pt>
              </c:numCache>
            </c:numRef>
          </c:val>
          <c:extLst>
            <c:ext xmlns:c16="http://schemas.microsoft.com/office/drawing/2014/chart" uri="{C3380CC4-5D6E-409C-BE32-E72D297353CC}">
              <c16:uniqueId val="{00000000-8090-48FF-868C-70CF6185CE11}"/>
            </c:ext>
          </c:extLst>
        </c:ser>
        <c:dLbls>
          <c:showLegendKey val="0"/>
          <c:showVal val="0"/>
          <c:showCatName val="0"/>
          <c:showSerName val="0"/>
          <c:showPercent val="0"/>
          <c:showBubbleSize val="0"/>
        </c:dLbls>
        <c:gapWidth val="39"/>
        <c:overlap val="-27"/>
        <c:axId val="1503469919"/>
        <c:axId val="1503464095"/>
      </c:barChart>
      <c:scatterChart>
        <c:scatterStyle val="lineMarker"/>
        <c:varyColors val="0"/>
        <c:ser>
          <c:idx val="1"/>
          <c:order val="1"/>
          <c:tx>
            <c:strRef>
              <c:f>'4.1'!$C$3</c:f>
              <c:strCache>
                <c:ptCount val="1"/>
                <c:pt idx="0">
                  <c:v> výdaje na 1 pojištěnce (Kč)</c:v>
                </c:pt>
              </c:strCache>
            </c:strRef>
          </c:tx>
          <c:spPr>
            <a:ln w="25400" cap="rnd">
              <a:noFill/>
              <a:round/>
            </a:ln>
            <a:effectLst/>
          </c:spPr>
          <c:marker>
            <c:symbol val="circle"/>
            <c:size val="5"/>
            <c:spPr>
              <a:solidFill>
                <a:srgbClr val="4E201E"/>
              </a:solidFill>
              <a:ln w="9525">
                <a:solidFill>
                  <a:srgbClr val="4E201E"/>
                </a:solidFill>
              </a:ln>
              <a:effectLst/>
            </c:spPr>
          </c:marker>
          <c:dLbls>
            <c:numFmt formatCode="#,##0" sourceLinked="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xVal>
            <c:strRef>
              <c:f>'4.1'!$A$5:$A$15</c:f>
              <c:strCache>
                <c:ptCount val="11"/>
                <c:pt idx="0">
                  <c:v>1. pol. 
2012</c:v>
                </c:pt>
                <c:pt idx="1">
                  <c:v>1. pol. 
2013</c:v>
                </c:pt>
                <c:pt idx="2">
                  <c:v>1. pol. 
2014</c:v>
                </c:pt>
                <c:pt idx="3">
                  <c:v>1. pol. 
2015</c:v>
                </c:pt>
                <c:pt idx="4">
                  <c:v>1. pol. 
2016</c:v>
                </c:pt>
                <c:pt idx="5">
                  <c:v>1. pol. 
2017</c:v>
                </c:pt>
                <c:pt idx="6">
                  <c:v>1. pol. 
2018</c:v>
                </c:pt>
                <c:pt idx="7">
                  <c:v>1. pol. 2019</c:v>
                </c:pt>
                <c:pt idx="8">
                  <c:v>1. pol. 2020</c:v>
                </c:pt>
                <c:pt idx="9">
                  <c:v>1. pol. 2021</c:v>
                </c:pt>
                <c:pt idx="10">
                  <c:v>1. pol. 2022</c:v>
                </c:pt>
              </c:strCache>
            </c:strRef>
          </c:xVal>
          <c:yVal>
            <c:numRef>
              <c:f>'4.1'!$C$5:$C$15</c:f>
              <c:numCache>
                <c:formatCode>#\ ##0.0</c:formatCode>
                <c:ptCount val="11"/>
                <c:pt idx="0">
                  <c:v>1392.3965656003184</c:v>
                </c:pt>
                <c:pt idx="1">
                  <c:v>1459.6910825635921</c:v>
                </c:pt>
                <c:pt idx="2">
                  <c:v>1608.4862123555822</c:v>
                </c:pt>
                <c:pt idx="3">
                  <c:v>1794.1792547150189</c:v>
                </c:pt>
                <c:pt idx="4">
                  <c:v>1948.914045753635</c:v>
                </c:pt>
                <c:pt idx="5">
                  <c:v>2089.7812741161788</c:v>
                </c:pt>
                <c:pt idx="6">
                  <c:v>2463.4419705344412</c:v>
                </c:pt>
                <c:pt idx="7">
                  <c:v>2909.0792405318762</c:v>
                </c:pt>
                <c:pt idx="8">
                  <c:v>3633.2148382750302</c:v>
                </c:pt>
                <c:pt idx="9">
                  <c:v>3921.9294949873802</c:v>
                </c:pt>
                <c:pt idx="10" formatCode="General">
                  <c:v>3740.2918808873901</c:v>
                </c:pt>
              </c:numCache>
            </c:numRef>
          </c:yVal>
          <c:smooth val="0"/>
          <c:extLst>
            <c:ext xmlns:c16="http://schemas.microsoft.com/office/drawing/2014/chart" uri="{C3380CC4-5D6E-409C-BE32-E72D297353CC}">
              <c16:uniqueId val="{00000001-8090-48FF-868C-70CF6185CE11}"/>
            </c:ext>
          </c:extLst>
        </c:ser>
        <c:dLbls>
          <c:showLegendKey val="0"/>
          <c:showVal val="0"/>
          <c:showCatName val="0"/>
          <c:showSerName val="0"/>
          <c:showPercent val="0"/>
          <c:showBubbleSize val="0"/>
        </c:dLbls>
        <c:axId val="1503477407"/>
        <c:axId val="1503468671"/>
      </c:scatterChart>
      <c:catAx>
        <c:axId val="1503469919"/>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503464095"/>
        <c:crosses val="autoZero"/>
        <c:auto val="1"/>
        <c:lblAlgn val="ctr"/>
        <c:lblOffset val="100"/>
        <c:noMultiLvlLbl val="0"/>
      </c:catAx>
      <c:valAx>
        <c:axId val="1503464095"/>
        <c:scaling>
          <c:orientation val="minMax"/>
          <c:max val="2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en-US"/>
                  <a:t>mld. Kč</a:t>
                </a:r>
              </a:p>
            </c:rich>
          </c:tx>
          <c:layout>
            <c:manualLayout>
              <c:xMode val="edge"/>
              <c:yMode val="edge"/>
              <c:x val="1.3591088515510365E-2"/>
              <c:y val="0.34164067071233928"/>
            </c:manualLayout>
          </c:layout>
          <c:overlay val="0"/>
          <c:spPr>
            <a:noFill/>
            <a:ln>
              <a:noFill/>
            </a:ln>
            <a:effectLst/>
          </c:spPr>
          <c:txPr>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503469919"/>
        <c:crosses val="autoZero"/>
        <c:crossBetween val="between"/>
        <c:majorUnit val="2"/>
      </c:valAx>
      <c:valAx>
        <c:axId val="1503468671"/>
        <c:scaling>
          <c:orientation val="minMax"/>
          <c:max val="4000"/>
        </c:scaling>
        <c:delete val="0"/>
        <c:axPos val="r"/>
        <c:numFmt formatCode="#,##0" sourceLinked="0"/>
        <c:majorTickMark val="out"/>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crossAx val="1503477407"/>
        <c:crosses val="max"/>
        <c:crossBetween val="midCat"/>
        <c:majorUnit val="400"/>
      </c:valAx>
      <c:valAx>
        <c:axId val="1503477407"/>
        <c:scaling>
          <c:orientation val="minMax"/>
        </c:scaling>
        <c:delete val="1"/>
        <c:axPos val="b"/>
        <c:numFmt formatCode="General" sourceLinked="1"/>
        <c:majorTickMark val="out"/>
        <c:minorTickMark val="none"/>
        <c:tickLblPos val="nextTo"/>
        <c:crossAx val="1503468671"/>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'4.2'!$B$4</c:f>
              <c:strCache>
                <c:ptCount val="1"/>
                <c:pt idx="0">
                  <c:v> karantény či izolace</c:v>
                </c:pt>
              </c:strCache>
            </c:strRef>
          </c:tx>
          <c:spPr>
            <a:solidFill>
              <a:srgbClr val="B44946"/>
            </a:solidFill>
            <a:ln>
              <a:noFill/>
            </a:ln>
            <a:effectLst/>
          </c:spPr>
          <c:invertIfNegative val="0"/>
          <c:dLbls>
            <c:dLbl>
              <c:idx val="0"/>
              <c:tx>
                <c:rich>
                  <a:bodyPr/>
                  <a:lstStyle/>
                  <a:p>
                    <a:fld id="{DBA754C0-DA22-42FB-8B4A-059229AAF56F}" type="VALUE">
                      <a:rPr lang="en-US">
                        <a:solidFill>
                          <a:schemeClr val="bg1"/>
                        </a:solidFill>
                      </a:rPr>
                      <a:pPr/>
                      <a:t>[HODNOTA]</a:t>
                    </a:fld>
                    <a:endParaRPr lang="cs-CZ"/>
                  </a:p>
                </c:rich>
              </c:tx>
              <c:dLblPos val="inBase"/>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0-2D12-4996-AAF3-305DDF397764}"/>
                </c:ext>
              </c:extLst>
            </c:dLbl>
            <c:dLbl>
              <c:idx val="1"/>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dLblPos val="inBase"/>
              <c:showLegendKey val="0"/>
              <c:showVal val="1"/>
              <c:showCatName val="0"/>
              <c:showSerName val="0"/>
              <c:showPercent val="0"/>
              <c:showBubbleSize val="0"/>
              <c:extLst>
                <c:ext xmlns:c16="http://schemas.microsoft.com/office/drawing/2014/chart" uri="{C3380CC4-5D6E-409C-BE32-E72D297353CC}">
                  <c16:uniqueId val="{00000001-2D12-4996-AAF3-305DDF397764}"/>
                </c:ext>
              </c:extLst>
            </c:dLbl>
            <c:dLbl>
              <c:idx val="2"/>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dLblPos val="inBase"/>
              <c:showLegendKey val="0"/>
              <c:showVal val="1"/>
              <c:showCatName val="0"/>
              <c:showSerName val="0"/>
              <c:showPercent val="0"/>
              <c:showBubbleSize val="0"/>
              <c:extLst>
                <c:ext xmlns:c16="http://schemas.microsoft.com/office/drawing/2014/chart" uri="{C3380CC4-5D6E-409C-BE32-E72D297353CC}">
                  <c16:uniqueId val="{00000002-2D12-4996-AAF3-305DDF397764}"/>
                </c:ext>
              </c:extLst>
            </c:dLbl>
            <c:dLbl>
              <c:idx val="3"/>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dLblPos val="inBase"/>
              <c:showLegendKey val="0"/>
              <c:showVal val="1"/>
              <c:showCatName val="0"/>
              <c:showSerName val="0"/>
              <c:showPercent val="0"/>
              <c:showBubbleSize val="0"/>
              <c:extLst>
                <c:ext xmlns:c16="http://schemas.microsoft.com/office/drawing/2014/chart" uri="{C3380CC4-5D6E-409C-BE32-E72D297353CC}">
                  <c16:uniqueId val="{00000003-2D12-4996-AAF3-305DDF397764}"/>
                </c:ext>
              </c:extLst>
            </c:dLbl>
            <c:dLbl>
              <c:idx val="4"/>
              <c:layout>
                <c:manualLayout>
                  <c:x val="6.1322812389718831E-2"/>
                  <c:y val="9.6947088483961049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2D12-4996-AAF3-305DDF397764}"/>
                </c:ext>
              </c:extLst>
            </c:dLbl>
            <c:dLbl>
              <c:idx val="5"/>
              <c:layout>
                <c:manualLayout>
                  <c:x val="6.3074892743710795E-2"/>
                  <c:y val="2.9258972544688074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2D12-4996-AAF3-305DDF397764}"/>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'4.2'!$A$5:$A$10</c:f>
              <c:strCache>
                <c:ptCount val="6"/>
                <c:pt idx="0">
                  <c:v>leden</c:v>
                </c:pt>
                <c:pt idx="1">
                  <c:v>únor</c:v>
                </c:pt>
                <c:pt idx="2">
                  <c:v>březen</c:v>
                </c:pt>
                <c:pt idx="3">
                  <c:v>duben</c:v>
                </c:pt>
                <c:pt idx="4">
                  <c:v>květen</c:v>
                </c:pt>
                <c:pt idx="5">
                  <c:v>červen</c:v>
                </c:pt>
              </c:strCache>
            </c:strRef>
          </c:cat>
          <c:val>
            <c:numRef>
              <c:f>'4.2'!$B$5:$B$10</c:f>
              <c:numCache>
                <c:formatCode>#,##0</c:formatCode>
                <c:ptCount val="6"/>
                <c:pt idx="0">
                  <c:v>318231</c:v>
                </c:pt>
                <c:pt idx="1">
                  <c:v>368342</c:v>
                </c:pt>
                <c:pt idx="2">
                  <c:v>107043</c:v>
                </c:pt>
                <c:pt idx="3">
                  <c:v>38669</c:v>
                </c:pt>
                <c:pt idx="4">
                  <c:v>7951</c:v>
                </c:pt>
                <c:pt idx="5">
                  <c:v>6296</c:v>
                </c:pt>
              </c:numCache>
            </c:numRef>
          </c:val>
          <c:extLst>
            <c:ext xmlns:c16="http://schemas.microsoft.com/office/drawing/2014/chart" uri="{C3380CC4-5D6E-409C-BE32-E72D297353CC}">
              <c16:uniqueId val="{00000006-2D12-4996-AAF3-305DDF397764}"/>
            </c:ext>
          </c:extLst>
        </c:ser>
        <c:dLbls>
          <c:showLegendKey val="0"/>
          <c:showVal val="0"/>
          <c:showCatName val="0"/>
          <c:showSerName val="0"/>
          <c:showPercent val="0"/>
          <c:showBubbleSize val="0"/>
        </c:dLbls>
        <c:gapWidth val="70"/>
        <c:overlap val="-27"/>
        <c:axId val="684523359"/>
        <c:axId val="684534175"/>
      </c:barChart>
      <c:lineChart>
        <c:grouping val="stacked"/>
        <c:varyColors val="0"/>
        <c:ser>
          <c:idx val="1"/>
          <c:order val="1"/>
          <c:tx>
            <c:strRef>
              <c:f>'4.2'!$C$4</c:f>
              <c:strCache>
                <c:ptCount val="1"/>
                <c:pt idx="0">
                  <c:v> podíl na počtu vydaných neschopenek</c:v>
                </c:pt>
              </c:strCache>
            </c:strRef>
          </c:tx>
          <c:spPr>
            <a:ln w="25400" cap="rnd">
              <a:noFill/>
              <a:round/>
            </a:ln>
            <a:effectLst/>
          </c:spPr>
          <c:marker>
            <c:symbol val="circle"/>
            <c:size val="5"/>
            <c:spPr>
              <a:solidFill>
                <a:schemeClr val="accent2">
                  <a:lumMod val="40000"/>
                  <a:lumOff val="60000"/>
                </a:schemeClr>
              </a:solidFill>
              <a:ln w="9525">
                <a:solidFill>
                  <a:schemeClr val="tx1"/>
                </a:solidFill>
              </a:ln>
              <a:effectLst/>
            </c:spPr>
          </c:marker>
          <c:dLbls>
            <c:dLbl>
              <c:idx val="0"/>
              <c:numFmt formatCode="0\ %" sourceLinked="0"/>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dLblPos val="t"/>
              <c:showLegendKey val="0"/>
              <c:showVal val="1"/>
              <c:showCatName val="0"/>
              <c:showSerName val="0"/>
              <c:showPercent val="0"/>
              <c:showBubbleSize val="0"/>
              <c:extLst>
                <c:ext xmlns:c16="http://schemas.microsoft.com/office/drawing/2014/chart" uri="{C3380CC4-5D6E-409C-BE32-E72D297353CC}">
                  <c16:uniqueId val="{00000007-2D12-4996-AAF3-305DDF397764}"/>
                </c:ext>
              </c:extLst>
            </c:dLbl>
            <c:dLbl>
              <c:idx val="1"/>
              <c:numFmt formatCode="0\ %" sourceLinked="0"/>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dLblPos val="t"/>
              <c:showLegendKey val="0"/>
              <c:showVal val="1"/>
              <c:showCatName val="0"/>
              <c:showSerName val="0"/>
              <c:showPercent val="0"/>
              <c:showBubbleSize val="0"/>
              <c:extLst>
                <c:ext xmlns:c16="http://schemas.microsoft.com/office/drawing/2014/chart" uri="{C3380CC4-5D6E-409C-BE32-E72D297353CC}">
                  <c16:uniqueId val="{00000008-2D12-4996-AAF3-305DDF397764}"/>
                </c:ext>
              </c:extLst>
            </c:dLbl>
            <c:numFmt formatCode="0\ %" sourceLinked="0"/>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'4.2'!$A$5:$A$10</c:f>
              <c:strCache>
                <c:ptCount val="6"/>
                <c:pt idx="0">
                  <c:v>leden</c:v>
                </c:pt>
                <c:pt idx="1">
                  <c:v>únor</c:v>
                </c:pt>
                <c:pt idx="2">
                  <c:v>březen</c:v>
                </c:pt>
                <c:pt idx="3">
                  <c:v>duben</c:v>
                </c:pt>
                <c:pt idx="4">
                  <c:v>květen</c:v>
                </c:pt>
                <c:pt idx="5">
                  <c:v>červen</c:v>
                </c:pt>
              </c:strCache>
            </c:strRef>
          </c:cat>
          <c:val>
            <c:numRef>
              <c:f>'4.2'!$C$5:$C$10</c:f>
              <c:numCache>
                <c:formatCode>General</c:formatCode>
                <c:ptCount val="6"/>
                <c:pt idx="0">
                  <c:v>0.53482224186668725</c:v>
                </c:pt>
                <c:pt idx="1">
                  <c:v>0.58862389895296663</c:v>
                </c:pt>
                <c:pt idx="2">
                  <c:v>0.29107387587287087</c:v>
                </c:pt>
                <c:pt idx="3">
                  <c:v>0.15745668505812652</c:v>
                </c:pt>
                <c:pt idx="4">
                  <c:v>3.8788014791254037E-2</c:v>
                </c:pt>
                <c:pt idx="5">
                  <c:v>3.4910284560959924E-2</c:v>
                </c:pt>
              </c:numCache>
            </c:numRef>
          </c:val>
          <c:smooth val="0"/>
          <c:extLst>
            <c:ext xmlns:c16="http://schemas.microsoft.com/office/drawing/2014/chart" uri="{C3380CC4-5D6E-409C-BE32-E72D297353CC}">
              <c16:uniqueId val="{00000009-2D12-4996-AAF3-305DDF397764}"/>
            </c:ext>
          </c:extLst>
        </c:ser>
        <c:dLbls>
          <c:showLegendKey val="0"/>
          <c:showVal val="0"/>
          <c:showCatName val="0"/>
          <c:showSerName val="0"/>
          <c:showPercent val="0"/>
          <c:showBubbleSize val="0"/>
        </c:dLbls>
        <c:marker val="1"/>
        <c:smooth val="0"/>
        <c:axId val="483886319"/>
        <c:axId val="483885903"/>
      </c:lineChart>
      <c:catAx>
        <c:axId val="684523359"/>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684534175"/>
        <c:crosses val="autoZero"/>
        <c:auto val="1"/>
        <c:lblAlgn val="ctr"/>
        <c:lblOffset val="100"/>
        <c:noMultiLvlLbl val="0"/>
      </c:catAx>
      <c:valAx>
        <c:axId val="684534175"/>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out"/>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684523359"/>
        <c:crosses val="autoZero"/>
        <c:crossBetween val="between"/>
      </c:valAx>
      <c:valAx>
        <c:axId val="483885903"/>
        <c:scaling>
          <c:orientation val="minMax"/>
          <c:max val="1"/>
          <c:min val="0"/>
        </c:scaling>
        <c:delete val="0"/>
        <c:axPos val="r"/>
        <c:numFmt formatCode="0\ %" sourceLinked="0"/>
        <c:majorTickMark val="out"/>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crossAx val="483886319"/>
        <c:crosses val="max"/>
        <c:crossBetween val="between"/>
        <c:majorUnit val="0.1"/>
      </c:valAx>
      <c:catAx>
        <c:axId val="483886319"/>
        <c:scaling>
          <c:orientation val="minMax"/>
        </c:scaling>
        <c:delete val="1"/>
        <c:axPos val="b"/>
        <c:numFmt formatCode="General" sourceLinked="1"/>
        <c:majorTickMark val="out"/>
        <c:minorTickMark val="none"/>
        <c:tickLblPos val="nextTo"/>
        <c:crossAx val="483885903"/>
        <c:crosses val="autoZero"/>
        <c:auto val="1"/>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2"/>
          <c:order val="0"/>
          <c:tx>
            <c:strRef>
              <c:f>'4.3'!$B$4</c:f>
              <c:strCache>
                <c:ptCount val="1"/>
                <c:pt idx="0">
                  <c:v> 1. pol. 2020 (od 1. 3.)</c:v>
                </c:pt>
              </c:strCache>
            </c:strRef>
          </c:tx>
          <c:spPr>
            <a:ln w="28575" cap="rnd">
              <a:solidFill>
                <a:srgbClr val="E8C1BE"/>
              </a:solidFill>
              <a:round/>
            </a:ln>
            <a:effectLst/>
          </c:spPr>
          <c:marker>
            <c:symbol val="none"/>
          </c:marker>
          <c:cat>
            <c:strRef>
              <c:f>'4.3'!$A$5:$A$185</c:f>
              <c:strCache>
                <c:ptCount val="181"/>
                <c:pt idx="0">
                  <c:v>01.01.</c:v>
                </c:pt>
                <c:pt idx="1">
                  <c:v>02.01.</c:v>
                </c:pt>
                <c:pt idx="2">
                  <c:v>03.01.</c:v>
                </c:pt>
                <c:pt idx="3">
                  <c:v>04.01.</c:v>
                </c:pt>
                <c:pt idx="4">
                  <c:v>05.01.</c:v>
                </c:pt>
                <c:pt idx="5">
                  <c:v>06.01.</c:v>
                </c:pt>
                <c:pt idx="6">
                  <c:v>07.01.</c:v>
                </c:pt>
                <c:pt idx="7">
                  <c:v>08.01.</c:v>
                </c:pt>
                <c:pt idx="8">
                  <c:v>09.01.</c:v>
                </c:pt>
                <c:pt idx="9">
                  <c:v>10.01.</c:v>
                </c:pt>
                <c:pt idx="10">
                  <c:v>11.01.</c:v>
                </c:pt>
                <c:pt idx="11">
                  <c:v>12.01.</c:v>
                </c:pt>
                <c:pt idx="12">
                  <c:v>13.01.</c:v>
                </c:pt>
                <c:pt idx="13">
                  <c:v>14.01.</c:v>
                </c:pt>
                <c:pt idx="14">
                  <c:v>15.01.</c:v>
                </c:pt>
                <c:pt idx="15">
                  <c:v>16.01.</c:v>
                </c:pt>
                <c:pt idx="16">
                  <c:v>17.01.</c:v>
                </c:pt>
                <c:pt idx="17">
                  <c:v>18.01.</c:v>
                </c:pt>
                <c:pt idx="18">
                  <c:v>19.01.</c:v>
                </c:pt>
                <c:pt idx="19">
                  <c:v>20.01.</c:v>
                </c:pt>
                <c:pt idx="20">
                  <c:v>21.01.</c:v>
                </c:pt>
                <c:pt idx="21">
                  <c:v>22.01.</c:v>
                </c:pt>
                <c:pt idx="22">
                  <c:v>23.01.</c:v>
                </c:pt>
                <c:pt idx="23">
                  <c:v>24.01.</c:v>
                </c:pt>
                <c:pt idx="24">
                  <c:v>25.01.</c:v>
                </c:pt>
                <c:pt idx="25">
                  <c:v>26.01.</c:v>
                </c:pt>
                <c:pt idx="26">
                  <c:v>27.01.</c:v>
                </c:pt>
                <c:pt idx="27">
                  <c:v>28.01.</c:v>
                </c:pt>
                <c:pt idx="28">
                  <c:v>29.01.</c:v>
                </c:pt>
                <c:pt idx="29">
                  <c:v>30.01.</c:v>
                </c:pt>
                <c:pt idx="30">
                  <c:v>31.01.</c:v>
                </c:pt>
                <c:pt idx="31">
                  <c:v>01.02.</c:v>
                </c:pt>
                <c:pt idx="32">
                  <c:v>02.02.</c:v>
                </c:pt>
                <c:pt idx="33">
                  <c:v>03.02.</c:v>
                </c:pt>
                <c:pt idx="34">
                  <c:v>04.02.</c:v>
                </c:pt>
                <c:pt idx="35">
                  <c:v>05.02.</c:v>
                </c:pt>
                <c:pt idx="36">
                  <c:v>06.02.</c:v>
                </c:pt>
                <c:pt idx="37">
                  <c:v>07.02.</c:v>
                </c:pt>
                <c:pt idx="38">
                  <c:v>08.02.</c:v>
                </c:pt>
                <c:pt idx="39">
                  <c:v>09.02.</c:v>
                </c:pt>
                <c:pt idx="40">
                  <c:v>10.02.</c:v>
                </c:pt>
                <c:pt idx="41">
                  <c:v>11.02.</c:v>
                </c:pt>
                <c:pt idx="42">
                  <c:v>12.02.</c:v>
                </c:pt>
                <c:pt idx="43">
                  <c:v>13.02.</c:v>
                </c:pt>
                <c:pt idx="44">
                  <c:v>14.02.</c:v>
                </c:pt>
                <c:pt idx="45">
                  <c:v>15.02.</c:v>
                </c:pt>
                <c:pt idx="46">
                  <c:v>16.02.</c:v>
                </c:pt>
                <c:pt idx="47">
                  <c:v>17.02.</c:v>
                </c:pt>
                <c:pt idx="48">
                  <c:v>18.02.</c:v>
                </c:pt>
                <c:pt idx="49">
                  <c:v>19.02.</c:v>
                </c:pt>
                <c:pt idx="50">
                  <c:v>20.02.</c:v>
                </c:pt>
                <c:pt idx="51">
                  <c:v>21.02.</c:v>
                </c:pt>
                <c:pt idx="52">
                  <c:v>22.02.</c:v>
                </c:pt>
                <c:pt idx="53">
                  <c:v>23.02.</c:v>
                </c:pt>
                <c:pt idx="54">
                  <c:v>24.02.</c:v>
                </c:pt>
                <c:pt idx="55">
                  <c:v>25.02.</c:v>
                </c:pt>
                <c:pt idx="56">
                  <c:v>26.02.</c:v>
                </c:pt>
                <c:pt idx="57">
                  <c:v>27.02.</c:v>
                </c:pt>
                <c:pt idx="58">
                  <c:v>28.02.</c:v>
                </c:pt>
                <c:pt idx="59">
                  <c:v>01.03.</c:v>
                </c:pt>
                <c:pt idx="60">
                  <c:v>02.03.</c:v>
                </c:pt>
                <c:pt idx="61">
                  <c:v>03.03.</c:v>
                </c:pt>
                <c:pt idx="62">
                  <c:v>04.03.</c:v>
                </c:pt>
                <c:pt idx="63">
                  <c:v>05.03.</c:v>
                </c:pt>
                <c:pt idx="64">
                  <c:v>06.03.</c:v>
                </c:pt>
                <c:pt idx="65">
                  <c:v>07.03.</c:v>
                </c:pt>
                <c:pt idx="66">
                  <c:v>08.03.</c:v>
                </c:pt>
                <c:pt idx="67">
                  <c:v>09.03.</c:v>
                </c:pt>
                <c:pt idx="68">
                  <c:v>10.03.</c:v>
                </c:pt>
                <c:pt idx="69">
                  <c:v>11.03.</c:v>
                </c:pt>
                <c:pt idx="70">
                  <c:v>12.03.</c:v>
                </c:pt>
                <c:pt idx="71">
                  <c:v>13.03.</c:v>
                </c:pt>
                <c:pt idx="72">
                  <c:v>14.03.</c:v>
                </c:pt>
                <c:pt idx="73">
                  <c:v>15.03.</c:v>
                </c:pt>
                <c:pt idx="74">
                  <c:v>16.03.</c:v>
                </c:pt>
                <c:pt idx="75">
                  <c:v>17.03.</c:v>
                </c:pt>
                <c:pt idx="76">
                  <c:v>18.03.</c:v>
                </c:pt>
                <c:pt idx="77">
                  <c:v>19.03.</c:v>
                </c:pt>
                <c:pt idx="78">
                  <c:v>20.03.</c:v>
                </c:pt>
                <c:pt idx="79">
                  <c:v>21.03.</c:v>
                </c:pt>
                <c:pt idx="80">
                  <c:v>22.03.</c:v>
                </c:pt>
                <c:pt idx="81">
                  <c:v>23.03.</c:v>
                </c:pt>
                <c:pt idx="82">
                  <c:v>24.03.</c:v>
                </c:pt>
                <c:pt idx="83">
                  <c:v>25.03.</c:v>
                </c:pt>
                <c:pt idx="84">
                  <c:v>26.03.</c:v>
                </c:pt>
                <c:pt idx="85">
                  <c:v>27.03.</c:v>
                </c:pt>
                <c:pt idx="86">
                  <c:v>28.03.</c:v>
                </c:pt>
                <c:pt idx="87">
                  <c:v>29.03.</c:v>
                </c:pt>
                <c:pt idx="88">
                  <c:v>30.03.</c:v>
                </c:pt>
                <c:pt idx="89">
                  <c:v>31.03.</c:v>
                </c:pt>
                <c:pt idx="90">
                  <c:v>01.04.</c:v>
                </c:pt>
                <c:pt idx="91">
                  <c:v>02.04.</c:v>
                </c:pt>
                <c:pt idx="92">
                  <c:v>03.04.</c:v>
                </c:pt>
                <c:pt idx="93">
                  <c:v>04.04.</c:v>
                </c:pt>
                <c:pt idx="94">
                  <c:v>05.04.</c:v>
                </c:pt>
                <c:pt idx="95">
                  <c:v>06.04.</c:v>
                </c:pt>
                <c:pt idx="96">
                  <c:v>07.04.</c:v>
                </c:pt>
                <c:pt idx="97">
                  <c:v>08.04.</c:v>
                </c:pt>
                <c:pt idx="98">
                  <c:v>09.04.</c:v>
                </c:pt>
                <c:pt idx="99">
                  <c:v>10.04.</c:v>
                </c:pt>
                <c:pt idx="100">
                  <c:v>11.04.</c:v>
                </c:pt>
                <c:pt idx="101">
                  <c:v>12.04.</c:v>
                </c:pt>
                <c:pt idx="102">
                  <c:v>13.04.</c:v>
                </c:pt>
                <c:pt idx="103">
                  <c:v>14.04.</c:v>
                </c:pt>
                <c:pt idx="104">
                  <c:v>15.04.</c:v>
                </c:pt>
                <c:pt idx="105">
                  <c:v>16.04.</c:v>
                </c:pt>
                <c:pt idx="106">
                  <c:v>17.04.</c:v>
                </c:pt>
                <c:pt idx="107">
                  <c:v>18.04.</c:v>
                </c:pt>
                <c:pt idx="108">
                  <c:v>19.04.</c:v>
                </c:pt>
                <c:pt idx="109">
                  <c:v>20.04.</c:v>
                </c:pt>
                <c:pt idx="110">
                  <c:v>21.04.</c:v>
                </c:pt>
                <c:pt idx="111">
                  <c:v>22.04.</c:v>
                </c:pt>
                <c:pt idx="112">
                  <c:v>23.04.</c:v>
                </c:pt>
                <c:pt idx="113">
                  <c:v>24.04.</c:v>
                </c:pt>
                <c:pt idx="114">
                  <c:v>25.04.</c:v>
                </c:pt>
                <c:pt idx="115">
                  <c:v>26.04.</c:v>
                </c:pt>
                <c:pt idx="116">
                  <c:v>27.04.</c:v>
                </c:pt>
                <c:pt idx="117">
                  <c:v>28.04.</c:v>
                </c:pt>
                <c:pt idx="118">
                  <c:v>29.04.</c:v>
                </c:pt>
                <c:pt idx="119">
                  <c:v>30.04.</c:v>
                </c:pt>
                <c:pt idx="120">
                  <c:v>01.05.</c:v>
                </c:pt>
                <c:pt idx="121">
                  <c:v>02.05.</c:v>
                </c:pt>
                <c:pt idx="122">
                  <c:v>03.05.</c:v>
                </c:pt>
                <c:pt idx="123">
                  <c:v>04.05.</c:v>
                </c:pt>
                <c:pt idx="124">
                  <c:v>05.05.</c:v>
                </c:pt>
                <c:pt idx="125">
                  <c:v>06.05.</c:v>
                </c:pt>
                <c:pt idx="126">
                  <c:v>07.05.</c:v>
                </c:pt>
                <c:pt idx="127">
                  <c:v>08.05.</c:v>
                </c:pt>
                <c:pt idx="128">
                  <c:v>09.05.</c:v>
                </c:pt>
                <c:pt idx="129">
                  <c:v>10.05.</c:v>
                </c:pt>
                <c:pt idx="130">
                  <c:v>11.05.</c:v>
                </c:pt>
                <c:pt idx="131">
                  <c:v>12.05.</c:v>
                </c:pt>
                <c:pt idx="132">
                  <c:v>13.05.</c:v>
                </c:pt>
                <c:pt idx="133">
                  <c:v>14.05.</c:v>
                </c:pt>
                <c:pt idx="134">
                  <c:v>15.05.</c:v>
                </c:pt>
                <c:pt idx="135">
                  <c:v>16.05.</c:v>
                </c:pt>
                <c:pt idx="136">
                  <c:v>17.05.</c:v>
                </c:pt>
                <c:pt idx="137">
                  <c:v>18.05.</c:v>
                </c:pt>
                <c:pt idx="138">
                  <c:v>19.05.</c:v>
                </c:pt>
                <c:pt idx="139">
                  <c:v>20.05.</c:v>
                </c:pt>
                <c:pt idx="140">
                  <c:v>21.05.</c:v>
                </c:pt>
                <c:pt idx="141">
                  <c:v>22.05.</c:v>
                </c:pt>
                <c:pt idx="142">
                  <c:v>23.05.</c:v>
                </c:pt>
                <c:pt idx="143">
                  <c:v>24.05.</c:v>
                </c:pt>
                <c:pt idx="144">
                  <c:v>25.05.</c:v>
                </c:pt>
                <c:pt idx="145">
                  <c:v>26.05.</c:v>
                </c:pt>
                <c:pt idx="146">
                  <c:v>27.05.</c:v>
                </c:pt>
                <c:pt idx="147">
                  <c:v>28.05.</c:v>
                </c:pt>
                <c:pt idx="148">
                  <c:v>29.05.</c:v>
                </c:pt>
                <c:pt idx="149">
                  <c:v>30.05.</c:v>
                </c:pt>
                <c:pt idx="150">
                  <c:v>31.05.</c:v>
                </c:pt>
                <c:pt idx="151">
                  <c:v>01.06.</c:v>
                </c:pt>
                <c:pt idx="152">
                  <c:v>02.06.</c:v>
                </c:pt>
                <c:pt idx="153">
                  <c:v>03.06.</c:v>
                </c:pt>
                <c:pt idx="154">
                  <c:v>04.06.</c:v>
                </c:pt>
                <c:pt idx="155">
                  <c:v>05.06.</c:v>
                </c:pt>
                <c:pt idx="156">
                  <c:v>06.06.</c:v>
                </c:pt>
                <c:pt idx="157">
                  <c:v>07.06.</c:v>
                </c:pt>
                <c:pt idx="158">
                  <c:v>08.06.</c:v>
                </c:pt>
                <c:pt idx="159">
                  <c:v>09.06.</c:v>
                </c:pt>
                <c:pt idx="160">
                  <c:v>10.06.</c:v>
                </c:pt>
                <c:pt idx="161">
                  <c:v>11.06.</c:v>
                </c:pt>
                <c:pt idx="162">
                  <c:v>12.06.</c:v>
                </c:pt>
                <c:pt idx="163">
                  <c:v>13.06.</c:v>
                </c:pt>
                <c:pt idx="164">
                  <c:v>14.06.</c:v>
                </c:pt>
                <c:pt idx="165">
                  <c:v>15.06.</c:v>
                </c:pt>
                <c:pt idx="166">
                  <c:v>16.06.</c:v>
                </c:pt>
                <c:pt idx="167">
                  <c:v>17.06.</c:v>
                </c:pt>
                <c:pt idx="168">
                  <c:v>18.06.</c:v>
                </c:pt>
                <c:pt idx="169">
                  <c:v>19.06.</c:v>
                </c:pt>
                <c:pt idx="170">
                  <c:v>20.06.</c:v>
                </c:pt>
                <c:pt idx="171">
                  <c:v>21.06.</c:v>
                </c:pt>
                <c:pt idx="172">
                  <c:v>22.06.</c:v>
                </c:pt>
                <c:pt idx="173">
                  <c:v>23.06.</c:v>
                </c:pt>
                <c:pt idx="174">
                  <c:v>24.06.</c:v>
                </c:pt>
                <c:pt idx="175">
                  <c:v>25.06.</c:v>
                </c:pt>
                <c:pt idx="176">
                  <c:v>26.06.</c:v>
                </c:pt>
                <c:pt idx="177">
                  <c:v>27.06.</c:v>
                </c:pt>
                <c:pt idx="178">
                  <c:v>28.06.</c:v>
                </c:pt>
                <c:pt idx="179">
                  <c:v>29.06.</c:v>
                </c:pt>
                <c:pt idx="180">
                  <c:v>30.06.</c:v>
                </c:pt>
              </c:strCache>
            </c:strRef>
          </c:cat>
          <c:val>
            <c:numRef>
              <c:f>'4.3'!$B$5:$B$185</c:f>
              <c:numCache>
                <c:formatCode>General</c:formatCode>
                <c:ptCount val="181"/>
                <c:pt idx="59">
                  <c:v>35</c:v>
                </c:pt>
                <c:pt idx="60">
                  <c:v>128</c:v>
                </c:pt>
                <c:pt idx="61">
                  <c:v>165</c:v>
                </c:pt>
                <c:pt idx="62">
                  <c:v>203</c:v>
                </c:pt>
                <c:pt idx="63">
                  <c:v>259</c:v>
                </c:pt>
                <c:pt idx="64">
                  <c:v>430</c:v>
                </c:pt>
                <c:pt idx="65">
                  <c:v>807</c:v>
                </c:pt>
                <c:pt idx="66">
                  <c:v>968</c:v>
                </c:pt>
                <c:pt idx="67">
                  <c:v>2613</c:v>
                </c:pt>
                <c:pt idx="68">
                  <c:v>2878</c:v>
                </c:pt>
                <c:pt idx="69">
                  <c:v>3273</c:v>
                </c:pt>
                <c:pt idx="70">
                  <c:v>3727</c:v>
                </c:pt>
                <c:pt idx="71">
                  <c:v>5974</c:v>
                </c:pt>
                <c:pt idx="72">
                  <c:v>6827</c:v>
                </c:pt>
                <c:pt idx="73">
                  <c:v>7286</c:v>
                </c:pt>
                <c:pt idx="74">
                  <c:v>13988</c:v>
                </c:pt>
                <c:pt idx="75">
                  <c:v>17018</c:v>
                </c:pt>
                <c:pt idx="76">
                  <c:v>18150</c:v>
                </c:pt>
                <c:pt idx="77">
                  <c:v>19338</c:v>
                </c:pt>
                <c:pt idx="78">
                  <c:v>20823</c:v>
                </c:pt>
                <c:pt idx="79">
                  <c:v>20173</c:v>
                </c:pt>
                <c:pt idx="80">
                  <c:v>20020</c:v>
                </c:pt>
                <c:pt idx="81">
                  <c:v>21460</c:v>
                </c:pt>
                <c:pt idx="82">
                  <c:v>21460</c:v>
                </c:pt>
                <c:pt idx="83">
                  <c:v>21920</c:v>
                </c:pt>
                <c:pt idx="84">
                  <c:v>22403</c:v>
                </c:pt>
                <c:pt idx="85">
                  <c:v>22350</c:v>
                </c:pt>
                <c:pt idx="86">
                  <c:v>19753</c:v>
                </c:pt>
                <c:pt idx="87">
                  <c:v>19198</c:v>
                </c:pt>
                <c:pt idx="88">
                  <c:v>17799</c:v>
                </c:pt>
                <c:pt idx="89">
                  <c:v>15341</c:v>
                </c:pt>
                <c:pt idx="90">
                  <c:v>13764</c:v>
                </c:pt>
                <c:pt idx="91">
                  <c:v>13293</c:v>
                </c:pt>
                <c:pt idx="92">
                  <c:v>12995</c:v>
                </c:pt>
                <c:pt idx="93">
                  <c:v>11956</c:v>
                </c:pt>
                <c:pt idx="94">
                  <c:v>11867</c:v>
                </c:pt>
                <c:pt idx="95">
                  <c:v>12182</c:v>
                </c:pt>
                <c:pt idx="96">
                  <c:v>11298</c:v>
                </c:pt>
                <c:pt idx="97">
                  <c:v>10792</c:v>
                </c:pt>
                <c:pt idx="98">
                  <c:v>10442</c:v>
                </c:pt>
                <c:pt idx="99">
                  <c:v>9330</c:v>
                </c:pt>
                <c:pt idx="100">
                  <c:v>9092</c:v>
                </c:pt>
                <c:pt idx="101">
                  <c:v>9003</c:v>
                </c:pt>
                <c:pt idx="102">
                  <c:v>8808</c:v>
                </c:pt>
                <c:pt idx="103">
                  <c:v>9090</c:v>
                </c:pt>
                <c:pt idx="104">
                  <c:v>7993</c:v>
                </c:pt>
                <c:pt idx="105">
                  <c:v>7668</c:v>
                </c:pt>
                <c:pt idx="106">
                  <c:v>7384</c:v>
                </c:pt>
                <c:pt idx="107">
                  <c:v>6759</c:v>
                </c:pt>
                <c:pt idx="108">
                  <c:v>6719</c:v>
                </c:pt>
                <c:pt idx="109">
                  <c:v>6882</c:v>
                </c:pt>
                <c:pt idx="110">
                  <c:v>6523</c:v>
                </c:pt>
                <c:pt idx="111">
                  <c:v>6279</c:v>
                </c:pt>
                <c:pt idx="112">
                  <c:v>6117</c:v>
                </c:pt>
                <c:pt idx="113">
                  <c:v>6049</c:v>
                </c:pt>
                <c:pt idx="114">
                  <c:v>5635</c:v>
                </c:pt>
                <c:pt idx="115">
                  <c:v>5613</c:v>
                </c:pt>
                <c:pt idx="116">
                  <c:v>5804</c:v>
                </c:pt>
                <c:pt idx="117">
                  <c:v>5507</c:v>
                </c:pt>
                <c:pt idx="118">
                  <c:v>5329</c:v>
                </c:pt>
                <c:pt idx="119">
                  <c:v>5112</c:v>
                </c:pt>
                <c:pt idx="120">
                  <c:v>4524</c:v>
                </c:pt>
                <c:pt idx="121">
                  <c:v>4481</c:v>
                </c:pt>
                <c:pt idx="122">
                  <c:v>4445</c:v>
                </c:pt>
                <c:pt idx="123">
                  <c:v>4455</c:v>
                </c:pt>
                <c:pt idx="124">
                  <c:v>3959</c:v>
                </c:pt>
                <c:pt idx="125">
                  <c:v>3763</c:v>
                </c:pt>
                <c:pt idx="126">
                  <c:v>3602</c:v>
                </c:pt>
                <c:pt idx="127">
                  <c:v>3290</c:v>
                </c:pt>
                <c:pt idx="128">
                  <c:v>3254</c:v>
                </c:pt>
                <c:pt idx="129">
                  <c:v>3245</c:v>
                </c:pt>
                <c:pt idx="130">
                  <c:v>3292</c:v>
                </c:pt>
                <c:pt idx="131">
                  <c:v>3016</c:v>
                </c:pt>
                <c:pt idx="132">
                  <c:v>2903</c:v>
                </c:pt>
                <c:pt idx="133">
                  <c:v>2833</c:v>
                </c:pt>
                <c:pt idx="134">
                  <c:v>2779</c:v>
                </c:pt>
                <c:pt idx="135">
                  <c:v>2602</c:v>
                </c:pt>
                <c:pt idx="136">
                  <c:v>2583</c:v>
                </c:pt>
                <c:pt idx="137">
                  <c:v>2686</c:v>
                </c:pt>
                <c:pt idx="138">
                  <c:v>2617</c:v>
                </c:pt>
                <c:pt idx="139">
                  <c:v>2623</c:v>
                </c:pt>
                <c:pt idx="140">
                  <c:v>2689</c:v>
                </c:pt>
                <c:pt idx="141">
                  <c:v>2692</c:v>
                </c:pt>
                <c:pt idx="142">
                  <c:v>2581</c:v>
                </c:pt>
                <c:pt idx="143">
                  <c:v>2571</c:v>
                </c:pt>
                <c:pt idx="144">
                  <c:v>2658</c:v>
                </c:pt>
                <c:pt idx="145">
                  <c:v>2634</c:v>
                </c:pt>
                <c:pt idx="146">
                  <c:v>2614</c:v>
                </c:pt>
                <c:pt idx="147">
                  <c:v>2578</c:v>
                </c:pt>
                <c:pt idx="148">
                  <c:v>2570</c:v>
                </c:pt>
                <c:pt idx="149">
                  <c:v>2454</c:v>
                </c:pt>
                <c:pt idx="150">
                  <c:v>2446</c:v>
                </c:pt>
                <c:pt idx="151">
                  <c:v>2393</c:v>
                </c:pt>
                <c:pt idx="152">
                  <c:v>2241</c:v>
                </c:pt>
                <c:pt idx="153">
                  <c:v>2195</c:v>
                </c:pt>
                <c:pt idx="154">
                  <c:v>2145</c:v>
                </c:pt>
                <c:pt idx="155">
                  <c:v>2072</c:v>
                </c:pt>
                <c:pt idx="156">
                  <c:v>1926</c:v>
                </c:pt>
                <c:pt idx="157">
                  <c:v>1919</c:v>
                </c:pt>
                <c:pt idx="158">
                  <c:v>1940</c:v>
                </c:pt>
                <c:pt idx="159">
                  <c:v>1919</c:v>
                </c:pt>
                <c:pt idx="160">
                  <c:v>1881</c:v>
                </c:pt>
                <c:pt idx="161">
                  <c:v>1875</c:v>
                </c:pt>
                <c:pt idx="162">
                  <c:v>1862</c:v>
                </c:pt>
                <c:pt idx="163">
                  <c:v>1764</c:v>
                </c:pt>
                <c:pt idx="164">
                  <c:v>1758</c:v>
                </c:pt>
                <c:pt idx="165">
                  <c:v>1826</c:v>
                </c:pt>
                <c:pt idx="166">
                  <c:v>1764</c:v>
                </c:pt>
                <c:pt idx="167">
                  <c:v>1746</c:v>
                </c:pt>
                <c:pt idx="168">
                  <c:v>1784</c:v>
                </c:pt>
                <c:pt idx="169">
                  <c:v>1851</c:v>
                </c:pt>
                <c:pt idx="170">
                  <c:v>1754</c:v>
                </c:pt>
                <c:pt idx="171">
                  <c:v>1748</c:v>
                </c:pt>
                <c:pt idx="172">
                  <c:v>1967</c:v>
                </c:pt>
                <c:pt idx="173">
                  <c:v>2009</c:v>
                </c:pt>
                <c:pt idx="174">
                  <c:v>2072</c:v>
                </c:pt>
                <c:pt idx="175">
                  <c:v>2151</c:v>
                </c:pt>
                <c:pt idx="176">
                  <c:v>2263</c:v>
                </c:pt>
                <c:pt idx="177">
                  <c:v>2173</c:v>
                </c:pt>
                <c:pt idx="178">
                  <c:v>2170</c:v>
                </c:pt>
                <c:pt idx="179">
                  <c:v>2502</c:v>
                </c:pt>
                <c:pt idx="180">
                  <c:v>2645</c:v>
                </c:pt>
              </c:numCache>
            </c:numRef>
          </c:val>
          <c:smooth val="0"/>
          <c:extLst>
            <c:ext xmlns:c16="http://schemas.microsoft.com/office/drawing/2014/chart" uri="{C3380CC4-5D6E-409C-BE32-E72D297353CC}">
              <c16:uniqueId val="{00000000-E1F4-4E36-87C8-D26F91FCE70B}"/>
            </c:ext>
          </c:extLst>
        </c:ser>
        <c:ser>
          <c:idx val="0"/>
          <c:order val="1"/>
          <c:tx>
            <c:strRef>
              <c:f>'4.3'!$C$4</c:f>
              <c:strCache>
                <c:ptCount val="1"/>
                <c:pt idx="0">
                  <c:v> 1. pol. 2021</c:v>
                </c:pt>
              </c:strCache>
            </c:strRef>
          </c:tx>
          <c:spPr>
            <a:ln w="28575" cap="rnd">
              <a:solidFill>
                <a:srgbClr val="B44946"/>
              </a:solidFill>
              <a:round/>
            </a:ln>
            <a:effectLst/>
          </c:spPr>
          <c:marker>
            <c:symbol val="none"/>
          </c:marker>
          <c:cat>
            <c:strRef>
              <c:f>'4.3'!$A$5:$A$185</c:f>
              <c:strCache>
                <c:ptCount val="181"/>
                <c:pt idx="0">
                  <c:v>01.01.</c:v>
                </c:pt>
                <c:pt idx="1">
                  <c:v>02.01.</c:v>
                </c:pt>
                <c:pt idx="2">
                  <c:v>03.01.</c:v>
                </c:pt>
                <c:pt idx="3">
                  <c:v>04.01.</c:v>
                </c:pt>
                <c:pt idx="4">
                  <c:v>05.01.</c:v>
                </c:pt>
                <c:pt idx="5">
                  <c:v>06.01.</c:v>
                </c:pt>
                <c:pt idx="6">
                  <c:v>07.01.</c:v>
                </c:pt>
                <c:pt idx="7">
                  <c:v>08.01.</c:v>
                </c:pt>
                <c:pt idx="8">
                  <c:v>09.01.</c:v>
                </c:pt>
                <c:pt idx="9">
                  <c:v>10.01.</c:v>
                </c:pt>
                <c:pt idx="10">
                  <c:v>11.01.</c:v>
                </c:pt>
                <c:pt idx="11">
                  <c:v>12.01.</c:v>
                </c:pt>
                <c:pt idx="12">
                  <c:v>13.01.</c:v>
                </c:pt>
                <c:pt idx="13">
                  <c:v>14.01.</c:v>
                </c:pt>
                <c:pt idx="14">
                  <c:v>15.01.</c:v>
                </c:pt>
                <c:pt idx="15">
                  <c:v>16.01.</c:v>
                </c:pt>
                <c:pt idx="16">
                  <c:v>17.01.</c:v>
                </c:pt>
                <c:pt idx="17">
                  <c:v>18.01.</c:v>
                </c:pt>
                <c:pt idx="18">
                  <c:v>19.01.</c:v>
                </c:pt>
                <c:pt idx="19">
                  <c:v>20.01.</c:v>
                </c:pt>
                <c:pt idx="20">
                  <c:v>21.01.</c:v>
                </c:pt>
                <c:pt idx="21">
                  <c:v>22.01.</c:v>
                </c:pt>
                <c:pt idx="22">
                  <c:v>23.01.</c:v>
                </c:pt>
                <c:pt idx="23">
                  <c:v>24.01.</c:v>
                </c:pt>
                <c:pt idx="24">
                  <c:v>25.01.</c:v>
                </c:pt>
                <c:pt idx="25">
                  <c:v>26.01.</c:v>
                </c:pt>
                <c:pt idx="26">
                  <c:v>27.01.</c:v>
                </c:pt>
                <c:pt idx="27">
                  <c:v>28.01.</c:v>
                </c:pt>
                <c:pt idx="28">
                  <c:v>29.01.</c:v>
                </c:pt>
                <c:pt idx="29">
                  <c:v>30.01.</c:v>
                </c:pt>
                <c:pt idx="30">
                  <c:v>31.01.</c:v>
                </c:pt>
                <c:pt idx="31">
                  <c:v>01.02.</c:v>
                </c:pt>
                <c:pt idx="32">
                  <c:v>02.02.</c:v>
                </c:pt>
                <c:pt idx="33">
                  <c:v>03.02.</c:v>
                </c:pt>
                <c:pt idx="34">
                  <c:v>04.02.</c:v>
                </c:pt>
                <c:pt idx="35">
                  <c:v>05.02.</c:v>
                </c:pt>
                <c:pt idx="36">
                  <c:v>06.02.</c:v>
                </c:pt>
                <c:pt idx="37">
                  <c:v>07.02.</c:v>
                </c:pt>
                <c:pt idx="38">
                  <c:v>08.02.</c:v>
                </c:pt>
                <c:pt idx="39">
                  <c:v>09.02.</c:v>
                </c:pt>
                <c:pt idx="40">
                  <c:v>10.02.</c:v>
                </c:pt>
                <c:pt idx="41">
                  <c:v>11.02.</c:v>
                </c:pt>
                <c:pt idx="42">
                  <c:v>12.02.</c:v>
                </c:pt>
                <c:pt idx="43">
                  <c:v>13.02.</c:v>
                </c:pt>
                <c:pt idx="44">
                  <c:v>14.02.</c:v>
                </c:pt>
                <c:pt idx="45">
                  <c:v>15.02.</c:v>
                </c:pt>
                <c:pt idx="46">
                  <c:v>16.02.</c:v>
                </c:pt>
                <c:pt idx="47">
                  <c:v>17.02.</c:v>
                </c:pt>
                <c:pt idx="48">
                  <c:v>18.02.</c:v>
                </c:pt>
                <c:pt idx="49">
                  <c:v>19.02.</c:v>
                </c:pt>
                <c:pt idx="50">
                  <c:v>20.02.</c:v>
                </c:pt>
                <c:pt idx="51">
                  <c:v>21.02.</c:v>
                </c:pt>
                <c:pt idx="52">
                  <c:v>22.02.</c:v>
                </c:pt>
                <c:pt idx="53">
                  <c:v>23.02.</c:v>
                </c:pt>
                <c:pt idx="54">
                  <c:v>24.02.</c:v>
                </c:pt>
                <c:pt idx="55">
                  <c:v>25.02.</c:v>
                </c:pt>
                <c:pt idx="56">
                  <c:v>26.02.</c:v>
                </c:pt>
                <c:pt idx="57">
                  <c:v>27.02.</c:v>
                </c:pt>
                <c:pt idx="58">
                  <c:v>28.02.</c:v>
                </c:pt>
                <c:pt idx="59">
                  <c:v>01.03.</c:v>
                </c:pt>
                <c:pt idx="60">
                  <c:v>02.03.</c:v>
                </c:pt>
                <c:pt idx="61">
                  <c:v>03.03.</c:v>
                </c:pt>
                <c:pt idx="62">
                  <c:v>04.03.</c:v>
                </c:pt>
                <c:pt idx="63">
                  <c:v>05.03.</c:v>
                </c:pt>
                <c:pt idx="64">
                  <c:v>06.03.</c:v>
                </c:pt>
                <c:pt idx="65">
                  <c:v>07.03.</c:v>
                </c:pt>
                <c:pt idx="66">
                  <c:v>08.03.</c:v>
                </c:pt>
                <c:pt idx="67">
                  <c:v>09.03.</c:v>
                </c:pt>
                <c:pt idx="68">
                  <c:v>10.03.</c:v>
                </c:pt>
                <c:pt idx="69">
                  <c:v>11.03.</c:v>
                </c:pt>
                <c:pt idx="70">
                  <c:v>12.03.</c:v>
                </c:pt>
                <c:pt idx="71">
                  <c:v>13.03.</c:v>
                </c:pt>
                <c:pt idx="72">
                  <c:v>14.03.</c:v>
                </c:pt>
                <c:pt idx="73">
                  <c:v>15.03.</c:v>
                </c:pt>
                <c:pt idx="74">
                  <c:v>16.03.</c:v>
                </c:pt>
                <c:pt idx="75">
                  <c:v>17.03.</c:v>
                </c:pt>
                <c:pt idx="76">
                  <c:v>18.03.</c:v>
                </c:pt>
                <c:pt idx="77">
                  <c:v>19.03.</c:v>
                </c:pt>
                <c:pt idx="78">
                  <c:v>20.03.</c:v>
                </c:pt>
                <c:pt idx="79">
                  <c:v>21.03.</c:v>
                </c:pt>
                <c:pt idx="80">
                  <c:v>22.03.</c:v>
                </c:pt>
                <c:pt idx="81">
                  <c:v>23.03.</c:v>
                </c:pt>
                <c:pt idx="82">
                  <c:v>24.03.</c:v>
                </c:pt>
                <c:pt idx="83">
                  <c:v>25.03.</c:v>
                </c:pt>
                <c:pt idx="84">
                  <c:v>26.03.</c:v>
                </c:pt>
                <c:pt idx="85">
                  <c:v>27.03.</c:v>
                </c:pt>
                <c:pt idx="86">
                  <c:v>28.03.</c:v>
                </c:pt>
                <c:pt idx="87">
                  <c:v>29.03.</c:v>
                </c:pt>
                <c:pt idx="88">
                  <c:v>30.03.</c:v>
                </c:pt>
                <c:pt idx="89">
                  <c:v>31.03.</c:v>
                </c:pt>
                <c:pt idx="90">
                  <c:v>01.04.</c:v>
                </c:pt>
                <c:pt idx="91">
                  <c:v>02.04.</c:v>
                </c:pt>
                <c:pt idx="92">
                  <c:v>03.04.</c:v>
                </c:pt>
                <c:pt idx="93">
                  <c:v>04.04.</c:v>
                </c:pt>
                <c:pt idx="94">
                  <c:v>05.04.</c:v>
                </c:pt>
                <c:pt idx="95">
                  <c:v>06.04.</c:v>
                </c:pt>
                <c:pt idx="96">
                  <c:v>07.04.</c:v>
                </c:pt>
                <c:pt idx="97">
                  <c:v>08.04.</c:v>
                </c:pt>
                <c:pt idx="98">
                  <c:v>09.04.</c:v>
                </c:pt>
                <c:pt idx="99">
                  <c:v>10.04.</c:v>
                </c:pt>
                <c:pt idx="100">
                  <c:v>11.04.</c:v>
                </c:pt>
                <c:pt idx="101">
                  <c:v>12.04.</c:v>
                </c:pt>
                <c:pt idx="102">
                  <c:v>13.04.</c:v>
                </c:pt>
                <c:pt idx="103">
                  <c:v>14.04.</c:v>
                </c:pt>
                <c:pt idx="104">
                  <c:v>15.04.</c:v>
                </c:pt>
                <c:pt idx="105">
                  <c:v>16.04.</c:v>
                </c:pt>
                <c:pt idx="106">
                  <c:v>17.04.</c:v>
                </c:pt>
                <c:pt idx="107">
                  <c:v>18.04.</c:v>
                </c:pt>
                <c:pt idx="108">
                  <c:v>19.04.</c:v>
                </c:pt>
                <c:pt idx="109">
                  <c:v>20.04.</c:v>
                </c:pt>
                <c:pt idx="110">
                  <c:v>21.04.</c:v>
                </c:pt>
                <c:pt idx="111">
                  <c:v>22.04.</c:v>
                </c:pt>
                <c:pt idx="112">
                  <c:v>23.04.</c:v>
                </c:pt>
                <c:pt idx="113">
                  <c:v>24.04.</c:v>
                </c:pt>
                <c:pt idx="114">
                  <c:v>25.04.</c:v>
                </c:pt>
                <c:pt idx="115">
                  <c:v>26.04.</c:v>
                </c:pt>
                <c:pt idx="116">
                  <c:v>27.04.</c:v>
                </c:pt>
                <c:pt idx="117">
                  <c:v>28.04.</c:v>
                </c:pt>
                <c:pt idx="118">
                  <c:v>29.04.</c:v>
                </c:pt>
                <c:pt idx="119">
                  <c:v>30.04.</c:v>
                </c:pt>
                <c:pt idx="120">
                  <c:v>01.05.</c:v>
                </c:pt>
                <c:pt idx="121">
                  <c:v>02.05.</c:v>
                </c:pt>
                <c:pt idx="122">
                  <c:v>03.05.</c:v>
                </c:pt>
                <c:pt idx="123">
                  <c:v>04.05.</c:v>
                </c:pt>
                <c:pt idx="124">
                  <c:v>05.05.</c:v>
                </c:pt>
                <c:pt idx="125">
                  <c:v>06.05.</c:v>
                </c:pt>
                <c:pt idx="126">
                  <c:v>07.05.</c:v>
                </c:pt>
                <c:pt idx="127">
                  <c:v>08.05.</c:v>
                </c:pt>
                <c:pt idx="128">
                  <c:v>09.05.</c:v>
                </c:pt>
                <c:pt idx="129">
                  <c:v>10.05.</c:v>
                </c:pt>
                <c:pt idx="130">
                  <c:v>11.05.</c:v>
                </c:pt>
                <c:pt idx="131">
                  <c:v>12.05.</c:v>
                </c:pt>
                <c:pt idx="132">
                  <c:v>13.05.</c:v>
                </c:pt>
                <c:pt idx="133">
                  <c:v>14.05.</c:v>
                </c:pt>
                <c:pt idx="134">
                  <c:v>15.05.</c:v>
                </c:pt>
                <c:pt idx="135">
                  <c:v>16.05.</c:v>
                </c:pt>
                <c:pt idx="136">
                  <c:v>17.05.</c:v>
                </c:pt>
                <c:pt idx="137">
                  <c:v>18.05.</c:v>
                </c:pt>
                <c:pt idx="138">
                  <c:v>19.05.</c:v>
                </c:pt>
                <c:pt idx="139">
                  <c:v>20.05.</c:v>
                </c:pt>
                <c:pt idx="140">
                  <c:v>21.05.</c:v>
                </c:pt>
                <c:pt idx="141">
                  <c:v>22.05.</c:v>
                </c:pt>
                <c:pt idx="142">
                  <c:v>23.05.</c:v>
                </c:pt>
                <c:pt idx="143">
                  <c:v>24.05.</c:v>
                </c:pt>
                <c:pt idx="144">
                  <c:v>25.05.</c:v>
                </c:pt>
                <c:pt idx="145">
                  <c:v>26.05.</c:v>
                </c:pt>
                <c:pt idx="146">
                  <c:v>27.05.</c:v>
                </c:pt>
                <c:pt idx="147">
                  <c:v>28.05.</c:v>
                </c:pt>
                <c:pt idx="148">
                  <c:v>29.05.</c:v>
                </c:pt>
                <c:pt idx="149">
                  <c:v>30.05.</c:v>
                </c:pt>
                <c:pt idx="150">
                  <c:v>31.05.</c:v>
                </c:pt>
                <c:pt idx="151">
                  <c:v>01.06.</c:v>
                </c:pt>
                <c:pt idx="152">
                  <c:v>02.06.</c:v>
                </c:pt>
                <c:pt idx="153">
                  <c:v>03.06.</c:v>
                </c:pt>
                <c:pt idx="154">
                  <c:v>04.06.</c:v>
                </c:pt>
                <c:pt idx="155">
                  <c:v>05.06.</c:v>
                </c:pt>
                <c:pt idx="156">
                  <c:v>06.06.</c:v>
                </c:pt>
                <c:pt idx="157">
                  <c:v>07.06.</c:v>
                </c:pt>
                <c:pt idx="158">
                  <c:v>08.06.</c:v>
                </c:pt>
                <c:pt idx="159">
                  <c:v>09.06.</c:v>
                </c:pt>
                <c:pt idx="160">
                  <c:v>10.06.</c:v>
                </c:pt>
                <c:pt idx="161">
                  <c:v>11.06.</c:v>
                </c:pt>
                <c:pt idx="162">
                  <c:v>12.06.</c:v>
                </c:pt>
                <c:pt idx="163">
                  <c:v>13.06.</c:v>
                </c:pt>
                <c:pt idx="164">
                  <c:v>14.06.</c:v>
                </c:pt>
                <c:pt idx="165">
                  <c:v>15.06.</c:v>
                </c:pt>
                <c:pt idx="166">
                  <c:v>16.06.</c:v>
                </c:pt>
                <c:pt idx="167">
                  <c:v>17.06.</c:v>
                </c:pt>
                <c:pt idx="168">
                  <c:v>18.06.</c:v>
                </c:pt>
                <c:pt idx="169">
                  <c:v>19.06.</c:v>
                </c:pt>
                <c:pt idx="170">
                  <c:v>20.06.</c:v>
                </c:pt>
                <c:pt idx="171">
                  <c:v>21.06.</c:v>
                </c:pt>
                <c:pt idx="172">
                  <c:v>22.06.</c:v>
                </c:pt>
                <c:pt idx="173">
                  <c:v>23.06.</c:v>
                </c:pt>
                <c:pt idx="174">
                  <c:v>24.06.</c:v>
                </c:pt>
                <c:pt idx="175">
                  <c:v>25.06.</c:v>
                </c:pt>
                <c:pt idx="176">
                  <c:v>26.06.</c:v>
                </c:pt>
                <c:pt idx="177">
                  <c:v>27.06.</c:v>
                </c:pt>
                <c:pt idx="178">
                  <c:v>28.06.</c:v>
                </c:pt>
                <c:pt idx="179">
                  <c:v>29.06.</c:v>
                </c:pt>
                <c:pt idx="180">
                  <c:v>30.06.</c:v>
                </c:pt>
              </c:strCache>
            </c:strRef>
          </c:cat>
          <c:val>
            <c:numRef>
              <c:f>'4.3'!$C$5:$C$185</c:f>
              <c:numCache>
                <c:formatCode>#,##0</c:formatCode>
                <c:ptCount val="181"/>
                <c:pt idx="0">
                  <c:v>16799</c:v>
                </c:pt>
                <c:pt idx="1">
                  <c:v>16619</c:v>
                </c:pt>
                <c:pt idx="2">
                  <c:v>16481</c:v>
                </c:pt>
                <c:pt idx="3">
                  <c:v>23210</c:v>
                </c:pt>
                <c:pt idx="4">
                  <c:v>28633</c:v>
                </c:pt>
                <c:pt idx="5">
                  <c:v>30907</c:v>
                </c:pt>
                <c:pt idx="6">
                  <c:v>32599</c:v>
                </c:pt>
                <c:pt idx="7">
                  <c:v>33841</c:v>
                </c:pt>
                <c:pt idx="8">
                  <c:v>31394</c:v>
                </c:pt>
                <c:pt idx="9">
                  <c:v>30892</c:v>
                </c:pt>
                <c:pt idx="10">
                  <c:v>33366</c:v>
                </c:pt>
                <c:pt idx="11">
                  <c:v>33536</c:v>
                </c:pt>
                <c:pt idx="12">
                  <c:v>34345</c:v>
                </c:pt>
                <c:pt idx="13">
                  <c:v>34432</c:v>
                </c:pt>
                <c:pt idx="14">
                  <c:v>35026</c:v>
                </c:pt>
                <c:pt idx="15">
                  <c:v>30948</c:v>
                </c:pt>
                <c:pt idx="16">
                  <c:v>30243</c:v>
                </c:pt>
                <c:pt idx="17">
                  <c:v>30331</c:v>
                </c:pt>
                <c:pt idx="18">
                  <c:v>29328</c:v>
                </c:pt>
                <c:pt idx="19">
                  <c:v>29661</c:v>
                </c:pt>
                <c:pt idx="20">
                  <c:v>29930</c:v>
                </c:pt>
                <c:pt idx="21">
                  <c:v>30127</c:v>
                </c:pt>
                <c:pt idx="22">
                  <c:v>26841</c:v>
                </c:pt>
                <c:pt idx="23">
                  <c:v>26139</c:v>
                </c:pt>
                <c:pt idx="24">
                  <c:v>26984</c:v>
                </c:pt>
                <c:pt idx="25">
                  <c:v>26597</c:v>
                </c:pt>
                <c:pt idx="26">
                  <c:v>27490</c:v>
                </c:pt>
                <c:pt idx="27">
                  <c:v>27887</c:v>
                </c:pt>
                <c:pt idx="28">
                  <c:v>27974</c:v>
                </c:pt>
                <c:pt idx="29">
                  <c:v>25254</c:v>
                </c:pt>
                <c:pt idx="30">
                  <c:v>24675</c:v>
                </c:pt>
                <c:pt idx="31">
                  <c:v>24765</c:v>
                </c:pt>
                <c:pt idx="32">
                  <c:v>24838</c:v>
                </c:pt>
                <c:pt idx="33">
                  <c:v>25867</c:v>
                </c:pt>
                <c:pt idx="34">
                  <c:v>26658</c:v>
                </c:pt>
                <c:pt idx="35">
                  <c:v>27532</c:v>
                </c:pt>
                <c:pt idx="36">
                  <c:v>24771</c:v>
                </c:pt>
                <c:pt idx="37">
                  <c:v>24223</c:v>
                </c:pt>
                <c:pt idx="38">
                  <c:v>25943</c:v>
                </c:pt>
                <c:pt idx="39">
                  <c:v>26131</c:v>
                </c:pt>
                <c:pt idx="40">
                  <c:v>27436</c:v>
                </c:pt>
                <c:pt idx="41">
                  <c:v>28302</c:v>
                </c:pt>
                <c:pt idx="42">
                  <c:v>29432</c:v>
                </c:pt>
                <c:pt idx="43">
                  <c:v>26629</c:v>
                </c:pt>
                <c:pt idx="44">
                  <c:v>26020</c:v>
                </c:pt>
                <c:pt idx="45">
                  <c:v>28058</c:v>
                </c:pt>
                <c:pt idx="46">
                  <c:v>28494</c:v>
                </c:pt>
                <c:pt idx="47">
                  <c:v>29926</c:v>
                </c:pt>
                <c:pt idx="48">
                  <c:v>31873</c:v>
                </c:pt>
                <c:pt idx="49">
                  <c:v>33230</c:v>
                </c:pt>
                <c:pt idx="50">
                  <c:v>30180</c:v>
                </c:pt>
                <c:pt idx="51">
                  <c:v>29481</c:v>
                </c:pt>
                <c:pt idx="52">
                  <c:v>33140</c:v>
                </c:pt>
                <c:pt idx="53">
                  <c:v>34688</c:v>
                </c:pt>
                <c:pt idx="54">
                  <c:v>37112</c:v>
                </c:pt>
                <c:pt idx="55">
                  <c:v>38705</c:v>
                </c:pt>
                <c:pt idx="56">
                  <c:v>40648</c:v>
                </c:pt>
                <c:pt idx="57">
                  <c:v>37291</c:v>
                </c:pt>
                <c:pt idx="58">
                  <c:v>36547</c:v>
                </c:pt>
                <c:pt idx="59">
                  <c:v>39108</c:v>
                </c:pt>
                <c:pt idx="60">
                  <c:v>40497</c:v>
                </c:pt>
                <c:pt idx="61">
                  <c:v>43190</c:v>
                </c:pt>
                <c:pt idx="62">
                  <c:v>44028</c:v>
                </c:pt>
                <c:pt idx="63">
                  <c:v>47263</c:v>
                </c:pt>
                <c:pt idx="64">
                  <c:v>43648</c:v>
                </c:pt>
                <c:pt idx="65">
                  <c:v>42980</c:v>
                </c:pt>
                <c:pt idx="66">
                  <c:v>41892</c:v>
                </c:pt>
                <c:pt idx="67">
                  <c:v>47673</c:v>
                </c:pt>
                <c:pt idx="68">
                  <c:v>48245</c:v>
                </c:pt>
                <c:pt idx="69">
                  <c:v>50515</c:v>
                </c:pt>
                <c:pt idx="70">
                  <c:v>51866</c:v>
                </c:pt>
                <c:pt idx="71">
                  <c:v>48712</c:v>
                </c:pt>
                <c:pt idx="72">
                  <c:v>48357</c:v>
                </c:pt>
                <c:pt idx="73">
                  <c:v>50242</c:v>
                </c:pt>
                <c:pt idx="74">
                  <c:v>49329</c:v>
                </c:pt>
                <c:pt idx="75">
                  <c:v>49012</c:v>
                </c:pt>
                <c:pt idx="76">
                  <c:v>48504</c:v>
                </c:pt>
                <c:pt idx="77">
                  <c:v>48330</c:v>
                </c:pt>
                <c:pt idx="78">
                  <c:v>44418</c:v>
                </c:pt>
                <c:pt idx="79">
                  <c:v>43910</c:v>
                </c:pt>
                <c:pt idx="80">
                  <c:v>44339</c:v>
                </c:pt>
                <c:pt idx="81">
                  <c:v>42648</c:v>
                </c:pt>
                <c:pt idx="82">
                  <c:v>41683</c:v>
                </c:pt>
                <c:pt idx="83">
                  <c:v>40611</c:v>
                </c:pt>
                <c:pt idx="84">
                  <c:v>40017</c:v>
                </c:pt>
                <c:pt idx="85">
                  <c:v>36466</c:v>
                </c:pt>
                <c:pt idx="86">
                  <c:v>36031</c:v>
                </c:pt>
                <c:pt idx="87">
                  <c:v>36136</c:v>
                </c:pt>
                <c:pt idx="88">
                  <c:v>34182</c:v>
                </c:pt>
                <c:pt idx="89">
                  <c:v>33072</c:v>
                </c:pt>
                <c:pt idx="90">
                  <c:v>30636</c:v>
                </c:pt>
                <c:pt idx="91">
                  <c:v>28094</c:v>
                </c:pt>
                <c:pt idx="92">
                  <c:v>27154</c:v>
                </c:pt>
                <c:pt idx="93">
                  <c:v>26800</c:v>
                </c:pt>
                <c:pt idx="94">
                  <c:v>26342</c:v>
                </c:pt>
                <c:pt idx="95">
                  <c:v>27320</c:v>
                </c:pt>
                <c:pt idx="96">
                  <c:v>25239</c:v>
                </c:pt>
                <c:pt idx="97">
                  <c:v>24471</c:v>
                </c:pt>
                <c:pt idx="98">
                  <c:v>24253</c:v>
                </c:pt>
                <c:pt idx="99">
                  <c:v>22231</c:v>
                </c:pt>
                <c:pt idx="100">
                  <c:v>21979</c:v>
                </c:pt>
                <c:pt idx="101">
                  <c:v>22006</c:v>
                </c:pt>
                <c:pt idx="102">
                  <c:v>20933</c:v>
                </c:pt>
                <c:pt idx="103">
                  <c:v>20306</c:v>
                </c:pt>
                <c:pt idx="104">
                  <c:v>19408</c:v>
                </c:pt>
                <c:pt idx="105">
                  <c:v>19314</c:v>
                </c:pt>
                <c:pt idx="106">
                  <c:v>18125</c:v>
                </c:pt>
                <c:pt idx="107">
                  <c:v>17925</c:v>
                </c:pt>
                <c:pt idx="108">
                  <c:v>18102</c:v>
                </c:pt>
                <c:pt idx="109">
                  <c:v>17967</c:v>
                </c:pt>
                <c:pt idx="110">
                  <c:v>17285</c:v>
                </c:pt>
                <c:pt idx="111">
                  <c:v>16859</c:v>
                </c:pt>
                <c:pt idx="112">
                  <c:v>16735</c:v>
                </c:pt>
                <c:pt idx="113">
                  <c:v>15506</c:v>
                </c:pt>
                <c:pt idx="114">
                  <c:v>15317</c:v>
                </c:pt>
                <c:pt idx="115">
                  <c:v>15482</c:v>
                </c:pt>
                <c:pt idx="116">
                  <c:v>15100</c:v>
                </c:pt>
                <c:pt idx="117">
                  <c:v>14761</c:v>
                </c:pt>
                <c:pt idx="118">
                  <c:v>14479</c:v>
                </c:pt>
                <c:pt idx="119">
                  <c:v>14186</c:v>
                </c:pt>
                <c:pt idx="120">
                  <c:v>12670</c:v>
                </c:pt>
                <c:pt idx="121">
                  <c:v>12547</c:v>
                </c:pt>
                <c:pt idx="122">
                  <c:v>12711</c:v>
                </c:pt>
                <c:pt idx="123">
                  <c:v>12221</c:v>
                </c:pt>
                <c:pt idx="124">
                  <c:v>11982</c:v>
                </c:pt>
                <c:pt idx="125">
                  <c:v>11720</c:v>
                </c:pt>
                <c:pt idx="126">
                  <c:v>11535</c:v>
                </c:pt>
                <c:pt idx="127">
                  <c:v>10688</c:v>
                </c:pt>
                <c:pt idx="128">
                  <c:v>10560</c:v>
                </c:pt>
                <c:pt idx="129">
                  <c:v>10653</c:v>
                </c:pt>
                <c:pt idx="130">
                  <c:v>10210</c:v>
                </c:pt>
                <c:pt idx="131">
                  <c:v>9969</c:v>
                </c:pt>
                <c:pt idx="132">
                  <c:v>9758</c:v>
                </c:pt>
                <c:pt idx="133">
                  <c:v>9597</c:v>
                </c:pt>
                <c:pt idx="134">
                  <c:v>8869</c:v>
                </c:pt>
                <c:pt idx="135">
                  <c:v>8788</c:v>
                </c:pt>
                <c:pt idx="136">
                  <c:v>8717</c:v>
                </c:pt>
                <c:pt idx="137">
                  <c:v>8353</c:v>
                </c:pt>
                <c:pt idx="138">
                  <c:v>8074</c:v>
                </c:pt>
                <c:pt idx="139">
                  <c:v>7849</c:v>
                </c:pt>
                <c:pt idx="140">
                  <c:v>7685</c:v>
                </c:pt>
                <c:pt idx="141">
                  <c:v>7178</c:v>
                </c:pt>
                <c:pt idx="142">
                  <c:v>7108</c:v>
                </c:pt>
                <c:pt idx="143">
                  <c:v>6979</c:v>
                </c:pt>
                <c:pt idx="144">
                  <c:v>6660</c:v>
                </c:pt>
                <c:pt idx="145">
                  <c:v>6388</c:v>
                </c:pt>
                <c:pt idx="146">
                  <c:v>6147</c:v>
                </c:pt>
                <c:pt idx="147">
                  <c:v>5952</c:v>
                </c:pt>
                <c:pt idx="148">
                  <c:v>5555</c:v>
                </c:pt>
                <c:pt idx="149">
                  <c:v>5496</c:v>
                </c:pt>
                <c:pt idx="150">
                  <c:v>5385</c:v>
                </c:pt>
                <c:pt idx="151">
                  <c:v>4799</c:v>
                </c:pt>
                <c:pt idx="152">
                  <c:v>4642</c:v>
                </c:pt>
                <c:pt idx="153">
                  <c:v>4503</c:v>
                </c:pt>
                <c:pt idx="154">
                  <c:v>4454</c:v>
                </c:pt>
                <c:pt idx="155">
                  <c:v>4179</c:v>
                </c:pt>
                <c:pt idx="156">
                  <c:v>4137</c:v>
                </c:pt>
                <c:pt idx="157">
                  <c:v>4051</c:v>
                </c:pt>
                <c:pt idx="158">
                  <c:v>3865</c:v>
                </c:pt>
                <c:pt idx="159">
                  <c:v>3730</c:v>
                </c:pt>
                <c:pt idx="160">
                  <c:v>3687</c:v>
                </c:pt>
                <c:pt idx="161">
                  <c:v>3593</c:v>
                </c:pt>
                <c:pt idx="162">
                  <c:v>3430</c:v>
                </c:pt>
                <c:pt idx="163">
                  <c:v>3412</c:v>
                </c:pt>
                <c:pt idx="164">
                  <c:v>3327</c:v>
                </c:pt>
                <c:pt idx="165">
                  <c:v>3211</c:v>
                </c:pt>
                <c:pt idx="166">
                  <c:v>3154</c:v>
                </c:pt>
                <c:pt idx="167">
                  <c:v>3038</c:v>
                </c:pt>
                <c:pt idx="168">
                  <c:v>3001</c:v>
                </c:pt>
                <c:pt idx="169">
                  <c:v>2870</c:v>
                </c:pt>
                <c:pt idx="170">
                  <c:v>2858</c:v>
                </c:pt>
                <c:pt idx="171">
                  <c:v>2815</c:v>
                </c:pt>
                <c:pt idx="172">
                  <c:v>2725</c:v>
                </c:pt>
                <c:pt idx="173">
                  <c:v>2644</c:v>
                </c:pt>
                <c:pt idx="174">
                  <c:v>2573</c:v>
                </c:pt>
                <c:pt idx="175">
                  <c:v>2519</c:v>
                </c:pt>
                <c:pt idx="176">
                  <c:v>2425</c:v>
                </c:pt>
                <c:pt idx="177">
                  <c:v>2416</c:v>
                </c:pt>
                <c:pt idx="178">
                  <c:v>2405</c:v>
                </c:pt>
                <c:pt idx="179">
                  <c:v>2362</c:v>
                </c:pt>
                <c:pt idx="180">
                  <c:v>2293</c:v>
                </c:pt>
              </c:numCache>
            </c:numRef>
          </c:val>
          <c:smooth val="0"/>
          <c:extLst>
            <c:ext xmlns:c16="http://schemas.microsoft.com/office/drawing/2014/chart" uri="{C3380CC4-5D6E-409C-BE32-E72D297353CC}">
              <c16:uniqueId val="{00000001-E1F4-4E36-87C8-D26F91FCE70B}"/>
            </c:ext>
          </c:extLst>
        </c:ser>
        <c:ser>
          <c:idx val="1"/>
          <c:order val="2"/>
          <c:tx>
            <c:strRef>
              <c:f>'4.3'!$D$4</c:f>
              <c:strCache>
                <c:ptCount val="1"/>
                <c:pt idx="0">
                  <c:v> 1. pol. 2022</c:v>
                </c:pt>
              </c:strCache>
            </c:strRef>
          </c:tx>
          <c:spPr>
            <a:ln w="28575" cap="rnd">
              <a:solidFill>
                <a:srgbClr val="4E201E"/>
              </a:solidFill>
              <a:round/>
            </a:ln>
            <a:effectLst/>
          </c:spPr>
          <c:marker>
            <c:symbol val="none"/>
          </c:marker>
          <c:cat>
            <c:strRef>
              <c:f>'4.3'!$A$5:$A$185</c:f>
              <c:strCache>
                <c:ptCount val="181"/>
                <c:pt idx="0">
                  <c:v>01.01.</c:v>
                </c:pt>
                <c:pt idx="1">
                  <c:v>02.01.</c:v>
                </c:pt>
                <c:pt idx="2">
                  <c:v>03.01.</c:v>
                </c:pt>
                <c:pt idx="3">
                  <c:v>04.01.</c:v>
                </c:pt>
                <c:pt idx="4">
                  <c:v>05.01.</c:v>
                </c:pt>
                <c:pt idx="5">
                  <c:v>06.01.</c:v>
                </c:pt>
                <c:pt idx="6">
                  <c:v>07.01.</c:v>
                </c:pt>
                <c:pt idx="7">
                  <c:v>08.01.</c:v>
                </c:pt>
                <c:pt idx="8">
                  <c:v>09.01.</c:v>
                </c:pt>
                <c:pt idx="9">
                  <c:v>10.01.</c:v>
                </c:pt>
                <c:pt idx="10">
                  <c:v>11.01.</c:v>
                </c:pt>
                <c:pt idx="11">
                  <c:v>12.01.</c:v>
                </c:pt>
                <c:pt idx="12">
                  <c:v>13.01.</c:v>
                </c:pt>
                <c:pt idx="13">
                  <c:v>14.01.</c:v>
                </c:pt>
                <c:pt idx="14">
                  <c:v>15.01.</c:v>
                </c:pt>
                <c:pt idx="15">
                  <c:v>16.01.</c:v>
                </c:pt>
                <c:pt idx="16">
                  <c:v>17.01.</c:v>
                </c:pt>
                <c:pt idx="17">
                  <c:v>18.01.</c:v>
                </c:pt>
                <c:pt idx="18">
                  <c:v>19.01.</c:v>
                </c:pt>
                <c:pt idx="19">
                  <c:v>20.01.</c:v>
                </c:pt>
                <c:pt idx="20">
                  <c:v>21.01.</c:v>
                </c:pt>
                <c:pt idx="21">
                  <c:v>22.01.</c:v>
                </c:pt>
                <c:pt idx="22">
                  <c:v>23.01.</c:v>
                </c:pt>
                <c:pt idx="23">
                  <c:v>24.01.</c:v>
                </c:pt>
                <c:pt idx="24">
                  <c:v>25.01.</c:v>
                </c:pt>
                <c:pt idx="25">
                  <c:v>26.01.</c:v>
                </c:pt>
                <c:pt idx="26">
                  <c:v>27.01.</c:v>
                </c:pt>
                <c:pt idx="27">
                  <c:v>28.01.</c:v>
                </c:pt>
                <c:pt idx="28">
                  <c:v>29.01.</c:v>
                </c:pt>
                <c:pt idx="29">
                  <c:v>30.01.</c:v>
                </c:pt>
                <c:pt idx="30">
                  <c:v>31.01.</c:v>
                </c:pt>
                <c:pt idx="31">
                  <c:v>01.02.</c:v>
                </c:pt>
                <c:pt idx="32">
                  <c:v>02.02.</c:v>
                </c:pt>
                <c:pt idx="33">
                  <c:v>03.02.</c:v>
                </c:pt>
                <c:pt idx="34">
                  <c:v>04.02.</c:v>
                </c:pt>
                <c:pt idx="35">
                  <c:v>05.02.</c:v>
                </c:pt>
                <c:pt idx="36">
                  <c:v>06.02.</c:v>
                </c:pt>
                <c:pt idx="37">
                  <c:v>07.02.</c:v>
                </c:pt>
                <c:pt idx="38">
                  <c:v>08.02.</c:v>
                </c:pt>
                <c:pt idx="39">
                  <c:v>09.02.</c:v>
                </c:pt>
                <c:pt idx="40">
                  <c:v>10.02.</c:v>
                </c:pt>
                <c:pt idx="41">
                  <c:v>11.02.</c:v>
                </c:pt>
                <c:pt idx="42">
                  <c:v>12.02.</c:v>
                </c:pt>
                <c:pt idx="43">
                  <c:v>13.02.</c:v>
                </c:pt>
                <c:pt idx="44">
                  <c:v>14.02.</c:v>
                </c:pt>
                <c:pt idx="45">
                  <c:v>15.02.</c:v>
                </c:pt>
                <c:pt idx="46">
                  <c:v>16.02.</c:v>
                </c:pt>
                <c:pt idx="47">
                  <c:v>17.02.</c:v>
                </c:pt>
                <c:pt idx="48">
                  <c:v>18.02.</c:v>
                </c:pt>
                <c:pt idx="49">
                  <c:v>19.02.</c:v>
                </c:pt>
                <c:pt idx="50">
                  <c:v>20.02.</c:v>
                </c:pt>
                <c:pt idx="51">
                  <c:v>21.02.</c:v>
                </c:pt>
                <c:pt idx="52">
                  <c:v>22.02.</c:v>
                </c:pt>
                <c:pt idx="53">
                  <c:v>23.02.</c:v>
                </c:pt>
                <c:pt idx="54">
                  <c:v>24.02.</c:v>
                </c:pt>
                <c:pt idx="55">
                  <c:v>25.02.</c:v>
                </c:pt>
                <c:pt idx="56">
                  <c:v>26.02.</c:v>
                </c:pt>
                <c:pt idx="57">
                  <c:v>27.02.</c:v>
                </c:pt>
                <c:pt idx="58">
                  <c:v>28.02.</c:v>
                </c:pt>
                <c:pt idx="59">
                  <c:v>01.03.</c:v>
                </c:pt>
                <c:pt idx="60">
                  <c:v>02.03.</c:v>
                </c:pt>
                <c:pt idx="61">
                  <c:v>03.03.</c:v>
                </c:pt>
                <c:pt idx="62">
                  <c:v>04.03.</c:v>
                </c:pt>
                <c:pt idx="63">
                  <c:v>05.03.</c:v>
                </c:pt>
                <c:pt idx="64">
                  <c:v>06.03.</c:v>
                </c:pt>
                <c:pt idx="65">
                  <c:v>07.03.</c:v>
                </c:pt>
                <c:pt idx="66">
                  <c:v>08.03.</c:v>
                </c:pt>
                <c:pt idx="67">
                  <c:v>09.03.</c:v>
                </c:pt>
                <c:pt idx="68">
                  <c:v>10.03.</c:v>
                </c:pt>
                <c:pt idx="69">
                  <c:v>11.03.</c:v>
                </c:pt>
                <c:pt idx="70">
                  <c:v>12.03.</c:v>
                </c:pt>
                <c:pt idx="71">
                  <c:v>13.03.</c:v>
                </c:pt>
                <c:pt idx="72">
                  <c:v>14.03.</c:v>
                </c:pt>
                <c:pt idx="73">
                  <c:v>15.03.</c:v>
                </c:pt>
                <c:pt idx="74">
                  <c:v>16.03.</c:v>
                </c:pt>
                <c:pt idx="75">
                  <c:v>17.03.</c:v>
                </c:pt>
                <c:pt idx="76">
                  <c:v>18.03.</c:v>
                </c:pt>
                <c:pt idx="77">
                  <c:v>19.03.</c:v>
                </c:pt>
                <c:pt idx="78">
                  <c:v>20.03.</c:v>
                </c:pt>
                <c:pt idx="79">
                  <c:v>21.03.</c:v>
                </c:pt>
                <c:pt idx="80">
                  <c:v>22.03.</c:v>
                </c:pt>
                <c:pt idx="81">
                  <c:v>23.03.</c:v>
                </c:pt>
                <c:pt idx="82">
                  <c:v>24.03.</c:v>
                </c:pt>
                <c:pt idx="83">
                  <c:v>25.03.</c:v>
                </c:pt>
                <c:pt idx="84">
                  <c:v>26.03.</c:v>
                </c:pt>
                <c:pt idx="85">
                  <c:v>27.03.</c:v>
                </c:pt>
                <c:pt idx="86">
                  <c:v>28.03.</c:v>
                </c:pt>
                <c:pt idx="87">
                  <c:v>29.03.</c:v>
                </c:pt>
                <c:pt idx="88">
                  <c:v>30.03.</c:v>
                </c:pt>
                <c:pt idx="89">
                  <c:v>31.03.</c:v>
                </c:pt>
                <c:pt idx="90">
                  <c:v>01.04.</c:v>
                </c:pt>
                <c:pt idx="91">
                  <c:v>02.04.</c:v>
                </c:pt>
                <c:pt idx="92">
                  <c:v>03.04.</c:v>
                </c:pt>
                <c:pt idx="93">
                  <c:v>04.04.</c:v>
                </c:pt>
                <c:pt idx="94">
                  <c:v>05.04.</c:v>
                </c:pt>
                <c:pt idx="95">
                  <c:v>06.04.</c:v>
                </c:pt>
                <c:pt idx="96">
                  <c:v>07.04.</c:v>
                </c:pt>
                <c:pt idx="97">
                  <c:v>08.04.</c:v>
                </c:pt>
                <c:pt idx="98">
                  <c:v>09.04.</c:v>
                </c:pt>
                <c:pt idx="99">
                  <c:v>10.04.</c:v>
                </c:pt>
                <c:pt idx="100">
                  <c:v>11.04.</c:v>
                </c:pt>
                <c:pt idx="101">
                  <c:v>12.04.</c:v>
                </c:pt>
                <c:pt idx="102">
                  <c:v>13.04.</c:v>
                </c:pt>
                <c:pt idx="103">
                  <c:v>14.04.</c:v>
                </c:pt>
                <c:pt idx="104">
                  <c:v>15.04.</c:v>
                </c:pt>
                <c:pt idx="105">
                  <c:v>16.04.</c:v>
                </c:pt>
                <c:pt idx="106">
                  <c:v>17.04.</c:v>
                </c:pt>
                <c:pt idx="107">
                  <c:v>18.04.</c:v>
                </c:pt>
                <c:pt idx="108">
                  <c:v>19.04.</c:v>
                </c:pt>
                <c:pt idx="109">
                  <c:v>20.04.</c:v>
                </c:pt>
                <c:pt idx="110">
                  <c:v>21.04.</c:v>
                </c:pt>
                <c:pt idx="111">
                  <c:v>22.04.</c:v>
                </c:pt>
                <c:pt idx="112">
                  <c:v>23.04.</c:v>
                </c:pt>
                <c:pt idx="113">
                  <c:v>24.04.</c:v>
                </c:pt>
                <c:pt idx="114">
                  <c:v>25.04.</c:v>
                </c:pt>
                <c:pt idx="115">
                  <c:v>26.04.</c:v>
                </c:pt>
                <c:pt idx="116">
                  <c:v>27.04.</c:v>
                </c:pt>
                <c:pt idx="117">
                  <c:v>28.04.</c:v>
                </c:pt>
                <c:pt idx="118">
                  <c:v>29.04.</c:v>
                </c:pt>
                <c:pt idx="119">
                  <c:v>30.04.</c:v>
                </c:pt>
                <c:pt idx="120">
                  <c:v>01.05.</c:v>
                </c:pt>
                <c:pt idx="121">
                  <c:v>02.05.</c:v>
                </c:pt>
                <c:pt idx="122">
                  <c:v>03.05.</c:v>
                </c:pt>
                <c:pt idx="123">
                  <c:v>04.05.</c:v>
                </c:pt>
                <c:pt idx="124">
                  <c:v>05.05.</c:v>
                </c:pt>
                <c:pt idx="125">
                  <c:v>06.05.</c:v>
                </c:pt>
                <c:pt idx="126">
                  <c:v>07.05.</c:v>
                </c:pt>
                <c:pt idx="127">
                  <c:v>08.05.</c:v>
                </c:pt>
                <c:pt idx="128">
                  <c:v>09.05.</c:v>
                </c:pt>
                <c:pt idx="129">
                  <c:v>10.05.</c:v>
                </c:pt>
                <c:pt idx="130">
                  <c:v>11.05.</c:v>
                </c:pt>
                <c:pt idx="131">
                  <c:v>12.05.</c:v>
                </c:pt>
                <c:pt idx="132">
                  <c:v>13.05.</c:v>
                </c:pt>
                <c:pt idx="133">
                  <c:v>14.05.</c:v>
                </c:pt>
                <c:pt idx="134">
                  <c:v>15.05.</c:v>
                </c:pt>
                <c:pt idx="135">
                  <c:v>16.05.</c:v>
                </c:pt>
                <c:pt idx="136">
                  <c:v>17.05.</c:v>
                </c:pt>
                <c:pt idx="137">
                  <c:v>18.05.</c:v>
                </c:pt>
                <c:pt idx="138">
                  <c:v>19.05.</c:v>
                </c:pt>
                <c:pt idx="139">
                  <c:v>20.05.</c:v>
                </c:pt>
                <c:pt idx="140">
                  <c:v>21.05.</c:v>
                </c:pt>
                <c:pt idx="141">
                  <c:v>22.05.</c:v>
                </c:pt>
                <c:pt idx="142">
                  <c:v>23.05.</c:v>
                </c:pt>
                <c:pt idx="143">
                  <c:v>24.05.</c:v>
                </c:pt>
                <c:pt idx="144">
                  <c:v>25.05.</c:v>
                </c:pt>
                <c:pt idx="145">
                  <c:v>26.05.</c:v>
                </c:pt>
                <c:pt idx="146">
                  <c:v>27.05.</c:v>
                </c:pt>
                <c:pt idx="147">
                  <c:v>28.05.</c:v>
                </c:pt>
                <c:pt idx="148">
                  <c:v>29.05.</c:v>
                </c:pt>
                <c:pt idx="149">
                  <c:v>30.05.</c:v>
                </c:pt>
                <c:pt idx="150">
                  <c:v>31.05.</c:v>
                </c:pt>
                <c:pt idx="151">
                  <c:v>01.06.</c:v>
                </c:pt>
                <c:pt idx="152">
                  <c:v>02.06.</c:v>
                </c:pt>
                <c:pt idx="153">
                  <c:v>03.06.</c:v>
                </c:pt>
                <c:pt idx="154">
                  <c:v>04.06.</c:v>
                </c:pt>
                <c:pt idx="155">
                  <c:v>05.06.</c:v>
                </c:pt>
                <c:pt idx="156">
                  <c:v>06.06.</c:v>
                </c:pt>
                <c:pt idx="157">
                  <c:v>07.06.</c:v>
                </c:pt>
                <c:pt idx="158">
                  <c:v>08.06.</c:v>
                </c:pt>
                <c:pt idx="159">
                  <c:v>09.06.</c:v>
                </c:pt>
                <c:pt idx="160">
                  <c:v>10.06.</c:v>
                </c:pt>
                <c:pt idx="161">
                  <c:v>11.06.</c:v>
                </c:pt>
                <c:pt idx="162">
                  <c:v>12.06.</c:v>
                </c:pt>
                <c:pt idx="163">
                  <c:v>13.06.</c:v>
                </c:pt>
                <c:pt idx="164">
                  <c:v>14.06.</c:v>
                </c:pt>
                <c:pt idx="165">
                  <c:v>15.06.</c:v>
                </c:pt>
                <c:pt idx="166">
                  <c:v>16.06.</c:v>
                </c:pt>
                <c:pt idx="167">
                  <c:v>17.06.</c:v>
                </c:pt>
                <c:pt idx="168">
                  <c:v>18.06.</c:v>
                </c:pt>
                <c:pt idx="169">
                  <c:v>19.06.</c:v>
                </c:pt>
                <c:pt idx="170">
                  <c:v>20.06.</c:v>
                </c:pt>
                <c:pt idx="171">
                  <c:v>21.06.</c:v>
                </c:pt>
                <c:pt idx="172">
                  <c:v>22.06.</c:v>
                </c:pt>
                <c:pt idx="173">
                  <c:v>23.06.</c:v>
                </c:pt>
                <c:pt idx="174">
                  <c:v>24.06.</c:v>
                </c:pt>
                <c:pt idx="175">
                  <c:v>25.06.</c:v>
                </c:pt>
                <c:pt idx="176">
                  <c:v>26.06.</c:v>
                </c:pt>
                <c:pt idx="177">
                  <c:v>27.06.</c:v>
                </c:pt>
                <c:pt idx="178">
                  <c:v>28.06.</c:v>
                </c:pt>
                <c:pt idx="179">
                  <c:v>29.06.</c:v>
                </c:pt>
                <c:pt idx="180">
                  <c:v>30.06.</c:v>
                </c:pt>
              </c:strCache>
            </c:strRef>
          </c:cat>
          <c:val>
            <c:numRef>
              <c:f>'4.3'!$D$5:$D$185</c:f>
              <c:numCache>
                <c:formatCode>General</c:formatCode>
                <c:ptCount val="181"/>
                <c:pt idx="0">
                  <c:v>7387</c:v>
                </c:pt>
                <c:pt idx="1">
                  <c:v>7372</c:v>
                </c:pt>
                <c:pt idx="2">
                  <c:v>7572</c:v>
                </c:pt>
                <c:pt idx="3">
                  <c:v>7436</c:v>
                </c:pt>
                <c:pt idx="4">
                  <c:v>7473</c:v>
                </c:pt>
                <c:pt idx="5">
                  <c:v>7537</c:v>
                </c:pt>
                <c:pt idx="6">
                  <c:v>7623</c:v>
                </c:pt>
                <c:pt idx="7">
                  <c:v>7279</c:v>
                </c:pt>
                <c:pt idx="8">
                  <c:v>7249</c:v>
                </c:pt>
                <c:pt idx="9">
                  <c:v>7631</c:v>
                </c:pt>
                <c:pt idx="10">
                  <c:v>7738</c:v>
                </c:pt>
                <c:pt idx="11">
                  <c:v>7925</c:v>
                </c:pt>
                <c:pt idx="12">
                  <c:v>8059</c:v>
                </c:pt>
                <c:pt idx="13">
                  <c:v>8443</c:v>
                </c:pt>
                <c:pt idx="14">
                  <c:v>8004</c:v>
                </c:pt>
                <c:pt idx="15">
                  <c:v>7820</c:v>
                </c:pt>
                <c:pt idx="16">
                  <c:v>9213</c:v>
                </c:pt>
                <c:pt idx="17">
                  <c:v>18149</c:v>
                </c:pt>
                <c:pt idx="18">
                  <c:v>24211</c:v>
                </c:pt>
                <c:pt idx="19">
                  <c:v>31786</c:v>
                </c:pt>
                <c:pt idx="20">
                  <c:v>37940</c:v>
                </c:pt>
                <c:pt idx="21">
                  <c:v>35777</c:v>
                </c:pt>
                <c:pt idx="22">
                  <c:v>32208</c:v>
                </c:pt>
                <c:pt idx="23">
                  <c:v>43205</c:v>
                </c:pt>
                <c:pt idx="24">
                  <c:v>44720</c:v>
                </c:pt>
                <c:pt idx="25">
                  <c:v>45315</c:v>
                </c:pt>
                <c:pt idx="26">
                  <c:v>52539</c:v>
                </c:pt>
                <c:pt idx="27">
                  <c:v>61377</c:v>
                </c:pt>
                <c:pt idx="28">
                  <c:v>56731</c:v>
                </c:pt>
                <c:pt idx="29">
                  <c:v>55682</c:v>
                </c:pt>
                <c:pt idx="30">
                  <c:v>50331</c:v>
                </c:pt>
                <c:pt idx="31">
                  <c:v>60041</c:v>
                </c:pt>
                <c:pt idx="32">
                  <c:v>56219</c:v>
                </c:pt>
                <c:pt idx="33">
                  <c:v>61079</c:v>
                </c:pt>
                <c:pt idx="34">
                  <c:v>68493</c:v>
                </c:pt>
                <c:pt idx="35">
                  <c:v>63850</c:v>
                </c:pt>
                <c:pt idx="36">
                  <c:v>47068</c:v>
                </c:pt>
                <c:pt idx="37">
                  <c:v>50899</c:v>
                </c:pt>
                <c:pt idx="38">
                  <c:v>52018</c:v>
                </c:pt>
                <c:pt idx="39">
                  <c:v>46031</c:v>
                </c:pt>
                <c:pt idx="40">
                  <c:v>49291</c:v>
                </c:pt>
                <c:pt idx="41">
                  <c:v>53307</c:v>
                </c:pt>
                <c:pt idx="42">
                  <c:v>49499</c:v>
                </c:pt>
                <c:pt idx="43">
                  <c:v>35429</c:v>
                </c:pt>
                <c:pt idx="44">
                  <c:v>37280</c:v>
                </c:pt>
                <c:pt idx="45">
                  <c:v>38337</c:v>
                </c:pt>
                <c:pt idx="46">
                  <c:v>33296</c:v>
                </c:pt>
                <c:pt idx="47">
                  <c:v>35495</c:v>
                </c:pt>
                <c:pt idx="48">
                  <c:v>37242</c:v>
                </c:pt>
                <c:pt idx="49">
                  <c:v>34380</c:v>
                </c:pt>
                <c:pt idx="50">
                  <c:v>24089</c:v>
                </c:pt>
                <c:pt idx="51">
                  <c:v>18486</c:v>
                </c:pt>
                <c:pt idx="52">
                  <c:v>14699</c:v>
                </c:pt>
                <c:pt idx="53">
                  <c:v>8663</c:v>
                </c:pt>
                <c:pt idx="54">
                  <c:v>6711</c:v>
                </c:pt>
                <c:pt idx="55">
                  <c:v>6385</c:v>
                </c:pt>
                <c:pt idx="56">
                  <c:v>6144</c:v>
                </c:pt>
                <c:pt idx="57">
                  <c:v>6131</c:v>
                </c:pt>
                <c:pt idx="58">
                  <c:v>5814</c:v>
                </c:pt>
                <c:pt idx="59">
                  <c:v>5396</c:v>
                </c:pt>
                <c:pt idx="60">
                  <c:v>5083</c:v>
                </c:pt>
                <c:pt idx="61">
                  <c:v>4864</c:v>
                </c:pt>
                <c:pt idx="62">
                  <c:v>4687</c:v>
                </c:pt>
                <c:pt idx="63">
                  <c:v>4567</c:v>
                </c:pt>
                <c:pt idx="64">
                  <c:v>4560</c:v>
                </c:pt>
                <c:pt idx="65">
                  <c:v>4430</c:v>
                </c:pt>
                <c:pt idx="66">
                  <c:v>4274</c:v>
                </c:pt>
                <c:pt idx="67">
                  <c:v>4149</c:v>
                </c:pt>
                <c:pt idx="68">
                  <c:v>4024</c:v>
                </c:pt>
                <c:pt idx="69">
                  <c:v>3940</c:v>
                </c:pt>
                <c:pt idx="70">
                  <c:v>3874</c:v>
                </c:pt>
                <c:pt idx="71">
                  <c:v>3872</c:v>
                </c:pt>
                <c:pt idx="72">
                  <c:v>3773</c:v>
                </c:pt>
                <c:pt idx="73">
                  <c:v>3701</c:v>
                </c:pt>
                <c:pt idx="74">
                  <c:v>3600</c:v>
                </c:pt>
                <c:pt idx="75">
                  <c:v>3504</c:v>
                </c:pt>
                <c:pt idx="76">
                  <c:v>3434</c:v>
                </c:pt>
                <c:pt idx="77">
                  <c:v>3370</c:v>
                </c:pt>
                <c:pt idx="78">
                  <c:v>3367</c:v>
                </c:pt>
                <c:pt idx="79">
                  <c:v>3270</c:v>
                </c:pt>
                <c:pt idx="80">
                  <c:v>3184</c:v>
                </c:pt>
                <c:pt idx="81">
                  <c:v>3131</c:v>
                </c:pt>
                <c:pt idx="82">
                  <c:v>3075</c:v>
                </c:pt>
                <c:pt idx="83">
                  <c:v>3002</c:v>
                </c:pt>
                <c:pt idx="84">
                  <c:v>2945</c:v>
                </c:pt>
                <c:pt idx="85">
                  <c:v>2944</c:v>
                </c:pt>
                <c:pt idx="86">
                  <c:v>2866</c:v>
                </c:pt>
                <c:pt idx="87">
                  <c:v>2825</c:v>
                </c:pt>
                <c:pt idx="88">
                  <c:v>2719</c:v>
                </c:pt>
                <c:pt idx="89">
                  <c:v>2677</c:v>
                </c:pt>
                <c:pt idx="90">
                  <c:v>2601</c:v>
                </c:pt>
                <c:pt idx="91">
                  <c:v>2558</c:v>
                </c:pt>
                <c:pt idx="92">
                  <c:v>2554</c:v>
                </c:pt>
                <c:pt idx="93">
                  <c:v>2534</c:v>
                </c:pt>
                <c:pt idx="94">
                  <c:v>2507</c:v>
                </c:pt>
                <c:pt idx="95">
                  <c:v>2441</c:v>
                </c:pt>
                <c:pt idx="96">
                  <c:v>2397</c:v>
                </c:pt>
                <c:pt idx="97">
                  <c:v>2369</c:v>
                </c:pt>
                <c:pt idx="98">
                  <c:v>2329</c:v>
                </c:pt>
                <c:pt idx="99">
                  <c:v>2328</c:v>
                </c:pt>
                <c:pt idx="100">
                  <c:v>2296</c:v>
                </c:pt>
                <c:pt idx="101">
                  <c:v>2255</c:v>
                </c:pt>
                <c:pt idx="102">
                  <c:v>2229</c:v>
                </c:pt>
                <c:pt idx="103">
                  <c:v>2077</c:v>
                </c:pt>
                <c:pt idx="104">
                  <c:v>2027</c:v>
                </c:pt>
                <c:pt idx="105">
                  <c:v>2019</c:v>
                </c:pt>
                <c:pt idx="106">
                  <c:v>2017</c:v>
                </c:pt>
                <c:pt idx="107">
                  <c:v>2013</c:v>
                </c:pt>
                <c:pt idx="108">
                  <c:v>1928</c:v>
                </c:pt>
                <c:pt idx="109">
                  <c:v>1893</c:v>
                </c:pt>
                <c:pt idx="110">
                  <c:v>1835</c:v>
                </c:pt>
                <c:pt idx="111">
                  <c:v>1758</c:v>
                </c:pt>
                <c:pt idx="112">
                  <c:v>1695</c:v>
                </c:pt>
                <c:pt idx="113">
                  <c:v>1695</c:v>
                </c:pt>
                <c:pt idx="114">
                  <c:v>1676</c:v>
                </c:pt>
                <c:pt idx="115">
                  <c:v>1650</c:v>
                </c:pt>
                <c:pt idx="116">
                  <c:v>1599</c:v>
                </c:pt>
                <c:pt idx="117">
                  <c:v>1576</c:v>
                </c:pt>
                <c:pt idx="118">
                  <c:v>1555</c:v>
                </c:pt>
                <c:pt idx="119">
                  <c:v>1536</c:v>
                </c:pt>
                <c:pt idx="120">
                  <c:v>1528</c:v>
                </c:pt>
                <c:pt idx="121">
                  <c:v>1501</c:v>
                </c:pt>
                <c:pt idx="122">
                  <c:v>1481</c:v>
                </c:pt>
                <c:pt idx="123">
                  <c:v>1456</c:v>
                </c:pt>
                <c:pt idx="124">
                  <c:v>1437</c:v>
                </c:pt>
                <c:pt idx="125">
                  <c:v>1422</c:v>
                </c:pt>
                <c:pt idx="126">
                  <c:v>1414</c:v>
                </c:pt>
                <c:pt idx="127">
                  <c:v>1414</c:v>
                </c:pt>
                <c:pt idx="128">
                  <c:v>1397</c:v>
                </c:pt>
                <c:pt idx="129">
                  <c:v>1383</c:v>
                </c:pt>
                <c:pt idx="130">
                  <c:v>1372</c:v>
                </c:pt>
                <c:pt idx="131">
                  <c:v>1361</c:v>
                </c:pt>
                <c:pt idx="132">
                  <c:v>1338</c:v>
                </c:pt>
                <c:pt idx="133">
                  <c:v>1328</c:v>
                </c:pt>
                <c:pt idx="134">
                  <c:v>1328</c:v>
                </c:pt>
                <c:pt idx="135">
                  <c:v>1318</c:v>
                </c:pt>
                <c:pt idx="136">
                  <c:v>1222</c:v>
                </c:pt>
                <c:pt idx="137">
                  <c:v>1166</c:v>
                </c:pt>
                <c:pt idx="138">
                  <c:v>1154</c:v>
                </c:pt>
                <c:pt idx="139">
                  <c:v>1150</c:v>
                </c:pt>
                <c:pt idx="140">
                  <c:v>1147</c:v>
                </c:pt>
                <c:pt idx="141">
                  <c:v>1147</c:v>
                </c:pt>
                <c:pt idx="142">
                  <c:v>1146</c:v>
                </c:pt>
                <c:pt idx="143">
                  <c:v>1139</c:v>
                </c:pt>
                <c:pt idx="144">
                  <c:v>1126</c:v>
                </c:pt>
                <c:pt idx="145">
                  <c:v>1118</c:v>
                </c:pt>
                <c:pt idx="146">
                  <c:v>1108</c:v>
                </c:pt>
                <c:pt idx="147">
                  <c:v>1103</c:v>
                </c:pt>
                <c:pt idx="148">
                  <c:v>1103</c:v>
                </c:pt>
                <c:pt idx="149">
                  <c:v>1086</c:v>
                </c:pt>
                <c:pt idx="150">
                  <c:v>1068</c:v>
                </c:pt>
                <c:pt idx="151">
                  <c:v>1061</c:v>
                </c:pt>
                <c:pt idx="152">
                  <c:v>1053</c:v>
                </c:pt>
                <c:pt idx="153">
                  <c:v>1050</c:v>
                </c:pt>
                <c:pt idx="154">
                  <c:v>1048</c:v>
                </c:pt>
                <c:pt idx="155">
                  <c:v>1048</c:v>
                </c:pt>
                <c:pt idx="156">
                  <c:v>1048</c:v>
                </c:pt>
                <c:pt idx="157">
                  <c:v>1043</c:v>
                </c:pt>
                <c:pt idx="158">
                  <c:v>1042</c:v>
                </c:pt>
                <c:pt idx="159">
                  <c:v>1019</c:v>
                </c:pt>
                <c:pt idx="160">
                  <c:v>1011</c:v>
                </c:pt>
                <c:pt idx="161">
                  <c:v>1010</c:v>
                </c:pt>
                <c:pt idx="162">
                  <c:v>1010</c:v>
                </c:pt>
                <c:pt idx="163">
                  <c:v>1006</c:v>
                </c:pt>
                <c:pt idx="164">
                  <c:v>993</c:v>
                </c:pt>
                <c:pt idx="165">
                  <c:v>975</c:v>
                </c:pt>
                <c:pt idx="166">
                  <c:v>963</c:v>
                </c:pt>
                <c:pt idx="167">
                  <c:v>955</c:v>
                </c:pt>
                <c:pt idx="168">
                  <c:v>950</c:v>
                </c:pt>
                <c:pt idx="169">
                  <c:v>950</c:v>
                </c:pt>
                <c:pt idx="170">
                  <c:v>947</c:v>
                </c:pt>
                <c:pt idx="171">
                  <c:v>953</c:v>
                </c:pt>
                <c:pt idx="172">
                  <c:v>952</c:v>
                </c:pt>
                <c:pt idx="173">
                  <c:v>935</c:v>
                </c:pt>
                <c:pt idx="174">
                  <c:v>932</c:v>
                </c:pt>
                <c:pt idx="175">
                  <c:v>927</c:v>
                </c:pt>
                <c:pt idx="176">
                  <c:v>927</c:v>
                </c:pt>
                <c:pt idx="177">
                  <c:v>927</c:v>
                </c:pt>
                <c:pt idx="178">
                  <c:v>925</c:v>
                </c:pt>
                <c:pt idx="179">
                  <c:v>919</c:v>
                </c:pt>
                <c:pt idx="180">
                  <c:v>919</c:v>
                </c:pt>
              </c:numCache>
            </c:numRef>
          </c:val>
          <c:smooth val="0"/>
          <c:extLst>
            <c:ext xmlns:c16="http://schemas.microsoft.com/office/drawing/2014/chart" uri="{C3380CC4-5D6E-409C-BE32-E72D297353CC}">
              <c16:uniqueId val="{00000002-E1F4-4E36-87C8-D26F91FCE70B}"/>
            </c:ext>
          </c:extLst>
        </c:ser>
        <c:dLbls>
          <c:showLegendKey val="0"/>
          <c:showVal val="0"/>
          <c:showCatName val="0"/>
          <c:showSerName val="0"/>
          <c:showPercent val="0"/>
          <c:showBubbleSize val="0"/>
        </c:dLbls>
        <c:smooth val="0"/>
        <c:axId val="666642335"/>
        <c:axId val="666646079"/>
      </c:lineChart>
      <c:catAx>
        <c:axId val="666642335"/>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5400000" spcFirstLastPara="1" vertOverflow="ellipsis"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666646079"/>
        <c:crosses val="autoZero"/>
        <c:auto val="1"/>
        <c:lblAlgn val="ctr"/>
        <c:lblOffset val="100"/>
        <c:tickLblSkip val="7"/>
        <c:tickMarkSkip val="7"/>
        <c:noMultiLvlLbl val="0"/>
      </c:catAx>
      <c:valAx>
        <c:axId val="666646079"/>
        <c:scaling>
          <c:orientation val="minMax"/>
          <c:max val="70000"/>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666642335"/>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2"/>
          <c:order val="0"/>
          <c:tx>
            <c:strRef>
              <c:f>'5.1'!$D$3</c:f>
              <c:strCache>
                <c:ptCount val="1"/>
                <c:pt idx="0">
                  <c:v> celkem</c:v>
                </c:pt>
              </c:strCache>
            </c:strRef>
          </c:tx>
          <c:spPr>
            <a:solidFill>
              <a:srgbClr val="632827"/>
            </a:solidFill>
            <a:ln>
              <a:noFill/>
            </a:ln>
            <a:effectLst/>
          </c:spPr>
          <c:invertIfNegative val="0"/>
          <c:cat>
            <c:strRef>
              <c:f>'5.1'!$A$5:$A$15</c:f>
              <c:strCache>
                <c:ptCount val="11"/>
                <c:pt idx="0">
                  <c:v>1. pol. 
2012</c:v>
                </c:pt>
                <c:pt idx="1">
                  <c:v>1. pol. 
2013</c:v>
                </c:pt>
                <c:pt idx="2">
                  <c:v>1. pol. 
2014</c:v>
                </c:pt>
                <c:pt idx="3">
                  <c:v>1. pol. 
2015</c:v>
                </c:pt>
                <c:pt idx="4">
                  <c:v>1. pol. 
2016</c:v>
                </c:pt>
                <c:pt idx="5">
                  <c:v>1. pol. 
2017</c:v>
                </c:pt>
                <c:pt idx="6">
                  <c:v>1. pol. 
2018</c:v>
                </c:pt>
                <c:pt idx="7">
                  <c:v>1. pol. 2019</c:v>
                </c:pt>
                <c:pt idx="8">
                  <c:v>1. pol. 2020</c:v>
                </c:pt>
                <c:pt idx="9">
                  <c:v>1. pol. 2021</c:v>
                </c:pt>
                <c:pt idx="10">
                  <c:v>1. pol. 2022</c:v>
                </c:pt>
              </c:strCache>
            </c:strRef>
          </c:cat>
          <c:val>
            <c:numRef>
              <c:f>'5.1'!$D$5:$D$15</c:f>
              <c:numCache>
                <c:formatCode>General</c:formatCode>
                <c:ptCount val="11"/>
                <c:pt idx="0">
                  <c:v>478.9395333232564</c:v>
                </c:pt>
                <c:pt idx="1">
                  <c:v>487.87834521775267</c:v>
                </c:pt>
                <c:pt idx="2">
                  <c:v>492.89645888991129</c:v>
                </c:pt>
                <c:pt idx="3">
                  <c:v>511.25499010365996</c:v>
                </c:pt>
                <c:pt idx="4">
                  <c:v>532.16962989560591</c:v>
                </c:pt>
                <c:pt idx="5">
                  <c:v>519.11568041523731</c:v>
                </c:pt>
                <c:pt idx="6">
                  <c:v>499.38566541309012</c:v>
                </c:pt>
                <c:pt idx="7">
                  <c:v>481.91916475226174</c:v>
                </c:pt>
                <c:pt idx="8">
                  <c:v>423.63327682693637</c:v>
                </c:pt>
                <c:pt idx="9">
                  <c:v>479.22548855299397</c:v>
                </c:pt>
                <c:pt idx="10">
                  <c:v>473.69883966480637</c:v>
                </c:pt>
              </c:numCache>
            </c:numRef>
          </c:val>
          <c:extLst>
            <c:ext xmlns:c16="http://schemas.microsoft.com/office/drawing/2014/chart" uri="{C3380CC4-5D6E-409C-BE32-E72D297353CC}">
              <c16:uniqueId val="{00000000-DE24-46FE-BB4B-F7E0DA210FDD}"/>
            </c:ext>
          </c:extLst>
        </c:ser>
        <c:ser>
          <c:idx val="0"/>
          <c:order val="1"/>
          <c:tx>
            <c:strRef>
              <c:f>'5.1'!$B$3</c:f>
              <c:strCache>
                <c:ptCount val="1"/>
                <c:pt idx="0">
                  <c:v> muži</c:v>
                </c:pt>
              </c:strCache>
            </c:strRef>
          </c:tx>
          <c:spPr>
            <a:solidFill>
              <a:srgbClr val="B44946"/>
            </a:solidFill>
            <a:ln>
              <a:noFill/>
            </a:ln>
            <a:effectLst/>
          </c:spPr>
          <c:invertIfNegative val="0"/>
          <c:cat>
            <c:strRef>
              <c:f>'5.1'!$A$5:$A$15</c:f>
              <c:strCache>
                <c:ptCount val="11"/>
                <c:pt idx="0">
                  <c:v>1. pol. 
2012</c:v>
                </c:pt>
                <c:pt idx="1">
                  <c:v>1. pol. 
2013</c:v>
                </c:pt>
                <c:pt idx="2">
                  <c:v>1. pol. 
2014</c:v>
                </c:pt>
                <c:pt idx="3">
                  <c:v>1. pol. 
2015</c:v>
                </c:pt>
                <c:pt idx="4">
                  <c:v>1. pol. 
2016</c:v>
                </c:pt>
                <c:pt idx="5">
                  <c:v>1. pol. 
2017</c:v>
                </c:pt>
                <c:pt idx="6">
                  <c:v>1. pol. 
2018</c:v>
                </c:pt>
                <c:pt idx="7">
                  <c:v>1. pol. 2019</c:v>
                </c:pt>
                <c:pt idx="8">
                  <c:v>1. pol. 2020</c:v>
                </c:pt>
                <c:pt idx="9">
                  <c:v>1. pol. 2021</c:v>
                </c:pt>
                <c:pt idx="10">
                  <c:v>1. pol. 2022</c:v>
                </c:pt>
              </c:strCache>
            </c:strRef>
          </c:cat>
          <c:val>
            <c:numRef>
              <c:f>'5.1'!$B$5:$B$15</c:f>
              <c:numCache>
                <c:formatCode>General</c:formatCode>
                <c:ptCount val="11"/>
                <c:pt idx="0">
                  <c:v>667.92118565265105</c:v>
                </c:pt>
                <c:pt idx="1">
                  <c:v>667.51624087875348</c:v>
                </c:pt>
                <c:pt idx="2">
                  <c:v>678.62362281090054</c:v>
                </c:pt>
                <c:pt idx="3">
                  <c:v>687.72617955433293</c:v>
                </c:pt>
                <c:pt idx="4">
                  <c:v>717.41080554638006</c:v>
                </c:pt>
                <c:pt idx="5">
                  <c:v>698.61964391251627</c:v>
                </c:pt>
                <c:pt idx="6">
                  <c:v>663.88515164799742</c:v>
                </c:pt>
                <c:pt idx="7">
                  <c:v>642.20025870705979</c:v>
                </c:pt>
                <c:pt idx="8">
                  <c:v>584.37284759399131</c:v>
                </c:pt>
                <c:pt idx="9">
                  <c:v>663.35356297287649</c:v>
                </c:pt>
                <c:pt idx="10">
                  <c:v>635.92707285931704</c:v>
                </c:pt>
              </c:numCache>
            </c:numRef>
          </c:val>
          <c:extLst>
            <c:ext xmlns:c16="http://schemas.microsoft.com/office/drawing/2014/chart" uri="{C3380CC4-5D6E-409C-BE32-E72D297353CC}">
              <c16:uniqueId val="{00000001-DE24-46FE-BB4B-F7E0DA210FDD}"/>
            </c:ext>
          </c:extLst>
        </c:ser>
        <c:ser>
          <c:idx val="1"/>
          <c:order val="2"/>
          <c:tx>
            <c:strRef>
              <c:f>'5.1'!$C$3</c:f>
              <c:strCache>
                <c:ptCount val="1"/>
                <c:pt idx="0">
                  <c:v> ženy</c:v>
                </c:pt>
              </c:strCache>
            </c:strRef>
          </c:tx>
          <c:spPr>
            <a:solidFill>
              <a:srgbClr val="F07373"/>
            </a:solidFill>
            <a:ln>
              <a:noFill/>
            </a:ln>
            <a:effectLst/>
          </c:spPr>
          <c:invertIfNegative val="0"/>
          <c:cat>
            <c:strRef>
              <c:f>'5.1'!$A$5:$A$15</c:f>
              <c:strCache>
                <c:ptCount val="11"/>
                <c:pt idx="0">
                  <c:v>1. pol. 
2012</c:v>
                </c:pt>
                <c:pt idx="1">
                  <c:v>1. pol. 
2013</c:v>
                </c:pt>
                <c:pt idx="2">
                  <c:v>1. pol. 
2014</c:v>
                </c:pt>
                <c:pt idx="3">
                  <c:v>1. pol. 
2015</c:v>
                </c:pt>
                <c:pt idx="4">
                  <c:v>1. pol. 
2016</c:v>
                </c:pt>
                <c:pt idx="5">
                  <c:v>1. pol. 
2017</c:v>
                </c:pt>
                <c:pt idx="6">
                  <c:v>1. pol. 
2018</c:v>
                </c:pt>
                <c:pt idx="7">
                  <c:v>1. pol. 2019</c:v>
                </c:pt>
                <c:pt idx="8">
                  <c:v>1. pol. 2020</c:v>
                </c:pt>
                <c:pt idx="9">
                  <c:v>1. pol. 2021</c:v>
                </c:pt>
                <c:pt idx="10">
                  <c:v>1. pol. 2022</c:v>
                </c:pt>
              </c:strCache>
            </c:strRef>
          </c:cat>
          <c:val>
            <c:numRef>
              <c:f>'5.1'!$C$5:$C$15</c:f>
              <c:numCache>
                <c:formatCode>General</c:formatCode>
                <c:ptCount val="11"/>
                <c:pt idx="0">
                  <c:v>283.11950200192888</c:v>
                </c:pt>
                <c:pt idx="1">
                  <c:v>301.5328110148298</c:v>
                </c:pt>
                <c:pt idx="2">
                  <c:v>300.13141138412294</c:v>
                </c:pt>
                <c:pt idx="3">
                  <c:v>327.60070138862903</c:v>
                </c:pt>
                <c:pt idx="4">
                  <c:v>339.86939334899176</c:v>
                </c:pt>
                <c:pt idx="5">
                  <c:v>333.98707277091205</c:v>
                </c:pt>
                <c:pt idx="6">
                  <c:v>331.20799260910331</c:v>
                </c:pt>
                <c:pt idx="7">
                  <c:v>319.17822031976533</c:v>
                </c:pt>
                <c:pt idx="8">
                  <c:v>261.42418098663086</c:v>
                </c:pt>
                <c:pt idx="9">
                  <c:v>294.59994792041869</c:v>
                </c:pt>
                <c:pt idx="10">
                  <c:v>312.73014618820093</c:v>
                </c:pt>
              </c:numCache>
            </c:numRef>
          </c:val>
          <c:extLst>
            <c:ext xmlns:c16="http://schemas.microsoft.com/office/drawing/2014/chart" uri="{C3380CC4-5D6E-409C-BE32-E72D297353CC}">
              <c16:uniqueId val="{00000002-DE24-46FE-BB4B-F7E0DA210FDD}"/>
            </c:ext>
          </c:extLst>
        </c:ser>
        <c:dLbls>
          <c:showLegendKey val="0"/>
          <c:showVal val="0"/>
          <c:showCatName val="0"/>
          <c:showSerName val="0"/>
          <c:showPercent val="0"/>
          <c:showBubbleSize val="0"/>
        </c:dLbls>
        <c:gapWidth val="150"/>
        <c:axId val="1502895791"/>
        <c:axId val="1502899951"/>
      </c:barChart>
      <c:catAx>
        <c:axId val="1502895791"/>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502899951"/>
        <c:crosses val="autoZero"/>
        <c:auto val="1"/>
        <c:lblAlgn val="ctr"/>
        <c:lblOffset val="100"/>
        <c:noMultiLvlLbl val="0"/>
      </c:catAx>
      <c:valAx>
        <c:axId val="1502899951"/>
        <c:scaling>
          <c:orientation val="minMax"/>
          <c:max val="80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en-US"/>
                  <a:t>počet případů na 100 tis. pojištěnců</a:t>
                </a:r>
              </a:p>
            </c:rich>
          </c:tx>
          <c:overlay val="0"/>
          <c:spPr>
            <a:noFill/>
            <a:ln>
              <a:noFill/>
            </a:ln>
            <a:effectLst/>
          </c:spPr>
          <c:txPr>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502895791"/>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52194610245207207"/>
          <c:y val="3.3757864047874786E-2"/>
          <c:w val="0.43445041200105228"/>
          <c:h val="0.84822251676112992"/>
        </c:manualLayout>
      </c:layout>
      <c:barChart>
        <c:barDir val="bar"/>
        <c:grouping val="clustered"/>
        <c:varyColors val="0"/>
        <c:ser>
          <c:idx val="0"/>
          <c:order val="0"/>
          <c:spPr>
            <a:solidFill>
              <a:srgbClr val="C46A68"/>
            </a:solidFill>
            <a:ln>
              <a:noFill/>
            </a:ln>
            <a:effectLst/>
          </c:spPr>
          <c:invertIfNegative val="0"/>
          <c:dPt>
            <c:idx val="13"/>
            <c:invertIfNegative val="0"/>
            <c:bubble3D val="0"/>
            <c:spPr>
              <a:solidFill>
                <a:srgbClr val="632827"/>
              </a:solidFill>
              <a:ln>
                <a:noFill/>
              </a:ln>
              <a:effectLst/>
            </c:spPr>
            <c:extLst>
              <c:ext xmlns:c16="http://schemas.microsoft.com/office/drawing/2014/chart" uri="{C3380CC4-5D6E-409C-BE32-E72D297353CC}">
                <c16:uniqueId val="{00000001-54C4-4DB7-9E10-3776B9894D36}"/>
              </c:ext>
            </c:extLst>
          </c:dPt>
          <c:cat>
            <c:strRef>
              <c:f>'5.2'!$A$4:$A$23</c:f>
              <c:strCache>
                <c:ptCount val="20"/>
                <c:pt idx="0">
                  <c:v>K – Peněžnictví a pojišťovnictví</c:v>
                </c:pt>
                <c:pt idx="1">
                  <c:v>J – Informační a komunikační činnosti</c:v>
                </c:pt>
                <c:pt idx="2">
                  <c:v>M – Profesní, vědecké a technické činnosti</c:v>
                </c:pt>
                <c:pt idx="3">
                  <c:v>S – Ostatní činnosti</c:v>
                </c:pt>
                <c:pt idx="4">
                  <c:v>L – Činnosti v oblasti nemovitostí</c:v>
                </c:pt>
                <c:pt idx="5">
                  <c:v>D – Výroba a rozvod elektřiny, plynu, tepla a klimatiz. vzduchu</c:v>
                </c:pt>
                <c:pt idx="6">
                  <c:v>O – Veřejná správa a obrana; povinné sociální zabezpečení</c:v>
                </c:pt>
                <c:pt idx="7">
                  <c:v>P – Vzdělávání</c:v>
                </c:pt>
                <c:pt idx="8">
                  <c:v>R – Kulturní, zábavní a rekreační činnosti</c:v>
                </c:pt>
                <c:pt idx="9">
                  <c:v>Q – Zdravotní a sociální péče</c:v>
                </c:pt>
                <c:pt idx="10">
                  <c:v>I – Ubytování, stravování a pohostinství</c:v>
                </c:pt>
                <c:pt idx="11">
                  <c:v>G – Velkoobchod a maloobchod; opravy a údržba motor. vozidel</c:v>
                </c:pt>
                <c:pt idx="12">
                  <c:v>N – Administrativní a podpůrné činnosti</c:v>
                </c:pt>
                <c:pt idx="13">
                  <c:v>CELKEM</c:v>
                </c:pt>
                <c:pt idx="14">
                  <c:v>F – Stavebnictví</c:v>
                </c:pt>
                <c:pt idx="15">
                  <c:v>H – Doprava a skladování</c:v>
                </c:pt>
                <c:pt idx="16">
                  <c:v>C – Zpracovatelský průmysl</c:v>
                </c:pt>
                <c:pt idx="17">
                  <c:v>E – Zásobování vodou; činnosti související s odpady a sanacemi</c:v>
                </c:pt>
                <c:pt idx="18">
                  <c:v>B – Těžba a dobývání</c:v>
                </c:pt>
                <c:pt idx="19">
                  <c:v>A – Zemědělství, lesnictví, rybářství</c:v>
                </c:pt>
              </c:strCache>
            </c:strRef>
          </c:cat>
          <c:val>
            <c:numRef>
              <c:f>'5.2'!$B$4:$B$23</c:f>
              <c:numCache>
                <c:formatCode>General</c:formatCode>
                <c:ptCount val="20"/>
                <c:pt idx="0">
                  <c:v>31.724581969559193</c:v>
                </c:pt>
                <c:pt idx="1">
                  <c:v>38.536499363666053</c:v>
                </c:pt>
                <c:pt idx="2">
                  <c:v>87.957840332955016</c:v>
                </c:pt>
                <c:pt idx="3">
                  <c:v>187.72738031568832</c:v>
                </c:pt>
                <c:pt idx="4">
                  <c:v>192.36973820189198</c:v>
                </c:pt>
                <c:pt idx="5">
                  <c:v>204.96059344857812</c:v>
                </c:pt>
                <c:pt idx="6">
                  <c:v>228.569405638738</c:v>
                </c:pt>
                <c:pt idx="7">
                  <c:v>248.61488945170404</c:v>
                </c:pt>
                <c:pt idx="8">
                  <c:v>289.92217926010233</c:v>
                </c:pt>
                <c:pt idx="9">
                  <c:v>319.93762330712866</c:v>
                </c:pt>
                <c:pt idx="10">
                  <c:v>338.59163299414496</c:v>
                </c:pt>
                <c:pt idx="11">
                  <c:v>426.98160462555143</c:v>
                </c:pt>
                <c:pt idx="12">
                  <c:v>429.93817190635758</c:v>
                </c:pt>
                <c:pt idx="13">
                  <c:v>473.69883966480637</c:v>
                </c:pt>
                <c:pt idx="14">
                  <c:v>612.66915153834759</c:v>
                </c:pt>
                <c:pt idx="15">
                  <c:v>710.25387232460002</c:v>
                </c:pt>
                <c:pt idx="16">
                  <c:v>736.23939105987836</c:v>
                </c:pt>
                <c:pt idx="17">
                  <c:v>959.38785422810395</c:v>
                </c:pt>
                <c:pt idx="18">
                  <c:v>980.1235527942207</c:v>
                </c:pt>
                <c:pt idx="19">
                  <c:v>1218.3937407263525</c:v>
                </c:pt>
              </c:numCache>
            </c:numRef>
          </c:val>
          <c:extLst>
            <c:ext xmlns:c16="http://schemas.microsoft.com/office/drawing/2014/chart" uri="{C3380CC4-5D6E-409C-BE32-E72D297353CC}">
              <c16:uniqueId val="{00000002-54C4-4DB7-9E10-3776B9894D36}"/>
            </c:ext>
          </c:extLst>
        </c:ser>
        <c:dLbls>
          <c:showLegendKey val="0"/>
          <c:showVal val="0"/>
          <c:showCatName val="0"/>
          <c:showSerName val="0"/>
          <c:showPercent val="0"/>
          <c:showBubbleSize val="0"/>
        </c:dLbls>
        <c:gapWidth val="182"/>
        <c:axId val="1666018287"/>
        <c:axId val="1666019119"/>
      </c:barChart>
      <c:catAx>
        <c:axId val="1666018287"/>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666019119"/>
        <c:crosses val="autoZero"/>
        <c:auto val="1"/>
        <c:lblAlgn val="ctr"/>
        <c:lblOffset val="100"/>
        <c:noMultiLvlLbl val="0"/>
      </c:catAx>
      <c:valAx>
        <c:axId val="1666019119"/>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en-US"/>
                  <a:t>počet případů na 100 tis. pojištěnců</a:t>
                </a:r>
              </a:p>
            </c:rich>
          </c:tx>
          <c:layout>
            <c:manualLayout>
              <c:xMode val="edge"/>
              <c:yMode val="edge"/>
              <c:x val="0.58944597286784939"/>
              <c:y val="0.94299914069761337"/>
            </c:manualLayout>
          </c:layout>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666018287"/>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207843827828231"/>
          <c:y val="3.7800677056937237E-2"/>
          <c:w val="0.86674597918250884"/>
          <c:h val="0.76118474241814671"/>
        </c:manualLayout>
      </c:layout>
      <c:barChart>
        <c:barDir val="col"/>
        <c:grouping val="clustered"/>
        <c:varyColors val="0"/>
        <c:ser>
          <c:idx val="1"/>
          <c:order val="0"/>
          <c:tx>
            <c:strRef>
              <c:f>'5.3'!$B$3</c:f>
              <c:strCache>
                <c:ptCount val="1"/>
                <c:pt idx="0">
                  <c:v> 1. pol. 2022</c:v>
                </c:pt>
              </c:strCache>
            </c:strRef>
          </c:tx>
          <c:spPr>
            <a:solidFill>
              <a:srgbClr val="4E201E"/>
            </a:solidFill>
            <a:ln>
              <a:noFill/>
            </a:ln>
            <a:effectLst/>
          </c:spPr>
          <c:invertIfNegative val="0"/>
          <c:dPt>
            <c:idx val="11"/>
            <c:invertIfNegative val="0"/>
            <c:bubble3D val="0"/>
            <c:spPr>
              <a:solidFill>
                <a:srgbClr val="4E201E"/>
              </a:solidFill>
              <a:ln w="15875">
                <a:solidFill>
                  <a:srgbClr val="00B0F0"/>
                </a:solidFill>
              </a:ln>
              <a:effectLst/>
            </c:spPr>
            <c:extLst>
              <c:ext xmlns:c16="http://schemas.microsoft.com/office/drawing/2014/chart" uri="{C3380CC4-5D6E-409C-BE32-E72D297353CC}">
                <c16:uniqueId val="{00000001-1347-4184-A424-473B5F35DE1A}"/>
              </c:ext>
            </c:extLst>
          </c:dPt>
          <c:cat>
            <c:strRef>
              <c:f>'5.3'!$F$4:$F$18</c:f>
              <c:strCache>
                <c:ptCount val="15"/>
                <c:pt idx="0">
                  <c:v>VYS</c:v>
                </c:pt>
                <c:pt idx="1">
                  <c:v>PLK</c:v>
                </c:pt>
                <c:pt idx="2">
                  <c:v>JHC</c:v>
                </c:pt>
                <c:pt idx="3">
                  <c:v>KVK</c:v>
                </c:pt>
                <c:pt idx="4">
                  <c:v>ULK</c:v>
                </c:pt>
                <c:pt idx="5">
                  <c:v>PAK</c:v>
                </c:pt>
                <c:pt idx="6">
                  <c:v>HKK</c:v>
                </c:pt>
                <c:pt idx="7">
                  <c:v>ZLK</c:v>
                </c:pt>
                <c:pt idx="8">
                  <c:v>OLK</c:v>
                </c:pt>
                <c:pt idx="9">
                  <c:v>LBK</c:v>
                </c:pt>
                <c:pt idx="10">
                  <c:v>MSK</c:v>
                </c:pt>
                <c:pt idx="11">
                  <c:v>ČR</c:v>
                </c:pt>
                <c:pt idx="12">
                  <c:v>STC</c:v>
                </c:pt>
                <c:pt idx="13">
                  <c:v>JHM</c:v>
                </c:pt>
                <c:pt idx="14">
                  <c:v>PHA</c:v>
                </c:pt>
              </c:strCache>
            </c:strRef>
          </c:cat>
          <c:val>
            <c:numRef>
              <c:f>'5.3'!$B$4:$B$18</c:f>
              <c:numCache>
                <c:formatCode>General</c:formatCode>
                <c:ptCount val="15"/>
                <c:pt idx="0">
                  <c:v>688.33984485524047</c:v>
                </c:pt>
                <c:pt idx="1">
                  <c:v>661.85573198539407</c:v>
                </c:pt>
                <c:pt idx="2">
                  <c:v>660.41407124098851</c:v>
                </c:pt>
                <c:pt idx="3">
                  <c:v>636.02756993945297</c:v>
                </c:pt>
                <c:pt idx="4">
                  <c:v>627.1525361491523</c:v>
                </c:pt>
                <c:pt idx="5">
                  <c:v>600.51705993457711</c:v>
                </c:pt>
                <c:pt idx="6">
                  <c:v>578.53917449081712</c:v>
                </c:pt>
                <c:pt idx="7">
                  <c:v>555.31409010386062</c:v>
                </c:pt>
                <c:pt idx="8">
                  <c:v>544.45518600917023</c:v>
                </c:pt>
                <c:pt idx="9">
                  <c:v>525.07858277733476</c:v>
                </c:pt>
                <c:pt idx="10">
                  <c:v>475.85912626663026</c:v>
                </c:pt>
                <c:pt idx="11">
                  <c:v>473.69883966480637</c:v>
                </c:pt>
                <c:pt idx="12">
                  <c:v>473.6077323943943</c:v>
                </c:pt>
                <c:pt idx="13">
                  <c:v>424.33515970143264</c:v>
                </c:pt>
                <c:pt idx="14">
                  <c:v>282.73190667574295</c:v>
                </c:pt>
              </c:numCache>
            </c:numRef>
          </c:val>
          <c:extLst>
            <c:ext xmlns:c16="http://schemas.microsoft.com/office/drawing/2014/chart" uri="{C3380CC4-5D6E-409C-BE32-E72D297353CC}">
              <c16:uniqueId val="{00000002-1347-4184-A424-473B5F35DE1A}"/>
            </c:ext>
          </c:extLst>
        </c:ser>
        <c:ser>
          <c:idx val="0"/>
          <c:order val="1"/>
          <c:tx>
            <c:strRef>
              <c:f>'5.3'!$C$3</c:f>
              <c:strCache>
                <c:ptCount val="1"/>
                <c:pt idx="0">
                  <c:v> 1. pol. 2021</c:v>
                </c:pt>
              </c:strCache>
            </c:strRef>
          </c:tx>
          <c:spPr>
            <a:solidFill>
              <a:srgbClr val="B44946"/>
            </a:solidFill>
            <a:ln>
              <a:noFill/>
            </a:ln>
            <a:effectLst/>
          </c:spPr>
          <c:invertIfNegative val="0"/>
          <c:dPt>
            <c:idx val="11"/>
            <c:invertIfNegative val="0"/>
            <c:bubble3D val="0"/>
            <c:spPr>
              <a:solidFill>
                <a:srgbClr val="B44946"/>
              </a:solidFill>
              <a:ln w="15875">
                <a:solidFill>
                  <a:srgbClr val="00B0F0"/>
                </a:solidFill>
              </a:ln>
              <a:effectLst/>
            </c:spPr>
            <c:extLst>
              <c:ext xmlns:c16="http://schemas.microsoft.com/office/drawing/2014/chart" uri="{C3380CC4-5D6E-409C-BE32-E72D297353CC}">
                <c16:uniqueId val="{00000004-1347-4184-A424-473B5F35DE1A}"/>
              </c:ext>
            </c:extLst>
          </c:dPt>
          <c:cat>
            <c:strRef>
              <c:f>'5.3'!$F$4:$F$18</c:f>
              <c:strCache>
                <c:ptCount val="15"/>
                <c:pt idx="0">
                  <c:v>VYS</c:v>
                </c:pt>
                <c:pt idx="1">
                  <c:v>PLK</c:v>
                </c:pt>
                <c:pt idx="2">
                  <c:v>JHC</c:v>
                </c:pt>
                <c:pt idx="3">
                  <c:v>KVK</c:v>
                </c:pt>
                <c:pt idx="4">
                  <c:v>ULK</c:v>
                </c:pt>
                <c:pt idx="5">
                  <c:v>PAK</c:v>
                </c:pt>
                <c:pt idx="6">
                  <c:v>HKK</c:v>
                </c:pt>
                <c:pt idx="7">
                  <c:v>ZLK</c:v>
                </c:pt>
                <c:pt idx="8">
                  <c:v>OLK</c:v>
                </c:pt>
                <c:pt idx="9">
                  <c:v>LBK</c:v>
                </c:pt>
                <c:pt idx="10">
                  <c:v>MSK</c:v>
                </c:pt>
                <c:pt idx="11">
                  <c:v>ČR</c:v>
                </c:pt>
                <c:pt idx="12">
                  <c:v>STC</c:v>
                </c:pt>
                <c:pt idx="13">
                  <c:v>JHM</c:v>
                </c:pt>
                <c:pt idx="14">
                  <c:v>PHA</c:v>
                </c:pt>
              </c:strCache>
            </c:strRef>
          </c:cat>
          <c:val>
            <c:numRef>
              <c:f>'5.3'!$C$4:$C$18</c:f>
              <c:numCache>
                <c:formatCode>General</c:formatCode>
                <c:ptCount val="15"/>
                <c:pt idx="0">
                  <c:v>734.1266762709688</c:v>
                </c:pt>
                <c:pt idx="1">
                  <c:v>645.74335941577783</c:v>
                </c:pt>
                <c:pt idx="2">
                  <c:v>693.74281515548444</c:v>
                </c:pt>
                <c:pt idx="3">
                  <c:v>601.54105263061001</c:v>
                </c:pt>
                <c:pt idx="4">
                  <c:v>661.65308473169671</c:v>
                </c:pt>
                <c:pt idx="5">
                  <c:v>566.20894474350303</c:v>
                </c:pt>
                <c:pt idx="6">
                  <c:v>616.96855809130545</c:v>
                </c:pt>
                <c:pt idx="7">
                  <c:v>512.94941078465763</c:v>
                </c:pt>
                <c:pt idx="8">
                  <c:v>537.49346249028292</c:v>
                </c:pt>
                <c:pt idx="9">
                  <c:v>539.16022146215914</c:v>
                </c:pt>
                <c:pt idx="10">
                  <c:v>492.98319519422648</c:v>
                </c:pt>
                <c:pt idx="11">
                  <c:v>479.22548855299397</c:v>
                </c:pt>
                <c:pt idx="12">
                  <c:v>495.84288658566214</c:v>
                </c:pt>
                <c:pt idx="13">
                  <c:v>416.13974352565145</c:v>
                </c:pt>
                <c:pt idx="14">
                  <c:v>280.52657859342639</c:v>
                </c:pt>
              </c:numCache>
            </c:numRef>
          </c:val>
          <c:extLst>
            <c:ext xmlns:c16="http://schemas.microsoft.com/office/drawing/2014/chart" uri="{C3380CC4-5D6E-409C-BE32-E72D297353CC}">
              <c16:uniqueId val="{00000005-1347-4184-A424-473B5F35DE1A}"/>
            </c:ext>
          </c:extLst>
        </c:ser>
        <c:dLbls>
          <c:showLegendKey val="0"/>
          <c:showVal val="0"/>
          <c:showCatName val="0"/>
          <c:showSerName val="0"/>
          <c:showPercent val="0"/>
          <c:showBubbleSize val="0"/>
        </c:dLbls>
        <c:gapWidth val="182"/>
        <c:axId val="1528547167"/>
        <c:axId val="1528541759"/>
      </c:barChart>
      <c:catAx>
        <c:axId val="1528547167"/>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528541759"/>
        <c:crosses val="autoZero"/>
        <c:auto val="1"/>
        <c:lblAlgn val="ctr"/>
        <c:lblOffset val="100"/>
        <c:noMultiLvlLbl val="0"/>
      </c:catAx>
      <c:valAx>
        <c:axId val="1528541759"/>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en-US" sz="800" b="0" i="0" baseline="0">
                    <a:effectLst/>
                  </a:rPr>
                  <a:t>počet případů</a:t>
                </a:r>
                <a:r>
                  <a:rPr lang="cs-CZ" sz="800" b="0" i="0" baseline="0">
                    <a:effectLst/>
                  </a:rPr>
                  <a:t> na 100 tis. pojištěnců</a:t>
                </a:r>
                <a:endParaRPr lang="cs-CZ" sz="100">
                  <a:effectLst/>
                </a:endParaRPr>
              </a:p>
            </c:rich>
          </c:tx>
          <c:layout>
            <c:manualLayout>
              <c:xMode val="edge"/>
              <c:yMode val="edge"/>
              <c:x val="2.3269965086139929E-2"/>
              <c:y val="0.11557905626760159"/>
            </c:manualLayout>
          </c:layout>
          <c:overlay val="0"/>
          <c:spPr>
            <a:noFill/>
            <a:ln>
              <a:noFill/>
            </a:ln>
            <a:effectLst/>
          </c:spPr>
          <c:txPr>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528547167"/>
        <c:crosses val="autoZero"/>
        <c:crossBetween val="between"/>
      </c:valAx>
      <c:spPr>
        <a:noFill/>
        <a:ln>
          <a:noFill/>
        </a:ln>
        <a:effectLst/>
      </c:spPr>
    </c:plotArea>
    <c:legend>
      <c:legendPos val="b"/>
      <c:overlay val="1"/>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4.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5.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7.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8.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9.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0.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2.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4.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5.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rawings/drawing1.xml><?xml version="1.0" encoding="utf-8"?>
<c:userShapes xmlns:c="http://schemas.openxmlformats.org/drawingml/2006/chart">
  <cdr:relSizeAnchor xmlns:cdr="http://schemas.openxmlformats.org/drawingml/2006/chartDrawing">
    <cdr:from>
      <cdr:x>0.59974</cdr:x>
      <cdr:y>0.44258</cdr:y>
    </cdr:from>
    <cdr:to>
      <cdr:x>0.78932</cdr:x>
      <cdr:y>0.61272</cdr:y>
    </cdr:to>
    <cdr:sp macro="" textlink="">
      <cdr:nvSpPr>
        <cdr:cNvPr id="2" name="TextovéPole 1"/>
        <cdr:cNvSpPr txBox="1"/>
      </cdr:nvSpPr>
      <cdr:spPr>
        <a:xfrm xmlns:a="http://schemas.openxmlformats.org/drawingml/2006/main">
          <a:off x="2079375" y="1037042"/>
          <a:ext cx="657293" cy="398664"/>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r>
            <a:rPr lang="cs-CZ" sz="900" b="1">
              <a:latin typeface="Arial" panose="020B0604020202020204" pitchFamily="34" charset="0"/>
              <a:cs typeface="Arial" panose="020B0604020202020204" pitchFamily="34" charset="0"/>
            </a:rPr>
            <a:t>1 107,9</a:t>
          </a:r>
          <a:r>
            <a:rPr lang="cs-CZ" sz="800" b="1">
              <a:latin typeface="Arial" panose="020B0604020202020204" pitchFamily="34" charset="0"/>
              <a:cs typeface="Arial" panose="020B0604020202020204" pitchFamily="34" charset="0"/>
            </a:rPr>
            <a:t> tis.</a:t>
          </a:r>
        </a:p>
      </cdr:txBody>
    </cdr:sp>
  </cdr:relSizeAnchor>
</c:userShapes>
</file>

<file path=word/drawings/drawing2.xml><?xml version="1.0" encoding="utf-8"?>
<c:userShapes xmlns:c="http://schemas.openxmlformats.org/drawingml/2006/chart">
  <cdr:relSizeAnchor xmlns:cdr="http://schemas.openxmlformats.org/drawingml/2006/chartDrawing">
    <cdr:from>
      <cdr:x>0.35468</cdr:x>
      <cdr:y>0.43731</cdr:y>
    </cdr:from>
    <cdr:to>
      <cdr:x>0.54181</cdr:x>
      <cdr:y>0.56911</cdr:y>
    </cdr:to>
    <cdr:sp macro="" textlink="">
      <cdr:nvSpPr>
        <cdr:cNvPr id="2" name="TextovéPole 3"/>
        <cdr:cNvSpPr txBox="1"/>
      </cdr:nvSpPr>
      <cdr:spPr>
        <a:xfrm xmlns:a="http://schemas.openxmlformats.org/drawingml/2006/main">
          <a:off x="1010110" y="1024694"/>
          <a:ext cx="532940" cy="308806"/>
        </a:xfrm>
        <a:prstGeom xmlns:a="http://schemas.openxmlformats.org/drawingml/2006/main" prst="rect">
          <a:avLst/>
        </a:prstGeom>
        <a:solidFill xmlns:a="http://schemas.openxmlformats.org/drawingml/2006/main">
          <a:schemeClr val="lt1"/>
        </a:solidFill>
        <a:ln xmlns:a="http://schemas.openxmlformats.org/drawingml/2006/main" w="9525" cmpd="sng">
          <a:noFill/>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chemeClr val="dk1"/>
              </a:solidFill>
              <a:latin typeface="+mn-lt"/>
              <a:ea typeface="+mn-ea"/>
              <a:cs typeface="+mn-cs"/>
            </a:defRPr>
          </a:lvl1pPr>
          <a:lvl2pPr marL="457200" indent="0">
            <a:defRPr sz="1100">
              <a:solidFill>
                <a:schemeClr val="dk1"/>
              </a:solidFill>
              <a:latin typeface="+mn-lt"/>
              <a:ea typeface="+mn-ea"/>
              <a:cs typeface="+mn-cs"/>
            </a:defRPr>
          </a:lvl2pPr>
          <a:lvl3pPr marL="914400" indent="0">
            <a:defRPr sz="1100">
              <a:solidFill>
                <a:schemeClr val="dk1"/>
              </a:solidFill>
              <a:latin typeface="+mn-lt"/>
              <a:ea typeface="+mn-ea"/>
              <a:cs typeface="+mn-cs"/>
            </a:defRPr>
          </a:lvl3pPr>
          <a:lvl4pPr marL="1371600" indent="0">
            <a:defRPr sz="1100">
              <a:solidFill>
                <a:schemeClr val="dk1"/>
              </a:solidFill>
              <a:latin typeface="+mn-lt"/>
              <a:ea typeface="+mn-ea"/>
              <a:cs typeface="+mn-cs"/>
            </a:defRPr>
          </a:lvl4pPr>
          <a:lvl5pPr marL="1828800" indent="0">
            <a:defRPr sz="1100">
              <a:solidFill>
                <a:schemeClr val="dk1"/>
              </a:solidFill>
              <a:latin typeface="+mn-lt"/>
              <a:ea typeface="+mn-ea"/>
              <a:cs typeface="+mn-cs"/>
            </a:defRPr>
          </a:lvl5pPr>
          <a:lvl6pPr marL="2286000" indent="0">
            <a:defRPr sz="1100">
              <a:solidFill>
                <a:schemeClr val="dk1"/>
              </a:solidFill>
              <a:latin typeface="+mn-lt"/>
              <a:ea typeface="+mn-ea"/>
              <a:cs typeface="+mn-cs"/>
            </a:defRPr>
          </a:lvl6pPr>
          <a:lvl7pPr marL="2743200" indent="0">
            <a:defRPr sz="1100">
              <a:solidFill>
                <a:schemeClr val="dk1"/>
              </a:solidFill>
              <a:latin typeface="+mn-lt"/>
              <a:ea typeface="+mn-ea"/>
              <a:cs typeface="+mn-cs"/>
            </a:defRPr>
          </a:lvl7pPr>
          <a:lvl8pPr marL="3200400" indent="0">
            <a:defRPr sz="1100">
              <a:solidFill>
                <a:schemeClr val="dk1"/>
              </a:solidFill>
              <a:latin typeface="+mn-lt"/>
              <a:ea typeface="+mn-ea"/>
              <a:cs typeface="+mn-cs"/>
            </a:defRPr>
          </a:lvl8pPr>
          <a:lvl9pPr marL="3657600" indent="0">
            <a:defRPr sz="1100">
              <a:solidFill>
                <a:schemeClr val="dk1"/>
              </a:solidFill>
              <a:latin typeface="+mn-lt"/>
              <a:ea typeface="+mn-ea"/>
              <a:cs typeface="+mn-cs"/>
            </a:defRPr>
          </a:lvl9pPr>
        </a:lstStyle>
        <a:p xmlns:a="http://schemas.openxmlformats.org/drawingml/2006/main">
          <a:pPr algn="ctr"/>
          <a:r>
            <a:rPr lang="cs-CZ" sz="900" b="1">
              <a:latin typeface="Arial" panose="020B0604020202020204" pitchFamily="34" charset="0"/>
              <a:cs typeface="Arial" panose="020B0604020202020204" pitchFamily="34" charset="0"/>
            </a:rPr>
            <a:t>946,0</a:t>
          </a:r>
          <a:r>
            <a:rPr lang="cs-CZ" sz="800" b="1">
              <a:latin typeface="Arial" panose="020B0604020202020204" pitchFamily="34" charset="0"/>
              <a:cs typeface="Arial" panose="020B0604020202020204" pitchFamily="34" charset="0"/>
            </a:rPr>
            <a:t> tis.</a:t>
          </a:r>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1C7AF29-D5C7-40F1-9B55-83106E61A0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Publikace bar CZ_lide a spolecnost_2017-08-14.dotx</Template>
  <TotalTime>0</TotalTime>
  <Pages>36</Pages>
  <Words>12954</Words>
  <Characters>76430</Characters>
  <Application>Microsoft Office Word</Application>
  <DocSecurity>0</DocSecurity>
  <Lines>636</Lines>
  <Paragraphs>178</Paragraphs>
  <ScaleCrop>false</ScaleCrop>
  <HeadingPairs>
    <vt:vector size="6" baseType="variant">
      <vt:variant>
        <vt:lpstr>Název</vt:lpstr>
      </vt:variant>
      <vt:variant>
        <vt:i4>1</vt:i4>
      </vt:variant>
      <vt:variant>
        <vt:lpstr>Title</vt:lpstr>
      </vt:variant>
      <vt:variant>
        <vt:i4>1</vt:i4>
      </vt:variant>
      <vt:variant>
        <vt:lpstr>Headings</vt:lpstr>
      </vt:variant>
      <vt:variant>
        <vt:i4>8</vt:i4>
      </vt:variant>
    </vt:vector>
  </HeadingPairs>
  <TitlesOfParts>
    <vt:vector size="10" baseType="lpstr">
      <vt:lpstr>Pracovní neschopnost pro nemoc a úraz v České republice za 1. pol. 2021</vt:lpstr>
      <vt:lpstr/>
      <vt:lpstr>Styl: Nadpis 1</vt:lpstr>
      <vt:lpstr>    Styl: Nadpis 2</vt:lpstr>
      <vt:lpstr>        Styl: Nadpis 3</vt:lpstr>
      <vt:lpstr>        Styl: Nadpis 3</vt:lpstr>
      <vt:lpstr>    Styl: Nadpis 2</vt:lpstr>
      <vt:lpstr>        Styl: Nadpis 3</vt:lpstr>
      <vt:lpstr>    Styl: Nadpis 2</vt:lpstr>
      <vt:lpstr>        Styl: Nadpis 3</vt:lpstr>
    </vt:vector>
  </TitlesOfParts>
  <Manager/>
  <Company>CSU</Company>
  <LinksUpToDate>false</LinksUpToDate>
  <CharactersWithSpaces>89206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Pracovní neschopnost pro nemoc a úraz v České republice za 1. pol. 2021</dc:title>
  <dc:subject/>
  <dc:creator>Ing. Alena Hykyšová</dc:creator>
  <cp:keywords/>
  <dc:description/>
  <cp:lastModifiedBy>Hykyšová Alena</cp:lastModifiedBy>
  <cp:revision>2</cp:revision>
  <cp:lastPrinted>2022-10-25T14:38:00Z</cp:lastPrinted>
  <dcterms:created xsi:type="dcterms:W3CDTF">2022-10-27T13:00:00Z</dcterms:created>
  <dcterms:modified xsi:type="dcterms:W3CDTF">2022-10-27T13:00:00Z</dcterms:modified>
  <cp:category/>
</cp:coreProperties>
</file>