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drawings/drawing1.xml" ContentType="application/vnd.openxmlformats-officedocument.drawingml.chartshapes+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drawings/drawing2.xml" ContentType="application/vnd.openxmlformats-officedocument.drawingml.chartshapes+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19.xml" ContentType="application/vnd.openxmlformats-officedocument.drawingml.chart+xml"/>
  <Override PartName="/word/charts/style19.xml" ContentType="application/vnd.ms-office.chartstyle+xml"/>
  <Override PartName="/word/charts/colors19.xml" ContentType="application/vnd.ms-office.chartcolorstyle+xml"/>
  <Override PartName="/word/charts/chart20.xml" ContentType="application/vnd.openxmlformats-officedocument.drawingml.chart+xml"/>
  <Override PartName="/word/charts/style20.xml" ContentType="application/vnd.ms-office.chartstyle+xml"/>
  <Override PartName="/word/charts/colors20.xml" ContentType="application/vnd.ms-office.chartcolorstyle+xml"/>
  <Override PartName="/word/charts/chart21.xml" ContentType="application/vnd.openxmlformats-officedocument.drawingml.chart+xml"/>
  <Override PartName="/word/charts/style21.xml" ContentType="application/vnd.ms-office.chartstyle+xml"/>
  <Override PartName="/word/charts/colors21.xml" ContentType="application/vnd.ms-office.chartcolorstyle+xml"/>
  <Override PartName="/word/charts/chart22.xml" ContentType="application/vnd.openxmlformats-officedocument.drawingml.chart+xml"/>
  <Override PartName="/word/charts/style22.xml" ContentType="application/vnd.ms-office.chartstyle+xml"/>
  <Override PartName="/word/charts/colors22.xml" ContentType="application/vnd.ms-office.chartcolorstyle+xml"/>
  <Override PartName="/word/charts/chart23.xml" ContentType="application/vnd.openxmlformats-officedocument.drawingml.chart+xml"/>
  <Override PartName="/word/charts/style23.xml" ContentType="application/vnd.ms-office.chartstyle+xml"/>
  <Override PartName="/word/charts/colors23.xml" ContentType="application/vnd.ms-office.chartcolorstyle+xml"/>
  <Override PartName="/word/charts/chart24.xml" ContentType="application/vnd.openxmlformats-officedocument.drawingml.chart+xml"/>
  <Override PartName="/word/charts/style24.xml" ContentType="application/vnd.ms-office.chartstyle+xml"/>
  <Override PartName="/word/charts/colors24.xml" ContentType="application/vnd.ms-office.chartcolorstyle+xml"/>
  <Override PartName="/word/charts/chart25.xml" ContentType="application/vnd.openxmlformats-officedocument.drawingml.chart+xml"/>
  <Override PartName="/word/charts/style25.xml" ContentType="application/vnd.ms-office.chartstyle+xml"/>
  <Override PartName="/word/charts/colors25.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86473DC" w14:textId="77777777" w:rsidR="00A75E40" w:rsidRPr="00D92E20" w:rsidRDefault="00016992" w:rsidP="00E67696">
      <w:pPr>
        <w:rPr>
          <w:lang w:eastAsia="ar-SA"/>
        </w:rPr>
        <w:sectPr w:rsidR="00A75E40" w:rsidRPr="00D92E20" w:rsidSect="0085114D">
          <w:pgSz w:w="11906" w:h="16838" w:code="9"/>
          <w:pgMar w:top="1134" w:right="1134" w:bottom="1418" w:left="1134" w:header="709" w:footer="709" w:gutter="0"/>
          <w:pgNumType w:start="1"/>
          <w:cols w:space="708"/>
          <w:docGrid w:linePitch="360"/>
        </w:sectPr>
      </w:pPr>
      <w:r w:rsidRPr="00D92E20">
        <w:rPr>
          <w:noProof/>
        </w:rPr>
        <mc:AlternateContent>
          <mc:Choice Requires="wpg">
            <w:drawing>
              <wp:anchor distT="0" distB="0" distL="114300" distR="114300" simplePos="0" relativeHeight="251657728" behindDoc="0" locked="1" layoutInCell="1" allowOverlap="1" wp14:anchorId="469EBB8D" wp14:editId="528DD8AD">
                <wp:simplePos x="0" y="0"/>
                <wp:positionH relativeFrom="page">
                  <wp:posOffset>571500</wp:posOffset>
                </wp:positionH>
                <wp:positionV relativeFrom="page">
                  <wp:posOffset>466725</wp:posOffset>
                </wp:positionV>
                <wp:extent cx="2249805" cy="554355"/>
                <wp:effectExtent l="0" t="0" r="0" b="0"/>
                <wp:wrapSquare wrapText="bothSides"/>
                <wp:docPr id="5" name="Group 24"/>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2249805" cy="554355"/>
                          <a:chOff x="567" y="851"/>
                          <a:chExt cx="2714" cy="667"/>
                        </a:xfrm>
                      </wpg:grpSpPr>
                      <wps:wsp>
                        <wps:cNvPr id="6" name="Rectangle 9"/>
                        <wps:cNvSpPr>
                          <a:spLocks noChangeAspect="1" noChangeArrowheads="1"/>
                        </wps:cNvSpPr>
                        <wps:spPr bwMode="auto">
                          <a:xfrm>
                            <a:off x="1215" y="901"/>
                            <a:ext cx="676" cy="154"/>
                          </a:xfrm>
                          <a:prstGeom prst="rect">
                            <a:avLst/>
                          </a:prstGeom>
                          <a:solidFill>
                            <a:srgbClr val="0071BC"/>
                          </a:solidFill>
                          <a:ln>
                            <a:noFill/>
                          </a:ln>
                          <a:extLst>
                            <a:ext uri="{91240B29-F687-4f45-9708-019B960494DF}">
                              <a14:hiddenLine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 name="Rectangle 10"/>
                        <wps:cNvSpPr>
                          <a:spLocks noChangeAspect="1" noChangeArrowheads="1"/>
                        </wps:cNvSpPr>
                        <wps:spPr bwMode="auto">
                          <a:xfrm>
                            <a:off x="567" y="1131"/>
                            <a:ext cx="1324" cy="154"/>
                          </a:xfrm>
                          <a:prstGeom prst="rect">
                            <a:avLst/>
                          </a:prstGeom>
                          <a:solidFill>
                            <a:srgbClr val="0071BC"/>
                          </a:solidFill>
                          <a:ln>
                            <a:noFill/>
                          </a:ln>
                          <a:extLst>
                            <a:ext uri="{91240B29-F687-4f45-9708-019B960494DF}">
                              <a14:hiddenLine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 name="Rectangle 11"/>
                        <wps:cNvSpPr>
                          <a:spLocks noChangeAspect="1" noChangeArrowheads="1"/>
                        </wps:cNvSpPr>
                        <wps:spPr bwMode="auto">
                          <a:xfrm>
                            <a:off x="1288" y="1361"/>
                            <a:ext cx="603" cy="153"/>
                          </a:xfrm>
                          <a:prstGeom prst="rect">
                            <a:avLst/>
                          </a:prstGeom>
                          <a:solidFill>
                            <a:srgbClr val="0071BC"/>
                          </a:solidFill>
                          <a:ln>
                            <a:noFill/>
                          </a:ln>
                          <a:extLst>
                            <a:ext uri="{91240B29-F687-4f45-9708-019B960494DF}">
                              <a14:hiddenLine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 name="Freeform 12"/>
                        <wps:cNvSpPr>
                          <a:spLocks noChangeAspect="1" noEditPoints="1"/>
                        </wps:cNvSpPr>
                        <wps:spPr bwMode="auto">
                          <a:xfrm>
                            <a:off x="1969" y="1311"/>
                            <a:ext cx="600" cy="207"/>
                          </a:xfrm>
                          <a:custGeom>
                            <a:avLst/>
                            <a:gdLst>
                              <a:gd name="T0" fmla="*/ 520 w 1200"/>
                              <a:gd name="T1" fmla="*/ 84 h 415"/>
                              <a:gd name="T2" fmla="*/ 537 w 1200"/>
                              <a:gd name="T3" fmla="*/ 88 h 415"/>
                              <a:gd name="T4" fmla="*/ 550 w 1200"/>
                              <a:gd name="T5" fmla="*/ 100 h 415"/>
                              <a:gd name="T6" fmla="*/ 557 w 1200"/>
                              <a:gd name="T7" fmla="*/ 114 h 415"/>
                              <a:gd name="T8" fmla="*/ 559 w 1200"/>
                              <a:gd name="T9" fmla="*/ 131 h 415"/>
                              <a:gd name="T10" fmla="*/ 554 w 1200"/>
                              <a:gd name="T11" fmla="*/ 147 h 415"/>
                              <a:gd name="T12" fmla="*/ 544 w 1200"/>
                              <a:gd name="T13" fmla="*/ 160 h 415"/>
                              <a:gd name="T14" fmla="*/ 530 w 1200"/>
                              <a:gd name="T15" fmla="*/ 168 h 415"/>
                              <a:gd name="T16" fmla="*/ 506 w 1200"/>
                              <a:gd name="T17" fmla="*/ 170 h 415"/>
                              <a:gd name="T18" fmla="*/ 540 w 1200"/>
                              <a:gd name="T19" fmla="*/ 202 h 415"/>
                              <a:gd name="T20" fmla="*/ 567 w 1200"/>
                              <a:gd name="T21" fmla="*/ 190 h 415"/>
                              <a:gd name="T22" fmla="*/ 587 w 1200"/>
                              <a:gd name="T23" fmla="*/ 169 h 415"/>
                              <a:gd name="T24" fmla="*/ 599 w 1200"/>
                              <a:gd name="T25" fmla="*/ 142 h 415"/>
                              <a:gd name="T26" fmla="*/ 599 w 1200"/>
                              <a:gd name="T27" fmla="*/ 111 h 415"/>
                              <a:gd name="T28" fmla="*/ 587 w 1200"/>
                              <a:gd name="T29" fmla="*/ 84 h 415"/>
                              <a:gd name="T30" fmla="*/ 567 w 1200"/>
                              <a:gd name="T31" fmla="*/ 63 h 415"/>
                              <a:gd name="T32" fmla="*/ 540 w 1200"/>
                              <a:gd name="T33" fmla="*/ 51 h 415"/>
                              <a:gd name="T34" fmla="*/ 466 w 1200"/>
                              <a:gd name="T35" fmla="*/ 204 h 415"/>
                              <a:gd name="T36" fmla="*/ 388 w 1200"/>
                              <a:gd name="T37" fmla="*/ 146 h 415"/>
                              <a:gd name="T38" fmla="*/ 393 w 1200"/>
                              <a:gd name="T39" fmla="*/ 50 h 415"/>
                              <a:gd name="T40" fmla="*/ 343 w 1200"/>
                              <a:gd name="T41" fmla="*/ 177 h 415"/>
                              <a:gd name="T42" fmla="*/ 257 w 1200"/>
                              <a:gd name="T43" fmla="*/ 18 h 415"/>
                              <a:gd name="T44" fmla="*/ 174 w 1200"/>
                              <a:gd name="T45" fmla="*/ 18 h 415"/>
                              <a:gd name="T46" fmla="*/ 216 w 1200"/>
                              <a:gd name="T47" fmla="*/ 81 h 415"/>
                              <a:gd name="T48" fmla="*/ 231 w 1200"/>
                              <a:gd name="T49" fmla="*/ 88 h 415"/>
                              <a:gd name="T50" fmla="*/ 235 w 1200"/>
                              <a:gd name="T51" fmla="*/ 104 h 415"/>
                              <a:gd name="T52" fmla="*/ 225 w 1200"/>
                              <a:gd name="T53" fmla="*/ 116 h 415"/>
                              <a:gd name="T54" fmla="*/ 204 w 1200"/>
                              <a:gd name="T55" fmla="*/ 119 h 415"/>
                              <a:gd name="T56" fmla="*/ 258 w 1200"/>
                              <a:gd name="T57" fmla="*/ 135 h 415"/>
                              <a:gd name="T58" fmla="*/ 271 w 1200"/>
                              <a:gd name="T59" fmla="*/ 121 h 415"/>
                              <a:gd name="T60" fmla="*/ 276 w 1200"/>
                              <a:gd name="T61" fmla="*/ 102 h 415"/>
                              <a:gd name="T62" fmla="*/ 275 w 1200"/>
                              <a:gd name="T63" fmla="*/ 83 h 415"/>
                              <a:gd name="T64" fmla="*/ 266 w 1200"/>
                              <a:gd name="T65" fmla="*/ 67 h 415"/>
                              <a:gd name="T66" fmla="*/ 252 w 1200"/>
                              <a:gd name="T67" fmla="*/ 55 h 415"/>
                              <a:gd name="T68" fmla="*/ 232 w 1200"/>
                              <a:gd name="T69" fmla="*/ 50 h 415"/>
                              <a:gd name="T70" fmla="*/ 204 w 1200"/>
                              <a:gd name="T71" fmla="*/ 204 h 415"/>
                              <a:gd name="T72" fmla="*/ 243 w 1200"/>
                              <a:gd name="T73" fmla="*/ 141 h 415"/>
                              <a:gd name="T74" fmla="*/ 67 w 1200"/>
                              <a:gd name="T75" fmla="*/ 42 h 415"/>
                              <a:gd name="T76" fmla="*/ 0 w 1200"/>
                              <a:gd name="T77" fmla="*/ 139 h 415"/>
                              <a:gd name="T78" fmla="*/ 3 w 1200"/>
                              <a:gd name="T79" fmla="*/ 166 h 415"/>
                              <a:gd name="T80" fmla="*/ 12 w 1200"/>
                              <a:gd name="T81" fmla="*/ 184 h 415"/>
                              <a:gd name="T82" fmla="*/ 34 w 1200"/>
                              <a:gd name="T83" fmla="*/ 201 h 415"/>
                              <a:gd name="T84" fmla="*/ 67 w 1200"/>
                              <a:gd name="T85" fmla="*/ 207 h 415"/>
                              <a:gd name="T86" fmla="*/ 96 w 1200"/>
                              <a:gd name="T87" fmla="*/ 202 h 415"/>
                              <a:gd name="T88" fmla="*/ 119 w 1200"/>
                              <a:gd name="T89" fmla="*/ 186 h 415"/>
                              <a:gd name="T90" fmla="*/ 131 w 1200"/>
                              <a:gd name="T91" fmla="*/ 166 h 415"/>
                              <a:gd name="T92" fmla="*/ 134 w 1200"/>
                              <a:gd name="T93" fmla="*/ 139 h 415"/>
                              <a:gd name="T94" fmla="*/ 95 w 1200"/>
                              <a:gd name="T95" fmla="*/ 143 h 415"/>
                              <a:gd name="T96" fmla="*/ 89 w 1200"/>
                              <a:gd name="T97" fmla="*/ 163 h 415"/>
                              <a:gd name="T98" fmla="*/ 78 w 1200"/>
                              <a:gd name="T99" fmla="*/ 170 h 415"/>
                              <a:gd name="T100" fmla="*/ 63 w 1200"/>
                              <a:gd name="T101" fmla="*/ 172 h 415"/>
                              <a:gd name="T102" fmla="*/ 52 w 1200"/>
                              <a:gd name="T103" fmla="*/ 168 h 415"/>
                              <a:gd name="T104" fmla="*/ 42 w 1200"/>
                              <a:gd name="T105" fmla="*/ 156 h 415"/>
                              <a:gd name="T106" fmla="*/ 40 w 1200"/>
                              <a:gd name="T107" fmla="*/ 50 h 415"/>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Lst>
                            <a:ahLst/>
                            <a:cxnLst>
                              <a:cxn ang="T108">
                                <a:pos x="T0" y="T1"/>
                              </a:cxn>
                              <a:cxn ang="T109">
                                <a:pos x="T2" y="T3"/>
                              </a:cxn>
                              <a:cxn ang="T110">
                                <a:pos x="T4" y="T5"/>
                              </a:cxn>
                              <a:cxn ang="T111">
                                <a:pos x="T6" y="T7"/>
                              </a:cxn>
                              <a:cxn ang="T112">
                                <a:pos x="T8" y="T9"/>
                              </a:cxn>
                              <a:cxn ang="T113">
                                <a:pos x="T10" y="T11"/>
                              </a:cxn>
                              <a:cxn ang="T114">
                                <a:pos x="T12" y="T13"/>
                              </a:cxn>
                              <a:cxn ang="T115">
                                <a:pos x="T14" y="T15"/>
                              </a:cxn>
                              <a:cxn ang="T116">
                                <a:pos x="T16" y="T17"/>
                              </a:cxn>
                              <a:cxn ang="T117">
                                <a:pos x="T18" y="T19"/>
                              </a:cxn>
                              <a:cxn ang="T118">
                                <a:pos x="T20" y="T21"/>
                              </a:cxn>
                              <a:cxn ang="T119">
                                <a:pos x="T22" y="T23"/>
                              </a:cxn>
                              <a:cxn ang="T120">
                                <a:pos x="T24" y="T25"/>
                              </a:cxn>
                              <a:cxn ang="T121">
                                <a:pos x="T26" y="T27"/>
                              </a:cxn>
                              <a:cxn ang="T122">
                                <a:pos x="T28" y="T29"/>
                              </a:cxn>
                              <a:cxn ang="T123">
                                <a:pos x="T30" y="T31"/>
                              </a:cxn>
                              <a:cxn ang="T124">
                                <a:pos x="T32" y="T33"/>
                              </a:cxn>
                              <a:cxn ang="T125">
                                <a:pos x="T34" y="T35"/>
                              </a:cxn>
                              <a:cxn ang="T126">
                                <a:pos x="T36" y="T37"/>
                              </a:cxn>
                              <a:cxn ang="T127">
                                <a:pos x="T38" y="T39"/>
                              </a:cxn>
                              <a:cxn ang="T128">
                                <a:pos x="T40" y="T41"/>
                              </a:cxn>
                              <a:cxn ang="T129">
                                <a:pos x="T42" y="T43"/>
                              </a:cxn>
                              <a:cxn ang="T130">
                                <a:pos x="T44" y="T45"/>
                              </a:cxn>
                              <a:cxn ang="T131">
                                <a:pos x="T46" y="T47"/>
                              </a:cxn>
                              <a:cxn ang="T132">
                                <a:pos x="T48" y="T49"/>
                              </a:cxn>
                              <a:cxn ang="T133">
                                <a:pos x="T50" y="T51"/>
                              </a:cxn>
                              <a:cxn ang="T134">
                                <a:pos x="T52" y="T53"/>
                              </a:cxn>
                              <a:cxn ang="T135">
                                <a:pos x="T54" y="T55"/>
                              </a:cxn>
                              <a:cxn ang="T136">
                                <a:pos x="T56" y="T57"/>
                              </a:cxn>
                              <a:cxn ang="T137">
                                <a:pos x="T58" y="T59"/>
                              </a:cxn>
                              <a:cxn ang="T138">
                                <a:pos x="T60" y="T61"/>
                              </a:cxn>
                              <a:cxn ang="T139">
                                <a:pos x="T62" y="T63"/>
                              </a:cxn>
                              <a:cxn ang="T140">
                                <a:pos x="T64" y="T65"/>
                              </a:cxn>
                              <a:cxn ang="T141">
                                <a:pos x="T66" y="T67"/>
                              </a:cxn>
                              <a:cxn ang="T142">
                                <a:pos x="T68" y="T69"/>
                              </a:cxn>
                              <a:cxn ang="T143">
                                <a:pos x="T70" y="T71"/>
                              </a:cxn>
                              <a:cxn ang="T144">
                                <a:pos x="T72" y="T73"/>
                              </a:cxn>
                              <a:cxn ang="T145">
                                <a:pos x="T74" y="T75"/>
                              </a:cxn>
                              <a:cxn ang="T146">
                                <a:pos x="T76" y="T77"/>
                              </a:cxn>
                              <a:cxn ang="T147">
                                <a:pos x="T78" y="T79"/>
                              </a:cxn>
                              <a:cxn ang="T148">
                                <a:pos x="T80" y="T81"/>
                              </a:cxn>
                              <a:cxn ang="T149">
                                <a:pos x="T82" y="T83"/>
                              </a:cxn>
                              <a:cxn ang="T150">
                                <a:pos x="T84" y="T85"/>
                              </a:cxn>
                              <a:cxn ang="T151">
                                <a:pos x="T86" y="T87"/>
                              </a:cxn>
                              <a:cxn ang="T152">
                                <a:pos x="T88" y="T89"/>
                              </a:cxn>
                              <a:cxn ang="T153">
                                <a:pos x="T90" y="T91"/>
                              </a:cxn>
                              <a:cxn ang="T154">
                                <a:pos x="T92" y="T93"/>
                              </a:cxn>
                              <a:cxn ang="T155">
                                <a:pos x="T94" y="T95"/>
                              </a:cxn>
                              <a:cxn ang="T156">
                                <a:pos x="T96" y="T97"/>
                              </a:cxn>
                              <a:cxn ang="T157">
                                <a:pos x="T98" y="T99"/>
                              </a:cxn>
                              <a:cxn ang="T158">
                                <a:pos x="T100" y="T101"/>
                              </a:cxn>
                              <a:cxn ang="T159">
                                <a:pos x="T102" y="T103"/>
                              </a:cxn>
                              <a:cxn ang="T160">
                                <a:pos x="T104" y="T105"/>
                              </a:cxn>
                              <a:cxn ang="T161">
                                <a:pos x="T106" y="T107"/>
                              </a:cxn>
                            </a:cxnLst>
                            <a:rect l="0" t="0" r="r" b="b"/>
                            <a:pathLst>
                              <a:path w="1200" h="415">
                                <a:moveTo>
                                  <a:pt x="1011" y="341"/>
                                </a:moveTo>
                                <a:lnTo>
                                  <a:pt x="1011" y="167"/>
                                </a:lnTo>
                                <a:lnTo>
                                  <a:pt x="1030" y="167"/>
                                </a:lnTo>
                                <a:lnTo>
                                  <a:pt x="1040" y="169"/>
                                </a:lnTo>
                                <a:lnTo>
                                  <a:pt x="1049" y="170"/>
                                </a:lnTo>
                                <a:lnTo>
                                  <a:pt x="1059" y="171"/>
                                </a:lnTo>
                                <a:lnTo>
                                  <a:pt x="1067" y="174"/>
                                </a:lnTo>
                                <a:lnTo>
                                  <a:pt x="1074" y="177"/>
                                </a:lnTo>
                                <a:lnTo>
                                  <a:pt x="1082" y="182"/>
                                </a:lnTo>
                                <a:lnTo>
                                  <a:pt x="1088" y="187"/>
                                </a:lnTo>
                                <a:lnTo>
                                  <a:pt x="1094" y="194"/>
                                </a:lnTo>
                                <a:lnTo>
                                  <a:pt x="1099" y="200"/>
                                </a:lnTo>
                                <a:lnTo>
                                  <a:pt x="1104" y="206"/>
                                </a:lnTo>
                                <a:lnTo>
                                  <a:pt x="1108" y="213"/>
                                </a:lnTo>
                                <a:lnTo>
                                  <a:pt x="1112" y="221"/>
                                </a:lnTo>
                                <a:lnTo>
                                  <a:pt x="1114" y="228"/>
                                </a:lnTo>
                                <a:lnTo>
                                  <a:pt x="1116" y="237"/>
                                </a:lnTo>
                                <a:lnTo>
                                  <a:pt x="1117" y="245"/>
                                </a:lnTo>
                                <a:lnTo>
                                  <a:pt x="1117" y="253"/>
                                </a:lnTo>
                                <a:lnTo>
                                  <a:pt x="1117" y="262"/>
                                </a:lnTo>
                                <a:lnTo>
                                  <a:pt x="1116" y="271"/>
                                </a:lnTo>
                                <a:lnTo>
                                  <a:pt x="1114" y="278"/>
                                </a:lnTo>
                                <a:lnTo>
                                  <a:pt x="1112" y="287"/>
                                </a:lnTo>
                                <a:lnTo>
                                  <a:pt x="1108" y="294"/>
                                </a:lnTo>
                                <a:lnTo>
                                  <a:pt x="1104" y="301"/>
                                </a:lnTo>
                                <a:lnTo>
                                  <a:pt x="1099" y="308"/>
                                </a:lnTo>
                                <a:lnTo>
                                  <a:pt x="1094" y="314"/>
                                </a:lnTo>
                                <a:lnTo>
                                  <a:pt x="1088" y="321"/>
                                </a:lnTo>
                                <a:lnTo>
                                  <a:pt x="1082" y="326"/>
                                </a:lnTo>
                                <a:lnTo>
                                  <a:pt x="1074" y="331"/>
                                </a:lnTo>
                                <a:lnTo>
                                  <a:pt x="1067" y="334"/>
                                </a:lnTo>
                                <a:lnTo>
                                  <a:pt x="1059" y="337"/>
                                </a:lnTo>
                                <a:lnTo>
                                  <a:pt x="1049" y="338"/>
                                </a:lnTo>
                                <a:lnTo>
                                  <a:pt x="1040" y="339"/>
                                </a:lnTo>
                                <a:lnTo>
                                  <a:pt x="1030" y="341"/>
                                </a:lnTo>
                                <a:lnTo>
                                  <a:pt x="1011" y="341"/>
                                </a:lnTo>
                                <a:close/>
                                <a:moveTo>
                                  <a:pt x="931" y="408"/>
                                </a:moveTo>
                                <a:lnTo>
                                  <a:pt x="1049" y="408"/>
                                </a:lnTo>
                                <a:lnTo>
                                  <a:pt x="1064" y="407"/>
                                </a:lnTo>
                                <a:lnTo>
                                  <a:pt x="1079" y="404"/>
                                </a:lnTo>
                                <a:lnTo>
                                  <a:pt x="1093" y="400"/>
                                </a:lnTo>
                                <a:lnTo>
                                  <a:pt x="1107" y="395"/>
                                </a:lnTo>
                                <a:lnTo>
                                  <a:pt x="1121" y="389"/>
                                </a:lnTo>
                                <a:lnTo>
                                  <a:pt x="1133" y="380"/>
                                </a:lnTo>
                                <a:lnTo>
                                  <a:pt x="1144" y="372"/>
                                </a:lnTo>
                                <a:lnTo>
                                  <a:pt x="1155" y="362"/>
                                </a:lnTo>
                                <a:lnTo>
                                  <a:pt x="1165" y="351"/>
                                </a:lnTo>
                                <a:lnTo>
                                  <a:pt x="1174" y="339"/>
                                </a:lnTo>
                                <a:lnTo>
                                  <a:pt x="1182" y="326"/>
                                </a:lnTo>
                                <a:lnTo>
                                  <a:pt x="1188" y="313"/>
                                </a:lnTo>
                                <a:lnTo>
                                  <a:pt x="1194" y="298"/>
                                </a:lnTo>
                                <a:lnTo>
                                  <a:pt x="1198" y="284"/>
                                </a:lnTo>
                                <a:lnTo>
                                  <a:pt x="1200" y="270"/>
                                </a:lnTo>
                                <a:lnTo>
                                  <a:pt x="1200" y="253"/>
                                </a:lnTo>
                                <a:lnTo>
                                  <a:pt x="1200" y="238"/>
                                </a:lnTo>
                                <a:lnTo>
                                  <a:pt x="1198" y="223"/>
                                </a:lnTo>
                                <a:lnTo>
                                  <a:pt x="1194" y="208"/>
                                </a:lnTo>
                                <a:lnTo>
                                  <a:pt x="1188" y="195"/>
                                </a:lnTo>
                                <a:lnTo>
                                  <a:pt x="1182" y="181"/>
                                </a:lnTo>
                                <a:lnTo>
                                  <a:pt x="1174" y="169"/>
                                </a:lnTo>
                                <a:lnTo>
                                  <a:pt x="1165" y="157"/>
                                </a:lnTo>
                                <a:lnTo>
                                  <a:pt x="1155" y="146"/>
                                </a:lnTo>
                                <a:lnTo>
                                  <a:pt x="1144" y="136"/>
                                </a:lnTo>
                                <a:lnTo>
                                  <a:pt x="1133" y="126"/>
                                </a:lnTo>
                                <a:lnTo>
                                  <a:pt x="1121" y="119"/>
                                </a:lnTo>
                                <a:lnTo>
                                  <a:pt x="1107" y="113"/>
                                </a:lnTo>
                                <a:lnTo>
                                  <a:pt x="1093" y="108"/>
                                </a:lnTo>
                                <a:lnTo>
                                  <a:pt x="1079" y="103"/>
                                </a:lnTo>
                                <a:lnTo>
                                  <a:pt x="1064" y="101"/>
                                </a:lnTo>
                                <a:lnTo>
                                  <a:pt x="1049" y="100"/>
                                </a:lnTo>
                                <a:lnTo>
                                  <a:pt x="931" y="100"/>
                                </a:lnTo>
                                <a:lnTo>
                                  <a:pt x="931" y="408"/>
                                </a:lnTo>
                                <a:close/>
                                <a:moveTo>
                                  <a:pt x="775" y="293"/>
                                </a:moveTo>
                                <a:lnTo>
                                  <a:pt x="708" y="293"/>
                                </a:lnTo>
                                <a:lnTo>
                                  <a:pt x="742" y="195"/>
                                </a:lnTo>
                                <a:lnTo>
                                  <a:pt x="775" y="293"/>
                                </a:lnTo>
                                <a:close/>
                                <a:moveTo>
                                  <a:pt x="797" y="354"/>
                                </a:moveTo>
                                <a:lnTo>
                                  <a:pt x="817" y="408"/>
                                </a:lnTo>
                                <a:lnTo>
                                  <a:pt x="901" y="408"/>
                                </a:lnTo>
                                <a:lnTo>
                                  <a:pt x="785" y="100"/>
                                </a:lnTo>
                                <a:lnTo>
                                  <a:pt x="698" y="100"/>
                                </a:lnTo>
                                <a:lnTo>
                                  <a:pt x="581" y="408"/>
                                </a:lnTo>
                                <a:lnTo>
                                  <a:pt x="665" y="408"/>
                                </a:lnTo>
                                <a:lnTo>
                                  <a:pt x="686" y="354"/>
                                </a:lnTo>
                                <a:lnTo>
                                  <a:pt x="797" y="354"/>
                                </a:lnTo>
                                <a:close/>
                                <a:moveTo>
                                  <a:pt x="347" y="37"/>
                                </a:moveTo>
                                <a:lnTo>
                                  <a:pt x="430" y="83"/>
                                </a:lnTo>
                                <a:lnTo>
                                  <a:pt x="513" y="37"/>
                                </a:lnTo>
                                <a:lnTo>
                                  <a:pt x="491" y="3"/>
                                </a:lnTo>
                                <a:lnTo>
                                  <a:pt x="430" y="34"/>
                                </a:lnTo>
                                <a:lnTo>
                                  <a:pt x="369" y="3"/>
                                </a:lnTo>
                                <a:lnTo>
                                  <a:pt x="347" y="37"/>
                                </a:lnTo>
                                <a:close/>
                                <a:moveTo>
                                  <a:pt x="407" y="238"/>
                                </a:moveTo>
                                <a:lnTo>
                                  <a:pt x="407" y="161"/>
                                </a:lnTo>
                                <a:lnTo>
                                  <a:pt x="422" y="161"/>
                                </a:lnTo>
                                <a:lnTo>
                                  <a:pt x="432" y="162"/>
                                </a:lnTo>
                                <a:lnTo>
                                  <a:pt x="442" y="164"/>
                                </a:lnTo>
                                <a:lnTo>
                                  <a:pt x="449" y="166"/>
                                </a:lnTo>
                                <a:lnTo>
                                  <a:pt x="455" y="170"/>
                                </a:lnTo>
                                <a:lnTo>
                                  <a:pt x="461" y="176"/>
                                </a:lnTo>
                                <a:lnTo>
                                  <a:pt x="466" y="182"/>
                                </a:lnTo>
                                <a:lnTo>
                                  <a:pt x="469" y="191"/>
                                </a:lnTo>
                                <a:lnTo>
                                  <a:pt x="470" y="200"/>
                                </a:lnTo>
                                <a:lnTo>
                                  <a:pt x="469" y="208"/>
                                </a:lnTo>
                                <a:lnTo>
                                  <a:pt x="466" y="216"/>
                                </a:lnTo>
                                <a:lnTo>
                                  <a:pt x="461" y="223"/>
                                </a:lnTo>
                                <a:lnTo>
                                  <a:pt x="455" y="230"/>
                                </a:lnTo>
                                <a:lnTo>
                                  <a:pt x="449" y="233"/>
                                </a:lnTo>
                                <a:lnTo>
                                  <a:pt x="442" y="236"/>
                                </a:lnTo>
                                <a:lnTo>
                                  <a:pt x="432" y="237"/>
                                </a:lnTo>
                                <a:lnTo>
                                  <a:pt x="422" y="238"/>
                                </a:lnTo>
                                <a:lnTo>
                                  <a:pt x="407" y="238"/>
                                </a:lnTo>
                                <a:close/>
                                <a:moveTo>
                                  <a:pt x="485" y="282"/>
                                </a:moveTo>
                                <a:lnTo>
                                  <a:pt x="498" y="278"/>
                                </a:lnTo>
                                <a:lnTo>
                                  <a:pt x="508" y="275"/>
                                </a:lnTo>
                                <a:lnTo>
                                  <a:pt x="516" y="270"/>
                                </a:lnTo>
                                <a:lnTo>
                                  <a:pt x="525" y="263"/>
                                </a:lnTo>
                                <a:lnTo>
                                  <a:pt x="531" y="257"/>
                                </a:lnTo>
                                <a:lnTo>
                                  <a:pt x="536" y="250"/>
                                </a:lnTo>
                                <a:lnTo>
                                  <a:pt x="541" y="242"/>
                                </a:lnTo>
                                <a:lnTo>
                                  <a:pt x="545" y="233"/>
                                </a:lnTo>
                                <a:lnTo>
                                  <a:pt x="549" y="225"/>
                                </a:lnTo>
                                <a:lnTo>
                                  <a:pt x="551" y="215"/>
                                </a:lnTo>
                                <a:lnTo>
                                  <a:pt x="552" y="205"/>
                                </a:lnTo>
                                <a:lnTo>
                                  <a:pt x="552" y="195"/>
                                </a:lnTo>
                                <a:lnTo>
                                  <a:pt x="552" y="186"/>
                                </a:lnTo>
                                <a:lnTo>
                                  <a:pt x="551" y="176"/>
                                </a:lnTo>
                                <a:lnTo>
                                  <a:pt x="549" y="167"/>
                                </a:lnTo>
                                <a:lnTo>
                                  <a:pt x="546" y="159"/>
                                </a:lnTo>
                                <a:lnTo>
                                  <a:pt x="542" y="150"/>
                                </a:lnTo>
                                <a:lnTo>
                                  <a:pt x="537" y="141"/>
                                </a:lnTo>
                                <a:lnTo>
                                  <a:pt x="532" y="134"/>
                                </a:lnTo>
                                <a:lnTo>
                                  <a:pt x="526" y="128"/>
                                </a:lnTo>
                                <a:lnTo>
                                  <a:pt x="519" y="120"/>
                                </a:lnTo>
                                <a:lnTo>
                                  <a:pt x="511" y="115"/>
                                </a:lnTo>
                                <a:lnTo>
                                  <a:pt x="504" y="110"/>
                                </a:lnTo>
                                <a:lnTo>
                                  <a:pt x="495" y="106"/>
                                </a:lnTo>
                                <a:lnTo>
                                  <a:pt x="485" y="104"/>
                                </a:lnTo>
                                <a:lnTo>
                                  <a:pt x="475" y="101"/>
                                </a:lnTo>
                                <a:lnTo>
                                  <a:pt x="463" y="100"/>
                                </a:lnTo>
                                <a:lnTo>
                                  <a:pt x="450" y="100"/>
                                </a:lnTo>
                                <a:lnTo>
                                  <a:pt x="327" y="100"/>
                                </a:lnTo>
                                <a:lnTo>
                                  <a:pt x="327" y="408"/>
                                </a:lnTo>
                                <a:lnTo>
                                  <a:pt x="407" y="408"/>
                                </a:lnTo>
                                <a:lnTo>
                                  <a:pt x="407" y="289"/>
                                </a:lnTo>
                                <a:lnTo>
                                  <a:pt x="483" y="408"/>
                                </a:lnTo>
                                <a:lnTo>
                                  <a:pt x="582" y="408"/>
                                </a:lnTo>
                                <a:lnTo>
                                  <a:pt x="485" y="282"/>
                                </a:lnTo>
                                <a:close/>
                                <a:moveTo>
                                  <a:pt x="210" y="35"/>
                                </a:moveTo>
                                <a:lnTo>
                                  <a:pt x="171" y="0"/>
                                </a:lnTo>
                                <a:lnTo>
                                  <a:pt x="105" y="56"/>
                                </a:lnTo>
                                <a:lnTo>
                                  <a:pt x="133" y="85"/>
                                </a:lnTo>
                                <a:lnTo>
                                  <a:pt x="210" y="35"/>
                                </a:lnTo>
                                <a:close/>
                                <a:moveTo>
                                  <a:pt x="80" y="100"/>
                                </a:moveTo>
                                <a:lnTo>
                                  <a:pt x="0" y="100"/>
                                </a:lnTo>
                                <a:lnTo>
                                  <a:pt x="0" y="278"/>
                                </a:lnTo>
                                <a:lnTo>
                                  <a:pt x="0" y="293"/>
                                </a:lnTo>
                                <a:lnTo>
                                  <a:pt x="2" y="308"/>
                                </a:lnTo>
                                <a:lnTo>
                                  <a:pt x="3" y="321"/>
                                </a:lnTo>
                                <a:lnTo>
                                  <a:pt x="5" y="333"/>
                                </a:lnTo>
                                <a:lnTo>
                                  <a:pt x="9" y="343"/>
                                </a:lnTo>
                                <a:lnTo>
                                  <a:pt x="13" y="353"/>
                                </a:lnTo>
                                <a:lnTo>
                                  <a:pt x="17" y="362"/>
                                </a:lnTo>
                                <a:lnTo>
                                  <a:pt x="23" y="369"/>
                                </a:lnTo>
                                <a:lnTo>
                                  <a:pt x="32" y="379"/>
                                </a:lnTo>
                                <a:lnTo>
                                  <a:pt x="43" y="389"/>
                                </a:lnTo>
                                <a:lnTo>
                                  <a:pt x="54" y="397"/>
                                </a:lnTo>
                                <a:lnTo>
                                  <a:pt x="68" y="403"/>
                                </a:lnTo>
                                <a:lnTo>
                                  <a:pt x="83" y="409"/>
                                </a:lnTo>
                                <a:lnTo>
                                  <a:pt x="99" y="413"/>
                                </a:lnTo>
                                <a:lnTo>
                                  <a:pt x="115" y="415"/>
                                </a:lnTo>
                                <a:lnTo>
                                  <a:pt x="133" y="415"/>
                                </a:lnTo>
                                <a:lnTo>
                                  <a:pt x="149" y="415"/>
                                </a:lnTo>
                                <a:lnTo>
                                  <a:pt x="165" y="413"/>
                                </a:lnTo>
                                <a:lnTo>
                                  <a:pt x="179" y="409"/>
                                </a:lnTo>
                                <a:lnTo>
                                  <a:pt x="192" y="404"/>
                                </a:lnTo>
                                <a:lnTo>
                                  <a:pt x="206" y="399"/>
                                </a:lnTo>
                                <a:lnTo>
                                  <a:pt x="217" y="392"/>
                                </a:lnTo>
                                <a:lnTo>
                                  <a:pt x="228" y="383"/>
                                </a:lnTo>
                                <a:lnTo>
                                  <a:pt x="238" y="372"/>
                                </a:lnTo>
                                <a:lnTo>
                                  <a:pt x="246" y="363"/>
                                </a:lnTo>
                                <a:lnTo>
                                  <a:pt x="253" y="353"/>
                                </a:lnTo>
                                <a:lnTo>
                                  <a:pt x="258" y="343"/>
                                </a:lnTo>
                                <a:lnTo>
                                  <a:pt x="262" y="333"/>
                                </a:lnTo>
                                <a:lnTo>
                                  <a:pt x="265" y="321"/>
                                </a:lnTo>
                                <a:lnTo>
                                  <a:pt x="267" y="308"/>
                                </a:lnTo>
                                <a:lnTo>
                                  <a:pt x="268" y="293"/>
                                </a:lnTo>
                                <a:lnTo>
                                  <a:pt x="268" y="278"/>
                                </a:lnTo>
                                <a:lnTo>
                                  <a:pt x="268" y="100"/>
                                </a:lnTo>
                                <a:lnTo>
                                  <a:pt x="189" y="100"/>
                                </a:lnTo>
                                <a:lnTo>
                                  <a:pt x="189" y="267"/>
                                </a:lnTo>
                                <a:lnTo>
                                  <a:pt x="189" y="287"/>
                                </a:lnTo>
                                <a:lnTo>
                                  <a:pt x="187" y="301"/>
                                </a:lnTo>
                                <a:lnTo>
                                  <a:pt x="185" y="311"/>
                                </a:lnTo>
                                <a:lnTo>
                                  <a:pt x="181" y="321"/>
                                </a:lnTo>
                                <a:lnTo>
                                  <a:pt x="177" y="326"/>
                                </a:lnTo>
                                <a:lnTo>
                                  <a:pt x="172" y="331"/>
                                </a:lnTo>
                                <a:lnTo>
                                  <a:pt x="167" y="334"/>
                                </a:lnTo>
                                <a:lnTo>
                                  <a:pt x="161" y="338"/>
                                </a:lnTo>
                                <a:lnTo>
                                  <a:pt x="155" y="341"/>
                                </a:lnTo>
                                <a:lnTo>
                                  <a:pt x="149" y="343"/>
                                </a:lnTo>
                                <a:lnTo>
                                  <a:pt x="141" y="344"/>
                                </a:lnTo>
                                <a:lnTo>
                                  <a:pt x="134" y="346"/>
                                </a:lnTo>
                                <a:lnTo>
                                  <a:pt x="126" y="344"/>
                                </a:lnTo>
                                <a:lnTo>
                                  <a:pt x="120" y="343"/>
                                </a:lnTo>
                                <a:lnTo>
                                  <a:pt x="114" y="342"/>
                                </a:lnTo>
                                <a:lnTo>
                                  <a:pt x="108" y="339"/>
                                </a:lnTo>
                                <a:lnTo>
                                  <a:pt x="103" y="336"/>
                                </a:lnTo>
                                <a:lnTo>
                                  <a:pt x="98" y="332"/>
                                </a:lnTo>
                                <a:lnTo>
                                  <a:pt x="93" y="327"/>
                                </a:lnTo>
                                <a:lnTo>
                                  <a:pt x="89" y="322"/>
                                </a:lnTo>
                                <a:lnTo>
                                  <a:pt x="84" y="312"/>
                                </a:lnTo>
                                <a:lnTo>
                                  <a:pt x="81" y="302"/>
                                </a:lnTo>
                                <a:lnTo>
                                  <a:pt x="80" y="288"/>
                                </a:lnTo>
                                <a:lnTo>
                                  <a:pt x="80" y="267"/>
                                </a:lnTo>
                                <a:lnTo>
                                  <a:pt x="80" y="100"/>
                                </a:lnTo>
                                <a:close/>
                              </a:path>
                            </a:pathLst>
                          </a:custGeom>
                          <a:solidFill>
                            <a:srgbClr val="BD1B21"/>
                          </a:solidFill>
                          <a:ln>
                            <a:noFill/>
                          </a:ln>
                          <a:extLst>
                            <a:ext uri="{91240B29-F687-4f45-9708-019B960494DF}">
                              <a14:hiddenLine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3"/>
                        <wps:cNvSpPr>
                          <a:spLocks noChangeAspect="1" noEditPoints="1"/>
                        </wps:cNvSpPr>
                        <wps:spPr bwMode="auto">
                          <a:xfrm>
                            <a:off x="1962" y="1081"/>
                            <a:ext cx="1319" cy="208"/>
                          </a:xfrm>
                          <a:custGeom>
                            <a:avLst/>
                            <a:gdLst>
                              <a:gd name="T0" fmla="*/ 1221 w 2637"/>
                              <a:gd name="T1" fmla="*/ 204 h 416"/>
                              <a:gd name="T2" fmla="*/ 1166 w 2637"/>
                              <a:gd name="T3" fmla="*/ 50 h 416"/>
                              <a:gd name="T4" fmla="*/ 1072 w 2637"/>
                              <a:gd name="T5" fmla="*/ 137 h 416"/>
                              <a:gd name="T6" fmla="*/ 1004 w 2637"/>
                              <a:gd name="T7" fmla="*/ 54 h 416"/>
                              <a:gd name="T8" fmla="*/ 943 w 2637"/>
                              <a:gd name="T9" fmla="*/ 51 h 416"/>
                              <a:gd name="T10" fmla="*/ 900 w 2637"/>
                              <a:gd name="T11" fmla="*/ 82 h 416"/>
                              <a:gd name="T12" fmla="*/ 887 w 2637"/>
                              <a:gd name="T13" fmla="*/ 136 h 416"/>
                              <a:gd name="T14" fmla="*/ 907 w 2637"/>
                              <a:gd name="T15" fmla="*/ 181 h 416"/>
                              <a:gd name="T16" fmla="*/ 959 w 2637"/>
                              <a:gd name="T17" fmla="*/ 208 h 416"/>
                              <a:gd name="T18" fmla="*/ 1000 w 2637"/>
                              <a:gd name="T19" fmla="*/ 157 h 416"/>
                              <a:gd name="T20" fmla="*/ 969 w 2637"/>
                              <a:gd name="T21" fmla="*/ 169 h 416"/>
                              <a:gd name="T22" fmla="*/ 945 w 2637"/>
                              <a:gd name="T23" fmla="*/ 161 h 416"/>
                              <a:gd name="T24" fmla="*/ 929 w 2637"/>
                              <a:gd name="T25" fmla="*/ 137 h 416"/>
                              <a:gd name="T26" fmla="*/ 933 w 2637"/>
                              <a:gd name="T27" fmla="*/ 107 h 416"/>
                              <a:gd name="T28" fmla="*/ 953 w 2637"/>
                              <a:gd name="T29" fmla="*/ 89 h 416"/>
                              <a:gd name="T30" fmla="*/ 984 w 2637"/>
                              <a:gd name="T31" fmla="*/ 88 h 416"/>
                              <a:gd name="T32" fmla="*/ 864 w 2637"/>
                              <a:gd name="T33" fmla="*/ 50 h 416"/>
                              <a:gd name="T34" fmla="*/ 802 w 2637"/>
                              <a:gd name="T35" fmla="*/ 50 h 416"/>
                              <a:gd name="T36" fmla="*/ 680 w 2637"/>
                              <a:gd name="T37" fmla="*/ 59 h 416"/>
                              <a:gd name="T38" fmla="*/ 638 w 2637"/>
                              <a:gd name="T39" fmla="*/ 46 h 416"/>
                              <a:gd name="T40" fmla="*/ 602 w 2637"/>
                              <a:gd name="T41" fmla="*/ 54 h 416"/>
                              <a:gd name="T42" fmla="*/ 581 w 2637"/>
                              <a:gd name="T43" fmla="*/ 82 h 416"/>
                              <a:gd name="T44" fmla="*/ 583 w 2637"/>
                              <a:gd name="T45" fmla="*/ 116 h 416"/>
                              <a:gd name="T46" fmla="*/ 610 w 2637"/>
                              <a:gd name="T47" fmla="*/ 138 h 416"/>
                              <a:gd name="T48" fmla="*/ 644 w 2637"/>
                              <a:gd name="T49" fmla="*/ 153 h 416"/>
                              <a:gd name="T50" fmla="*/ 637 w 2637"/>
                              <a:gd name="T51" fmla="*/ 171 h 416"/>
                              <a:gd name="T52" fmla="*/ 608 w 2637"/>
                              <a:gd name="T53" fmla="*/ 170 h 416"/>
                              <a:gd name="T54" fmla="*/ 586 w 2637"/>
                              <a:gd name="T55" fmla="*/ 198 h 416"/>
                              <a:gd name="T56" fmla="*/ 633 w 2637"/>
                              <a:gd name="T57" fmla="*/ 208 h 416"/>
                              <a:gd name="T58" fmla="*/ 671 w 2637"/>
                              <a:gd name="T59" fmla="*/ 193 h 416"/>
                              <a:gd name="T60" fmla="*/ 687 w 2637"/>
                              <a:gd name="T61" fmla="*/ 160 h 416"/>
                              <a:gd name="T62" fmla="*/ 678 w 2637"/>
                              <a:gd name="T63" fmla="*/ 126 h 416"/>
                              <a:gd name="T64" fmla="*/ 638 w 2637"/>
                              <a:gd name="T65" fmla="*/ 107 h 416"/>
                              <a:gd name="T66" fmla="*/ 621 w 2637"/>
                              <a:gd name="T67" fmla="*/ 93 h 416"/>
                              <a:gd name="T68" fmla="*/ 635 w 2637"/>
                              <a:gd name="T69" fmla="*/ 80 h 416"/>
                              <a:gd name="T70" fmla="*/ 665 w 2637"/>
                              <a:gd name="T71" fmla="*/ 90 h 416"/>
                              <a:gd name="T72" fmla="*/ 452 w 2637"/>
                              <a:gd name="T73" fmla="*/ 84 h 416"/>
                              <a:gd name="T74" fmla="*/ 452 w 2637"/>
                              <a:gd name="T75" fmla="*/ 204 h 416"/>
                              <a:gd name="T76" fmla="*/ 343 w 2637"/>
                              <a:gd name="T77" fmla="*/ 204 h 416"/>
                              <a:gd name="T78" fmla="*/ 333 w 2637"/>
                              <a:gd name="T79" fmla="*/ 177 h 416"/>
                              <a:gd name="T80" fmla="*/ 158 w 2637"/>
                              <a:gd name="T81" fmla="*/ 204 h 416"/>
                              <a:gd name="T82" fmla="*/ 84 w 2637"/>
                              <a:gd name="T83" fmla="*/ 49 h 416"/>
                              <a:gd name="T84" fmla="*/ 42 w 2637"/>
                              <a:gd name="T85" fmla="*/ 48 h 416"/>
                              <a:gd name="T86" fmla="*/ 14 w 2637"/>
                              <a:gd name="T87" fmla="*/ 68 h 416"/>
                              <a:gd name="T88" fmla="*/ 6 w 2637"/>
                              <a:gd name="T89" fmla="*/ 103 h 416"/>
                              <a:gd name="T90" fmla="*/ 19 w 2637"/>
                              <a:gd name="T91" fmla="*/ 128 h 416"/>
                              <a:gd name="T92" fmla="*/ 64 w 2637"/>
                              <a:gd name="T93" fmla="*/ 147 h 416"/>
                              <a:gd name="T94" fmla="*/ 71 w 2637"/>
                              <a:gd name="T95" fmla="*/ 165 h 416"/>
                              <a:gd name="T96" fmla="*/ 48 w 2637"/>
                              <a:gd name="T97" fmla="*/ 174 h 416"/>
                              <a:gd name="T98" fmla="*/ 17 w 2637"/>
                              <a:gd name="T99" fmla="*/ 158 h 416"/>
                              <a:gd name="T100" fmla="*/ 40 w 2637"/>
                              <a:gd name="T101" fmla="*/ 207 h 416"/>
                              <a:gd name="T102" fmla="*/ 84 w 2637"/>
                              <a:gd name="T103" fmla="*/ 202 h 416"/>
                              <a:gd name="T104" fmla="*/ 110 w 2637"/>
                              <a:gd name="T105" fmla="*/ 176 h 416"/>
                              <a:gd name="T106" fmla="*/ 110 w 2637"/>
                              <a:gd name="T107" fmla="*/ 135 h 416"/>
                              <a:gd name="T108" fmla="*/ 93 w 2637"/>
                              <a:gd name="T109" fmla="*/ 117 h 416"/>
                              <a:gd name="T110" fmla="*/ 50 w 2637"/>
                              <a:gd name="T111" fmla="*/ 99 h 416"/>
                              <a:gd name="T112" fmla="*/ 53 w 2637"/>
                              <a:gd name="T113" fmla="*/ 84 h 416"/>
                              <a:gd name="T114" fmla="*/ 76 w 2637"/>
                              <a:gd name="T115" fmla="*/ 81 h 41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Lst>
                            <a:ahLst/>
                            <a:cxnLst>
                              <a:cxn ang="T116">
                                <a:pos x="T0" y="T1"/>
                              </a:cxn>
                              <a:cxn ang="T117">
                                <a:pos x="T2" y="T3"/>
                              </a:cxn>
                              <a:cxn ang="T118">
                                <a:pos x="T4" y="T5"/>
                              </a:cxn>
                              <a:cxn ang="T119">
                                <a:pos x="T6" y="T7"/>
                              </a:cxn>
                              <a:cxn ang="T120">
                                <a:pos x="T8" y="T9"/>
                              </a:cxn>
                              <a:cxn ang="T121">
                                <a:pos x="T10" y="T11"/>
                              </a:cxn>
                              <a:cxn ang="T122">
                                <a:pos x="T12" y="T13"/>
                              </a:cxn>
                              <a:cxn ang="T123">
                                <a:pos x="T14" y="T15"/>
                              </a:cxn>
                              <a:cxn ang="T124">
                                <a:pos x="T16" y="T17"/>
                              </a:cxn>
                              <a:cxn ang="T125">
                                <a:pos x="T18" y="T19"/>
                              </a:cxn>
                              <a:cxn ang="T126">
                                <a:pos x="T20" y="T21"/>
                              </a:cxn>
                              <a:cxn ang="T127">
                                <a:pos x="T22" y="T23"/>
                              </a:cxn>
                              <a:cxn ang="T128">
                                <a:pos x="T24" y="T25"/>
                              </a:cxn>
                              <a:cxn ang="T129">
                                <a:pos x="T26" y="T27"/>
                              </a:cxn>
                              <a:cxn ang="T130">
                                <a:pos x="T28" y="T29"/>
                              </a:cxn>
                              <a:cxn ang="T131">
                                <a:pos x="T30" y="T31"/>
                              </a:cxn>
                              <a:cxn ang="T132">
                                <a:pos x="T32" y="T33"/>
                              </a:cxn>
                              <a:cxn ang="T133">
                                <a:pos x="T34" y="T35"/>
                              </a:cxn>
                              <a:cxn ang="T134">
                                <a:pos x="T36" y="T37"/>
                              </a:cxn>
                              <a:cxn ang="T135">
                                <a:pos x="T38" y="T39"/>
                              </a:cxn>
                              <a:cxn ang="T136">
                                <a:pos x="T40" y="T41"/>
                              </a:cxn>
                              <a:cxn ang="T137">
                                <a:pos x="T42" y="T43"/>
                              </a:cxn>
                              <a:cxn ang="T138">
                                <a:pos x="T44" y="T45"/>
                              </a:cxn>
                              <a:cxn ang="T139">
                                <a:pos x="T46" y="T47"/>
                              </a:cxn>
                              <a:cxn ang="T140">
                                <a:pos x="T48" y="T49"/>
                              </a:cxn>
                              <a:cxn ang="T141">
                                <a:pos x="T50" y="T51"/>
                              </a:cxn>
                              <a:cxn ang="T142">
                                <a:pos x="T52" y="T53"/>
                              </a:cxn>
                              <a:cxn ang="T143">
                                <a:pos x="T54" y="T55"/>
                              </a:cxn>
                              <a:cxn ang="T144">
                                <a:pos x="T56" y="T57"/>
                              </a:cxn>
                              <a:cxn ang="T145">
                                <a:pos x="T58" y="T59"/>
                              </a:cxn>
                              <a:cxn ang="T146">
                                <a:pos x="T60" y="T61"/>
                              </a:cxn>
                              <a:cxn ang="T147">
                                <a:pos x="T62" y="T63"/>
                              </a:cxn>
                              <a:cxn ang="T148">
                                <a:pos x="T64" y="T65"/>
                              </a:cxn>
                              <a:cxn ang="T149">
                                <a:pos x="T66" y="T67"/>
                              </a:cxn>
                              <a:cxn ang="T150">
                                <a:pos x="T68" y="T69"/>
                              </a:cxn>
                              <a:cxn ang="T151">
                                <a:pos x="T70" y="T71"/>
                              </a:cxn>
                              <a:cxn ang="T152">
                                <a:pos x="T72" y="T73"/>
                              </a:cxn>
                              <a:cxn ang="T153">
                                <a:pos x="T74" y="T75"/>
                              </a:cxn>
                              <a:cxn ang="T154">
                                <a:pos x="T76" y="T77"/>
                              </a:cxn>
                              <a:cxn ang="T155">
                                <a:pos x="T78" y="T79"/>
                              </a:cxn>
                              <a:cxn ang="T156">
                                <a:pos x="T80" y="T81"/>
                              </a:cxn>
                              <a:cxn ang="T157">
                                <a:pos x="T82" y="T83"/>
                              </a:cxn>
                              <a:cxn ang="T158">
                                <a:pos x="T84" y="T85"/>
                              </a:cxn>
                              <a:cxn ang="T159">
                                <a:pos x="T86" y="T87"/>
                              </a:cxn>
                              <a:cxn ang="T160">
                                <a:pos x="T88" y="T89"/>
                              </a:cxn>
                              <a:cxn ang="T161">
                                <a:pos x="T90" y="T91"/>
                              </a:cxn>
                              <a:cxn ang="T162">
                                <a:pos x="T92" y="T93"/>
                              </a:cxn>
                              <a:cxn ang="T163">
                                <a:pos x="T94" y="T95"/>
                              </a:cxn>
                              <a:cxn ang="T164">
                                <a:pos x="T96" y="T97"/>
                              </a:cxn>
                              <a:cxn ang="T165">
                                <a:pos x="T98" y="T99"/>
                              </a:cxn>
                              <a:cxn ang="T166">
                                <a:pos x="T100" y="T101"/>
                              </a:cxn>
                              <a:cxn ang="T167">
                                <a:pos x="T102" y="T103"/>
                              </a:cxn>
                              <a:cxn ang="T168">
                                <a:pos x="T104" y="T105"/>
                              </a:cxn>
                              <a:cxn ang="T169">
                                <a:pos x="T106" y="T107"/>
                              </a:cxn>
                              <a:cxn ang="T170">
                                <a:pos x="T108" y="T109"/>
                              </a:cxn>
                              <a:cxn ang="T171">
                                <a:pos x="T110" y="T111"/>
                              </a:cxn>
                              <a:cxn ang="T172">
                                <a:pos x="T112" y="T113"/>
                              </a:cxn>
                              <a:cxn ang="T173">
                                <a:pos x="T114" y="T115"/>
                              </a:cxn>
                            </a:cxnLst>
                            <a:rect l="0" t="0" r="r" b="b"/>
                            <a:pathLst>
                              <a:path w="2637" h="416">
                                <a:moveTo>
                                  <a:pt x="2561" y="35"/>
                                </a:moveTo>
                                <a:lnTo>
                                  <a:pt x="2524" y="0"/>
                                </a:lnTo>
                                <a:lnTo>
                                  <a:pt x="2458" y="56"/>
                                </a:lnTo>
                                <a:lnTo>
                                  <a:pt x="2485" y="84"/>
                                </a:lnTo>
                                <a:lnTo>
                                  <a:pt x="2561" y="35"/>
                                </a:lnTo>
                                <a:close/>
                                <a:moveTo>
                                  <a:pt x="2442" y="260"/>
                                </a:moveTo>
                                <a:lnTo>
                                  <a:pt x="2442" y="407"/>
                                </a:lnTo>
                                <a:lnTo>
                                  <a:pt x="2521" y="407"/>
                                </a:lnTo>
                                <a:lnTo>
                                  <a:pt x="2521" y="260"/>
                                </a:lnTo>
                                <a:lnTo>
                                  <a:pt x="2637" y="99"/>
                                </a:lnTo>
                                <a:lnTo>
                                  <a:pt x="2540" y="99"/>
                                </a:lnTo>
                                <a:lnTo>
                                  <a:pt x="2484" y="183"/>
                                </a:lnTo>
                                <a:lnTo>
                                  <a:pt x="2427" y="99"/>
                                </a:lnTo>
                                <a:lnTo>
                                  <a:pt x="2331" y="99"/>
                                </a:lnTo>
                                <a:lnTo>
                                  <a:pt x="2442" y="260"/>
                                </a:lnTo>
                                <a:close/>
                                <a:moveTo>
                                  <a:pt x="2143" y="226"/>
                                </a:moveTo>
                                <a:lnTo>
                                  <a:pt x="2143" y="99"/>
                                </a:lnTo>
                                <a:lnTo>
                                  <a:pt x="2063" y="99"/>
                                </a:lnTo>
                                <a:lnTo>
                                  <a:pt x="2063" y="407"/>
                                </a:lnTo>
                                <a:lnTo>
                                  <a:pt x="2143" y="407"/>
                                </a:lnTo>
                                <a:lnTo>
                                  <a:pt x="2143" y="274"/>
                                </a:lnTo>
                                <a:lnTo>
                                  <a:pt x="2247" y="407"/>
                                </a:lnTo>
                                <a:lnTo>
                                  <a:pt x="2351" y="407"/>
                                </a:lnTo>
                                <a:lnTo>
                                  <a:pt x="2217" y="245"/>
                                </a:lnTo>
                                <a:lnTo>
                                  <a:pt x="2340" y="99"/>
                                </a:lnTo>
                                <a:lnTo>
                                  <a:pt x="2240" y="99"/>
                                </a:lnTo>
                                <a:lnTo>
                                  <a:pt x="2143" y="226"/>
                                </a:lnTo>
                                <a:close/>
                                <a:moveTo>
                                  <a:pt x="2008" y="108"/>
                                </a:moveTo>
                                <a:lnTo>
                                  <a:pt x="1987" y="102"/>
                                </a:lnTo>
                                <a:lnTo>
                                  <a:pt x="1969" y="97"/>
                                </a:lnTo>
                                <a:lnTo>
                                  <a:pt x="1952" y="93"/>
                                </a:lnTo>
                                <a:lnTo>
                                  <a:pt x="1936" y="93"/>
                                </a:lnTo>
                                <a:lnTo>
                                  <a:pt x="1918" y="93"/>
                                </a:lnTo>
                                <a:lnTo>
                                  <a:pt x="1902" y="96"/>
                                </a:lnTo>
                                <a:lnTo>
                                  <a:pt x="1886" y="101"/>
                                </a:lnTo>
                                <a:lnTo>
                                  <a:pt x="1871" y="106"/>
                                </a:lnTo>
                                <a:lnTo>
                                  <a:pt x="1857" y="112"/>
                                </a:lnTo>
                                <a:lnTo>
                                  <a:pt x="1844" y="121"/>
                                </a:lnTo>
                                <a:lnTo>
                                  <a:pt x="1831" y="129"/>
                                </a:lnTo>
                                <a:lnTo>
                                  <a:pt x="1820" y="140"/>
                                </a:lnTo>
                                <a:lnTo>
                                  <a:pt x="1809" y="152"/>
                                </a:lnTo>
                                <a:lnTo>
                                  <a:pt x="1800" y="164"/>
                                </a:lnTo>
                                <a:lnTo>
                                  <a:pt x="1791" y="178"/>
                                </a:lnTo>
                                <a:lnTo>
                                  <a:pt x="1785" y="192"/>
                                </a:lnTo>
                                <a:lnTo>
                                  <a:pt x="1780" y="207"/>
                                </a:lnTo>
                                <a:lnTo>
                                  <a:pt x="1775" y="223"/>
                                </a:lnTo>
                                <a:lnTo>
                                  <a:pt x="1773" y="239"/>
                                </a:lnTo>
                                <a:lnTo>
                                  <a:pt x="1773" y="256"/>
                                </a:lnTo>
                                <a:lnTo>
                                  <a:pt x="1773" y="271"/>
                                </a:lnTo>
                                <a:lnTo>
                                  <a:pt x="1775" y="286"/>
                                </a:lnTo>
                                <a:lnTo>
                                  <a:pt x="1778" y="300"/>
                                </a:lnTo>
                                <a:lnTo>
                                  <a:pt x="1783" y="314"/>
                                </a:lnTo>
                                <a:lnTo>
                                  <a:pt x="1789" y="327"/>
                                </a:lnTo>
                                <a:lnTo>
                                  <a:pt x="1795" y="340"/>
                                </a:lnTo>
                                <a:lnTo>
                                  <a:pt x="1804" y="351"/>
                                </a:lnTo>
                                <a:lnTo>
                                  <a:pt x="1813" y="362"/>
                                </a:lnTo>
                                <a:lnTo>
                                  <a:pt x="1825" y="373"/>
                                </a:lnTo>
                                <a:lnTo>
                                  <a:pt x="1839" y="385"/>
                                </a:lnTo>
                                <a:lnTo>
                                  <a:pt x="1854" y="393"/>
                                </a:lnTo>
                                <a:lnTo>
                                  <a:pt x="1869" y="401"/>
                                </a:lnTo>
                                <a:lnTo>
                                  <a:pt x="1885" y="407"/>
                                </a:lnTo>
                                <a:lnTo>
                                  <a:pt x="1902" y="412"/>
                                </a:lnTo>
                                <a:lnTo>
                                  <a:pt x="1918" y="415"/>
                                </a:lnTo>
                                <a:lnTo>
                                  <a:pt x="1936" y="416"/>
                                </a:lnTo>
                                <a:lnTo>
                                  <a:pt x="1951" y="415"/>
                                </a:lnTo>
                                <a:lnTo>
                                  <a:pt x="1966" y="413"/>
                                </a:lnTo>
                                <a:lnTo>
                                  <a:pt x="1983" y="408"/>
                                </a:lnTo>
                                <a:lnTo>
                                  <a:pt x="2008" y="401"/>
                                </a:lnTo>
                                <a:lnTo>
                                  <a:pt x="2008" y="306"/>
                                </a:lnTo>
                                <a:lnTo>
                                  <a:pt x="1999" y="314"/>
                                </a:lnTo>
                                <a:lnTo>
                                  <a:pt x="1992" y="320"/>
                                </a:lnTo>
                                <a:lnTo>
                                  <a:pt x="1983" y="326"/>
                                </a:lnTo>
                                <a:lnTo>
                                  <a:pt x="1976" y="330"/>
                                </a:lnTo>
                                <a:lnTo>
                                  <a:pt x="1967" y="334"/>
                                </a:lnTo>
                                <a:lnTo>
                                  <a:pt x="1957" y="336"/>
                                </a:lnTo>
                                <a:lnTo>
                                  <a:pt x="1948" y="337"/>
                                </a:lnTo>
                                <a:lnTo>
                                  <a:pt x="1938" y="337"/>
                                </a:lnTo>
                                <a:lnTo>
                                  <a:pt x="1931" y="337"/>
                                </a:lnTo>
                                <a:lnTo>
                                  <a:pt x="1923" y="336"/>
                                </a:lnTo>
                                <a:lnTo>
                                  <a:pt x="1916" y="335"/>
                                </a:lnTo>
                                <a:lnTo>
                                  <a:pt x="1908" y="332"/>
                                </a:lnTo>
                                <a:lnTo>
                                  <a:pt x="1902" y="330"/>
                                </a:lnTo>
                                <a:lnTo>
                                  <a:pt x="1896" y="326"/>
                                </a:lnTo>
                                <a:lnTo>
                                  <a:pt x="1889" y="322"/>
                                </a:lnTo>
                                <a:lnTo>
                                  <a:pt x="1884" y="317"/>
                                </a:lnTo>
                                <a:lnTo>
                                  <a:pt x="1876" y="311"/>
                                </a:lnTo>
                                <a:lnTo>
                                  <a:pt x="1871" y="305"/>
                                </a:lnTo>
                                <a:lnTo>
                                  <a:pt x="1866" y="299"/>
                                </a:lnTo>
                                <a:lnTo>
                                  <a:pt x="1862" y="291"/>
                                </a:lnTo>
                                <a:lnTo>
                                  <a:pt x="1860" y="283"/>
                                </a:lnTo>
                                <a:lnTo>
                                  <a:pt x="1857" y="274"/>
                                </a:lnTo>
                                <a:lnTo>
                                  <a:pt x="1856" y="265"/>
                                </a:lnTo>
                                <a:lnTo>
                                  <a:pt x="1856" y="255"/>
                                </a:lnTo>
                                <a:lnTo>
                                  <a:pt x="1856" y="246"/>
                                </a:lnTo>
                                <a:lnTo>
                                  <a:pt x="1857" y="238"/>
                                </a:lnTo>
                                <a:lnTo>
                                  <a:pt x="1860" y="229"/>
                                </a:lnTo>
                                <a:lnTo>
                                  <a:pt x="1862" y="221"/>
                                </a:lnTo>
                                <a:lnTo>
                                  <a:pt x="1865" y="214"/>
                                </a:lnTo>
                                <a:lnTo>
                                  <a:pt x="1870" y="207"/>
                                </a:lnTo>
                                <a:lnTo>
                                  <a:pt x="1874" y="200"/>
                                </a:lnTo>
                                <a:lnTo>
                                  <a:pt x="1879" y="194"/>
                                </a:lnTo>
                                <a:lnTo>
                                  <a:pt x="1885" y="189"/>
                                </a:lnTo>
                                <a:lnTo>
                                  <a:pt x="1891" y="184"/>
                                </a:lnTo>
                                <a:lnTo>
                                  <a:pt x="1898" y="180"/>
                                </a:lnTo>
                                <a:lnTo>
                                  <a:pt x="1905" y="177"/>
                                </a:lnTo>
                                <a:lnTo>
                                  <a:pt x="1913" y="174"/>
                                </a:lnTo>
                                <a:lnTo>
                                  <a:pt x="1921" y="172"/>
                                </a:lnTo>
                                <a:lnTo>
                                  <a:pt x="1930" y="170"/>
                                </a:lnTo>
                                <a:lnTo>
                                  <a:pt x="1938" y="170"/>
                                </a:lnTo>
                                <a:lnTo>
                                  <a:pt x="1948" y="170"/>
                                </a:lnTo>
                                <a:lnTo>
                                  <a:pt x="1958" y="173"/>
                                </a:lnTo>
                                <a:lnTo>
                                  <a:pt x="1967" y="175"/>
                                </a:lnTo>
                                <a:lnTo>
                                  <a:pt x="1977" y="179"/>
                                </a:lnTo>
                                <a:lnTo>
                                  <a:pt x="1984" y="184"/>
                                </a:lnTo>
                                <a:lnTo>
                                  <a:pt x="1993" y="189"/>
                                </a:lnTo>
                                <a:lnTo>
                                  <a:pt x="2001" y="197"/>
                                </a:lnTo>
                                <a:lnTo>
                                  <a:pt x="2008" y="204"/>
                                </a:lnTo>
                                <a:lnTo>
                                  <a:pt x="2008" y="108"/>
                                </a:lnTo>
                                <a:close/>
                                <a:moveTo>
                                  <a:pt x="1727" y="99"/>
                                </a:moveTo>
                                <a:lnTo>
                                  <a:pt x="1647" y="99"/>
                                </a:lnTo>
                                <a:lnTo>
                                  <a:pt x="1647" y="407"/>
                                </a:lnTo>
                                <a:lnTo>
                                  <a:pt x="1727" y="407"/>
                                </a:lnTo>
                                <a:lnTo>
                                  <a:pt x="1727" y="99"/>
                                </a:lnTo>
                                <a:close/>
                                <a:moveTo>
                                  <a:pt x="1538" y="167"/>
                                </a:moveTo>
                                <a:lnTo>
                                  <a:pt x="1604" y="167"/>
                                </a:lnTo>
                                <a:lnTo>
                                  <a:pt x="1604" y="99"/>
                                </a:lnTo>
                                <a:lnTo>
                                  <a:pt x="1394" y="99"/>
                                </a:lnTo>
                                <a:lnTo>
                                  <a:pt x="1394" y="167"/>
                                </a:lnTo>
                                <a:lnTo>
                                  <a:pt x="1459" y="167"/>
                                </a:lnTo>
                                <a:lnTo>
                                  <a:pt x="1459" y="407"/>
                                </a:lnTo>
                                <a:lnTo>
                                  <a:pt x="1538" y="407"/>
                                </a:lnTo>
                                <a:lnTo>
                                  <a:pt x="1538" y="167"/>
                                </a:lnTo>
                                <a:close/>
                                <a:moveTo>
                                  <a:pt x="1360" y="117"/>
                                </a:moveTo>
                                <a:lnTo>
                                  <a:pt x="1349" y="111"/>
                                </a:lnTo>
                                <a:lnTo>
                                  <a:pt x="1337" y="106"/>
                                </a:lnTo>
                                <a:lnTo>
                                  <a:pt x="1324" y="102"/>
                                </a:lnTo>
                                <a:lnTo>
                                  <a:pt x="1313" y="98"/>
                                </a:lnTo>
                                <a:lnTo>
                                  <a:pt x="1300" y="96"/>
                                </a:lnTo>
                                <a:lnTo>
                                  <a:pt x="1288" y="93"/>
                                </a:lnTo>
                                <a:lnTo>
                                  <a:pt x="1276" y="92"/>
                                </a:lnTo>
                                <a:lnTo>
                                  <a:pt x="1263" y="92"/>
                                </a:lnTo>
                                <a:lnTo>
                                  <a:pt x="1252" y="92"/>
                                </a:lnTo>
                                <a:lnTo>
                                  <a:pt x="1241" y="94"/>
                                </a:lnTo>
                                <a:lnTo>
                                  <a:pt x="1231" y="96"/>
                                </a:lnTo>
                                <a:lnTo>
                                  <a:pt x="1221" y="99"/>
                                </a:lnTo>
                                <a:lnTo>
                                  <a:pt x="1211" y="103"/>
                                </a:lnTo>
                                <a:lnTo>
                                  <a:pt x="1203" y="108"/>
                                </a:lnTo>
                                <a:lnTo>
                                  <a:pt x="1195" y="114"/>
                                </a:lnTo>
                                <a:lnTo>
                                  <a:pt x="1187" y="121"/>
                                </a:lnTo>
                                <a:lnTo>
                                  <a:pt x="1181" y="128"/>
                                </a:lnTo>
                                <a:lnTo>
                                  <a:pt x="1175" y="136"/>
                                </a:lnTo>
                                <a:lnTo>
                                  <a:pt x="1170" y="144"/>
                                </a:lnTo>
                                <a:lnTo>
                                  <a:pt x="1166" y="153"/>
                                </a:lnTo>
                                <a:lnTo>
                                  <a:pt x="1162" y="163"/>
                                </a:lnTo>
                                <a:lnTo>
                                  <a:pt x="1161" y="174"/>
                                </a:lnTo>
                                <a:lnTo>
                                  <a:pt x="1158" y="184"/>
                                </a:lnTo>
                                <a:lnTo>
                                  <a:pt x="1158" y="195"/>
                                </a:lnTo>
                                <a:lnTo>
                                  <a:pt x="1158" y="205"/>
                                </a:lnTo>
                                <a:lnTo>
                                  <a:pt x="1160" y="215"/>
                                </a:lnTo>
                                <a:lnTo>
                                  <a:pt x="1162" y="224"/>
                                </a:lnTo>
                                <a:lnTo>
                                  <a:pt x="1165" y="231"/>
                                </a:lnTo>
                                <a:lnTo>
                                  <a:pt x="1168" y="239"/>
                                </a:lnTo>
                                <a:lnTo>
                                  <a:pt x="1172" y="245"/>
                                </a:lnTo>
                                <a:lnTo>
                                  <a:pt x="1177" y="251"/>
                                </a:lnTo>
                                <a:lnTo>
                                  <a:pt x="1183" y="256"/>
                                </a:lnTo>
                                <a:lnTo>
                                  <a:pt x="1192" y="263"/>
                                </a:lnTo>
                                <a:lnTo>
                                  <a:pt x="1203" y="269"/>
                                </a:lnTo>
                                <a:lnTo>
                                  <a:pt x="1219" y="275"/>
                                </a:lnTo>
                                <a:lnTo>
                                  <a:pt x="1242" y="281"/>
                                </a:lnTo>
                                <a:lnTo>
                                  <a:pt x="1254" y="286"/>
                                </a:lnTo>
                                <a:lnTo>
                                  <a:pt x="1264" y="290"/>
                                </a:lnTo>
                                <a:lnTo>
                                  <a:pt x="1273" y="294"/>
                                </a:lnTo>
                                <a:lnTo>
                                  <a:pt x="1279" y="297"/>
                                </a:lnTo>
                                <a:lnTo>
                                  <a:pt x="1284" y="301"/>
                                </a:lnTo>
                                <a:lnTo>
                                  <a:pt x="1287" y="306"/>
                                </a:lnTo>
                                <a:lnTo>
                                  <a:pt x="1289" y="311"/>
                                </a:lnTo>
                                <a:lnTo>
                                  <a:pt x="1289" y="317"/>
                                </a:lnTo>
                                <a:lnTo>
                                  <a:pt x="1289" y="324"/>
                                </a:lnTo>
                                <a:lnTo>
                                  <a:pt x="1287" y="330"/>
                                </a:lnTo>
                                <a:lnTo>
                                  <a:pt x="1283" y="335"/>
                                </a:lnTo>
                                <a:lnTo>
                                  <a:pt x="1279" y="339"/>
                                </a:lnTo>
                                <a:lnTo>
                                  <a:pt x="1273" y="342"/>
                                </a:lnTo>
                                <a:lnTo>
                                  <a:pt x="1267" y="345"/>
                                </a:lnTo>
                                <a:lnTo>
                                  <a:pt x="1259" y="346"/>
                                </a:lnTo>
                                <a:lnTo>
                                  <a:pt x="1251" y="347"/>
                                </a:lnTo>
                                <a:lnTo>
                                  <a:pt x="1242" y="347"/>
                                </a:lnTo>
                                <a:lnTo>
                                  <a:pt x="1233" y="345"/>
                                </a:lnTo>
                                <a:lnTo>
                                  <a:pt x="1224" y="344"/>
                                </a:lnTo>
                                <a:lnTo>
                                  <a:pt x="1216" y="340"/>
                                </a:lnTo>
                                <a:lnTo>
                                  <a:pt x="1207" y="335"/>
                                </a:lnTo>
                                <a:lnTo>
                                  <a:pt x="1198" y="330"/>
                                </a:lnTo>
                                <a:lnTo>
                                  <a:pt x="1190" y="324"/>
                                </a:lnTo>
                                <a:lnTo>
                                  <a:pt x="1180" y="316"/>
                                </a:lnTo>
                                <a:lnTo>
                                  <a:pt x="1146" y="381"/>
                                </a:lnTo>
                                <a:lnTo>
                                  <a:pt x="1158" y="388"/>
                                </a:lnTo>
                                <a:lnTo>
                                  <a:pt x="1171" y="396"/>
                                </a:lnTo>
                                <a:lnTo>
                                  <a:pt x="1185" y="401"/>
                                </a:lnTo>
                                <a:lnTo>
                                  <a:pt x="1198" y="406"/>
                                </a:lnTo>
                                <a:lnTo>
                                  <a:pt x="1212" y="410"/>
                                </a:lnTo>
                                <a:lnTo>
                                  <a:pt x="1226" y="413"/>
                                </a:lnTo>
                                <a:lnTo>
                                  <a:pt x="1239" y="415"/>
                                </a:lnTo>
                                <a:lnTo>
                                  <a:pt x="1253" y="415"/>
                                </a:lnTo>
                                <a:lnTo>
                                  <a:pt x="1266" y="415"/>
                                </a:lnTo>
                                <a:lnTo>
                                  <a:pt x="1278" y="413"/>
                                </a:lnTo>
                                <a:lnTo>
                                  <a:pt x="1290" y="411"/>
                                </a:lnTo>
                                <a:lnTo>
                                  <a:pt x="1302" y="407"/>
                                </a:lnTo>
                                <a:lnTo>
                                  <a:pt x="1313" y="403"/>
                                </a:lnTo>
                                <a:lnTo>
                                  <a:pt x="1323" y="398"/>
                                </a:lnTo>
                                <a:lnTo>
                                  <a:pt x="1333" y="392"/>
                                </a:lnTo>
                                <a:lnTo>
                                  <a:pt x="1342" y="386"/>
                                </a:lnTo>
                                <a:lnTo>
                                  <a:pt x="1349" y="378"/>
                                </a:lnTo>
                                <a:lnTo>
                                  <a:pt x="1355" y="371"/>
                                </a:lnTo>
                                <a:lnTo>
                                  <a:pt x="1360" y="362"/>
                                </a:lnTo>
                                <a:lnTo>
                                  <a:pt x="1365" y="352"/>
                                </a:lnTo>
                                <a:lnTo>
                                  <a:pt x="1369" y="342"/>
                                </a:lnTo>
                                <a:lnTo>
                                  <a:pt x="1371" y="331"/>
                                </a:lnTo>
                                <a:lnTo>
                                  <a:pt x="1373" y="319"/>
                                </a:lnTo>
                                <a:lnTo>
                                  <a:pt x="1373" y="306"/>
                                </a:lnTo>
                                <a:lnTo>
                                  <a:pt x="1371" y="290"/>
                                </a:lnTo>
                                <a:lnTo>
                                  <a:pt x="1369" y="275"/>
                                </a:lnTo>
                                <a:lnTo>
                                  <a:pt x="1366" y="269"/>
                                </a:lnTo>
                                <a:lnTo>
                                  <a:pt x="1363" y="263"/>
                                </a:lnTo>
                                <a:lnTo>
                                  <a:pt x="1359" y="258"/>
                                </a:lnTo>
                                <a:lnTo>
                                  <a:pt x="1355" y="251"/>
                                </a:lnTo>
                                <a:lnTo>
                                  <a:pt x="1350" y="246"/>
                                </a:lnTo>
                                <a:lnTo>
                                  <a:pt x="1345" y="241"/>
                                </a:lnTo>
                                <a:lnTo>
                                  <a:pt x="1339" y="238"/>
                                </a:lnTo>
                                <a:lnTo>
                                  <a:pt x="1332" y="234"/>
                                </a:lnTo>
                                <a:lnTo>
                                  <a:pt x="1315" y="226"/>
                                </a:lnTo>
                                <a:lnTo>
                                  <a:pt x="1298" y="220"/>
                                </a:lnTo>
                                <a:lnTo>
                                  <a:pt x="1276" y="213"/>
                                </a:lnTo>
                                <a:lnTo>
                                  <a:pt x="1263" y="209"/>
                                </a:lnTo>
                                <a:lnTo>
                                  <a:pt x="1256" y="205"/>
                                </a:lnTo>
                                <a:lnTo>
                                  <a:pt x="1249" y="200"/>
                                </a:lnTo>
                                <a:lnTo>
                                  <a:pt x="1247" y="198"/>
                                </a:lnTo>
                                <a:lnTo>
                                  <a:pt x="1244" y="194"/>
                                </a:lnTo>
                                <a:lnTo>
                                  <a:pt x="1242" y="189"/>
                                </a:lnTo>
                                <a:lnTo>
                                  <a:pt x="1242" y="185"/>
                                </a:lnTo>
                                <a:lnTo>
                                  <a:pt x="1243" y="179"/>
                                </a:lnTo>
                                <a:lnTo>
                                  <a:pt x="1244" y="174"/>
                                </a:lnTo>
                                <a:lnTo>
                                  <a:pt x="1248" y="170"/>
                                </a:lnTo>
                                <a:lnTo>
                                  <a:pt x="1252" y="167"/>
                                </a:lnTo>
                                <a:lnTo>
                                  <a:pt x="1257" y="163"/>
                                </a:lnTo>
                                <a:lnTo>
                                  <a:pt x="1263" y="160"/>
                                </a:lnTo>
                                <a:lnTo>
                                  <a:pt x="1269" y="159"/>
                                </a:lnTo>
                                <a:lnTo>
                                  <a:pt x="1277" y="158"/>
                                </a:lnTo>
                                <a:lnTo>
                                  <a:pt x="1283" y="159"/>
                                </a:lnTo>
                                <a:lnTo>
                                  <a:pt x="1289" y="159"/>
                                </a:lnTo>
                                <a:lnTo>
                                  <a:pt x="1297" y="162"/>
                                </a:lnTo>
                                <a:lnTo>
                                  <a:pt x="1303" y="163"/>
                                </a:lnTo>
                                <a:lnTo>
                                  <a:pt x="1315" y="170"/>
                                </a:lnTo>
                                <a:lnTo>
                                  <a:pt x="1329" y="179"/>
                                </a:lnTo>
                                <a:lnTo>
                                  <a:pt x="1360" y="117"/>
                                </a:lnTo>
                                <a:close/>
                                <a:moveTo>
                                  <a:pt x="1091" y="99"/>
                                </a:moveTo>
                                <a:lnTo>
                                  <a:pt x="1011" y="99"/>
                                </a:lnTo>
                                <a:lnTo>
                                  <a:pt x="1011" y="407"/>
                                </a:lnTo>
                                <a:lnTo>
                                  <a:pt x="1091" y="407"/>
                                </a:lnTo>
                                <a:lnTo>
                                  <a:pt x="1091" y="99"/>
                                </a:lnTo>
                                <a:close/>
                                <a:moveTo>
                                  <a:pt x="904" y="167"/>
                                </a:moveTo>
                                <a:lnTo>
                                  <a:pt x="970" y="167"/>
                                </a:lnTo>
                                <a:lnTo>
                                  <a:pt x="970" y="99"/>
                                </a:lnTo>
                                <a:lnTo>
                                  <a:pt x="758" y="99"/>
                                </a:lnTo>
                                <a:lnTo>
                                  <a:pt x="758" y="167"/>
                                </a:lnTo>
                                <a:lnTo>
                                  <a:pt x="825" y="167"/>
                                </a:lnTo>
                                <a:lnTo>
                                  <a:pt x="825" y="407"/>
                                </a:lnTo>
                                <a:lnTo>
                                  <a:pt x="904" y="407"/>
                                </a:lnTo>
                                <a:lnTo>
                                  <a:pt x="904" y="167"/>
                                </a:lnTo>
                                <a:close/>
                                <a:moveTo>
                                  <a:pt x="644" y="292"/>
                                </a:moveTo>
                                <a:lnTo>
                                  <a:pt x="578" y="292"/>
                                </a:lnTo>
                                <a:lnTo>
                                  <a:pt x="611" y="194"/>
                                </a:lnTo>
                                <a:lnTo>
                                  <a:pt x="644" y="292"/>
                                </a:lnTo>
                                <a:close/>
                                <a:moveTo>
                                  <a:pt x="666" y="354"/>
                                </a:moveTo>
                                <a:lnTo>
                                  <a:pt x="686" y="407"/>
                                </a:lnTo>
                                <a:lnTo>
                                  <a:pt x="771" y="407"/>
                                </a:lnTo>
                                <a:lnTo>
                                  <a:pt x="655" y="99"/>
                                </a:lnTo>
                                <a:lnTo>
                                  <a:pt x="568" y="99"/>
                                </a:lnTo>
                                <a:lnTo>
                                  <a:pt x="450" y="407"/>
                                </a:lnTo>
                                <a:lnTo>
                                  <a:pt x="534" y="407"/>
                                </a:lnTo>
                                <a:lnTo>
                                  <a:pt x="555" y="354"/>
                                </a:lnTo>
                                <a:lnTo>
                                  <a:pt x="666" y="354"/>
                                </a:lnTo>
                                <a:close/>
                                <a:moveTo>
                                  <a:pt x="395" y="167"/>
                                </a:moveTo>
                                <a:lnTo>
                                  <a:pt x="461" y="167"/>
                                </a:lnTo>
                                <a:lnTo>
                                  <a:pt x="461" y="99"/>
                                </a:lnTo>
                                <a:lnTo>
                                  <a:pt x="249" y="99"/>
                                </a:lnTo>
                                <a:lnTo>
                                  <a:pt x="249" y="167"/>
                                </a:lnTo>
                                <a:lnTo>
                                  <a:pt x="315" y="167"/>
                                </a:lnTo>
                                <a:lnTo>
                                  <a:pt x="315" y="407"/>
                                </a:lnTo>
                                <a:lnTo>
                                  <a:pt x="395" y="407"/>
                                </a:lnTo>
                                <a:lnTo>
                                  <a:pt x="395" y="167"/>
                                </a:lnTo>
                                <a:close/>
                                <a:moveTo>
                                  <a:pt x="214" y="117"/>
                                </a:moveTo>
                                <a:lnTo>
                                  <a:pt x="203" y="111"/>
                                </a:lnTo>
                                <a:lnTo>
                                  <a:pt x="190" y="106"/>
                                </a:lnTo>
                                <a:lnTo>
                                  <a:pt x="178" y="102"/>
                                </a:lnTo>
                                <a:lnTo>
                                  <a:pt x="167" y="98"/>
                                </a:lnTo>
                                <a:lnTo>
                                  <a:pt x="154" y="96"/>
                                </a:lnTo>
                                <a:lnTo>
                                  <a:pt x="142" y="93"/>
                                </a:lnTo>
                                <a:lnTo>
                                  <a:pt x="129" y="92"/>
                                </a:lnTo>
                                <a:lnTo>
                                  <a:pt x="117" y="92"/>
                                </a:lnTo>
                                <a:lnTo>
                                  <a:pt x="106" y="92"/>
                                </a:lnTo>
                                <a:lnTo>
                                  <a:pt x="94" y="94"/>
                                </a:lnTo>
                                <a:lnTo>
                                  <a:pt x="84" y="96"/>
                                </a:lnTo>
                                <a:lnTo>
                                  <a:pt x="75" y="99"/>
                                </a:lnTo>
                                <a:lnTo>
                                  <a:pt x="65" y="103"/>
                                </a:lnTo>
                                <a:lnTo>
                                  <a:pt x="56" y="108"/>
                                </a:lnTo>
                                <a:lnTo>
                                  <a:pt x="48" y="114"/>
                                </a:lnTo>
                                <a:lnTo>
                                  <a:pt x="41" y="121"/>
                                </a:lnTo>
                                <a:lnTo>
                                  <a:pt x="35" y="128"/>
                                </a:lnTo>
                                <a:lnTo>
                                  <a:pt x="28" y="136"/>
                                </a:lnTo>
                                <a:lnTo>
                                  <a:pt x="23" y="144"/>
                                </a:lnTo>
                                <a:lnTo>
                                  <a:pt x="20" y="153"/>
                                </a:lnTo>
                                <a:lnTo>
                                  <a:pt x="16" y="163"/>
                                </a:lnTo>
                                <a:lnTo>
                                  <a:pt x="15" y="174"/>
                                </a:lnTo>
                                <a:lnTo>
                                  <a:pt x="12" y="184"/>
                                </a:lnTo>
                                <a:lnTo>
                                  <a:pt x="12" y="195"/>
                                </a:lnTo>
                                <a:lnTo>
                                  <a:pt x="12" y="205"/>
                                </a:lnTo>
                                <a:lnTo>
                                  <a:pt x="13" y="215"/>
                                </a:lnTo>
                                <a:lnTo>
                                  <a:pt x="16" y="224"/>
                                </a:lnTo>
                                <a:lnTo>
                                  <a:pt x="18" y="231"/>
                                </a:lnTo>
                                <a:lnTo>
                                  <a:pt x="22" y="239"/>
                                </a:lnTo>
                                <a:lnTo>
                                  <a:pt x="26" y="245"/>
                                </a:lnTo>
                                <a:lnTo>
                                  <a:pt x="31" y="251"/>
                                </a:lnTo>
                                <a:lnTo>
                                  <a:pt x="37" y="256"/>
                                </a:lnTo>
                                <a:lnTo>
                                  <a:pt x="46" y="263"/>
                                </a:lnTo>
                                <a:lnTo>
                                  <a:pt x="57" y="269"/>
                                </a:lnTo>
                                <a:lnTo>
                                  <a:pt x="73" y="275"/>
                                </a:lnTo>
                                <a:lnTo>
                                  <a:pt x="96" y="281"/>
                                </a:lnTo>
                                <a:lnTo>
                                  <a:pt x="108" y="286"/>
                                </a:lnTo>
                                <a:lnTo>
                                  <a:pt x="118" y="290"/>
                                </a:lnTo>
                                <a:lnTo>
                                  <a:pt x="127" y="294"/>
                                </a:lnTo>
                                <a:lnTo>
                                  <a:pt x="133" y="297"/>
                                </a:lnTo>
                                <a:lnTo>
                                  <a:pt x="138" y="301"/>
                                </a:lnTo>
                                <a:lnTo>
                                  <a:pt x="141" y="306"/>
                                </a:lnTo>
                                <a:lnTo>
                                  <a:pt x="143" y="311"/>
                                </a:lnTo>
                                <a:lnTo>
                                  <a:pt x="143" y="317"/>
                                </a:lnTo>
                                <a:lnTo>
                                  <a:pt x="143" y="324"/>
                                </a:lnTo>
                                <a:lnTo>
                                  <a:pt x="141" y="330"/>
                                </a:lnTo>
                                <a:lnTo>
                                  <a:pt x="137" y="335"/>
                                </a:lnTo>
                                <a:lnTo>
                                  <a:pt x="133" y="339"/>
                                </a:lnTo>
                                <a:lnTo>
                                  <a:pt x="127" y="342"/>
                                </a:lnTo>
                                <a:lnTo>
                                  <a:pt x="121" y="345"/>
                                </a:lnTo>
                                <a:lnTo>
                                  <a:pt x="113" y="346"/>
                                </a:lnTo>
                                <a:lnTo>
                                  <a:pt x="104" y="347"/>
                                </a:lnTo>
                                <a:lnTo>
                                  <a:pt x="96" y="347"/>
                                </a:lnTo>
                                <a:lnTo>
                                  <a:pt x="87" y="345"/>
                                </a:lnTo>
                                <a:lnTo>
                                  <a:pt x="78" y="344"/>
                                </a:lnTo>
                                <a:lnTo>
                                  <a:pt x="70" y="340"/>
                                </a:lnTo>
                                <a:lnTo>
                                  <a:pt x="61" y="335"/>
                                </a:lnTo>
                                <a:lnTo>
                                  <a:pt x="52" y="330"/>
                                </a:lnTo>
                                <a:lnTo>
                                  <a:pt x="43" y="324"/>
                                </a:lnTo>
                                <a:lnTo>
                                  <a:pt x="33" y="316"/>
                                </a:lnTo>
                                <a:lnTo>
                                  <a:pt x="0" y="381"/>
                                </a:lnTo>
                                <a:lnTo>
                                  <a:pt x="12" y="388"/>
                                </a:lnTo>
                                <a:lnTo>
                                  <a:pt x="25" y="396"/>
                                </a:lnTo>
                                <a:lnTo>
                                  <a:pt x="38" y="401"/>
                                </a:lnTo>
                                <a:lnTo>
                                  <a:pt x="52" y="406"/>
                                </a:lnTo>
                                <a:lnTo>
                                  <a:pt x="66" y="410"/>
                                </a:lnTo>
                                <a:lnTo>
                                  <a:pt x="79" y="413"/>
                                </a:lnTo>
                                <a:lnTo>
                                  <a:pt x="93" y="415"/>
                                </a:lnTo>
                                <a:lnTo>
                                  <a:pt x="107" y="415"/>
                                </a:lnTo>
                                <a:lnTo>
                                  <a:pt x="119" y="415"/>
                                </a:lnTo>
                                <a:lnTo>
                                  <a:pt x="132" y="413"/>
                                </a:lnTo>
                                <a:lnTo>
                                  <a:pt x="144" y="411"/>
                                </a:lnTo>
                                <a:lnTo>
                                  <a:pt x="155" y="407"/>
                                </a:lnTo>
                                <a:lnTo>
                                  <a:pt x="167" y="403"/>
                                </a:lnTo>
                                <a:lnTo>
                                  <a:pt x="177" y="398"/>
                                </a:lnTo>
                                <a:lnTo>
                                  <a:pt x="187" y="392"/>
                                </a:lnTo>
                                <a:lnTo>
                                  <a:pt x="195" y="386"/>
                                </a:lnTo>
                                <a:lnTo>
                                  <a:pt x="203" y="378"/>
                                </a:lnTo>
                                <a:lnTo>
                                  <a:pt x="209" y="371"/>
                                </a:lnTo>
                                <a:lnTo>
                                  <a:pt x="214" y="362"/>
                                </a:lnTo>
                                <a:lnTo>
                                  <a:pt x="219" y="352"/>
                                </a:lnTo>
                                <a:lnTo>
                                  <a:pt x="223" y="342"/>
                                </a:lnTo>
                                <a:lnTo>
                                  <a:pt x="225" y="331"/>
                                </a:lnTo>
                                <a:lnTo>
                                  <a:pt x="227" y="319"/>
                                </a:lnTo>
                                <a:lnTo>
                                  <a:pt x="227" y="306"/>
                                </a:lnTo>
                                <a:lnTo>
                                  <a:pt x="225" y="290"/>
                                </a:lnTo>
                                <a:lnTo>
                                  <a:pt x="223" y="275"/>
                                </a:lnTo>
                                <a:lnTo>
                                  <a:pt x="220" y="269"/>
                                </a:lnTo>
                                <a:lnTo>
                                  <a:pt x="217" y="263"/>
                                </a:lnTo>
                                <a:lnTo>
                                  <a:pt x="213" y="258"/>
                                </a:lnTo>
                                <a:lnTo>
                                  <a:pt x="209" y="251"/>
                                </a:lnTo>
                                <a:lnTo>
                                  <a:pt x="204" y="246"/>
                                </a:lnTo>
                                <a:lnTo>
                                  <a:pt x="199" y="241"/>
                                </a:lnTo>
                                <a:lnTo>
                                  <a:pt x="193" y="238"/>
                                </a:lnTo>
                                <a:lnTo>
                                  <a:pt x="185" y="234"/>
                                </a:lnTo>
                                <a:lnTo>
                                  <a:pt x="169" y="226"/>
                                </a:lnTo>
                                <a:lnTo>
                                  <a:pt x="151" y="220"/>
                                </a:lnTo>
                                <a:lnTo>
                                  <a:pt x="129" y="213"/>
                                </a:lnTo>
                                <a:lnTo>
                                  <a:pt x="117" y="209"/>
                                </a:lnTo>
                                <a:lnTo>
                                  <a:pt x="109" y="205"/>
                                </a:lnTo>
                                <a:lnTo>
                                  <a:pt x="103" y="200"/>
                                </a:lnTo>
                                <a:lnTo>
                                  <a:pt x="99" y="198"/>
                                </a:lnTo>
                                <a:lnTo>
                                  <a:pt x="98" y="194"/>
                                </a:lnTo>
                                <a:lnTo>
                                  <a:pt x="96" y="189"/>
                                </a:lnTo>
                                <a:lnTo>
                                  <a:pt x="96" y="185"/>
                                </a:lnTo>
                                <a:lnTo>
                                  <a:pt x="97" y="179"/>
                                </a:lnTo>
                                <a:lnTo>
                                  <a:pt x="98" y="174"/>
                                </a:lnTo>
                                <a:lnTo>
                                  <a:pt x="102" y="170"/>
                                </a:lnTo>
                                <a:lnTo>
                                  <a:pt x="106" y="167"/>
                                </a:lnTo>
                                <a:lnTo>
                                  <a:pt x="111" y="163"/>
                                </a:lnTo>
                                <a:lnTo>
                                  <a:pt x="117" y="160"/>
                                </a:lnTo>
                                <a:lnTo>
                                  <a:pt x="123" y="159"/>
                                </a:lnTo>
                                <a:lnTo>
                                  <a:pt x="129" y="158"/>
                                </a:lnTo>
                                <a:lnTo>
                                  <a:pt x="137" y="159"/>
                                </a:lnTo>
                                <a:lnTo>
                                  <a:pt x="143" y="159"/>
                                </a:lnTo>
                                <a:lnTo>
                                  <a:pt x="151" y="162"/>
                                </a:lnTo>
                                <a:lnTo>
                                  <a:pt x="157" y="163"/>
                                </a:lnTo>
                                <a:lnTo>
                                  <a:pt x="169" y="170"/>
                                </a:lnTo>
                                <a:lnTo>
                                  <a:pt x="183" y="179"/>
                                </a:lnTo>
                                <a:lnTo>
                                  <a:pt x="214" y="117"/>
                                </a:lnTo>
                                <a:close/>
                              </a:path>
                            </a:pathLst>
                          </a:custGeom>
                          <a:solidFill>
                            <a:srgbClr val="BD1B21"/>
                          </a:solidFill>
                          <a:ln>
                            <a:noFill/>
                          </a:ln>
                          <a:extLst>
                            <a:ext uri="{91240B29-F687-4f45-9708-019B960494DF}">
                              <a14:hiddenLine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4"/>
                        <wps:cNvSpPr>
                          <a:spLocks noChangeAspect="1" noEditPoints="1"/>
                        </wps:cNvSpPr>
                        <wps:spPr bwMode="auto">
                          <a:xfrm>
                            <a:off x="1962" y="851"/>
                            <a:ext cx="679" cy="208"/>
                          </a:xfrm>
                          <a:custGeom>
                            <a:avLst/>
                            <a:gdLst>
                              <a:gd name="T0" fmla="*/ 641 w 1358"/>
                              <a:gd name="T1" fmla="*/ 18 h 416"/>
                              <a:gd name="T2" fmla="*/ 679 w 1358"/>
                              <a:gd name="T3" fmla="*/ 50 h 416"/>
                              <a:gd name="T4" fmla="*/ 581 w 1358"/>
                              <a:gd name="T5" fmla="*/ 130 h 416"/>
                              <a:gd name="T6" fmla="*/ 432 w 1358"/>
                              <a:gd name="T7" fmla="*/ 204 h 416"/>
                              <a:gd name="T8" fmla="*/ 530 w 1358"/>
                              <a:gd name="T9" fmla="*/ 50 h 416"/>
                              <a:gd name="T10" fmla="*/ 349 w 1358"/>
                              <a:gd name="T11" fmla="*/ 54 h 416"/>
                              <a:gd name="T12" fmla="*/ 318 w 1358"/>
                              <a:gd name="T13" fmla="*/ 46 h 416"/>
                              <a:gd name="T14" fmla="*/ 290 w 1358"/>
                              <a:gd name="T15" fmla="*/ 50 h 416"/>
                              <a:gd name="T16" fmla="*/ 271 w 1358"/>
                              <a:gd name="T17" fmla="*/ 64 h 416"/>
                              <a:gd name="T18" fmla="*/ 261 w 1358"/>
                              <a:gd name="T19" fmla="*/ 87 h 416"/>
                              <a:gd name="T20" fmla="*/ 261 w 1358"/>
                              <a:gd name="T21" fmla="*/ 112 h 416"/>
                              <a:gd name="T22" fmla="*/ 272 w 1358"/>
                              <a:gd name="T23" fmla="*/ 129 h 416"/>
                              <a:gd name="T24" fmla="*/ 307 w 1358"/>
                              <a:gd name="T25" fmla="*/ 144 h 416"/>
                              <a:gd name="T26" fmla="*/ 324 w 1358"/>
                              <a:gd name="T27" fmla="*/ 153 h 416"/>
                              <a:gd name="T28" fmla="*/ 322 w 1358"/>
                              <a:gd name="T29" fmla="*/ 168 h 416"/>
                              <a:gd name="T30" fmla="*/ 306 w 1358"/>
                              <a:gd name="T31" fmla="*/ 174 h 416"/>
                              <a:gd name="T32" fmla="*/ 284 w 1358"/>
                              <a:gd name="T33" fmla="*/ 168 h 416"/>
                              <a:gd name="T34" fmla="*/ 260 w 1358"/>
                              <a:gd name="T35" fmla="*/ 195 h 416"/>
                              <a:gd name="T36" fmla="*/ 293 w 1358"/>
                              <a:gd name="T37" fmla="*/ 207 h 416"/>
                              <a:gd name="T38" fmla="*/ 326 w 1358"/>
                              <a:gd name="T39" fmla="*/ 206 h 416"/>
                              <a:gd name="T40" fmla="*/ 351 w 1358"/>
                              <a:gd name="T41" fmla="*/ 193 h 416"/>
                              <a:gd name="T42" fmla="*/ 365 w 1358"/>
                              <a:gd name="T43" fmla="*/ 172 h 416"/>
                              <a:gd name="T44" fmla="*/ 365 w 1358"/>
                              <a:gd name="T45" fmla="*/ 138 h 416"/>
                              <a:gd name="T46" fmla="*/ 356 w 1358"/>
                              <a:gd name="T47" fmla="*/ 124 h 416"/>
                              <a:gd name="T48" fmla="*/ 329 w 1358"/>
                              <a:gd name="T49" fmla="*/ 111 h 416"/>
                              <a:gd name="T50" fmla="*/ 304 w 1358"/>
                              <a:gd name="T51" fmla="*/ 99 h 416"/>
                              <a:gd name="T52" fmla="*/ 303 w 1358"/>
                              <a:gd name="T53" fmla="*/ 87 h 416"/>
                              <a:gd name="T54" fmla="*/ 315 w 1358"/>
                              <a:gd name="T55" fmla="*/ 80 h 416"/>
                              <a:gd name="T56" fmla="*/ 332 w 1358"/>
                              <a:gd name="T57" fmla="*/ 82 h 416"/>
                              <a:gd name="T58" fmla="*/ 232 w 1358"/>
                              <a:gd name="T59" fmla="*/ 50 h 416"/>
                              <a:gd name="T60" fmla="*/ 185 w 1358"/>
                              <a:gd name="T61" fmla="*/ 170 h 416"/>
                              <a:gd name="T62" fmla="*/ 185 w 1358"/>
                              <a:gd name="T63" fmla="*/ 84 h 416"/>
                              <a:gd name="T64" fmla="*/ 105 w 1358"/>
                              <a:gd name="T65" fmla="*/ 1 h 416"/>
                              <a:gd name="T66" fmla="*/ 108 w 1358"/>
                              <a:gd name="T67" fmla="*/ 51 h 416"/>
                              <a:gd name="T68" fmla="*/ 65 w 1358"/>
                              <a:gd name="T69" fmla="*/ 48 h 416"/>
                              <a:gd name="T70" fmla="*/ 29 w 1358"/>
                              <a:gd name="T71" fmla="*/ 65 h 416"/>
                              <a:gd name="T72" fmla="*/ 6 w 1358"/>
                              <a:gd name="T73" fmla="*/ 96 h 416"/>
                              <a:gd name="T74" fmla="*/ 0 w 1358"/>
                              <a:gd name="T75" fmla="*/ 136 h 416"/>
                              <a:gd name="T76" fmla="*/ 11 w 1358"/>
                              <a:gd name="T77" fmla="*/ 170 h 416"/>
                              <a:gd name="T78" fmla="*/ 41 w 1358"/>
                              <a:gd name="T79" fmla="*/ 197 h 416"/>
                              <a:gd name="T80" fmla="*/ 82 w 1358"/>
                              <a:gd name="T81" fmla="*/ 208 h 416"/>
                              <a:gd name="T82" fmla="*/ 118 w 1358"/>
                              <a:gd name="T83" fmla="*/ 153 h 416"/>
                              <a:gd name="T84" fmla="*/ 97 w 1358"/>
                              <a:gd name="T85" fmla="*/ 167 h 416"/>
                              <a:gd name="T86" fmla="*/ 76 w 1358"/>
                              <a:gd name="T87" fmla="*/ 168 h 416"/>
                              <a:gd name="T88" fmla="*/ 59 w 1358"/>
                              <a:gd name="T89" fmla="*/ 162 h 416"/>
                              <a:gd name="T90" fmla="*/ 45 w 1358"/>
                              <a:gd name="T91" fmla="*/ 146 h 416"/>
                              <a:gd name="T92" fmla="*/ 42 w 1358"/>
                              <a:gd name="T93" fmla="*/ 124 h 416"/>
                              <a:gd name="T94" fmla="*/ 49 w 1358"/>
                              <a:gd name="T95" fmla="*/ 104 h 416"/>
                              <a:gd name="T96" fmla="*/ 63 w 1358"/>
                              <a:gd name="T97" fmla="*/ 91 h 416"/>
                              <a:gd name="T98" fmla="*/ 83 w 1358"/>
                              <a:gd name="T99" fmla="*/ 86 h 416"/>
                              <a:gd name="T100" fmla="*/ 107 w 1358"/>
                              <a:gd name="T101" fmla="*/ 92 h 41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358" h="416">
                                <a:moveTo>
                                  <a:pt x="1282" y="36"/>
                                </a:moveTo>
                                <a:lnTo>
                                  <a:pt x="1243" y="0"/>
                                </a:lnTo>
                                <a:lnTo>
                                  <a:pt x="1178" y="56"/>
                                </a:lnTo>
                                <a:lnTo>
                                  <a:pt x="1205" y="85"/>
                                </a:lnTo>
                                <a:lnTo>
                                  <a:pt x="1282" y="36"/>
                                </a:lnTo>
                                <a:close/>
                                <a:moveTo>
                                  <a:pt x="1162" y="260"/>
                                </a:moveTo>
                                <a:lnTo>
                                  <a:pt x="1162" y="407"/>
                                </a:lnTo>
                                <a:lnTo>
                                  <a:pt x="1242" y="407"/>
                                </a:lnTo>
                                <a:lnTo>
                                  <a:pt x="1242" y="260"/>
                                </a:lnTo>
                                <a:lnTo>
                                  <a:pt x="1358" y="100"/>
                                </a:lnTo>
                                <a:lnTo>
                                  <a:pt x="1261" y="100"/>
                                </a:lnTo>
                                <a:lnTo>
                                  <a:pt x="1205" y="183"/>
                                </a:lnTo>
                                <a:lnTo>
                                  <a:pt x="1146" y="100"/>
                                </a:lnTo>
                                <a:lnTo>
                                  <a:pt x="1051" y="100"/>
                                </a:lnTo>
                                <a:lnTo>
                                  <a:pt x="1162" y="260"/>
                                </a:lnTo>
                                <a:close/>
                                <a:moveTo>
                                  <a:pt x="863" y="227"/>
                                </a:moveTo>
                                <a:lnTo>
                                  <a:pt x="863" y="100"/>
                                </a:lnTo>
                                <a:lnTo>
                                  <a:pt x="783" y="100"/>
                                </a:lnTo>
                                <a:lnTo>
                                  <a:pt x="783" y="407"/>
                                </a:lnTo>
                                <a:lnTo>
                                  <a:pt x="863" y="407"/>
                                </a:lnTo>
                                <a:lnTo>
                                  <a:pt x="863" y="274"/>
                                </a:lnTo>
                                <a:lnTo>
                                  <a:pt x="967" y="407"/>
                                </a:lnTo>
                                <a:lnTo>
                                  <a:pt x="1071" y="407"/>
                                </a:lnTo>
                                <a:lnTo>
                                  <a:pt x="938" y="245"/>
                                </a:lnTo>
                                <a:lnTo>
                                  <a:pt x="1059" y="100"/>
                                </a:lnTo>
                                <a:lnTo>
                                  <a:pt x="960" y="100"/>
                                </a:lnTo>
                                <a:lnTo>
                                  <a:pt x="863" y="227"/>
                                </a:lnTo>
                                <a:close/>
                                <a:moveTo>
                                  <a:pt x="721" y="117"/>
                                </a:moveTo>
                                <a:lnTo>
                                  <a:pt x="709" y="112"/>
                                </a:lnTo>
                                <a:lnTo>
                                  <a:pt x="697" y="107"/>
                                </a:lnTo>
                                <a:lnTo>
                                  <a:pt x="685" y="102"/>
                                </a:lnTo>
                                <a:lnTo>
                                  <a:pt x="673" y="98"/>
                                </a:lnTo>
                                <a:lnTo>
                                  <a:pt x="660" y="96"/>
                                </a:lnTo>
                                <a:lnTo>
                                  <a:pt x="648" y="93"/>
                                </a:lnTo>
                                <a:lnTo>
                                  <a:pt x="635" y="92"/>
                                </a:lnTo>
                                <a:lnTo>
                                  <a:pt x="624" y="92"/>
                                </a:lnTo>
                                <a:lnTo>
                                  <a:pt x="611" y="92"/>
                                </a:lnTo>
                                <a:lnTo>
                                  <a:pt x="602" y="95"/>
                                </a:lnTo>
                                <a:lnTo>
                                  <a:pt x="590" y="97"/>
                                </a:lnTo>
                                <a:lnTo>
                                  <a:pt x="580" y="100"/>
                                </a:lnTo>
                                <a:lnTo>
                                  <a:pt x="572" y="103"/>
                                </a:lnTo>
                                <a:lnTo>
                                  <a:pt x="563" y="108"/>
                                </a:lnTo>
                                <a:lnTo>
                                  <a:pt x="555" y="115"/>
                                </a:lnTo>
                                <a:lnTo>
                                  <a:pt x="548" y="121"/>
                                </a:lnTo>
                                <a:lnTo>
                                  <a:pt x="542" y="128"/>
                                </a:lnTo>
                                <a:lnTo>
                                  <a:pt x="535" y="136"/>
                                </a:lnTo>
                                <a:lnTo>
                                  <a:pt x="531" y="145"/>
                                </a:lnTo>
                                <a:lnTo>
                                  <a:pt x="527" y="153"/>
                                </a:lnTo>
                                <a:lnTo>
                                  <a:pt x="523" y="163"/>
                                </a:lnTo>
                                <a:lnTo>
                                  <a:pt x="521" y="174"/>
                                </a:lnTo>
                                <a:lnTo>
                                  <a:pt x="519" y="184"/>
                                </a:lnTo>
                                <a:lnTo>
                                  <a:pt x="519" y="196"/>
                                </a:lnTo>
                                <a:lnTo>
                                  <a:pt x="519" y="206"/>
                                </a:lnTo>
                                <a:lnTo>
                                  <a:pt x="521" y="216"/>
                                </a:lnTo>
                                <a:lnTo>
                                  <a:pt x="522" y="224"/>
                                </a:lnTo>
                                <a:lnTo>
                                  <a:pt x="524" y="232"/>
                                </a:lnTo>
                                <a:lnTo>
                                  <a:pt x="528" y="239"/>
                                </a:lnTo>
                                <a:lnTo>
                                  <a:pt x="533" y="245"/>
                                </a:lnTo>
                                <a:lnTo>
                                  <a:pt x="538" y="252"/>
                                </a:lnTo>
                                <a:lnTo>
                                  <a:pt x="543" y="257"/>
                                </a:lnTo>
                                <a:lnTo>
                                  <a:pt x="552" y="263"/>
                                </a:lnTo>
                                <a:lnTo>
                                  <a:pt x="564" y="269"/>
                                </a:lnTo>
                                <a:lnTo>
                                  <a:pt x="580" y="275"/>
                                </a:lnTo>
                                <a:lnTo>
                                  <a:pt x="602" y="282"/>
                                </a:lnTo>
                                <a:lnTo>
                                  <a:pt x="614" y="287"/>
                                </a:lnTo>
                                <a:lnTo>
                                  <a:pt x="625" y="290"/>
                                </a:lnTo>
                                <a:lnTo>
                                  <a:pt x="634" y="294"/>
                                </a:lnTo>
                                <a:lnTo>
                                  <a:pt x="640" y="298"/>
                                </a:lnTo>
                                <a:lnTo>
                                  <a:pt x="644" y="301"/>
                                </a:lnTo>
                                <a:lnTo>
                                  <a:pt x="648" y="306"/>
                                </a:lnTo>
                                <a:lnTo>
                                  <a:pt x="649" y="311"/>
                                </a:lnTo>
                                <a:lnTo>
                                  <a:pt x="650" y="318"/>
                                </a:lnTo>
                                <a:lnTo>
                                  <a:pt x="649" y="324"/>
                                </a:lnTo>
                                <a:lnTo>
                                  <a:pt x="648" y="330"/>
                                </a:lnTo>
                                <a:lnTo>
                                  <a:pt x="644" y="335"/>
                                </a:lnTo>
                                <a:lnTo>
                                  <a:pt x="639" y="339"/>
                                </a:lnTo>
                                <a:lnTo>
                                  <a:pt x="634" y="343"/>
                                </a:lnTo>
                                <a:lnTo>
                                  <a:pt x="626" y="345"/>
                                </a:lnTo>
                                <a:lnTo>
                                  <a:pt x="619" y="348"/>
                                </a:lnTo>
                                <a:lnTo>
                                  <a:pt x="611" y="348"/>
                                </a:lnTo>
                                <a:lnTo>
                                  <a:pt x="603" y="348"/>
                                </a:lnTo>
                                <a:lnTo>
                                  <a:pt x="594" y="345"/>
                                </a:lnTo>
                                <a:lnTo>
                                  <a:pt x="585" y="344"/>
                                </a:lnTo>
                                <a:lnTo>
                                  <a:pt x="577" y="340"/>
                                </a:lnTo>
                                <a:lnTo>
                                  <a:pt x="568" y="335"/>
                                </a:lnTo>
                                <a:lnTo>
                                  <a:pt x="559" y="330"/>
                                </a:lnTo>
                                <a:lnTo>
                                  <a:pt x="549" y="324"/>
                                </a:lnTo>
                                <a:lnTo>
                                  <a:pt x="540" y="316"/>
                                </a:lnTo>
                                <a:lnTo>
                                  <a:pt x="507" y="381"/>
                                </a:lnTo>
                                <a:lnTo>
                                  <a:pt x="519" y="389"/>
                                </a:lnTo>
                                <a:lnTo>
                                  <a:pt x="532" y="396"/>
                                </a:lnTo>
                                <a:lnTo>
                                  <a:pt x="544" y="401"/>
                                </a:lnTo>
                                <a:lnTo>
                                  <a:pt x="558" y="406"/>
                                </a:lnTo>
                                <a:lnTo>
                                  <a:pt x="572" y="410"/>
                                </a:lnTo>
                                <a:lnTo>
                                  <a:pt x="585" y="414"/>
                                </a:lnTo>
                                <a:lnTo>
                                  <a:pt x="599" y="415"/>
                                </a:lnTo>
                                <a:lnTo>
                                  <a:pt x="613" y="415"/>
                                </a:lnTo>
                                <a:lnTo>
                                  <a:pt x="626" y="415"/>
                                </a:lnTo>
                                <a:lnTo>
                                  <a:pt x="639" y="414"/>
                                </a:lnTo>
                                <a:lnTo>
                                  <a:pt x="651" y="411"/>
                                </a:lnTo>
                                <a:lnTo>
                                  <a:pt x="663" y="407"/>
                                </a:lnTo>
                                <a:lnTo>
                                  <a:pt x="674" y="404"/>
                                </a:lnTo>
                                <a:lnTo>
                                  <a:pt x="684" y="399"/>
                                </a:lnTo>
                                <a:lnTo>
                                  <a:pt x="694" y="392"/>
                                </a:lnTo>
                                <a:lnTo>
                                  <a:pt x="702" y="386"/>
                                </a:lnTo>
                                <a:lnTo>
                                  <a:pt x="709" y="379"/>
                                </a:lnTo>
                                <a:lnTo>
                                  <a:pt x="716" y="371"/>
                                </a:lnTo>
                                <a:lnTo>
                                  <a:pt x="721" y="363"/>
                                </a:lnTo>
                                <a:lnTo>
                                  <a:pt x="725" y="353"/>
                                </a:lnTo>
                                <a:lnTo>
                                  <a:pt x="729" y="343"/>
                                </a:lnTo>
                                <a:lnTo>
                                  <a:pt x="731" y="331"/>
                                </a:lnTo>
                                <a:lnTo>
                                  <a:pt x="732" y="319"/>
                                </a:lnTo>
                                <a:lnTo>
                                  <a:pt x="734" y="306"/>
                                </a:lnTo>
                                <a:lnTo>
                                  <a:pt x="732" y="290"/>
                                </a:lnTo>
                                <a:lnTo>
                                  <a:pt x="729" y="275"/>
                                </a:lnTo>
                                <a:lnTo>
                                  <a:pt x="726" y="269"/>
                                </a:lnTo>
                                <a:lnTo>
                                  <a:pt x="724" y="263"/>
                                </a:lnTo>
                                <a:lnTo>
                                  <a:pt x="720" y="258"/>
                                </a:lnTo>
                                <a:lnTo>
                                  <a:pt x="716" y="252"/>
                                </a:lnTo>
                                <a:lnTo>
                                  <a:pt x="711" y="247"/>
                                </a:lnTo>
                                <a:lnTo>
                                  <a:pt x="705" y="243"/>
                                </a:lnTo>
                                <a:lnTo>
                                  <a:pt x="699" y="238"/>
                                </a:lnTo>
                                <a:lnTo>
                                  <a:pt x="692" y="234"/>
                                </a:lnTo>
                                <a:lnTo>
                                  <a:pt x="676" y="227"/>
                                </a:lnTo>
                                <a:lnTo>
                                  <a:pt x="658" y="221"/>
                                </a:lnTo>
                                <a:lnTo>
                                  <a:pt x="636" y="214"/>
                                </a:lnTo>
                                <a:lnTo>
                                  <a:pt x="624" y="209"/>
                                </a:lnTo>
                                <a:lnTo>
                                  <a:pt x="615" y="206"/>
                                </a:lnTo>
                                <a:lnTo>
                                  <a:pt x="610" y="201"/>
                                </a:lnTo>
                                <a:lnTo>
                                  <a:pt x="607" y="198"/>
                                </a:lnTo>
                                <a:lnTo>
                                  <a:pt x="604" y="194"/>
                                </a:lnTo>
                                <a:lnTo>
                                  <a:pt x="603" y="189"/>
                                </a:lnTo>
                                <a:lnTo>
                                  <a:pt x="603" y="186"/>
                                </a:lnTo>
                                <a:lnTo>
                                  <a:pt x="603" y="181"/>
                                </a:lnTo>
                                <a:lnTo>
                                  <a:pt x="605" y="174"/>
                                </a:lnTo>
                                <a:lnTo>
                                  <a:pt x="608" y="171"/>
                                </a:lnTo>
                                <a:lnTo>
                                  <a:pt x="611" y="167"/>
                                </a:lnTo>
                                <a:lnTo>
                                  <a:pt x="618" y="163"/>
                                </a:lnTo>
                                <a:lnTo>
                                  <a:pt x="623" y="161"/>
                                </a:lnTo>
                                <a:lnTo>
                                  <a:pt x="629" y="159"/>
                                </a:lnTo>
                                <a:lnTo>
                                  <a:pt x="636" y="158"/>
                                </a:lnTo>
                                <a:lnTo>
                                  <a:pt x="643" y="159"/>
                                </a:lnTo>
                                <a:lnTo>
                                  <a:pt x="650" y="159"/>
                                </a:lnTo>
                                <a:lnTo>
                                  <a:pt x="656" y="162"/>
                                </a:lnTo>
                                <a:lnTo>
                                  <a:pt x="663" y="163"/>
                                </a:lnTo>
                                <a:lnTo>
                                  <a:pt x="676" y="171"/>
                                </a:lnTo>
                                <a:lnTo>
                                  <a:pt x="689" y="179"/>
                                </a:lnTo>
                                <a:lnTo>
                                  <a:pt x="721" y="117"/>
                                </a:lnTo>
                                <a:close/>
                                <a:moveTo>
                                  <a:pt x="463" y="167"/>
                                </a:moveTo>
                                <a:lnTo>
                                  <a:pt x="463" y="100"/>
                                </a:lnTo>
                                <a:lnTo>
                                  <a:pt x="289" y="100"/>
                                </a:lnTo>
                                <a:lnTo>
                                  <a:pt x="289" y="407"/>
                                </a:lnTo>
                                <a:lnTo>
                                  <a:pt x="463" y="407"/>
                                </a:lnTo>
                                <a:lnTo>
                                  <a:pt x="463" y="340"/>
                                </a:lnTo>
                                <a:lnTo>
                                  <a:pt x="369" y="340"/>
                                </a:lnTo>
                                <a:lnTo>
                                  <a:pt x="369" y="287"/>
                                </a:lnTo>
                                <a:lnTo>
                                  <a:pt x="458" y="287"/>
                                </a:lnTo>
                                <a:lnTo>
                                  <a:pt x="458" y="219"/>
                                </a:lnTo>
                                <a:lnTo>
                                  <a:pt x="369" y="219"/>
                                </a:lnTo>
                                <a:lnTo>
                                  <a:pt x="369" y="167"/>
                                </a:lnTo>
                                <a:lnTo>
                                  <a:pt x="463" y="167"/>
                                </a:lnTo>
                                <a:close/>
                                <a:moveTo>
                                  <a:pt x="66" y="36"/>
                                </a:moveTo>
                                <a:lnTo>
                                  <a:pt x="148" y="82"/>
                                </a:lnTo>
                                <a:lnTo>
                                  <a:pt x="231" y="36"/>
                                </a:lnTo>
                                <a:lnTo>
                                  <a:pt x="210" y="2"/>
                                </a:lnTo>
                                <a:lnTo>
                                  <a:pt x="148" y="34"/>
                                </a:lnTo>
                                <a:lnTo>
                                  <a:pt x="87" y="2"/>
                                </a:lnTo>
                                <a:lnTo>
                                  <a:pt x="66" y="36"/>
                                </a:lnTo>
                                <a:close/>
                                <a:moveTo>
                                  <a:pt x="235" y="108"/>
                                </a:moveTo>
                                <a:lnTo>
                                  <a:pt x="215" y="102"/>
                                </a:lnTo>
                                <a:lnTo>
                                  <a:pt x="197" y="97"/>
                                </a:lnTo>
                                <a:lnTo>
                                  <a:pt x="180" y="95"/>
                                </a:lnTo>
                                <a:lnTo>
                                  <a:pt x="163" y="93"/>
                                </a:lnTo>
                                <a:lnTo>
                                  <a:pt x="146" y="95"/>
                                </a:lnTo>
                                <a:lnTo>
                                  <a:pt x="129" y="96"/>
                                </a:lnTo>
                                <a:lnTo>
                                  <a:pt x="114" y="101"/>
                                </a:lnTo>
                                <a:lnTo>
                                  <a:pt x="99" y="106"/>
                                </a:lnTo>
                                <a:lnTo>
                                  <a:pt x="84" y="112"/>
                                </a:lnTo>
                                <a:lnTo>
                                  <a:pt x="71" y="121"/>
                                </a:lnTo>
                                <a:lnTo>
                                  <a:pt x="58" y="130"/>
                                </a:lnTo>
                                <a:lnTo>
                                  <a:pt x="47" y="141"/>
                                </a:lnTo>
                                <a:lnTo>
                                  <a:pt x="37" y="152"/>
                                </a:lnTo>
                                <a:lnTo>
                                  <a:pt x="27" y="164"/>
                                </a:lnTo>
                                <a:lnTo>
                                  <a:pt x="20" y="178"/>
                                </a:lnTo>
                                <a:lnTo>
                                  <a:pt x="12" y="192"/>
                                </a:lnTo>
                                <a:lnTo>
                                  <a:pt x="7" y="207"/>
                                </a:lnTo>
                                <a:lnTo>
                                  <a:pt x="3" y="223"/>
                                </a:lnTo>
                                <a:lnTo>
                                  <a:pt x="1" y="239"/>
                                </a:lnTo>
                                <a:lnTo>
                                  <a:pt x="0" y="257"/>
                                </a:lnTo>
                                <a:lnTo>
                                  <a:pt x="0" y="272"/>
                                </a:lnTo>
                                <a:lnTo>
                                  <a:pt x="2" y="287"/>
                                </a:lnTo>
                                <a:lnTo>
                                  <a:pt x="6" y="300"/>
                                </a:lnTo>
                                <a:lnTo>
                                  <a:pt x="10" y="314"/>
                                </a:lnTo>
                                <a:lnTo>
                                  <a:pt x="16" y="328"/>
                                </a:lnTo>
                                <a:lnTo>
                                  <a:pt x="22" y="340"/>
                                </a:lnTo>
                                <a:lnTo>
                                  <a:pt x="31" y="351"/>
                                </a:lnTo>
                                <a:lnTo>
                                  <a:pt x="41" y="363"/>
                                </a:lnTo>
                                <a:lnTo>
                                  <a:pt x="53" y="374"/>
                                </a:lnTo>
                                <a:lnTo>
                                  <a:pt x="66" y="385"/>
                                </a:lnTo>
                                <a:lnTo>
                                  <a:pt x="81" y="394"/>
                                </a:lnTo>
                                <a:lnTo>
                                  <a:pt x="97" y="401"/>
                                </a:lnTo>
                                <a:lnTo>
                                  <a:pt x="113" y="407"/>
                                </a:lnTo>
                                <a:lnTo>
                                  <a:pt x="129" y="412"/>
                                </a:lnTo>
                                <a:lnTo>
                                  <a:pt x="147" y="415"/>
                                </a:lnTo>
                                <a:lnTo>
                                  <a:pt x="163" y="416"/>
                                </a:lnTo>
                                <a:lnTo>
                                  <a:pt x="179" y="415"/>
                                </a:lnTo>
                                <a:lnTo>
                                  <a:pt x="193" y="414"/>
                                </a:lnTo>
                                <a:lnTo>
                                  <a:pt x="212" y="409"/>
                                </a:lnTo>
                                <a:lnTo>
                                  <a:pt x="235" y="401"/>
                                </a:lnTo>
                                <a:lnTo>
                                  <a:pt x="235" y="306"/>
                                </a:lnTo>
                                <a:lnTo>
                                  <a:pt x="228" y="314"/>
                                </a:lnTo>
                                <a:lnTo>
                                  <a:pt x="219" y="320"/>
                                </a:lnTo>
                                <a:lnTo>
                                  <a:pt x="212" y="326"/>
                                </a:lnTo>
                                <a:lnTo>
                                  <a:pt x="203" y="330"/>
                                </a:lnTo>
                                <a:lnTo>
                                  <a:pt x="194" y="334"/>
                                </a:lnTo>
                                <a:lnTo>
                                  <a:pt x="185" y="336"/>
                                </a:lnTo>
                                <a:lnTo>
                                  <a:pt x="175" y="338"/>
                                </a:lnTo>
                                <a:lnTo>
                                  <a:pt x="165" y="339"/>
                                </a:lnTo>
                                <a:lnTo>
                                  <a:pt x="158" y="338"/>
                                </a:lnTo>
                                <a:lnTo>
                                  <a:pt x="151" y="336"/>
                                </a:lnTo>
                                <a:lnTo>
                                  <a:pt x="143" y="335"/>
                                </a:lnTo>
                                <a:lnTo>
                                  <a:pt x="137" y="333"/>
                                </a:lnTo>
                                <a:lnTo>
                                  <a:pt x="129" y="330"/>
                                </a:lnTo>
                                <a:lnTo>
                                  <a:pt x="123" y="326"/>
                                </a:lnTo>
                                <a:lnTo>
                                  <a:pt x="117" y="323"/>
                                </a:lnTo>
                                <a:lnTo>
                                  <a:pt x="111" y="318"/>
                                </a:lnTo>
                                <a:lnTo>
                                  <a:pt x="104" y="311"/>
                                </a:lnTo>
                                <a:lnTo>
                                  <a:pt x="98" y="305"/>
                                </a:lnTo>
                                <a:lnTo>
                                  <a:pt x="93" y="299"/>
                                </a:lnTo>
                                <a:lnTo>
                                  <a:pt x="89" y="292"/>
                                </a:lnTo>
                                <a:lnTo>
                                  <a:pt x="87" y="283"/>
                                </a:lnTo>
                                <a:lnTo>
                                  <a:pt x="84" y="274"/>
                                </a:lnTo>
                                <a:lnTo>
                                  <a:pt x="83" y="265"/>
                                </a:lnTo>
                                <a:lnTo>
                                  <a:pt x="83" y="255"/>
                                </a:lnTo>
                                <a:lnTo>
                                  <a:pt x="83" y="247"/>
                                </a:lnTo>
                                <a:lnTo>
                                  <a:pt x="84" y="238"/>
                                </a:lnTo>
                                <a:lnTo>
                                  <a:pt x="87" y="229"/>
                                </a:lnTo>
                                <a:lnTo>
                                  <a:pt x="89" y="222"/>
                                </a:lnTo>
                                <a:lnTo>
                                  <a:pt x="93" y="214"/>
                                </a:lnTo>
                                <a:lnTo>
                                  <a:pt x="97" y="207"/>
                                </a:lnTo>
                                <a:lnTo>
                                  <a:pt x="102" y="201"/>
                                </a:lnTo>
                                <a:lnTo>
                                  <a:pt x="107" y="194"/>
                                </a:lnTo>
                                <a:lnTo>
                                  <a:pt x="112" y="189"/>
                                </a:lnTo>
                                <a:lnTo>
                                  <a:pt x="118" y="184"/>
                                </a:lnTo>
                                <a:lnTo>
                                  <a:pt x="126" y="181"/>
                                </a:lnTo>
                                <a:lnTo>
                                  <a:pt x="133" y="177"/>
                                </a:lnTo>
                                <a:lnTo>
                                  <a:pt x="141" y="174"/>
                                </a:lnTo>
                                <a:lnTo>
                                  <a:pt x="148" y="172"/>
                                </a:lnTo>
                                <a:lnTo>
                                  <a:pt x="157" y="171"/>
                                </a:lnTo>
                                <a:lnTo>
                                  <a:pt x="165" y="171"/>
                                </a:lnTo>
                                <a:lnTo>
                                  <a:pt x="175" y="171"/>
                                </a:lnTo>
                                <a:lnTo>
                                  <a:pt x="185" y="173"/>
                                </a:lnTo>
                                <a:lnTo>
                                  <a:pt x="195" y="176"/>
                                </a:lnTo>
                                <a:lnTo>
                                  <a:pt x="204" y="179"/>
                                </a:lnTo>
                                <a:lnTo>
                                  <a:pt x="213" y="184"/>
                                </a:lnTo>
                                <a:lnTo>
                                  <a:pt x="220" y="189"/>
                                </a:lnTo>
                                <a:lnTo>
                                  <a:pt x="228" y="197"/>
                                </a:lnTo>
                                <a:lnTo>
                                  <a:pt x="235" y="204"/>
                                </a:lnTo>
                                <a:lnTo>
                                  <a:pt x="235" y="108"/>
                                </a:lnTo>
                                <a:close/>
                              </a:path>
                            </a:pathLst>
                          </a:custGeom>
                          <a:solidFill>
                            <a:srgbClr val="BD1B21"/>
                          </a:solidFill>
                          <a:ln>
                            <a:noFill/>
                          </a:ln>
                          <a:extLst>
                            <a:ext uri="{91240B29-F687-4f45-9708-019B960494DF}">
                              <a14:hiddenLine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group w14:anchorId="50A689E8" id="Group 24" o:spid="_x0000_s1026" style="position:absolute;margin-left:45pt;margin-top:36.75pt;width:177.15pt;height:43.65pt;z-index:251657728;mso-position-horizontal-relative:page;mso-position-vertical-relative:page" coordorigin="567,851" coordsize="2714,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">
                <o:lock v:ext="edit" aspectratio="t"/>
                <v:rect id="Rectangle 9" o:spid="_x0000_s1027" style="position:absolute;left:1215;top:901;width:676;height:1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" fillcolor="#0071bc" stroked="f">
                  <o:lock v:ext="edit" aspectratio="t"/>
                </v:rect>
                <v:rect id="Rectangle 10" o:spid="_x0000_s1028" style="position:absolute;left:567;top:1131;width:1324;height:1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" fillcolor="#0071bc" stroked="f">
                  <o:lock v:ext="edit" aspectratio="t"/>
                </v:rect>
                <v:rect id="Rectangle 11" o:spid="_x0000_s1029" style="position:absolute;left:1288;top:1361;width:603;height:1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" fillcolor="#0071bc" stroked="f">
                  <o:lock v:ext="edit" aspectratio="t"/>
                </v:rect>
                <v:shape id="Freeform 12" o:spid="_x0000_s1030" style="position:absolute;left:1969;top:1311;width:600;height:207;visibility:visible;mso-wrap-style:square;v-text-anchor:top" coordsize="1200,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" path="m1011,341r,-174l1030,167r10,2l1049,170r10,1l1067,174r7,3l1082,182r6,5l1094,194r5,6l1104,206r4,7l1112,221r2,7l1116,237r1,8l1117,253r,9l1116,271r-2,7l1112,287r-4,7l1104,301r-5,7l1094,314r-6,7l1082,326r-8,5l1067,334r-8,3l1049,338r-9,1l1030,341r-19,xm931,408r118,l1064,407r15,-3l1093,400r14,-5l1121,389r12,-9l1144,372r11,-10l1165,351r9,-12l1182,326r6,-13l1194,298r4,-14l1200,270r,-17l1200,238r-2,-15l1194,208r-6,-13l1182,181r-8,-12l1165,157r-10,-11l1144,136r-11,-10l1121,119r-14,-6l1093,108r-14,-5l1064,101r-15,-1l931,100r,308xm775,293r-67,l742,195r33,98xm797,354r20,54l901,408,785,100r-87,l581,408r84,l686,354r111,xm347,37r83,46l513,37,491,3,430,34,369,3,347,37xm407,238r,-77l422,161r10,1l442,164r7,2l455,170r6,6l466,182r3,9l470,200r-1,8l466,216r-5,7l455,230r-6,3l442,236r-10,1l422,238r-15,xm485,282r13,-4l508,275r8,-5l525,263r6,-6l536,250r5,-8l545,233r4,-8l551,215r1,-10l552,195r,-9l551,176r-2,-9l546,159r-4,-9l537,141r-5,-7l526,128r-7,-8l511,115r-7,-5l495,106r-10,-2l475,101r-12,-1l450,100r-123,l327,408r80,l407,289r76,119l582,408,485,282xm210,35l171,,105,56r28,29l210,35xm80,100l,100,,278r,15l2,308r1,13l5,333r4,10l13,353r4,9l23,369r9,10l43,389r11,8l68,403r15,6l99,413r16,2l133,415r16,l165,413r14,-4l192,404r14,-5l217,392r11,-9l238,372r8,-9l253,353r5,-10l262,333r3,-12l267,308r1,-15l268,278r,-178l189,100r,167l189,287r-2,14l185,311r-4,10l177,326r-5,5l167,334r-6,4l155,341r-6,2l141,344r-7,2l126,344r-6,-1l114,342r-6,-3l103,336r-5,-4l93,327r-4,-5l84,312,81,302,80,288r,-21l80,100xe" fillcolor="#bd1b21" stroked="f">
                  <v:path arrowok="t" o:connecttype="custom" o:connectlocs="260,42;269,44;275,50;279,57;280,65;277,73;272,80;265,84;253,85;270,101;284,95;294,84;300,71;300,55;294,42;284,31;270,25;233,102;194,73;197,25;172,88;129,9;87,9;108,40;116,44;118,52;113,58;102,59;129,67;136,60;138,51;138,41;133,33;126,27;116,25;102,102;122,70;34,21;0,69;2,83;6,92;17,100;34,103;48,101;60,93;66,83;67,69;48,71;45,81;39,85;32,86;26,84;21,78;20,25" o:connectangles="0,0,0,0,0,0,0,0,0,0,0,0,0,0,0,0,0,0,0,0,0,0,0,0,0,0,0,0,0,0,0,0,0,0,0,0,0,0,0,0,0,0,0,0,0,0,0,0,0,0,0,0,0,0"/>
                  <o:lock v:ext="edit" aspectratio="t" verticies="t"/>
                </v:shape>
                <v:shape id="Freeform 13" o:spid="_x0000_s1031" style="position:absolute;left:1962;top:1081;width:1319;height:208;visibility:visible;mso-wrap-style:square;v-text-anchor:top" coordsize="2637,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" path="m2561,35l2524,r-66,56l2485,84r76,-49xm2442,260r,147l2521,407r,-147l2637,99r-97,l2484,183,2427,99r-96,l2442,260xm2143,226r,-127l2063,99r,308l2143,407r,-133l2247,407r104,l2217,245,2340,99r-100,l2143,226xm2008,108r-21,-6l1969,97r-17,-4l1936,93r-18,l1902,96r-16,5l1871,106r-14,6l1844,121r-13,8l1820,140r-11,12l1800,164r-9,14l1785,192r-5,15l1775,223r-2,16l1773,256r,15l1775,286r3,14l1783,314r6,13l1795,340r9,11l1813,362r12,11l1839,385r15,8l1869,401r16,6l1902,412r16,3l1936,416r15,-1l1966,413r17,-5l2008,401r,-95l1999,314r-7,6l1983,326r-7,4l1967,334r-10,2l1948,337r-10,l1931,337r-8,-1l1916,335r-8,-3l1902,330r-6,-4l1889,322r-5,-5l1876,311r-5,-6l1866,299r-4,-8l1860,283r-3,-9l1856,265r,-10l1856,246r1,-8l1860,229r2,-8l1865,214r5,-7l1874,200r5,-6l1885,189r6,-5l1898,180r7,-3l1913,174r8,-2l1930,170r8,l1948,170r10,3l1967,175r10,4l1984,184r9,5l2001,197r7,7l2008,108xm1727,99r-80,l1647,407r80,l1727,99xm1538,167r66,l1604,99r-210,l1394,167r65,l1459,407r79,l1538,167xm1360,117r-11,-6l1337,106r-13,-4l1313,98r-13,-2l1288,93r-12,-1l1263,92r-11,l1241,94r-10,2l1221,99r-10,4l1203,108r-8,6l1187,121r-6,7l1175,136r-5,8l1166,153r-4,10l1161,174r-3,10l1158,195r,10l1160,215r2,9l1165,231r3,8l1172,245r5,6l1183,256r9,7l1203,269r16,6l1242,281r12,5l1264,290r9,4l1279,297r5,4l1287,306r2,5l1289,317r,7l1287,330r-4,5l1279,339r-6,3l1267,345r-8,1l1251,347r-9,l1233,345r-9,-1l1216,340r-9,-5l1198,330r-8,-6l1180,316r-34,65l1158,388r13,8l1185,401r13,5l1212,410r14,3l1239,415r14,l1266,415r12,-2l1290,411r12,-4l1313,403r10,-5l1333,392r9,-6l1349,378r6,-7l1360,362r5,-10l1369,342r2,-11l1373,319r,-13l1371,290r-2,-15l1366,269r-3,-6l1359,258r-4,-7l1350,246r-5,-5l1339,238r-7,-4l1315,226r-17,-6l1276,213r-13,-4l1256,205r-7,-5l1247,198r-3,-4l1242,189r,-4l1243,179r1,-5l1248,170r4,-3l1257,163r6,-3l1269,159r8,-1l1283,159r6,l1297,162r6,1l1315,170r14,9l1360,117xm1091,99r-80,l1011,407r80,l1091,99xm904,167r66,l970,99r-212,l758,167r67,l825,407r79,l904,167xm644,292r-66,l611,194r33,98xm666,354r20,53l771,407,655,99r-87,l450,407r84,l555,354r111,xm395,167r66,l461,99r-212,l249,167r66,l315,407r80,l395,167xm214,117r-11,-6l190,106r-12,-4l167,98,154,96,142,93,129,92r-12,l106,92,94,94,84,96r-9,3l65,103r-9,5l48,114r-7,7l35,128r-7,8l23,144r-3,9l16,163r-1,11l12,184r,11l12,205r1,10l16,224r2,7l22,239r4,6l31,251r6,5l46,263r11,6l73,275r23,6l108,286r10,4l127,294r6,3l138,301r3,5l143,311r,6l143,324r-2,6l137,335r-4,4l127,342r-6,3l113,346r-9,1l96,347r-9,-2l78,344r-8,-4l61,335r-9,-5l43,324,33,316,,381r12,7l25,396r13,5l52,406r14,4l79,413r14,2l107,415r12,l132,413r12,-2l155,407r12,-4l177,398r10,-6l195,386r8,-8l209,371r5,-9l219,352r4,-10l225,331r2,-12l227,306r-2,-16l223,275r-3,-6l217,263r-4,-5l209,251r-5,-5l199,241r-6,-3l185,234r-16,-8l151,220r-22,-7l117,209r-8,-4l103,200r-4,-2l98,194r-2,-5l96,185r1,-6l98,174r4,-4l106,167r5,-4l117,160r6,-1l129,158r8,1l143,159r8,3l157,163r12,7l183,179r31,-62xe" fillcolor="#bd1b21" stroked="f">
                  <v:path arrowok="t" o:connecttype="custom" o:connectlocs="611,102;583,25;536,69;502,27;472,26;450,41;444,68;454,91;480,104;500,79;485,85;473,81;465,69;467,54;477,45;492,44;432,25;401,25;340,30;319,23;301,27;291,41;292,58;305,69;322,77;319,86;304,85;293,99;317,104;336,97;344,80;339,63;319,54;311,47;318,40;333,45;226,42;226,102;172,102;167,89;79,102;42,25;21,24;7,34;3,52;10,64;32,74;36,83;24,87;9,79;20,104;42,101;55,88;55,68;47,59;25,50;27,42;38,41" o:connectangles="0,0,0,0,0,0,0,0,0,0,0,0,0,0,0,0,0,0,0,0,0,0,0,0,0,0,0,0,0,0,0,0,0,0,0,0,0,0,0,0,0,0,0,0,0,0,0,0,0,0,0,0,0,0,0,0,0,0"/>
                  <o:lock v:ext="edit" aspectratio="t" verticies="t"/>
                </v:shape>
                <v:shape id="Freeform 14" o:spid="_x0000_s1032" style="position:absolute;left:1962;top:851;width:679;height:208;visibility:visible;mso-wrap-style:square;v-text-anchor:top" coordsize="1358,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" path="m1282,36l1243,r-65,56l1205,85r77,-49xm1162,260r,147l1242,407r,-147l1358,100r-97,l1205,183r-59,-83l1051,100r111,160xm863,227r,-127l783,100r,307l863,407r,-133l967,407r104,l938,245,1059,100r-99,l863,227xm721,117r-12,-5l697,107r-12,-5l673,98,660,96,648,93,635,92r-11,l611,92r-9,3l590,97r-10,3l572,103r-9,5l555,115r-7,6l542,128r-7,8l531,145r-4,8l523,163r-2,11l519,184r,12l519,206r2,10l522,224r2,8l528,239r5,6l538,252r5,5l552,263r12,6l580,275r22,7l614,287r11,3l634,294r6,4l644,301r4,5l649,311r1,7l649,324r-1,6l644,335r-5,4l634,343r-8,2l619,348r-8,l603,348r-9,-3l585,344r-8,-4l568,335r-9,-5l549,324r-9,-8l507,381r12,8l532,396r12,5l558,406r14,4l585,414r14,1l613,415r13,l639,414r12,-3l663,407r11,-3l684,399r10,-7l702,386r7,-7l716,371r5,-8l725,353r4,-10l731,331r1,-12l734,306r-2,-16l729,275r-3,-6l724,263r-4,-5l716,252r-5,-5l705,243r-6,-5l692,234r-16,-7l658,221r-22,-7l624,209r-9,-3l610,201r-3,-3l604,194r-1,-5l603,186r,-5l605,174r3,-3l611,167r7,-4l623,161r6,-2l636,158r7,1l650,159r6,3l663,163r13,8l689,179r32,-62xm463,167r,-67l289,100r,307l463,407r,-67l369,340r,-53l458,287r,-68l369,219r,-52l463,167xm66,36r82,46l231,36,210,2,148,34,87,2,66,36xm235,108r-20,-6l197,97,180,95,163,93r-17,2l129,96r-15,5l99,106r-15,6l71,121r-13,9l47,141,37,152,27,164r-7,14l12,192,7,207,3,223,1,239,,257r,15l2,287r4,13l10,314r6,14l22,340r9,11l41,363r12,11l66,385r15,9l97,401r16,6l129,412r18,3l163,416r16,-1l193,414r19,-5l235,401r,-95l228,314r-9,6l212,326r-9,4l194,334r-9,2l175,338r-10,1l158,338r-7,-2l143,335r-6,-2l129,330r-6,-4l117,323r-6,-5l104,311r-6,-6l93,299r-4,-7l87,283r-3,-9l83,265r,-10l83,247r1,-9l87,229r2,-7l93,214r4,-7l102,201r5,-7l112,189r6,-5l126,181r7,-4l141,174r7,-2l157,171r8,l175,171r10,2l195,176r9,3l213,184r7,5l228,197r7,7l235,108xe" fillcolor="#bd1b21" stroked="f">
                  <v:path arrowok="t" o:connecttype="custom" o:connectlocs="321,9;340,25;291,65;216,102;265,25;175,27;159,23;145,25;136,32;131,44;131,56;136,65;154,72;162,77;161,84;153,87;142,84;130,98;147,104;163,103;176,97;183,86;183,69;178,62;165,56;152,50;152,44;158,40;166,41;116,25;93,85;93,42;53,1;54,26;33,24;15,33;3,48;0,68;6,85;21,99;41,104;59,77;49,84;38,84;30,81;23,73;21,62;25,52;32,46;42,43;54,46" o:connectangles="0,0,0,0,0,0,0,0,0,0,0,0,0,0,0,0,0,0,0,0,0,0,0,0,0,0,0,0,0,0,0,0,0,0,0,0,0,0,0,0,0,0,0,0,0,0,0,0,0,0,0"/>
                  <o:lock v:ext="edit" aspectratio="t" verticies="t"/>
                </v:shape>
                <w10:wrap type="square" anchorx="page" anchory="page"/>
                <w10:anchorlock/>
              </v:group>
            </w:pict>
          </mc:Fallback>
        </mc:AlternateContent>
      </w:r>
      <w:r w:rsidRPr="00D92E20">
        <w:rPr>
          <w:noProof/>
        </w:rPr>
        <mc:AlternateContent>
          <mc:Choice Requires="wps">
            <w:drawing>
              <wp:anchor distT="0" distB="0" distL="114300" distR="114300" simplePos="0" relativeHeight="251656704" behindDoc="0" locked="1" layoutInCell="1" allowOverlap="1" wp14:anchorId="26BE577D" wp14:editId="6F2F2CCD">
                <wp:simplePos x="0" y="0"/>
                <wp:positionH relativeFrom="page">
                  <wp:posOffset>1705610</wp:posOffset>
                </wp:positionH>
                <wp:positionV relativeFrom="page">
                  <wp:posOffset>8173085</wp:posOffset>
                </wp:positionV>
                <wp:extent cx="5130165" cy="925195"/>
                <wp:effectExtent l="3810" t="0" r="0" b="0"/>
                <wp:wrapNone/>
                <wp:docPr id="4"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0165" cy="925195"/>
                        </a:xfrm>
                        <a:prstGeom prst="rect">
                          <a:avLst/>
                        </a:prstGeom>
                        <a:noFill/>
                        <a:ln>
                          <a:noFill/>
                        </a:ln>
                        <a:extLst>
                          <a:ext uri="{909E8E84-426E-40dd-AFC4-6F175D3DCCD1}">
                            <a14:hiddenFill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ED2647E" w14:textId="77777777" w:rsidR="00790B93" w:rsidRPr="006C5577" w:rsidRDefault="00790B93" w:rsidP="004924DC">
                            <w:r>
                              <w:t>Z</w:t>
                            </w:r>
                            <w:r w:rsidRPr="006C5577">
                              <w:t xml:space="preserve">pracoval: Odbor </w:t>
                            </w:r>
                            <w:r>
                              <w:t>statistik rozvoje společnosti</w:t>
                            </w:r>
                          </w:p>
                          <w:p w14:paraId="2866086C" w14:textId="77777777" w:rsidR="00790B93" w:rsidRPr="006C5577" w:rsidRDefault="00790B93" w:rsidP="004924DC">
                            <w:r w:rsidRPr="006C5577">
                              <w:t xml:space="preserve">Ředitel odboru: </w:t>
                            </w:r>
                            <w:r>
                              <w:t>Ing. Martin Mana</w:t>
                            </w:r>
                          </w:p>
                          <w:p w14:paraId="6D5DD81F" w14:textId="77777777" w:rsidR="00790B93" w:rsidRPr="006C5577" w:rsidRDefault="00790B93" w:rsidP="004924DC">
                            <w:r w:rsidRPr="006C5577">
                              <w:t xml:space="preserve">Kontaktní osoba: </w:t>
                            </w:r>
                            <w:r>
                              <w:t>Ing. Alena Hykyšová</w:t>
                            </w:r>
                            <w:r w:rsidRPr="006C5577">
                              <w:t>,</w:t>
                            </w:r>
                            <w:r>
                              <w:t xml:space="preserve"> e-mail: alena.hykysova@czso.cz</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6BE577D" id="_x0000_t202" coordsize="21600,21600" o:spt="202" path="m,l,21600r21600,l21600,xe">
                <v:stroke joinstyle="miter"/>
                <v:path gradientshapeok="t" o:connecttype="rect"/>
              </v:shapetype>
              <v:shape id="Textové pole 2" o:spid="_x0000_s1026" type="#_x0000_t202" style="position:absolute;margin-left:134.3pt;margin-top:643.55pt;width:403.95pt;height:72.85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" filled="f" stroked="f">
                <v:textbox inset="0,0,0,0">
                  <w:txbxContent>
                    <w:p w14:paraId="3ED2647E" w14:textId="77777777" w:rsidR="00790B93" w:rsidRPr="006C5577" w:rsidRDefault="00790B93" w:rsidP="004924DC">
                      <w:r>
                        <w:t>Z</w:t>
                      </w:r>
                      <w:r w:rsidRPr="006C5577">
                        <w:t xml:space="preserve">pracoval: Odbor </w:t>
                      </w:r>
                      <w:r>
                        <w:t>statistik rozvoje společnosti</w:t>
                      </w:r>
                    </w:p>
                    <w:p w14:paraId="2866086C" w14:textId="77777777" w:rsidR="00790B93" w:rsidRPr="006C5577" w:rsidRDefault="00790B93" w:rsidP="004924DC">
                      <w:r w:rsidRPr="006C5577">
                        <w:t xml:space="preserve">Ředitel odboru: </w:t>
                      </w:r>
                      <w:r>
                        <w:t>Ing. Martin Mana</w:t>
                      </w:r>
                    </w:p>
                    <w:p w14:paraId="6D5DD81F" w14:textId="77777777" w:rsidR="00790B93" w:rsidRPr="006C5577" w:rsidRDefault="00790B93" w:rsidP="004924DC">
                      <w:r w:rsidRPr="006C5577">
                        <w:t xml:space="preserve">Kontaktní osoba: </w:t>
                      </w:r>
                      <w:r>
                        <w:t>Ing. Alena Hykyšová</w:t>
                      </w:r>
                      <w:r w:rsidRPr="006C5577">
                        <w:t>,</w:t>
                      </w:r>
                      <w:r>
                        <w:t xml:space="preserve"> e-mail: alena.hykysova@czso.cz</w:t>
                      </w:r>
                    </w:p>
                  </w:txbxContent>
                </v:textbox>
                <w10:wrap anchorx="page" anchory="page"/>
                <w10:anchorlock/>
              </v:shape>
            </w:pict>
          </mc:Fallback>
        </mc:AlternateContent>
      </w:r>
      <w:r w:rsidRPr="00D92E20">
        <w:rPr>
          <w:noProof/>
        </w:rPr>
        <mc:AlternateContent>
          <mc:Choice Requires="wps">
            <w:drawing>
              <wp:anchor distT="0" distB="0" distL="114300" distR="114300" simplePos="0" relativeHeight="251655680" behindDoc="0" locked="1" layoutInCell="1" allowOverlap="1" wp14:anchorId="7FD69EDE" wp14:editId="6799A827">
                <wp:simplePos x="0" y="0"/>
                <wp:positionH relativeFrom="page">
                  <wp:posOffset>1710055</wp:posOffset>
                </wp:positionH>
                <wp:positionV relativeFrom="page">
                  <wp:posOffset>4680585</wp:posOffset>
                </wp:positionV>
                <wp:extent cx="5129530" cy="1686560"/>
                <wp:effectExtent l="0" t="0" r="1270" b="15240"/>
                <wp:wrapNone/>
                <wp:docPr id="30"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29530" cy="1686560"/>
                        </a:xfrm>
                        <a:prstGeom prst="rect">
                          <a:avLst/>
                        </a:prstGeom>
                        <a:noFill/>
                        <a:ln>
                          <a:noFill/>
                        </a:ln>
                        <a:extLst>
                          <a:ext uri="{909E8E84-426E-40dd-AFC4-6F175D3DCCD1}">
                            <a14:hiddenFill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0C4A1E8" w14:textId="77777777" w:rsidR="00790B93" w:rsidRDefault="00790B93" w:rsidP="004924DC">
                            <w:pPr>
                              <w:pStyle w:val="TLIdentifikace-sted"/>
                              <w:rPr>
                                <w:rStyle w:val="content"/>
                                <w:rFonts w:eastAsia="MS Gothic"/>
                              </w:rPr>
                            </w:pPr>
                            <w:r>
                              <w:rPr>
                                <w:rStyle w:val="content"/>
                                <w:rFonts w:eastAsia="MS Gothic"/>
                              </w:rPr>
                              <w:t>Zdravotnictví, pracovní neschopnost</w:t>
                            </w:r>
                          </w:p>
                          <w:p w14:paraId="29C15553" w14:textId="7B2440A0" w:rsidR="00790B93" w:rsidRPr="004924DC" w:rsidRDefault="00790B93" w:rsidP="004924DC">
                            <w:pPr>
                              <w:pStyle w:val="TLIdentifikace-sted"/>
                            </w:pPr>
                            <w:r>
                              <w:t>Praha</w:t>
                            </w:r>
                            <w:r w:rsidRPr="004924DC">
                              <w:t xml:space="preserve">, </w:t>
                            </w:r>
                            <w:r>
                              <w:t>31. 10. 2022</w:t>
                            </w:r>
                          </w:p>
                          <w:p w14:paraId="78F30839" w14:textId="005E3364" w:rsidR="00790B93" w:rsidRPr="004924DC" w:rsidRDefault="00790B93" w:rsidP="004924DC">
                            <w:pPr>
                              <w:pStyle w:val="TLIdentifikace-sted"/>
                            </w:pPr>
                            <w:r w:rsidRPr="004924DC">
                              <w:t xml:space="preserve">Kód publikace: </w:t>
                            </w:r>
                            <w:r w:rsidRPr="00CF6DC0">
                              <w:t>260004-2</w:t>
                            </w:r>
                            <w:r>
                              <w:t>2</w:t>
                            </w:r>
                          </w:p>
                          <w:p w14:paraId="1E8F5FF4" w14:textId="5E1750C0" w:rsidR="00790B93" w:rsidRPr="004924DC" w:rsidRDefault="00790B93" w:rsidP="004924DC">
                            <w:pPr>
                              <w:pStyle w:val="TLIdentifikace-sted"/>
                            </w:pPr>
                            <w:r w:rsidRPr="00532FD3">
                              <w:t xml:space="preserve">Č. j.: </w:t>
                            </w:r>
                            <w:r w:rsidRPr="00B34EC0">
                              <w:t>CSU-014739/2022-63</w:t>
                            </w:r>
                          </w:p>
                          <w:p w14:paraId="7D60E72F" w14:textId="59DE2115" w:rsidR="00790B93" w:rsidRPr="004924DC" w:rsidRDefault="00790B93" w:rsidP="004924DC">
                            <w:pPr>
                              <w:pStyle w:val="TLIdentifikace-sted"/>
                            </w:pPr>
                            <w:r w:rsidRPr="004924DC">
                              <w:t xml:space="preserve">Pořadové číslo v roce: </w:t>
                            </w:r>
                            <w:r>
                              <w:t>1</w:t>
                            </w:r>
                          </w:p>
                        </w:txbxContent>
                      </wps:txbx>
                      <wps:bodyPr rot="0" vert="horz" wrap="square" lIns="0" tIns="0" rIns="0" bIns="0" anchor="t" anchorCtr="0" upright="1">
                        <a:spAutoFit/>
                      </wps:bodyPr>
                    </wps:wsp>
                  </a:graphicData>
                </a:graphic>
                <wp14:sizeRelH relativeFrom="margin">
                  <wp14:pctWidth>0</wp14:pctWidth>
                </wp14:sizeRelH>
                <wp14:sizeRelV relativeFrom="margin">
                  <wp14:pctHeight>0</wp14:pctHeight>
                </wp14:sizeRelV>
              </wp:anchor>
            </w:drawing>
          </mc:Choice>
          <mc:Fallback>
            <w:pict>
              <v:shape w14:anchorId="7FD69EDE" id="_x0000_s1027" type="#_x0000_t202" style="position:absolute;margin-left:134.65pt;margin-top:368.55pt;width:403.9pt;height:132.8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" filled="f" stroked="f">
                <v:textbox style="mso-fit-shape-to-text:t" inset="0,0,0,0">
                  <w:txbxContent>
                    <w:p w14:paraId="30C4A1E8" w14:textId="77777777" w:rsidR="00790B93" w:rsidRDefault="00790B93" w:rsidP="004924DC">
                      <w:pPr>
                        <w:pStyle w:val="TLIdentifikace-sted"/>
                        <w:rPr>
                          <w:rStyle w:val="content"/>
                          <w:rFonts w:eastAsia="MS Gothic"/>
                        </w:rPr>
                      </w:pPr>
                      <w:r>
                        <w:rPr>
                          <w:rStyle w:val="content"/>
                          <w:rFonts w:eastAsia="MS Gothic"/>
                        </w:rPr>
                        <w:t>Zdravotnictví, pracovní neschopnost</w:t>
                      </w:r>
                    </w:p>
                    <w:p w14:paraId="29C15553" w14:textId="7B2440A0" w:rsidR="00790B93" w:rsidRPr="004924DC" w:rsidRDefault="00790B93" w:rsidP="004924DC">
                      <w:pPr>
                        <w:pStyle w:val="TLIdentifikace-sted"/>
                      </w:pPr>
                      <w:r>
                        <w:t>Praha</w:t>
                      </w:r>
                      <w:r w:rsidRPr="004924DC">
                        <w:t xml:space="preserve">, </w:t>
                      </w:r>
                      <w:r>
                        <w:t>31. 10. 2022</w:t>
                      </w:r>
                    </w:p>
                    <w:p w14:paraId="78F30839" w14:textId="005E3364" w:rsidR="00790B93" w:rsidRPr="004924DC" w:rsidRDefault="00790B93" w:rsidP="004924DC">
                      <w:pPr>
                        <w:pStyle w:val="TLIdentifikace-sted"/>
                      </w:pPr>
                      <w:r w:rsidRPr="004924DC">
                        <w:t xml:space="preserve">Kód publikace: </w:t>
                      </w:r>
                      <w:r w:rsidRPr="00CF6DC0">
                        <w:t>260004-2</w:t>
                      </w:r>
                      <w:r>
                        <w:t>2</w:t>
                      </w:r>
                    </w:p>
                    <w:p w14:paraId="1E8F5FF4" w14:textId="5E1750C0" w:rsidR="00790B93" w:rsidRPr="004924DC" w:rsidRDefault="00790B93" w:rsidP="004924DC">
                      <w:pPr>
                        <w:pStyle w:val="TLIdentifikace-sted"/>
                      </w:pPr>
                      <w:r w:rsidRPr="00532FD3">
                        <w:t xml:space="preserve">Č. j.: </w:t>
                      </w:r>
                      <w:r w:rsidRPr="00B34EC0">
                        <w:t>CSU-014739/2022-63</w:t>
                      </w:r>
                    </w:p>
                    <w:p w14:paraId="7D60E72F" w14:textId="59DE2115" w:rsidR="00790B93" w:rsidRPr="004924DC" w:rsidRDefault="00790B93" w:rsidP="004924DC">
                      <w:pPr>
                        <w:pStyle w:val="TLIdentifikace-sted"/>
                      </w:pPr>
                      <w:r w:rsidRPr="004924DC">
                        <w:t xml:space="preserve">Pořadové číslo v roce: </w:t>
                      </w:r>
                      <w:r>
                        <w:t>1</w:t>
                      </w:r>
                    </w:p>
                  </w:txbxContent>
                </v:textbox>
                <w10:wrap anchorx="page" anchory="page"/>
                <w10:anchorlock/>
              </v:shape>
            </w:pict>
          </mc:Fallback>
        </mc:AlternateContent>
      </w:r>
      <w:r w:rsidRPr="00D92E20">
        <w:rPr>
          <w:noProof/>
        </w:rPr>
        <mc:AlternateContent>
          <mc:Choice Requires="wps">
            <w:drawing>
              <wp:anchor distT="0" distB="0" distL="114300" distR="114300" simplePos="0" relativeHeight="251654656" behindDoc="0" locked="1" layoutInCell="1" allowOverlap="1" wp14:anchorId="0CD4C39A" wp14:editId="59609FD8">
                <wp:simplePos x="0" y="0"/>
                <wp:positionH relativeFrom="page">
                  <wp:posOffset>1710055</wp:posOffset>
                </wp:positionH>
                <wp:positionV relativeFrom="page">
                  <wp:posOffset>1476375</wp:posOffset>
                </wp:positionV>
                <wp:extent cx="5129530" cy="2207895"/>
                <wp:effectExtent l="0" t="0" r="1270" b="1905"/>
                <wp:wrapNone/>
                <wp:docPr id="29"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29530" cy="2207895"/>
                        </a:xfrm>
                        <a:prstGeom prst="rect">
                          <a:avLst/>
                        </a:prstGeom>
                        <a:noFill/>
                        <a:ln>
                          <a:noFill/>
                        </a:ln>
                        <a:extLst>
                          <a:ext uri="{909E8E84-426E-40dd-AFC4-6F175D3DCCD1}">
                            <a14:hiddenFill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CED12C8" w14:textId="77777777" w:rsidR="00790B93" w:rsidRPr="000E6FBD" w:rsidRDefault="00790B93" w:rsidP="000E6FBD">
                            <w:pPr>
                              <w:pStyle w:val="Nzev"/>
                            </w:pPr>
                            <w:r>
                              <w:t>Pracovní neschopnost pro nemoc a úraz v české republice</w:t>
                            </w:r>
                          </w:p>
                          <w:p w14:paraId="6DF665B5" w14:textId="77777777" w:rsidR="00790B93" w:rsidRPr="0012192F" w:rsidRDefault="00790B93" w:rsidP="0012192F">
                            <w:pPr>
                              <w:pStyle w:val="Podnadpis"/>
                            </w:pPr>
                          </w:p>
                          <w:p w14:paraId="20A8D5E7" w14:textId="518D9F07" w:rsidR="00790B93" w:rsidRPr="0012192F" w:rsidRDefault="00790B93" w:rsidP="0012192F">
                            <w:pPr>
                              <w:pStyle w:val="Podnadpis"/>
                            </w:pPr>
                            <w:r>
                              <w:t>za 1. pol. 2022</w:t>
                            </w:r>
                          </w:p>
                        </w:txbxContent>
                      </wps:txbx>
                      <wps:bodyPr rot="0" vert="horz" wrap="square" lIns="0" tIns="0" rIns="0" bIns="0" anchor="t" anchorCtr="0" upright="1">
                        <a:spAutoFit/>
                      </wps:bodyPr>
                    </wps:wsp>
                  </a:graphicData>
                </a:graphic>
                <wp14:sizeRelH relativeFrom="margin">
                  <wp14:pctWidth>0</wp14:pctWidth>
                </wp14:sizeRelH>
                <wp14:sizeRelV relativeFrom="margin">
                  <wp14:pctHeight>0</wp14:pctHeight>
                </wp14:sizeRelV>
              </wp:anchor>
            </w:drawing>
          </mc:Choice>
          <mc:Fallback>
            <w:pict>
              <v:shape w14:anchorId="0CD4C39A" id="_x0000_s1028" type="#_x0000_t202" style="position:absolute;margin-left:134.65pt;margin-top:116.25pt;width:403.9pt;height:173.85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" filled="f" stroked="f">
                <v:textbox style="mso-fit-shape-to-text:t" inset="0,0,0,0">
                  <w:txbxContent>
                    <w:p w14:paraId="3CED12C8" w14:textId="77777777" w:rsidR="00790B93" w:rsidRPr="000E6FBD" w:rsidRDefault="00790B93" w:rsidP="000E6FBD">
                      <w:pPr>
                        <w:pStyle w:val="Nzev"/>
                      </w:pPr>
                      <w:r>
                        <w:t>Pracovní neschopnost pro nemoc a úraz v české republice</w:t>
                      </w:r>
                    </w:p>
                    <w:p w14:paraId="6DF665B5" w14:textId="77777777" w:rsidR="00790B93" w:rsidRPr="0012192F" w:rsidRDefault="00790B93" w:rsidP="0012192F">
                      <w:pPr>
                        <w:pStyle w:val="Podnadpis"/>
                      </w:pPr>
                    </w:p>
                    <w:p w14:paraId="20A8D5E7" w14:textId="518D9F07" w:rsidR="00790B93" w:rsidRPr="0012192F" w:rsidRDefault="00790B93" w:rsidP="0012192F">
                      <w:pPr>
                        <w:pStyle w:val="Podnadpis"/>
                      </w:pPr>
                      <w:r>
                        <w:t>za 1. pol. 2022</w:t>
                      </w:r>
                    </w:p>
                  </w:txbxContent>
                </v:textbox>
                <w10:wrap anchorx="page" anchory="page"/>
                <w10:anchorlock/>
              </v:shape>
            </w:pict>
          </mc:Fallback>
        </mc:AlternateContent>
      </w:r>
      <w:r w:rsidRPr="00D92E20">
        <w:rPr>
          <w:noProof/>
        </w:rPr>
        <mc:AlternateContent>
          <mc:Choice Requires="wps">
            <w:drawing>
              <wp:anchor distT="0" distB="0" distL="114300" distR="114300" simplePos="0" relativeHeight="251658752" behindDoc="0" locked="1" layoutInCell="1" allowOverlap="1" wp14:anchorId="6AE10472" wp14:editId="55748798">
                <wp:simplePos x="0" y="0"/>
                <wp:positionH relativeFrom="page">
                  <wp:posOffset>1710055</wp:posOffset>
                </wp:positionH>
                <wp:positionV relativeFrom="page">
                  <wp:posOffset>9649460</wp:posOffset>
                </wp:positionV>
                <wp:extent cx="5130165" cy="179705"/>
                <wp:effectExtent l="0" t="0" r="5080" b="635"/>
                <wp:wrapNone/>
                <wp:docPr id="3"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0165" cy="179705"/>
                        </a:xfrm>
                        <a:prstGeom prst="rect">
                          <a:avLst/>
                        </a:prstGeom>
                        <a:noFill/>
                        <a:ln>
                          <a:noFill/>
                        </a:ln>
                        <a:extLst>
                          <a:ext uri="{909E8E84-426E-40dd-AFC4-6F175D3DCCD1}">
                            <a14:hiddenFill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A9AAAE4" w14:textId="34DA56BC" w:rsidR="00790B93" w:rsidRPr="004924DC" w:rsidRDefault="00790B93" w:rsidP="004924DC">
                            <w:r w:rsidRPr="004924DC">
                              <w:t xml:space="preserve">© Český statistický úřad, </w:t>
                            </w:r>
                            <w:r>
                              <w:t>Praha</w:t>
                            </w:r>
                            <w:r w:rsidRPr="004924DC">
                              <w:t xml:space="preserve">, </w:t>
                            </w:r>
                            <w:r>
                              <w:t>2022</w:t>
                            </w:r>
                          </w:p>
                          <w:p w14:paraId="5A9ACFA8" w14:textId="77777777" w:rsidR="00790B93" w:rsidRPr="005251DD" w:rsidRDefault="00790B93" w:rsidP="00665BA4"/>
                          <w:p w14:paraId="001D5047" w14:textId="77777777" w:rsidR="00790B93" w:rsidRPr="005251DD" w:rsidRDefault="00790B93" w:rsidP="00FC684B"/>
                          <w:p w14:paraId="7F9D6B03" w14:textId="77777777" w:rsidR="00790B93" w:rsidRDefault="00790B93"/>
                          <w:p w14:paraId="551F4D46" w14:textId="77777777" w:rsidR="00790B93" w:rsidRPr="00097407" w:rsidRDefault="00790B93" w:rsidP="00665BA4">
                            <w:r w:rsidRPr="00097407">
                              <w:t xml:space="preserve">© </w:t>
                            </w:r>
                            <w:r w:rsidRPr="005251DD">
                              <w:t>Český statistický úřad</w:t>
                            </w:r>
                            <w:r>
                              <w:t xml:space="preserve"> / </w:t>
                            </w:r>
                            <w:r w:rsidRPr="009A1902">
                              <w:rPr>
                                <w:i/>
                              </w:rPr>
                              <w:t xml:space="preserve">Czech </w:t>
                            </w:r>
                            <w:r w:rsidRPr="009A1902">
                              <w:rPr>
                                <w:rFonts w:cs="Arial"/>
                                <w:i/>
                                <w:szCs w:val="20"/>
                              </w:rPr>
                              <w:t>Statistical Office</w:t>
                            </w:r>
                            <w:r w:rsidRPr="00097407">
                              <w:t>, místo, rok vydání</w:t>
                            </w:r>
                          </w:p>
                          <w:p w14:paraId="2CE44FF8" w14:textId="77777777" w:rsidR="00790B93" w:rsidRPr="005251DD" w:rsidRDefault="00790B93" w:rsidP="00665BA4"/>
                          <w:p w14:paraId="4DDCB941" w14:textId="77777777" w:rsidR="00790B93" w:rsidRPr="005251DD" w:rsidRDefault="00790B93" w:rsidP="00FC684B"/>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AE10472" id="_x0000_s1029" type="#_x0000_t202" style="position:absolute;margin-left:134.65pt;margin-top:759.8pt;width:403.95pt;height:14.1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" filled="f" stroked="f">
                <v:textbox inset="0,0,0,0">
                  <w:txbxContent>
                    <w:p w14:paraId="3A9AAAE4" w14:textId="34DA56BC" w:rsidR="00790B93" w:rsidRPr="004924DC" w:rsidRDefault="00790B93" w:rsidP="004924DC">
                      <w:r w:rsidRPr="004924DC">
                        <w:t xml:space="preserve">© Český statistický úřad, </w:t>
                      </w:r>
                      <w:r>
                        <w:t>Praha</w:t>
                      </w:r>
                      <w:r w:rsidRPr="004924DC">
                        <w:t xml:space="preserve">, </w:t>
                      </w:r>
                      <w:r>
                        <w:t>2022</w:t>
                      </w:r>
                    </w:p>
                    <w:p w14:paraId="5A9ACFA8" w14:textId="77777777" w:rsidR="00790B93" w:rsidRPr="005251DD" w:rsidRDefault="00790B93" w:rsidP="00665BA4"/>
                    <w:p w14:paraId="001D5047" w14:textId="77777777" w:rsidR="00790B93" w:rsidRPr="005251DD" w:rsidRDefault="00790B93" w:rsidP="00FC684B"/>
                    <w:p w14:paraId="7F9D6B03" w14:textId="77777777" w:rsidR="00790B93" w:rsidRDefault="00790B93"/>
                    <w:p w14:paraId="551F4D46" w14:textId="77777777" w:rsidR="00790B93" w:rsidRPr="00097407" w:rsidRDefault="00790B93" w:rsidP="00665BA4">
                      <w:r w:rsidRPr="00097407">
                        <w:t xml:space="preserve">© </w:t>
                      </w:r>
                      <w:r w:rsidRPr="005251DD">
                        <w:t>Český statistický úřad</w:t>
                      </w:r>
                      <w:r>
                        <w:t xml:space="preserve"> / </w:t>
                      </w:r>
                      <w:r w:rsidRPr="009A1902">
                        <w:rPr>
                          <w:i/>
                        </w:rPr>
                        <w:t xml:space="preserve">Czech </w:t>
                      </w:r>
                      <w:r w:rsidRPr="009A1902">
                        <w:rPr>
                          <w:rFonts w:cs="Arial"/>
                          <w:i/>
                          <w:szCs w:val="20"/>
                        </w:rPr>
                        <w:t>Statistical Office</w:t>
                      </w:r>
                      <w:r w:rsidRPr="00097407">
                        <w:t>, místo, rok vydání</w:t>
                      </w:r>
                    </w:p>
                    <w:p w14:paraId="2CE44FF8" w14:textId="77777777" w:rsidR="00790B93" w:rsidRPr="005251DD" w:rsidRDefault="00790B93" w:rsidP="00665BA4"/>
                    <w:p w14:paraId="4DDCB941" w14:textId="77777777" w:rsidR="00790B93" w:rsidRPr="005251DD" w:rsidRDefault="00790B93" w:rsidP="00FC684B"/>
                  </w:txbxContent>
                </v:textbox>
                <w10:wrap anchorx="page" anchory="page"/>
                <w10:anchorlock/>
              </v:shape>
            </w:pict>
          </mc:Fallback>
        </mc:AlternateContent>
      </w:r>
      <w:r w:rsidRPr="00D92E20">
        <w:rPr>
          <w:noProof/>
        </w:rPr>
        <mc:AlternateContent>
          <mc:Choice Requires="wps">
            <w:drawing>
              <wp:anchor distT="4294967294" distB="4294967294" distL="114300" distR="114300" simplePos="0" relativeHeight="251653632" behindDoc="0" locked="1" layoutInCell="0" allowOverlap="1" wp14:anchorId="7282A78F" wp14:editId="196314E2">
                <wp:simplePos x="0" y="0"/>
                <wp:positionH relativeFrom="page">
                  <wp:posOffset>1710055</wp:posOffset>
                </wp:positionH>
                <wp:positionV relativeFrom="page">
                  <wp:posOffset>9361169</wp:posOffset>
                </wp:positionV>
                <wp:extent cx="5130165" cy="0"/>
                <wp:effectExtent l="0" t="0" r="26035" b="25400"/>
                <wp:wrapNone/>
                <wp:docPr id="33" name="Přímá spojnic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30165" cy="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3D379C37" id="Přímá spojnice 33" o:spid="_x0000_s1026" style="position:absolute;z-index:251653632;visibility:visible;mso-wrap-style:square;mso-width-percent:0;mso-height-percent:0;mso-wrap-distance-left:9pt;mso-wrap-distance-top:-6e-5mm;mso-wrap-distance-right:9pt;mso-wrap-distance-bottom:-6e-5mm;mso-position-horizontal:absolute;mso-position-horizontal-relative:page;mso-position-vertical:absolute;mso-position-vertical-relative:page;mso-width-percent:0;mso-height-percent:0;mso-width-relative:margin;mso-height-relative:margin" from="134.65pt,737.1pt" to="538.6pt,73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" o:allowincell="f" strokecolor="windowText" strokeweight="1pt">
                <o:lock v:ext="edit" shapetype="f"/>
                <w10:wrap anchorx="page" anchory="page"/>
                <w10:anchorlock/>
              </v:line>
            </w:pict>
          </mc:Fallback>
        </mc:AlternateContent>
      </w:r>
      <w:r w:rsidR="00F63FB7" w:rsidRPr="00D92E20">
        <w:br w:type="page"/>
      </w:r>
      <w:r w:rsidRPr="00D92E20">
        <w:lastRenderedPageBreak/>
        <w:br w:type="page"/>
      </w:r>
      <w:r w:rsidRPr="00D92E20">
        <w:rPr>
          <w:noProof/>
        </w:rPr>
        <mc:AlternateContent>
          <mc:Choice Requires="wps">
            <w:drawing>
              <wp:anchor distT="0" distB="0" distL="114300" distR="114300" simplePos="0" relativeHeight="251659776" behindDoc="0" locked="1" layoutInCell="1" allowOverlap="1" wp14:anchorId="0924E65D" wp14:editId="67A64377">
                <wp:simplePos x="0" y="0"/>
                <wp:positionH relativeFrom="page">
                  <wp:posOffset>723900</wp:posOffset>
                </wp:positionH>
                <wp:positionV relativeFrom="page">
                  <wp:posOffset>1440180</wp:posOffset>
                </wp:positionV>
                <wp:extent cx="6119495" cy="7690485"/>
                <wp:effectExtent l="0" t="5080" r="1905" b="635"/>
                <wp:wrapNone/>
                <wp:docPr id="2"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9495" cy="7690485"/>
                        </a:xfrm>
                        <a:prstGeom prst="rect">
                          <a:avLst/>
                        </a:prstGeom>
                        <a:noFill/>
                        <a:ln>
                          <a:noFill/>
                        </a:ln>
                        <a:extLst>
                          <a:ext uri="{909E8E84-426E-40dd-AFC4-6F175D3DCCD1}">
                            <a14:hiddenFill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D067422" w14:textId="77777777" w:rsidR="00790B93" w:rsidRPr="006F5416" w:rsidRDefault="00790B93" w:rsidP="000B30FA">
                            <w:pPr>
                              <w:pStyle w:val="TLKontaktyerven"/>
                            </w:pPr>
                            <w:r w:rsidRPr="006F5416">
                              <w:t>KONTAKTY V ÚSTŘEDÍ</w:t>
                            </w:r>
                          </w:p>
                          <w:p w14:paraId="2BA23C8E" w14:textId="77777777" w:rsidR="00790B93" w:rsidRPr="007D40DF" w:rsidRDefault="00790B93" w:rsidP="000B30FA">
                            <w:pPr>
                              <w:pStyle w:val="TLKontakty"/>
                              <w:spacing w:after="80" w:line="240" w:lineRule="auto"/>
                              <w:contextualSpacing w:val="0"/>
                              <w:rPr>
                                <w:b w:val="0"/>
                                <w:color w:val="auto"/>
                              </w:rPr>
                            </w:pPr>
                            <w:r w:rsidRPr="00D66223">
                              <w:t>Český statistický úřad</w:t>
                            </w:r>
                            <w:r w:rsidRPr="007D40DF">
                              <w:rPr>
                                <w:b w:val="0"/>
                                <w:color w:val="auto"/>
                              </w:rPr>
                              <w:t xml:space="preserve"> | Na</w:t>
                            </w:r>
                            <w:r>
                              <w:rPr>
                                <w:b w:val="0"/>
                                <w:color w:val="auto"/>
                              </w:rPr>
                              <w:t xml:space="preserve"> padesátém 81, 100 82 Praha</w:t>
                            </w:r>
                            <w:r w:rsidRPr="007D40DF">
                              <w:rPr>
                                <w:b w:val="0"/>
                                <w:color w:val="auto"/>
                              </w:rPr>
                              <w:t> </w:t>
                            </w:r>
                            <w:r>
                              <w:rPr>
                                <w:b w:val="0"/>
                                <w:color w:val="auto"/>
                              </w:rPr>
                              <w:t xml:space="preserve">10, </w:t>
                            </w:r>
                            <w:r w:rsidRPr="007D40DF">
                              <w:rPr>
                                <w:b w:val="0"/>
                                <w:color w:val="auto"/>
                              </w:rPr>
                              <w:t xml:space="preserve">tel.: 274 051 111 | </w:t>
                            </w:r>
                            <w:r w:rsidRPr="007D40DF">
                              <w:rPr>
                                <w:color w:val="auto"/>
                              </w:rPr>
                              <w:t>www.czso.cz</w:t>
                            </w:r>
                          </w:p>
                          <w:p w14:paraId="09F9E556" w14:textId="77777777" w:rsidR="00790B93" w:rsidRPr="00D235B7" w:rsidRDefault="00790B93" w:rsidP="000B30FA">
                            <w:pPr>
                              <w:pStyle w:val="TLKontakty"/>
                              <w:spacing w:after="80" w:line="240" w:lineRule="auto"/>
                              <w:contextualSpacing w:val="0"/>
                              <w:rPr>
                                <w:b w:val="0"/>
                                <w:color w:val="auto"/>
                              </w:rPr>
                            </w:pPr>
                            <w:r w:rsidRPr="00D235B7">
                              <w:rPr>
                                <w:color w:val="auto"/>
                              </w:rPr>
                              <w:t>Oddělení informačních služeb</w:t>
                            </w:r>
                            <w:r w:rsidRPr="00D235B7">
                              <w:rPr>
                                <w:b w:val="0"/>
                                <w:color w:val="auto"/>
                              </w:rPr>
                              <w:t xml:space="preserve"> | tel.: 274 052 304, 274 052 451 | e-mail: infoservis@czso.cz</w:t>
                            </w:r>
                          </w:p>
                          <w:p w14:paraId="52DFCE3C" w14:textId="77777777" w:rsidR="00790B93" w:rsidRPr="00D235B7" w:rsidRDefault="00790B93" w:rsidP="000B30FA">
                            <w:pPr>
                              <w:pStyle w:val="TLKontakty"/>
                              <w:spacing w:after="80" w:line="240" w:lineRule="auto"/>
                              <w:contextualSpacing w:val="0"/>
                              <w:rPr>
                                <w:b w:val="0"/>
                                <w:color w:val="auto"/>
                              </w:rPr>
                            </w:pPr>
                            <w:r w:rsidRPr="00D235B7">
                              <w:rPr>
                                <w:color w:val="auto"/>
                              </w:rPr>
                              <w:t>Prodejna publikací ČSÚ</w:t>
                            </w:r>
                            <w:r w:rsidRPr="00D235B7">
                              <w:rPr>
                                <w:b w:val="0"/>
                                <w:color w:val="auto"/>
                              </w:rPr>
                              <w:t xml:space="preserve"> | tel.: 274 052 361 | e-mail: prodejna@czso.cz</w:t>
                            </w:r>
                          </w:p>
                          <w:p w14:paraId="6EF7C443" w14:textId="77777777" w:rsidR="00790B93" w:rsidRPr="00D235B7" w:rsidRDefault="00790B93" w:rsidP="000B30FA">
                            <w:pPr>
                              <w:pStyle w:val="TLKontakty"/>
                              <w:spacing w:after="80" w:line="240" w:lineRule="auto"/>
                              <w:contextualSpacing w:val="0"/>
                              <w:rPr>
                                <w:b w:val="0"/>
                                <w:color w:val="auto"/>
                              </w:rPr>
                            </w:pPr>
                            <w:r w:rsidRPr="00D235B7">
                              <w:rPr>
                                <w:color w:val="auto"/>
                              </w:rPr>
                              <w:t>Evropská data (ESDS), mezinárodní srovnání</w:t>
                            </w:r>
                            <w:r w:rsidRPr="00D235B7">
                              <w:rPr>
                                <w:b w:val="0"/>
                                <w:color w:val="auto"/>
                              </w:rPr>
                              <w:t xml:space="preserve"> | tel.: 274 052 347, 274 052 757 | e-mail: esds@czso.cz</w:t>
                            </w:r>
                          </w:p>
                          <w:p w14:paraId="323130D5" w14:textId="77777777" w:rsidR="00790B93" w:rsidRPr="00D235B7" w:rsidRDefault="00790B93" w:rsidP="000B30FA">
                            <w:pPr>
                              <w:pStyle w:val="TLKontakty"/>
                              <w:spacing w:after="80" w:line="240" w:lineRule="auto"/>
                              <w:contextualSpacing w:val="0"/>
                              <w:rPr>
                                <w:b w:val="0"/>
                                <w:color w:val="auto"/>
                              </w:rPr>
                            </w:pPr>
                            <w:r w:rsidRPr="00D235B7">
                              <w:rPr>
                                <w:color w:val="auto"/>
                              </w:rPr>
                              <w:t>Ústřední statistická knihovna</w:t>
                            </w:r>
                            <w:r w:rsidRPr="00D235B7">
                              <w:rPr>
                                <w:b w:val="0"/>
                                <w:color w:val="auto"/>
                              </w:rPr>
                              <w:t xml:space="preserve"> | tel.: 274 052 361 | e-mail: knihovna@czso.cz</w:t>
                            </w:r>
                          </w:p>
                          <w:p w14:paraId="242B23D6" w14:textId="77777777" w:rsidR="00790B93" w:rsidRPr="004A61C5" w:rsidRDefault="00790B93" w:rsidP="000B30FA">
                            <w:pPr>
                              <w:pStyle w:val="TLKontakty"/>
                              <w:spacing w:after="80" w:line="240" w:lineRule="auto"/>
                              <w:contextualSpacing w:val="0"/>
                              <w:rPr>
                                <w:color w:val="auto"/>
                              </w:rPr>
                            </w:pPr>
                          </w:p>
                          <w:p w14:paraId="260A9505" w14:textId="77777777" w:rsidR="00790B93" w:rsidRPr="00D66223" w:rsidRDefault="00790B93" w:rsidP="000B30FA">
                            <w:pPr>
                              <w:pStyle w:val="TLKontaktyerven"/>
                            </w:pPr>
                            <w:r w:rsidRPr="00D66223">
                              <w:t>INFORMAČNÍ SLUŽBY V REGIONECH</w:t>
                            </w:r>
                          </w:p>
                          <w:p w14:paraId="7F03B735" w14:textId="77777777" w:rsidR="00790B93" w:rsidRPr="00992CF3" w:rsidRDefault="00790B93" w:rsidP="000B30FA">
                            <w:pPr>
                              <w:pStyle w:val="TLKontakty"/>
                              <w:spacing w:after="80" w:line="240" w:lineRule="auto"/>
                              <w:rPr>
                                <w:b w:val="0"/>
                                <w:color w:val="auto"/>
                              </w:rPr>
                            </w:pPr>
                            <w:r w:rsidRPr="00D66223">
                              <w:t>Hl. m. Praha</w:t>
                            </w:r>
                            <w:r w:rsidRPr="00992CF3">
                              <w:rPr>
                                <w:b w:val="0"/>
                                <w:color w:val="auto"/>
                              </w:rPr>
                              <w:t xml:space="preserve"> | Na</w:t>
                            </w:r>
                            <w:r>
                              <w:rPr>
                                <w:b w:val="0"/>
                                <w:color w:val="auto"/>
                              </w:rPr>
                              <w:t xml:space="preserve"> padesátém 81, 100 82 Praha 10, </w:t>
                            </w:r>
                            <w:r w:rsidRPr="00992CF3">
                              <w:rPr>
                                <w:b w:val="0"/>
                                <w:color w:val="auto"/>
                              </w:rPr>
                              <w:t>tel.</w:t>
                            </w:r>
                            <w:r w:rsidRPr="007D40DF">
                              <w:rPr>
                                <w:b w:val="0"/>
                                <w:color w:val="auto"/>
                              </w:rPr>
                              <w:t>:</w:t>
                            </w:r>
                            <w:r>
                              <w:rPr>
                                <w:b w:val="0"/>
                                <w:color w:val="auto"/>
                              </w:rPr>
                              <w:t xml:space="preserve"> 274 052 673, </w:t>
                            </w:r>
                            <w:r w:rsidRPr="00992CF3">
                              <w:rPr>
                                <w:b w:val="0"/>
                                <w:color w:val="auto"/>
                              </w:rPr>
                              <w:t>274 054 223</w:t>
                            </w:r>
                          </w:p>
                          <w:p w14:paraId="4C9856A7" w14:textId="77777777" w:rsidR="00790B93" w:rsidRPr="00992CF3" w:rsidRDefault="00790B93" w:rsidP="000B30FA">
                            <w:pPr>
                              <w:pStyle w:val="TLKontakty"/>
                              <w:spacing w:after="80" w:line="240" w:lineRule="auto"/>
                              <w:rPr>
                                <w:b w:val="0"/>
                                <w:color w:val="auto"/>
                              </w:rPr>
                            </w:pPr>
                            <w:r w:rsidRPr="00992CF3">
                              <w:rPr>
                                <w:b w:val="0"/>
                                <w:color w:val="auto"/>
                              </w:rPr>
                              <w:t xml:space="preserve">e-mail: infoservispraha@czso.cz | </w:t>
                            </w:r>
                            <w:r w:rsidRPr="00992CF3">
                              <w:rPr>
                                <w:color w:val="auto"/>
                              </w:rPr>
                              <w:t>www.praha.czso.cz</w:t>
                            </w:r>
                          </w:p>
                          <w:p w14:paraId="0B411BD0" w14:textId="77777777" w:rsidR="00790B93" w:rsidRPr="004A61C5" w:rsidRDefault="00790B93" w:rsidP="000B30FA">
                            <w:pPr>
                              <w:pStyle w:val="TLKontakty"/>
                              <w:spacing w:after="80" w:line="240" w:lineRule="auto"/>
                              <w:rPr>
                                <w:color w:val="auto"/>
                              </w:rPr>
                            </w:pPr>
                          </w:p>
                          <w:p w14:paraId="5BD4B78E" w14:textId="77777777" w:rsidR="00790B93" w:rsidRPr="00992CF3" w:rsidRDefault="00790B93" w:rsidP="000B30FA">
                            <w:pPr>
                              <w:pStyle w:val="TLKontakty"/>
                              <w:spacing w:after="80" w:line="240" w:lineRule="auto"/>
                              <w:rPr>
                                <w:b w:val="0"/>
                                <w:color w:val="auto"/>
                              </w:rPr>
                            </w:pPr>
                            <w:r w:rsidRPr="00D66223">
                              <w:t>Středočeský kraj</w:t>
                            </w:r>
                            <w:r w:rsidRPr="00992CF3">
                              <w:rPr>
                                <w:b w:val="0"/>
                                <w:color w:val="auto"/>
                              </w:rPr>
                              <w:t xml:space="preserve"> | Na padesátém 81, 100 82 Praha 10, tel.</w:t>
                            </w:r>
                            <w:r>
                              <w:rPr>
                                <w:b w:val="0"/>
                                <w:color w:val="auto"/>
                              </w:rPr>
                              <w:t xml:space="preserve">: </w:t>
                            </w:r>
                            <w:r w:rsidRPr="00992CF3">
                              <w:rPr>
                                <w:b w:val="0"/>
                                <w:color w:val="auto"/>
                              </w:rPr>
                              <w:t>274 054 175</w:t>
                            </w:r>
                          </w:p>
                          <w:p w14:paraId="0A9296E2" w14:textId="77777777" w:rsidR="00790B93" w:rsidRPr="00992CF3" w:rsidRDefault="00790B93" w:rsidP="000B30FA">
                            <w:pPr>
                              <w:pStyle w:val="TLKontakty"/>
                              <w:spacing w:after="80" w:line="240" w:lineRule="auto"/>
                              <w:rPr>
                                <w:color w:val="auto"/>
                              </w:rPr>
                            </w:pPr>
                            <w:r w:rsidRPr="00992CF3">
                              <w:rPr>
                                <w:b w:val="0"/>
                                <w:color w:val="auto"/>
                              </w:rPr>
                              <w:t xml:space="preserve">e-mail: infoservisstc@czso.cz | </w:t>
                            </w:r>
                            <w:r w:rsidRPr="00992CF3">
                              <w:rPr>
                                <w:color w:val="auto"/>
                              </w:rPr>
                              <w:t>www.stredocesky.czso.cz</w:t>
                            </w:r>
                          </w:p>
                          <w:p w14:paraId="34B31CD7" w14:textId="77777777" w:rsidR="00790B93" w:rsidRPr="004A61C5" w:rsidRDefault="00790B93" w:rsidP="000B30FA">
                            <w:pPr>
                              <w:pStyle w:val="TLKontakty"/>
                              <w:spacing w:after="80" w:line="240" w:lineRule="auto"/>
                              <w:rPr>
                                <w:color w:val="auto"/>
                              </w:rPr>
                            </w:pPr>
                          </w:p>
                          <w:p w14:paraId="56663B8C" w14:textId="77777777" w:rsidR="00790B93" w:rsidRPr="00992CF3" w:rsidRDefault="00790B93" w:rsidP="000B30FA">
                            <w:pPr>
                              <w:pStyle w:val="TLKontakty"/>
                              <w:spacing w:after="80" w:line="240" w:lineRule="auto"/>
                              <w:rPr>
                                <w:b w:val="0"/>
                                <w:color w:val="auto"/>
                              </w:rPr>
                            </w:pPr>
                            <w:r w:rsidRPr="00D66223">
                              <w:t>České Budějovice</w:t>
                            </w:r>
                            <w:r w:rsidRPr="00992CF3">
                              <w:rPr>
                                <w:b w:val="0"/>
                                <w:color w:val="auto"/>
                              </w:rPr>
                              <w:t xml:space="preserve"> | Žižkova 1, 370 77 České Budějovice</w:t>
                            </w:r>
                            <w:r>
                              <w:rPr>
                                <w:b w:val="0"/>
                                <w:color w:val="auto"/>
                              </w:rPr>
                              <w:t xml:space="preserve">, </w:t>
                            </w:r>
                            <w:r w:rsidRPr="00992CF3">
                              <w:rPr>
                                <w:b w:val="0"/>
                                <w:color w:val="auto"/>
                              </w:rPr>
                              <w:t>tel.</w:t>
                            </w:r>
                            <w:r>
                              <w:rPr>
                                <w:b w:val="0"/>
                                <w:color w:val="auto"/>
                              </w:rPr>
                              <w:t xml:space="preserve">: </w:t>
                            </w:r>
                            <w:r w:rsidRPr="00992CF3">
                              <w:rPr>
                                <w:b w:val="0"/>
                                <w:color w:val="auto"/>
                              </w:rPr>
                              <w:t>386 718 440</w:t>
                            </w:r>
                          </w:p>
                          <w:p w14:paraId="2B0742BA" w14:textId="77777777" w:rsidR="00790B93" w:rsidRPr="00992CF3" w:rsidRDefault="00790B93" w:rsidP="000B30FA">
                            <w:pPr>
                              <w:pStyle w:val="TLKontakty"/>
                              <w:spacing w:after="80" w:line="240" w:lineRule="auto"/>
                              <w:rPr>
                                <w:b w:val="0"/>
                                <w:color w:val="auto"/>
                              </w:rPr>
                            </w:pPr>
                            <w:r w:rsidRPr="00992CF3">
                              <w:rPr>
                                <w:b w:val="0"/>
                                <w:color w:val="auto"/>
                              </w:rPr>
                              <w:t xml:space="preserve">e-mail: infoserviscb@czso.cz | </w:t>
                            </w:r>
                            <w:r w:rsidRPr="00992CF3">
                              <w:rPr>
                                <w:color w:val="auto"/>
                              </w:rPr>
                              <w:t>www.cbudejovice.czso.cz</w:t>
                            </w:r>
                          </w:p>
                          <w:p w14:paraId="50979D61" w14:textId="77777777" w:rsidR="00790B93" w:rsidRPr="004A61C5" w:rsidRDefault="00790B93" w:rsidP="000B30FA">
                            <w:pPr>
                              <w:pStyle w:val="TLKontakty"/>
                              <w:spacing w:after="80" w:line="240" w:lineRule="auto"/>
                              <w:rPr>
                                <w:color w:val="auto"/>
                              </w:rPr>
                            </w:pPr>
                          </w:p>
                          <w:p w14:paraId="637D7AD6" w14:textId="77777777" w:rsidR="00790B93" w:rsidRPr="00BC731E" w:rsidRDefault="00790B93" w:rsidP="000B30FA">
                            <w:pPr>
                              <w:pStyle w:val="TLKontakty"/>
                              <w:spacing w:after="80" w:line="240" w:lineRule="auto"/>
                              <w:rPr>
                                <w:b w:val="0"/>
                                <w:color w:val="auto"/>
                              </w:rPr>
                            </w:pPr>
                            <w:r w:rsidRPr="00D66223">
                              <w:t>Plzeň</w:t>
                            </w:r>
                            <w:r w:rsidRPr="004A61C5">
                              <w:rPr>
                                <w:b w:val="0"/>
                                <w:color w:val="auto"/>
                              </w:rPr>
                              <w:t xml:space="preserve"> | Slovanská alej 36, 326 64 Plzeň</w:t>
                            </w:r>
                            <w:r>
                              <w:rPr>
                                <w:b w:val="0"/>
                                <w:color w:val="auto"/>
                              </w:rPr>
                              <w:t xml:space="preserve">, </w:t>
                            </w:r>
                            <w:r w:rsidRPr="004A61C5">
                              <w:rPr>
                                <w:b w:val="0"/>
                                <w:color w:val="auto"/>
                              </w:rPr>
                              <w:t>tel.</w:t>
                            </w:r>
                            <w:r>
                              <w:rPr>
                                <w:b w:val="0"/>
                                <w:color w:val="auto"/>
                              </w:rPr>
                              <w:t xml:space="preserve">: </w:t>
                            </w:r>
                            <w:r w:rsidRPr="004A61C5">
                              <w:rPr>
                                <w:b w:val="0"/>
                                <w:color w:val="auto"/>
                              </w:rPr>
                              <w:t>377 612 108</w:t>
                            </w:r>
                            <w:r w:rsidRPr="00BC731E">
                              <w:rPr>
                                <w:b w:val="0"/>
                                <w:color w:val="auto"/>
                              </w:rPr>
                              <w:t>, 377 612 145</w:t>
                            </w:r>
                          </w:p>
                          <w:p w14:paraId="5FDE5375" w14:textId="77777777" w:rsidR="00790B93" w:rsidRPr="004A61C5" w:rsidRDefault="00790B93" w:rsidP="000B30FA">
                            <w:pPr>
                              <w:pStyle w:val="TLKontakty"/>
                              <w:spacing w:after="80" w:line="240" w:lineRule="auto"/>
                              <w:rPr>
                                <w:b w:val="0"/>
                                <w:color w:val="auto"/>
                              </w:rPr>
                            </w:pPr>
                            <w:r w:rsidRPr="004A61C5">
                              <w:rPr>
                                <w:b w:val="0"/>
                                <w:color w:val="auto"/>
                              </w:rPr>
                              <w:t xml:space="preserve">e-mail: infoservisplzen@czso.cz | </w:t>
                            </w:r>
                            <w:r w:rsidRPr="004A61C5">
                              <w:rPr>
                                <w:color w:val="auto"/>
                              </w:rPr>
                              <w:t>www.plzen.czso.cz</w:t>
                            </w:r>
                          </w:p>
                          <w:p w14:paraId="6F34A909" w14:textId="77777777" w:rsidR="00790B93" w:rsidRPr="004A61C5" w:rsidRDefault="00790B93" w:rsidP="000B30FA">
                            <w:pPr>
                              <w:pStyle w:val="TLKontakty"/>
                              <w:spacing w:after="80" w:line="240" w:lineRule="auto"/>
                              <w:rPr>
                                <w:color w:val="auto"/>
                              </w:rPr>
                            </w:pPr>
                          </w:p>
                          <w:p w14:paraId="5245AFEF" w14:textId="77777777" w:rsidR="00790B93" w:rsidRPr="004A61C5" w:rsidRDefault="00790B93" w:rsidP="000B30FA">
                            <w:pPr>
                              <w:pStyle w:val="TLKontakty"/>
                              <w:spacing w:after="80" w:line="240" w:lineRule="auto"/>
                              <w:rPr>
                                <w:b w:val="0"/>
                                <w:color w:val="auto"/>
                              </w:rPr>
                            </w:pPr>
                            <w:r w:rsidRPr="00D66223">
                              <w:t>Karlovy Vary</w:t>
                            </w:r>
                            <w:r w:rsidRPr="004A61C5">
                              <w:rPr>
                                <w:b w:val="0"/>
                                <w:color w:val="auto"/>
                              </w:rPr>
                              <w:t xml:space="preserve"> | </w:t>
                            </w:r>
                            <w:r w:rsidRPr="00095135">
                              <w:rPr>
                                <w:b w:val="0"/>
                                <w:color w:val="auto"/>
                              </w:rPr>
                              <w:t>Závodní 360/94, 360 06 Karlovy Vary</w:t>
                            </w:r>
                            <w:r w:rsidRPr="004A61C5">
                              <w:rPr>
                                <w:b w:val="0"/>
                                <w:color w:val="auto"/>
                              </w:rPr>
                              <w:t>, tel.</w:t>
                            </w:r>
                            <w:r>
                              <w:rPr>
                                <w:b w:val="0"/>
                                <w:color w:val="auto"/>
                              </w:rPr>
                              <w:t xml:space="preserve">: </w:t>
                            </w:r>
                            <w:r w:rsidRPr="004A61C5">
                              <w:rPr>
                                <w:b w:val="0"/>
                                <w:color w:val="auto"/>
                              </w:rPr>
                              <w:t>353 114 529, 353 114 525</w:t>
                            </w:r>
                          </w:p>
                          <w:p w14:paraId="567B52CB" w14:textId="77777777" w:rsidR="00790B93" w:rsidRPr="004A61C5" w:rsidRDefault="00790B93" w:rsidP="000B30FA">
                            <w:pPr>
                              <w:pStyle w:val="TLKontakty"/>
                              <w:spacing w:after="80" w:line="240" w:lineRule="auto"/>
                              <w:rPr>
                                <w:b w:val="0"/>
                                <w:color w:val="auto"/>
                              </w:rPr>
                            </w:pPr>
                            <w:r w:rsidRPr="004A61C5">
                              <w:rPr>
                                <w:b w:val="0"/>
                                <w:color w:val="auto"/>
                              </w:rPr>
                              <w:t xml:space="preserve">e-mail: infoserviskv@czso.cz | </w:t>
                            </w:r>
                            <w:r w:rsidRPr="004A61C5">
                              <w:rPr>
                                <w:color w:val="auto"/>
                              </w:rPr>
                              <w:t>www.kvary.czso.cz</w:t>
                            </w:r>
                          </w:p>
                          <w:p w14:paraId="54240FF5" w14:textId="77777777" w:rsidR="00790B93" w:rsidRPr="004A61C5" w:rsidRDefault="00790B93" w:rsidP="000B30FA">
                            <w:pPr>
                              <w:pStyle w:val="TLKontakty"/>
                              <w:spacing w:after="80" w:line="240" w:lineRule="auto"/>
                              <w:rPr>
                                <w:color w:val="auto"/>
                              </w:rPr>
                            </w:pPr>
                          </w:p>
                          <w:p w14:paraId="06851E85" w14:textId="77777777" w:rsidR="00790B93" w:rsidRPr="004A61C5" w:rsidRDefault="00790B93" w:rsidP="000B30FA">
                            <w:pPr>
                              <w:pStyle w:val="TLKontakty"/>
                              <w:spacing w:after="80" w:line="240" w:lineRule="auto"/>
                              <w:rPr>
                                <w:b w:val="0"/>
                                <w:color w:val="auto"/>
                              </w:rPr>
                            </w:pPr>
                            <w:r w:rsidRPr="00D66223">
                              <w:t>Ústí nad Labem</w:t>
                            </w:r>
                            <w:r w:rsidRPr="004A61C5">
                              <w:rPr>
                                <w:b w:val="0"/>
                                <w:color w:val="auto"/>
                              </w:rPr>
                              <w:t xml:space="preserve"> | Špálova 2684, 400 11 Ústí nad Labem</w:t>
                            </w:r>
                            <w:r>
                              <w:rPr>
                                <w:b w:val="0"/>
                                <w:color w:val="auto"/>
                              </w:rPr>
                              <w:t xml:space="preserve">, </w:t>
                            </w:r>
                            <w:r w:rsidRPr="004A61C5">
                              <w:rPr>
                                <w:b w:val="0"/>
                                <w:color w:val="auto"/>
                              </w:rPr>
                              <w:t>tel.</w:t>
                            </w:r>
                            <w:r>
                              <w:rPr>
                                <w:b w:val="0"/>
                                <w:color w:val="auto"/>
                              </w:rPr>
                              <w:t xml:space="preserve">: </w:t>
                            </w:r>
                            <w:r w:rsidRPr="004A61C5">
                              <w:rPr>
                                <w:b w:val="0"/>
                                <w:color w:val="auto"/>
                              </w:rPr>
                              <w:t>472 706 176,</w:t>
                            </w:r>
                            <w:r>
                              <w:rPr>
                                <w:b w:val="0"/>
                                <w:color w:val="auto"/>
                              </w:rPr>
                              <w:t xml:space="preserve"> </w:t>
                            </w:r>
                            <w:r w:rsidRPr="004A61C5">
                              <w:rPr>
                                <w:b w:val="0"/>
                                <w:color w:val="auto"/>
                              </w:rPr>
                              <w:t>472 706 121</w:t>
                            </w:r>
                          </w:p>
                          <w:p w14:paraId="3BF0991A" w14:textId="77777777" w:rsidR="00790B93" w:rsidRPr="004A61C5" w:rsidRDefault="00790B93" w:rsidP="000B30FA">
                            <w:pPr>
                              <w:pStyle w:val="TLKontakty"/>
                              <w:spacing w:after="80" w:line="240" w:lineRule="auto"/>
                              <w:rPr>
                                <w:b w:val="0"/>
                                <w:color w:val="auto"/>
                              </w:rPr>
                            </w:pPr>
                            <w:r w:rsidRPr="004A61C5">
                              <w:rPr>
                                <w:b w:val="0"/>
                                <w:color w:val="auto"/>
                              </w:rPr>
                              <w:t xml:space="preserve">e-mail: infoservisul@czso.cz | </w:t>
                            </w:r>
                            <w:r w:rsidRPr="004A61C5">
                              <w:rPr>
                                <w:color w:val="auto"/>
                              </w:rPr>
                              <w:t>www.ustinadlabem.czso.cz</w:t>
                            </w:r>
                          </w:p>
                          <w:p w14:paraId="182E4A8C" w14:textId="77777777" w:rsidR="00790B93" w:rsidRPr="004A61C5" w:rsidRDefault="00790B93" w:rsidP="000B30FA">
                            <w:pPr>
                              <w:pStyle w:val="TLKontakty"/>
                              <w:spacing w:after="80" w:line="240" w:lineRule="auto"/>
                              <w:rPr>
                                <w:color w:val="auto"/>
                              </w:rPr>
                            </w:pPr>
                          </w:p>
                          <w:p w14:paraId="42EE9701" w14:textId="77777777" w:rsidR="00790B93" w:rsidRPr="004A61C5" w:rsidRDefault="00790B93" w:rsidP="000B30FA">
                            <w:pPr>
                              <w:pStyle w:val="TLKontakty"/>
                              <w:spacing w:after="80" w:line="240" w:lineRule="auto"/>
                              <w:rPr>
                                <w:b w:val="0"/>
                                <w:color w:val="auto"/>
                              </w:rPr>
                            </w:pPr>
                            <w:r w:rsidRPr="00D66223">
                              <w:t>Liberec</w:t>
                            </w:r>
                            <w:r w:rsidRPr="004A61C5">
                              <w:rPr>
                                <w:b w:val="0"/>
                                <w:color w:val="auto"/>
                              </w:rPr>
                              <w:t xml:space="preserve"> | Nám. Dr. Edvarda Beneše 585/26, 460 01 Liberec 1, tel.</w:t>
                            </w:r>
                            <w:r>
                              <w:rPr>
                                <w:b w:val="0"/>
                                <w:color w:val="auto"/>
                              </w:rPr>
                              <w:t xml:space="preserve">: </w:t>
                            </w:r>
                            <w:r w:rsidRPr="004A61C5">
                              <w:rPr>
                                <w:b w:val="0"/>
                                <w:color w:val="auto"/>
                              </w:rPr>
                              <w:t>485 238 811</w:t>
                            </w:r>
                          </w:p>
                          <w:p w14:paraId="5623D967" w14:textId="77777777" w:rsidR="00790B93" w:rsidRPr="004A61C5" w:rsidRDefault="00790B93" w:rsidP="000B30FA">
                            <w:pPr>
                              <w:pStyle w:val="TLKontakty"/>
                              <w:spacing w:after="80" w:line="240" w:lineRule="auto"/>
                              <w:rPr>
                                <w:b w:val="0"/>
                                <w:color w:val="auto"/>
                              </w:rPr>
                            </w:pPr>
                            <w:r w:rsidRPr="004A61C5">
                              <w:rPr>
                                <w:b w:val="0"/>
                                <w:color w:val="auto"/>
                              </w:rPr>
                              <w:t xml:space="preserve">e-mail: infoservislbc@czso.cz | </w:t>
                            </w:r>
                            <w:r w:rsidRPr="004A61C5">
                              <w:rPr>
                                <w:color w:val="auto"/>
                              </w:rPr>
                              <w:t>www.liberec.czso.cz</w:t>
                            </w:r>
                          </w:p>
                          <w:p w14:paraId="38582EAB" w14:textId="77777777" w:rsidR="00790B93" w:rsidRPr="004A61C5" w:rsidRDefault="00790B93" w:rsidP="000B30FA">
                            <w:pPr>
                              <w:pStyle w:val="TLKontakty"/>
                              <w:spacing w:after="80" w:line="240" w:lineRule="auto"/>
                              <w:rPr>
                                <w:b w:val="0"/>
                                <w:color w:val="auto"/>
                              </w:rPr>
                            </w:pPr>
                          </w:p>
                          <w:p w14:paraId="2A031F54" w14:textId="77777777" w:rsidR="00790B93" w:rsidRPr="004A61C5" w:rsidRDefault="00790B93" w:rsidP="000B30FA">
                            <w:pPr>
                              <w:pStyle w:val="TLKontakty"/>
                              <w:spacing w:after="80" w:line="240" w:lineRule="auto"/>
                              <w:rPr>
                                <w:b w:val="0"/>
                                <w:color w:val="auto"/>
                              </w:rPr>
                            </w:pPr>
                            <w:r w:rsidRPr="00D66223">
                              <w:t>Hradec Králové</w:t>
                            </w:r>
                            <w:r w:rsidRPr="004A61C5">
                              <w:rPr>
                                <w:b w:val="0"/>
                                <w:color w:val="auto"/>
                              </w:rPr>
                              <w:t xml:space="preserve"> | Myslivečkova 914, 500 03 Hradec Králové 3, </w:t>
                            </w:r>
                            <w:r>
                              <w:rPr>
                                <w:b w:val="0"/>
                                <w:color w:val="auto"/>
                              </w:rPr>
                              <w:t>tel.</w:t>
                            </w:r>
                            <w:r w:rsidRPr="007D40DF">
                              <w:rPr>
                                <w:b w:val="0"/>
                                <w:color w:val="auto"/>
                              </w:rPr>
                              <w:t>:</w:t>
                            </w:r>
                            <w:r>
                              <w:rPr>
                                <w:b w:val="0"/>
                                <w:color w:val="auto"/>
                              </w:rPr>
                              <w:t xml:space="preserve"> </w:t>
                            </w:r>
                            <w:r w:rsidRPr="004A61C5">
                              <w:rPr>
                                <w:b w:val="0"/>
                                <w:color w:val="auto"/>
                              </w:rPr>
                              <w:t>495 762 322,</w:t>
                            </w:r>
                            <w:r>
                              <w:rPr>
                                <w:b w:val="0"/>
                                <w:color w:val="auto"/>
                              </w:rPr>
                              <w:t xml:space="preserve"> </w:t>
                            </w:r>
                            <w:r w:rsidRPr="004A61C5">
                              <w:rPr>
                                <w:b w:val="0"/>
                                <w:color w:val="auto"/>
                              </w:rPr>
                              <w:t>495 762 317</w:t>
                            </w:r>
                          </w:p>
                          <w:p w14:paraId="54D59EC0" w14:textId="77777777" w:rsidR="00790B93" w:rsidRPr="004A61C5" w:rsidRDefault="00790B93" w:rsidP="000B30FA">
                            <w:pPr>
                              <w:pStyle w:val="TLKontakty"/>
                              <w:spacing w:after="80" w:line="240" w:lineRule="auto"/>
                              <w:rPr>
                                <w:b w:val="0"/>
                                <w:color w:val="auto"/>
                              </w:rPr>
                            </w:pPr>
                            <w:r w:rsidRPr="004A61C5">
                              <w:rPr>
                                <w:b w:val="0"/>
                                <w:color w:val="auto"/>
                              </w:rPr>
                              <w:t xml:space="preserve">e-mail: infoservishk@czso.cz | </w:t>
                            </w:r>
                            <w:r w:rsidRPr="004A61C5">
                              <w:rPr>
                                <w:color w:val="auto"/>
                              </w:rPr>
                              <w:t>www.hradeckralove.czso.cz</w:t>
                            </w:r>
                          </w:p>
                          <w:p w14:paraId="2237FF4C" w14:textId="77777777" w:rsidR="00790B93" w:rsidRPr="004A61C5" w:rsidRDefault="00790B93" w:rsidP="000B30FA">
                            <w:pPr>
                              <w:pStyle w:val="TLKontakty"/>
                              <w:spacing w:after="80" w:line="240" w:lineRule="auto"/>
                              <w:rPr>
                                <w:color w:val="auto"/>
                              </w:rPr>
                            </w:pPr>
                          </w:p>
                          <w:p w14:paraId="5949CE64" w14:textId="77777777" w:rsidR="00790B93" w:rsidRPr="004A61C5" w:rsidRDefault="00790B93" w:rsidP="000B30FA">
                            <w:pPr>
                              <w:pStyle w:val="TLKontakty"/>
                              <w:spacing w:after="80" w:line="240" w:lineRule="auto"/>
                              <w:rPr>
                                <w:b w:val="0"/>
                                <w:color w:val="auto"/>
                              </w:rPr>
                            </w:pPr>
                            <w:r w:rsidRPr="00D66223">
                              <w:t>Pardubice</w:t>
                            </w:r>
                            <w:r w:rsidRPr="004A61C5">
                              <w:rPr>
                                <w:b w:val="0"/>
                                <w:color w:val="auto"/>
                              </w:rPr>
                              <w:t xml:space="preserve"> | V Ráji 872, 531 53 Pardubice</w:t>
                            </w:r>
                            <w:r>
                              <w:rPr>
                                <w:b w:val="0"/>
                                <w:color w:val="auto"/>
                              </w:rPr>
                              <w:t xml:space="preserve">, </w:t>
                            </w:r>
                            <w:r w:rsidRPr="004A61C5">
                              <w:rPr>
                                <w:b w:val="0"/>
                                <w:color w:val="auto"/>
                              </w:rPr>
                              <w:t>tel.</w:t>
                            </w:r>
                            <w:r>
                              <w:rPr>
                                <w:b w:val="0"/>
                                <w:color w:val="auto"/>
                              </w:rPr>
                              <w:t>:</w:t>
                            </w:r>
                            <w:r w:rsidRPr="004A61C5">
                              <w:rPr>
                                <w:b w:val="0"/>
                                <w:color w:val="auto"/>
                              </w:rPr>
                              <w:t xml:space="preserve"> 466 743 480, 466 743 418</w:t>
                            </w:r>
                          </w:p>
                          <w:p w14:paraId="7F7FAC9D" w14:textId="77777777" w:rsidR="00790B93" w:rsidRPr="004A61C5" w:rsidRDefault="00790B93" w:rsidP="000B30FA">
                            <w:pPr>
                              <w:pStyle w:val="TLKontakty"/>
                              <w:spacing w:after="80" w:line="240" w:lineRule="auto"/>
                              <w:rPr>
                                <w:b w:val="0"/>
                                <w:color w:val="auto"/>
                              </w:rPr>
                            </w:pPr>
                            <w:r w:rsidRPr="004A61C5">
                              <w:rPr>
                                <w:b w:val="0"/>
                                <w:color w:val="auto"/>
                              </w:rPr>
                              <w:t xml:space="preserve">e-mail: infoservispa@czso.cz | </w:t>
                            </w:r>
                            <w:r w:rsidRPr="004A61C5">
                              <w:rPr>
                                <w:color w:val="auto"/>
                              </w:rPr>
                              <w:t>www.pardubice.czso.cz</w:t>
                            </w:r>
                          </w:p>
                          <w:p w14:paraId="600DFE84" w14:textId="77777777" w:rsidR="00790B93" w:rsidRPr="004A61C5" w:rsidRDefault="00790B93" w:rsidP="000B30FA">
                            <w:pPr>
                              <w:pStyle w:val="TLKontakty"/>
                              <w:spacing w:after="80" w:line="240" w:lineRule="auto"/>
                              <w:rPr>
                                <w:b w:val="0"/>
                                <w:color w:val="auto"/>
                              </w:rPr>
                            </w:pPr>
                          </w:p>
                          <w:p w14:paraId="13E9F4FC" w14:textId="77777777" w:rsidR="00790B93" w:rsidRPr="004A61C5" w:rsidRDefault="00790B93" w:rsidP="000B30FA">
                            <w:pPr>
                              <w:pStyle w:val="TLKontakty"/>
                              <w:spacing w:after="80" w:line="240" w:lineRule="auto"/>
                              <w:rPr>
                                <w:b w:val="0"/>
                                <w:color w:val="auto"/>
                              </w:rPr>
                            </w:pPr>
                            <w:r w:rsidRPr="00D66223">
                              <w:t>Jihlava</w:t>
                            </w:r>
                            <w:r w:rsidRPr="004A61C5">
                              <w:rPr>
                                <w:b w:val="0"/>
                                <w:color w:val="auto"/>
                              </w:rPr>
                              <w:t xml:space="preserve"> | Ke Skalce 30,</w:t>
                            </w:r>
                            <w:r>
                              <w:rPr>
                                <w:b w:val="0"/>
                                <w:color w:val="auto"/>
                              </w:rPr>
                              <w:t xml:space="preserve"> 586 01 Jihlava, tel.: </w:t>
                            </w:r>
                            <w:r w:rsidRPr="004A61C5">
                              <w:rPr>
                                <w:b w:val="0"/>
                                <w:color w:val="auto"/>
                              </w:rPr>
                              <w:t xml:space="preserve">567 109 </w:t>
                            </w:r>
                            <w:r w:rsidRPr="00BC731E">
                              <w:rPr>
                                <w:b w:val="0"/>
                                <w:color w:val="auto"/>
                              </w:rPr>
                              <w:t>062, 567 109 073</w:t>
                            </w:r>
                          </w:p>
                          <w:p w14:paraId="116811A9" w14:textId="77777777" w:rsidR="00790B93" w:rsidRPr="004A61C5" w:rsidRDefault="00790B93" w:rsidP="000B30FA">
                            <w:pPr>
                              <w:pStyle w:val="TLKontakty"/>
                              <w:spacing w:after="80" w:line="240" w:lineRule="auto"/>
                              <w:rPr>
                                <w:b w:val="0"/>
                                <w:color w:val="auto"/>
                              </w:rPr>
                            </w:pPr>
                            <w:r w:rsidRPr="004A61C5">
                              <w:rPr>
                                <w:b w:val="0"/>
                                <w:color w:val="auto"/>
                              </w:rPr>
                              <w:t xml:space="preserve">e-mail: infoservisvys@czso.cz | </w:t>
                            </w:r>
                            <w:r w:rsidRPr="004A61C5">
                              <w:rPr>
                                <w:color w:val="auto"/>
                              </w:rPr>
                              <w:t>www.jihlava.czso.cz</w:t>
                            </w:r>
                          </w:p>
                          <w:p w14:paraId="607A3704" w14:textId="77777777" w:rsidR="00790B93" w:rsidRDefault="00790B93" w:rsidP="000B30FA">
                            <w:pPr>
                              <w:pStyle w:val="TLKontakty"/>
                              <w:spacing w:after="80" w:line="240" w:lineRule="auto"/>
                            </w:pPr>
                          </w:p>
                          <w:p w14:paraId="4B9D7E40" w14:textId="77777777" w:rsidR="00790B93" w:rsidRPr="00BC731E" w:rsidRDefault="00790B93" w:rsidP="000B30FA">
                            <w:pPr>
                              <w:pStyle w:val="TLKontakty"/>
                              <w:spacing w:after="80" w:line="240" w:lineRule="auto"/>
                              <w:rPr>
                                <w:b w:val="0"/>
                                <w:color w:val="auto"/>
                              </w:rPr>
                            </w:pPr>
                            <w:r w:rsidRPr="00D66223">
                              <w:t>Brno</w:t>
                            </w:r>
                            <w:r w:rsidRPr="004A61C5">
                              <w:rPr>
                                <w:b w:val="0"/>
                                <w:color w:val="auto"/>
                              </w:rPr>
                              <w:t xml:space="preserve"> | Jezuitská 2, 601 59 Brno, </w:t>
                            </w:r>
                            <w:r>
                              <w:rPr>
                                <w:b w:val="0"/>
                                <w:color w:val="auto"/>
                              </w:rPr>
                              <w:t xml:space="preserve">tel: </w:t>
                            </w:r>
                            <w:r w:rsidRPr="004A61C5">
                              <w:rPr>
                                <w:b w:val="0"/>
                                <w:color w:val="auto"/>
                              </w:rPr>
                              <w:t xml:space="preserve">542 528 </w:t>
                            </w:r>
                            <w:r w:rsidRPr="00BC731E">
                              <w:rPr>
                                <w:b w:val="0"/>
                                <w:color w:val="auto"/>
                              </w:rPr>
                              <w:t>115, 542 528 200</w:t>
                            </w:r>
                          </w:p>
                          <w:p w14:paraId="7401495E" w14:textId="77777777" w:rsidR="00790B93" w:rsidRPr="004A61C5" w:rsidRDefault="00790B93" w:rsidP="000B30FA">
                            <w:pPr>
                              <w:pStyle w:val="TLKontakty"/>
                              <w:spacing w:after="80" w:line="240" w:lineRule="auto"/>
                              <w:rPr>
                                <w:color w:val="auto"/>
                              </w:rPr>
                            </w:pPr>
                            <w:r w:rsidRPr="004A61C5">
                              <w:rPr>
                                <w:b w:val="0"/>
                                <w:color w:val="auto"/>
                              </w:rPr>
                              <w:t xml:space="preserve">e-mail: infoservisbrno@czso.cz | </w:t>
                            </w:r>
                            <w:r w:rsidRPr="004A61C5">
                              <w:rPr>
                                <w:color w:val="auto"/>
                              </w:rPr>
                              <w:t>www.brno.czso.cz</w:t>
                            </w:r>
                          </w:p>
                          <w:p w14:paraId="70689F78" w14:textId="77777777" w:rsidR="00790B93" w:rsidRPr="004A61C5" w:rsidRDefault="00790B93" w:rsidP="000B30FA">
                            <w:pPr>
                              <w:pStyle w:val="TLKontakty"/>
                              <w:spacing w:after="80" w:line="240" w:lineRule="auto"/>
                              <w:rPr>
                                <w:b w:val="0"/>
                                <w:color w:val="auto"/>
                              </w:rPr>
                            </w:pPr>
                          </w:p>
                          <w:p w14:paraId="78BAB667" w14:textId="77777777" w:rsidR="00790B93" w:rsidRPr="005E7C78" w:rsidRDefault="00790B93" w:rsidP="000B30FA">
                            <w:pPr>
                              <w:pStyle w:val="TLKontakty"/>
                              <w:spacing w:after="80" w:line="240" w:lineRule="auto"/>
                              <w:rPr>
                                <w:b w:val="0"/>
                                <w:color w:val="auto"/>
                              </w:rPr>
                            </w:pPr>
                            <w:r w:rsidRPr="00D66223">
                              <w:t>Olomouc</w:t>
                            </w:r>
                            <w:r w:rsidRPr="005E7C78">
                              <w:rPr>
                                <w:b w:val="0"/>
                                <w:color w:val="auto"/>
                              </w:rPr>
                              <w:t xml:space="preserve"> | Jeremenkova 1142/42, 772 11 Olomouc, </w:t>
                            </w:r>
                            <w:r>
                              <w:rPr>
                                <w:b w:val="0"/>
                                <w:color w:val="auto"/>
                              </w:rPr>
                              <w:t xml:space="preserve">tel.: </w:t>
                            </w:r>
                            <w:r w:rsidRPr="005E7C78">
                              <w:rPr>
                                <w:b w:val="0"/>
                                <w:color w:val="auto"/>
                              </w:rPr>
                              <w:t xml:space="preserve">585 731 </w:t>
                            </w:r>
                            <w:r w:rsidRPr="00BC731E">
                              <w:rPr>
                                <w:b w:val="0"/>
                                <w:color w:val="auto"/>
                              </w:rPr>
                              <w:t>516, 585 731 511</w:t>
                            </w:r>
                          </w:p>
                          <w:p w14:paraId="2DF47858" w14:textId="77777777" w:rsidR="00790B93" w:rsidRPr="005E7C78" w:rsidRDefault="00790B93" w:rsidP="000B30FA">
                            <w:pPr>
                              <w:pStyle w:val="TLKontakty"/>
                              <w:spacing w:after="80" w:line="240" w:lineRule="auto"/>
                              <w:rPr>
                                <w:b w:val="0"/>
                                <w:color w:val="auto"/>
                              </w:rPr>
                            </w:pPr>
                            <w:r w:rsidRPr="005E7C78">
                              <w:rPr>
                                <w:b w:val="0"/>
                                <w:color w:val="auto"/>
                              </w:rPr>
                              <w:t xml:space="preserve">e-mail: infoservisolom@czso.cz | </w:t>
                            </w:r>
                            <w:r w:rsidRPr="005E7C78">
                              <w:rPr>
                                <w:color w:val="auto"/>
                              </w:rPr>
                              <w:t>www.olomouc.czso.cz</w:t>
                            </w:r>
                          </w:p>
                          <w:p w14:paraId="16B9833D" w14:textId="77777777" w:rsidR="00790B93" w:rsidRPr="005E7C78" w:rsidRDefault="00790B93" w:rsidP="000B30FA">
                            <w:pPr>
                              <w:pStyle w:val="TLKontakty"/>
                              <w:spacing w:after="80" w:line="240" w:lineRule="auto"/>
                              <w:rPr>
                                <w:b w:val="0"/>
                                <w:color w:val="auto"/>
                              </w:rPr>
                            </w:pPr>
                          </w:p>
                          <w:p w14:paraId="65EC88A2" w14:textId="77777777" w:rsidR="00790B93" w:rsidRPr="005E7C78" w:rsidRDefault="00790B93" w:rsidP="000B30FA">
                            <w:pPr>
                              <w:pStyle w:val="TLKontakty"/>
                              <w:spacing w:after="80" w:line="240" w:lineRule="auto"/>
                              <w:rPr>
                                <w:b w:val="0"/>
                                <w:color w:val="auto"/>
                              </w:rPr>
                            </w:pPr>
                            <w:r w:rsidRPr="00D66223">
                              <w:t>Zlín</w:t>
                            </w:r>
                            <w:r w:rsidRPr="005E7C78">
                              <w:rPr>
                                <w:b w:val="0"/>
                                <w:color w:val="auto"/>
                              </w:rPr>
                              <w:t xml:space="preserve"> | tř. Tomáše Bati 1565, 761 76 Zlín, </w:t>
                            </w:r>
                            <w:r w:rsidRPr="00BC731E">
                              <w:rPr>
                                <w:b w:val="0"/>
                                <w:color w:val="auto"/>
                              </w:rPr>
                              <w:t>tel.: 577 004 932, 5</w:t>
                            </w:r>
                            <w:r w:rsidRPr="005E7C78">
                              <w:rPr>
                                <w:b w:val="0"/>
                                <w:color w:val="auto"/>
                              </w:rPr>
                              <w:t>77 004 935</w:t>
                            </w:r>
                          </w:p>
                          <w:p w14:paraId="3E42A803" w14:textId="77777777" w:rsidR="00790B93" w:rsidRDefault="00790B93" w:rsidP="000B30FA">
                            <w:pPr>
                              <w:pStyle w:val="TLKontakty"/>
                              <w:spacing w:after="80" w:line="240" w:lineRule="auto"/>
                              <w:rPr>
                                <w:color w:val="auto"/>
                              </w:rPr>
                            </w:pPr>
                            <w:r w:rsidRPr="005E7C78">
                              <w:rPr>
                                <w:b w:val="0"/>
                                <w:color w:val="auto"/>
                              </w:rPr>
                              <w:t xml:space="preserve">e-mail: infoservis-zl@czso.cz | </w:t>
                            </w:r>
                            <w:r w:rsidRPr="00227A53">
                              <w:rPr>
                                <w:color w:val="auto"/>
                              </w:rPr>
                              <w:t>www.zlin.czso.cz</w:t>
                            </w:r>
                          </w:p>
                          <w:p w14:paraId="1E3449EB" w14:textId="77777777" w:rsidR="00790B93" w:rsidRPr="005E7C78" w:rsidRDefault="00790B93" w:rsidP="000B30FA">
                            <w:pPr>
                              <w:pStyle w:val="TLKontakty"/>
                              <w:spacing w:after="80" w:line="240" w:lineRule="auto"/>
                              <w:rPr>
                                <w:b w:val="0"/>
                                <w:color w:val="auto"/>
                              </w:rPr>
                            </w:pPr>
                          </w:p>
                          <w:p w14:paraId="57047325" w14:textId="77777777" w:rsidR="00790B93" w:rsidRPr="005E7C78" w:rsidRDefault="00790B93" w:rsidP="000B30FA">
                            <w:pPr>
                              <w:pStyle w:val="TLKontakty"/>
                              <w:spacing w:after="80" w:line="240" w:lineRule="auto"/>
                              <w:rPr>
                                <w:b w:val="0"/>
                                <w:color w:val="auto"/>
                              </w:rPr>
                            </w:pPr>
                            <w:r w:rsidRPr="00D66223">
                              <w:t>Ostrava</w:t>
                            </w:r>
                            <w:r w:rsidRPr="005E7C78">
                              <w:rPr>
                                <w:b w:val="0"/>
                                <w:color w:val="auto"/>
                              </w:rPr>
                              <w:t xml:space="preserve"> | Repinova 17, 702 03 Ostrava,</w:t>
                            </w:r>
                            <w:r>
                              <w:rPr>
                                <w:b w:val="0"/>
                                <w:color w:val="auto"/>
                              </w:rPr>
                              <w:t xml:space="preserve"> tel: </w:t>
                            </w:r>
                            <w:r w:rsidRPr="005E7C78">
                              <w:rPr>
                                <w:b w:val="0"/>
                                <w:color w:val="auto"/>
                              </w:rPr>
                              <w:t>595 131 230, 595 131 232</w:t>
                            </w:r>
                          </w:p>
                          <w:p w14:paraId="60C223D0" w14:textId="77777777" w:rsidR="00790B93" w:rsidRPr="0010437D" w:rsidRDefault="00790B93" w:rsidP="00825C4D">
                            <w:pPr>
                              <w:pStyle w:val="TLKontakty"/>
                              <w:spacing w:after="80" w:line="240" w:lineRule="auto"/>
                              <w:rPr>
                                <w:b w:val="0"/>
                                <w:color w:val="auto"/>
                              </w:rPr>
                            </w:pPr>
                            <w:r w:rsidRPr="005E7C78">
                              <w:rPr>
                                <w:b w:val="0"/>
                                <w:color w:val="auto"/>
                              </w:rPr>
                              <w:t xml:space="preserve">e-mail: infoservis_ov@czso.cz | </w:t>
                            </w:r>
                            <w:r w:rsidRPr="005E7C78">
                              <w:rPr>
                                <w:color w:val="auto"/>
                              </w:rPr>
                              <w:t>www.ostrava.czso.cz</w:t>
                            </w:r>
                          </w:p>
                        </w:txbxContent>
                      </wps:txbx>
                      <wps:bodyPr rot="0" vert="horz" wrap="square" lIns="0" tIns="0" rIns="0" bIns="0" anchor="t" anchorCtr="0" upright="1">
                        <a:spAutoFit/>
                      </wps:bodyPr>
                    </wps:wsp>
                  </a:graphicData>
                </a:graphic>
                <wp14:sizeRelH relativeFrom="margin">
                  <wp14:pctWidth>0</wp14:pctWidth>
                </wp14:sizeRelH>
                <wp14:sizeRelV relativeFrom="margin">
                  <wp14:pctHeight>0</wp14:pctHeight>
                </wp14:sizeRelV>
              </wp:anchor>
            </w:drawing>
          </mc:Choice>
          <mc:Fallback>
            <w:pict>
              <v:shape w14:anchorId="0924E65D" id="_x0000_s1030" type="#_x0000_t202" style="position:absolute;margin-left:57pt;margin-top:113.4pt;width:481.85pt;height:605.55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" filled="f" stroked="f">
                <v:textbox style="mso-fit-shape-to-text:t" inset="0,0,0,0">
                  <w:txbxContent>
                    <w:p w14:paraId="6D067422" w14:textId="77777777" w:rsidR="00790B93" w:rsidRPr="006F5416" w:rsidRDefault="00790B93" w:rsidP="000B30FA">
                      <w:pPr>
                        <w:pStyle w:val="TLKontaktyerven"/>
                      </w:pPr>
                      <w:r w:rsidRPr="006F5416">
                        <w:t>KONTAKTY V ÚSTŘEDÍ</w:t>
                      </w:r>
                    </w:p>
                    <w:p w14:paraId="2BA23C8E" w14:textId="77777777" w:rsidR="00790B93" w:rsidRPr="007D40DF" w:rsidRDefault="00790B93" w:rsidP="000B30FA">
                      <w:pPr>
                        <w:pStyle w:val="TLKontakty"/>
                        <w:spacing w:after="80" w:line="240" w:lineRule="auto"/>
                        <w:contextualSpacing w:val="0"/>
                        <w:rPr>
                          <w:b w:val="0"/>
                          <w:color w:val="auto"/>
                        </w:rPr>
                      </w:pPr>
                      <w:r w:rsidRPr="00D66223">
                        <w:t>Český statistický úřad</w:t>
                      </w:r>
                      <w:r w:rsidRPr="007D40DF">
                        <w:rPr>
                          <w:b w:val="0"/>
                          <w:color w:val="auto"/>
                        </w:rPr>
                        <w:t xml:space="preserve"> | Na</w:t>
                      </w:r>
                      <w:r>
                        <w:rPr>
                          <w:b w:val="0"/>
                          <w:color w:val="auto"/>
                        </w:rPr>
                        <w:t xml:space="preserve"> padesátém 81, 100 82 Praha</w:t>
                      </w:r>
                      <w:r w:rsidRPr="007D40DF">
                        <w:rPr>
                          <w:b w:val="0"/>
                          <w:color w:val="auto"/>
                        </w:rPr>
                        <w:t> </w:t>
                      </w:r>
                      <w:r>
                        <w:rPr>
                          <w:b w:val="0"/>
                          <w:color w:val="auto"/>
                        </w:rPr>
                        <w:t xml:space="preserve">10, </w:t>
                      </w:r>
                      <w:r w:rsidRPr="007D40DF">
                        <w:rPr>
                          <w:b w:val="0"/>
                          <w:color w:val="auto"/>
                        </w:rPr>
                        <w:t xml:space="preserve">tel.: 274 051 111 | </w:t>
                      </w:r>
                      <w:r w:rsidRPr="007D40DF">
                        <w:rPr>
                          <w:color w:val="auto"/>
                        </w:rPr>
                        <w:t>www.czso.cz</w:t>
                      </w:r>
                    </w:p>
                    <w:p w14:paraId="09F9E556" w14:textId="77777777" w:rsidR="00790B93" w:rsidRPr="00D235B7" w:rsidRDefault="00790B93" w:rsidP="000B30FA">
                      <w:pPr>
                        <w:pStyle w:val="TLKontakty"/>
                        <w:spacing w:after="80" w:line="240" w:lineRule="auto"/>
                        <w:contextualSpacing w:val="0"/>
                        <w:rPr>
                          <w:b w:val="0"/>
                          <w:color w:val="auto"/>
                        </w:rPr>
                      </w:pPr>
                      <w:r w:rsidRPr="00D235B7">
                        <w:rPr>
                          <w:color w:val="auto"/>
                        </w:rPr>
                        <w:t>Oddělení informačních služeb</w:t>
                      </w:r>
                      <w:r w:rsidRPr="00D235B7">
                        <w:rPr>
                          <w:b w:val="0"/>
                          <w:color w:val="auto"/>
                        </w:rPr>
                        <w:t xml:space="preserve"> | tel.: 274 052 304, 274 052 451 | e-mail: infoservis@czso.cz</w:t>
                      </w:r>
                    </w:p>
                    <w:p w14:paraId="52DFCE3C" w14:textId="77777777" w:rsidR="00790B93" w:rsidRPr="00D235B7" w:rsidRDefault="00790B93" w:rsidP="000B30FA">
                      <w:pPr>
                        <w:pStyle w:val="TLKontakty"/>
                        <w:spacing w:after="80" w:line="240" w:lineRule="auto"/>
                        <w:contextualSpacing w:val="0"/>
                        <w:rPr>
                          <w:b w:val="0"/>
                          <w:color w:val="auto"/>
                        </w:rPr>
                      </w:pPr>
                      <w:r w:rsidRPr="00D235B7">
                        <w:rPr>
                          <w:color w:val="auto"/>
                        </w:rPr>
                        <w:t>Prodejna publikací ČSÚ</w:t>
                      </w:r>
                      <w:r w:rsidRPr="00D235B7">
                        <w:rPr>
                          <w:b w:val="0"/>
                          <w:color w:val="auto"/>
                        </w:rPr>
                        <w:t xml:space="preserve"> | tel.: 274 052 361 | e-mail: prodejna@czso.cz</w:t>
                      </w:r>
                    </w:p>
                    <w:p w14:paraId="6EF7C443" w14:textId="77777777" w:rsidR="00790B93" w:rsidRPr="00D235B7" w:rsidRDefault="00790B93" w:rsidP="000B30FA">
                      <w:pPr>
                        <w:pStyle w:val="TLKontakty"/>
                        <w:spacing w:after="80" w:line="240" w:lineRule="auto"/>
                        <w:contextualSpacing w:val="0"/>
                        <w:rPr>
                          <w:b w:val="0"/>
                          <w:color w:val="auto"/>
                        </w:rPr>
                      </w:pPr>
                      <w:r w:rsidRPr="00D235B7">
                        <w:rPr>
                          <w:color w:val="auto"/>
                        </w:rPr>
                        <w:t>Evropská data (ESDS), mezinárodní srovnání</w:t>
                      </w:r>
                      <w:r w:rsidRPr="00D235B7">
                        <w:rPr>
                          <w:b w:val="0"/>
                          <w:color w:val="auto"/>
                        </w:rPr>
                        <w:t xml:space="preserve"> | tel.: 274 052 347, 274 052 757 | e-mail: esds@czso.cz</w:t>
                      </w:r>
                    </w:p>
                    <w:p w14:paraId="323130D5" w14:textId="77777777" w:rsidR="00790B93" w:rsidRPr="00D235B7" w:rsidRDefault="00790B93" w:rsidP="000B30FA">
                      <w:pPr>
                        <w:pStyle w:val="TLKontakty"/>
                        <w:spacing w:after="80" w:line="240" w:lineRule="auto"/>
                        <w:contextualSpacing w:val="0"/>
                        <w:rPr>
                          <w:b w:val="0"/>
                          <w:color w:val="auto"/>
                        </w:rPr>
                      </w:pPr>
                      <w:r w:rsidRPr="00D235B7">
                        <w:rPr>
                          <w:color w:val="auto"/>
                        </w:rPr>
                        <w:t>Ústřední statistická knihovna</w:t>
                      </w:r>
                      <w:r w:rsidRPr="00D235B7">
                        <w:rPr>
                          <w:b w:val="0"/>
                          <w:color w:val="auto"/>
                        </w:rPr>
                        <w:t xml:space="preserve"> | tel.: 274 052 361 | e-mail: knihovna@czso.cz</w:t>
                      </w:r>
                    </w:p>
                    <w:p w14:paraId="242B23D6" w14:textId="77777777" w:rsidR="00790B93" w:rsidRPr="004A61C5" w:rsidRDefault="00790B93" w:rsidP="000B30FA">
                      <w:pPr>
                        <w:pStyle w:val="TLKontakty"/>
                        <w:spacing w:after="80" w:line="240" w:lineRule="auto"/>
                        <w:contextualSpacing w:val="0"/>
                        <w:rPr>
                          <w:color w:val="auto"/>
                        </w:rPr>
                      </w:pPr>
                    </w:p>
                    <w:p w14:paraId="260A9505" w14:textId="77777777" w:rsidR="00790B93" w:rsidRPr="00D66223" w:rsidRDefault="00790B93" w:rsidP="000B30FA">
                      <w:pPr>
                        <w:pStyle w:val="TLKontaktyerven"/>
                      </w:pPr>
                      <w:r w:rsidRPr="00D66223">
                        <w:t>INFORMAČNÍ SLUŽBY V REGIONECH</w:t>
                      </w:r>
                    </w:p>
                    <w:p w14:paraId="7F03B735" w14:textId="77777777" w:rsidR="00790B93" w:rsidRPr="00992CF3" w:rsidRDefault="00790B93" w:rsidP="000B30FA">
                      <w:pPr>
                        <w:pStyle w:val="TLKontakty"/>
                        <w:spacing w:after="80" w:line="240" w:lineRule="auto"/>
                        <w:rPr>
                          <w:b w:val="0"/>
                          <w:color w:val="auto"/>
                        </w:rPr>
                      </w:pPr>
                      <w:r w:rsidRPr="00D66223">
                        <w:t>Hl. m. Praha</w:t>
                      </w:r>
                      <w:r w:rsidRPr="00992CF3">
                        <w:rPr>
                          <w:b w:val="0"/>
                          <w:color w:val="auto"/>
                        </w:rPr>
                        <w:t xml:space="preserve"> | Na</w:t>
                      </w:r>
                      <w:r>
                        <w:rPr>
                          <w:b w:val="0"/>
                          <w:color w:val="auto"/>
                        </w:rPr>
                        <w:t xml:space="preserve"> padesátém 81, 100 82 Praha 10, </w:t>
                      </w:r>
                      <w:r w:rsidRPr="00992CF3">
                        <w:rPr>
                          <w:b w:val="0"/>
                          <w:color w:val="auto"/>
                        </w:rPr>
                        <w:t>tel.</w:t>
                      </w:r>
                      <w:r w:rsidRPr="007D40DF">
                        <w:rPr>
                          <w:b w:val="0"/>
                          <w:color w:val="auto"/>
                        </w:rPr>
                        <w:t>:</w:t>
                      </w:r>
                      <w:r>
                        <w:rPr>
                          <w:b w:val="0"/>
                          <w:color w:val="auto"/>
                        </w:rPr>
                        <w:t xml:space="preserve"> 274 052 673, </w:t>
                      </w:r>
                      <w:r w:rsidRPr="00992CF3">
                        <w:rPr>
                          <w:b w:val="0"/>
                          <w:color w:val="auto"/>
                        </w:rPr>
                        <w:t>274 054 223</w:t>
                      </w:r>
                    </w:p>
                    <w:p w14:paraId="4C9856A7" w14:textId="77777777" w:rsidR="00790B93" w:rsidRPr="00992CF3" w:rsidRDefault="00790B93" w:rsidP="000B30FA">
                      <w:pPr>
                        <w:pStyle w:val="TLKontakty"/>
                        <w:spacing w:after="80" w:line="240" w:lineRule="auto"/>
                        <w:rPr>
                          <w:b w:val="0"/>
                          <w:color w:val="auto"/>
                        </w:rPr>
                      </w:pPr>
                      <w:r w:rsidRPr="00992CF3">
                        <w:rPr>
                          <w:b w:val="0"/>
                          <w:color w:val="auto"/>
                        </w:rPr>
                        <w:t xml:space="preserve">e-mail: infoservispraha@czso.cz | </w:t>
                      </w:r>
                      <w:r w:rsidRPr="00992CF3">
                        <w:rPr>
                          <w:color w:val="auto"/>
                        </w:rPr>
                        <w:t>www.praha.czso.cz</w:t>
                      </w:r>
                    </w:p>
                    <w:p w14:paraId="0B411BD0" w14:textId="77777777" w:rsidR="00790B93" w:rsidRPr="004A61C5" w:rsidRDefault="00790B93" w:rsidP="000B30FA">
                      <w:pPr>
                        <w:pStyle w:val="TLKontakty"/>
                        <w:spacing w:after="80" w:line="240" w:lineRule="auto"/>
                        <w:rPr>
                          <w:color w:val="auto"/>
                        </w:rPr>
                      </w:pPr>
                    </w:p>
                    <w:p w14:paraId="5BD4B78E" w14:textId="77777777" w:rsidR="00790B93" w:rsidRPr="00992CF3" w:rsidRDefault="00790B93" w:rsidP="000B30FA">
                      <w:pPr>
                        <w:pStyle w:val="TLKontakty"/>
                        <w:spacing w:after="80" w:line="240" w:lineRule="auto"/>
                        <w:rPr>
                          <w:b w:val="0"/>
                          <w:color w:val="auto"/>
                        </w:rPr>
                      </w:pPr>
                      <w:r w:rsidRPr="00D66223">
                        <w:t>Středočeský kraj</w:t>
                      </w:r>
                      <w:r w:rsidRPr="00992CF3">
                        <w:rPr>
                          <w:b w:val="0"/>
                          <w:color w:val="auto"/>
                        </w:rPr>
                        <w:t xml:space="preserve"> | Na padesátém 81, 100 82 Praha 10, tel.</w:t>
                      </w:r>
                      <w:r>
                        <w:rPr>
                          <w:b w:val="0"/>
                          <w:color w:val="auto"/>
                        </w:rPr>
                        <w:t xml:space="preserve">: </w:t>
                      </w:r>
                      <w:r w:rsidRPr="00992CF3">
                        <w:rPr>
                          <w:b w:val="0"/>
                          <w:color w:val="auto"/>
                        </w:rPr>
                        <w:t>274 054 175</w:t>
                      </w:r>
                    </w:p>
                    <w:p w14:paraId="0A9296E2" w14:textId="77777777" w:rsidR="00790B93" w:rsidRPr="00992CF3" w:rsidRDefault="00790B93" w:rsidP="000B30FA">
                      <w:pPr>
                        <w:pStyle w:val="TLKontakty"/>
                        <w:spacing w:after="80" w:line="240" w:lineRule="auto"/>
                        <w:rPr>
                          <w:color w:val="auto"/>
                        </w:rPr>
                      </w:pPr>
                      <w:r w:rsidRPr="00992CF3">
                        <w:rPr>
                          <w:b w:val="0"/>
                          <w:color w:val="auto"/>
                        </w:rPr>
                        <w:t xml:space="preserve">e-mail: infoservisstc@czso.cz | </w:t>
                      </w:r>
                      <w:r w:rsidRPr="00992CF3">
                        <w:rPr>
                          <w:color w:val="auto"/>
                        </w:rPr>
                        <w:t>www.stredocesky.czso.cz</w:t>
                      </w:r>
                    </w:p>
                    <w:p w14:paraId="34B31CD7" w14:textId="77777777" w:rsidR="00790B93" w:rsidRPr="004A61C5" w:rsidRDefault="00790B93" w:rsidP="000B30FA">
                      <w:pPr>
                        <w:pStyle w:val="TLKontakty"/>
                        <w:spacing w:after="80" w:line="240" w:lineRule="auto"/>
                        <w:rPr>
                          <w:color w:val="auto"/>
                        </w:rPr>
                      </w:pPr>
                    </w:p>
                    <w:p w14:paraId="56663B8C" w14:textId="77777777" w:rsidR="00790B93" w:rsidRPr="00992CF3" w:rsidRDefault="00790B93" w:rsidP="000B30FA">
                      <w:pPr>
                        <w:pStyle w:val="TLKontakty"/>
                        <w:spacing w:after="80" w:line="240" w:lineRule="auto"/>
                        <w:rPr>
                          <w:b w:val="0"/>
                          <w:color w:val="auto"/>
                        </w:rPr>
                      </w:pPr>
                      <w:r w:rsidRPr="00D66223">
                        <w:t>České Budějovice</w:t>
                      </w:r>
                      <w:r w:rsidRPr="00992CF3">
                        <w:rPr>
                          <w:b w:val="0"/>
                          <w:color w:val="auto"/>
                        </w:rPr>
                        <w:t xml:space="preserve"> | Žižkova 1, 370 77 České Budějovice</w:t>
                      </w:r>
                      <w:r>
                        <w:rPr>
                          <w:b w:val="0"/>
                          <w:color w:val="auto"/>
                        </w:rPr>
                        <w:t xml:space="preserve">, </w:t>
                      </w:r>
                      <w:r w:rsidRPr="00992CF3">
                        <w:rPr>
                          <w:b w:val="0"/>
                          <w:color w:val="auto"/>
                        </w:rPr>
                        <w:t>tel.</w:t>
                      </w:r>
                      <w:r>
                        <w:rPr>
                          <w:b w:val="0"/>
                          <w:color w:val="auto"/>
                        </w:rPr>
                        <w:t xml:space="preserve">: </w:t>
                      </w:r>
                      <w:r w:rsidRPr="00992CF3">
                        <w:rPr>
                          <w:b w:val="0"/>
                          <w:color w:val="auto"/>
                        </w:rPr>
                        <w:t>386 718 440</w:t>
                      </w:r>
                    </w:p>
                    <w:p w14:paraId="2B0742BA" w14:textId="77777777" w:rsidR="00790B93" w:rsidRPr="00992CF3" w:rsidRDefault="00790B93" w:rsidP="000B30FA">
                      <w:pPr>
                        <w:pStyle w:val="TLKontakty"/>
                        <w:spacing w:after="80" w:line="240" w:lineRule="auto"/>
                        <w:rPr>
                          <w:b w:val="0"/>
                          <w:color w:val="auto"/>
                        </w:rPr>
                      </w:pPr>
                      <w:r w:rsidRPr="00992CF3">
                        <w:rPr>
                          <w:b w:val="0"/>
                          <w:color w:val="auto"/>
                        </w:rPr>
                        <w:t xml:space="preserve">e-mail: infoserviscb@czso.cz | </w:t>
                      </w:r>
                      <w:r w:rsidRPr="00992CF3">
                        <w:rPr>
                          <w:color w:val="auto"/>
                        </w:rPr>
                        <w:t>www.cbudejovice.czso.cz</w:t>
                      </w:r>
                    </w:p>
                    <w:p w14:paraId="50979D61" w14:textId="77777777" w:rsidR="00790B93" w:rsidRPr="004A61C5" w:rsidRDefault="00790B93" w:rsidP="000B30FA">
                      <w:pPr>
                        <w:pStyle w:val="TLKontakty"/>
                        <w:spacing w:after="80" w:line="240" w:lineRule="auto"/>
                        <w:rPr>
                          <w:color w:val="auto"/>
                        </w:rPr>
                      </w:pPr>
                    </w:p>
                    <w:p w14:paraId="637D7AD6" w14:textId="77777777" w:rsidR="00790B93" w:rsidRPr="00BC731E" w:rsidRDefault="00790B93" w:rsidP="000B30FA">
                      <w:pPr>
                        <w:pStyle w:val="TLKontakty"/>
                        <w:spacing w:after="80" w:line="240" w:lineRule="auto"/>
                        <w:rPr>
                          <w:b w:val="0"/>
                          <w:color w:val="auto"/>
                        </w:rPr>
                      </w:pPr>
                      <w:r w:rsidRPr="00D66223">
                        <w:t>Plzeň</w:t>
                      </w:r>
                      <w:r w:rsidRPr="004A61C5">
                        <w:rPr>
                          <w:b w:val="0"/>
                          <w:color w:val="auto"/>
                        </w:rPr>
                        <w:t xml:space="preserve"> | Slovanská alej 36, 326 64 Plzeň</w:t>
                      </w:r>
                      <w:r>
                        <w:rPr>
                          <w:b w:val="0"/>
                          <w:color w:val="auto"/>
                        </w:rPr>
                        <w:t xml:space="preserve">, </w:t>
                      </w:r>
                      <w:r w:rsidRPr="004A61C5">
                        <w:rPr>
                          <w:b w:val="0"/>
                          <w:color w:val="auto"/>
                        </w:rPr>
                        <w:t>tel.</w:t>
                      </w:r>
                      <w:r>
                        <w:rPr>
                          <w:b w:val="0"/>
                          <w:color w:val="auto"/>
                        </w:rPr>
                        <w:t xml:space="preserve">: </w:t>
                      </w:r>
                      <w:r w:rsidRPr="004A61C5">
                        <w:rPr>
                          <w:b w:val="0"/>
                          <w:color w:val="auto"/>
                        </w:rPr>
                        <w:t>377 612 108</w:t>
                      </w:r>
                      <w:r w:rsidRPr="00BC731E">
                        <w:rPr>
                          <w:b w:val="0"/>
                          <w:color w:val="auto"/>
                        </w:rPr>
                        <w:t>, 377 612 145</w:t>
                      </w:r>
                    </w:p>
                    <w:p w14:paraId="5FDE5375" w14:textId="77777777" w:rsidR="00790B93" w:rsidRPr="004A61C5" w:rsidRDefault="00790B93" w:rsidP="000B30FA">
                      <w:pPr>
                        <w:pStyle w:val="TLKontakty"/>
                        <w:spacing w:after="80" w:line="240" w:lineRule="auto"/>
                        <w:rPr>
                          <w:b w:val="0"/>
                          <w:color w:val="auto"/>
                        </w:rPr>
                      </w:pPr>
                      <w:r w:rsidRPr="004A61C5">
                        <w:rPr>
                          <w:b w:val="0"/>
                          <w:color w:val="auto"/>
                        </w:rPr>
                        <w:t xml:space="preserve">e-mail: infoservisplzen@czso.cz | </w:t>
                      </w:r>
                      <w:r w:rsidRPr="004A61C5">
                        <w:rPr>
                          <w:color w:val="auto"/>
                        </w:rPr>
                        <w:t>www.plzen.czso.cz</w:t>
                      </w:r>
                    </w:p>
                    <w:p w14:paraId="6F34A909" w14:textId="77777777" w:rsidR="00790B93" w:rsidRPr="004A61C5" w:rsidRDefault="00790B93" w:rsidP="000B30FA">
                      <w:pPr>
                        <w:pStyle w:val="TLKontakty"/>
                        <w:spacing w:after="80" w:line="240" w:lineRule="auto"/>
                        <w:rPr>
                          <w:color w:val="auto"/>
                        </w:rPr>
                      </w:pPr>
                    </w:p>
                    <w:p w14:paraId="5245AFEF" w14:textId="77777777" w:rsidR="00790B93" w:rsidRPr="004A61C5" w:rsidRDefault="00790B93" w:rsidP="000B30FA">
                      <w:pPr>
                        <w:pStyle w:val="TLKontakty"/>
                        <w:spacing w:after="80" w:line="240" w:lineRule="auto"/>
                        <w:rPr>
                          <w:b w:val="0"/>
                          <w:color w:val="auto"/>
                        </w:rPr>
                      </w:pPr>
                      <w:r w:rsidRPr="00D66223">
                        <w:t>Karlovy Vary</w:t>
                      </w:r>
                      <w:r w:rsidRPr="004A61C5">
                        <w:rPr>
                          <w:b w:val="0"/>
                          <w:color w:val="auto"/>
                        </w:rPr>
                        <w:t xml:space="preserve"> | </w:t>
                      </w:r>
                      <w:r w:rsidRPr="00095135">
                        <w:rPr>
                          <w:b w:val="0"/>
                          <w:color w:val="auto"/>
                        </w:rPr>
                        <w:t>Závodní 360/94, 360 06 Karlovy Vary</w:t>
                      </w:r>
                      <w:r w:rsidRPr="004A61C5">
                        <w:rPr>
                          <w:b w:val="0"/>
                          <w:color w:val="auto"/>
                        </w:rPr>
                        <w:t>, tel.</w:t>
                      </w:r>
                      <w:r>
                        <w:rPr>
                          <w:b w:val="0"/>
                          <w:color w:val="auto"/>
                        </w:rPr>
                        <w:t xml:space="preserve">: </w:t>
                      </w:r>
                      <w:r w:rsidRPr="004A61C5">
                        <w:rPr>
                          <w:b w:val="0"/>
                          <w:color w:val="auto"/>
                        </w:rPr>
                        <w:t>353 114 529, 353 114 525</w:t>
                      </w:r>
                    </w:p>
                    <w:p w14:paraId="567B52CB" w14:textId="77777777" w:rsidR="00790B93" w:rsidRPr="004A61C5" w:rsidRDefault="00790B93" w:rsidP="000B30FA">
                      <w:pPr>
                        <w:pStyle w:val="TLKontakty"/>
                        <w:spacing w:after="80" w:line="240" w:lineRule="auto"/>
                        <w:rPr>
                          <w:b w:val="0"/>
                          <w:color w:val="auto"/>
                        </w:rPr>
                      </w:pPr>
                      <w:r w:rsidRPr="004A61C5">
                        <w:rPr>
                          <w:b w:val="0"/>
                          <w:color w:val="auto"/>
                        </w:rPr>
                        <w:t xml:space="preserve">e-mail: infoserviskv@czso.cz | </w:t>
                      </w:r>
                      <w:r w:rsidRPr="004A61C5">
                        <w:rPr>
                          <w:color w:val="auto"/>
                        </w:rPr>
                        <w:t>www.kvary.czso.cz</w:t>
                      </w:r>
                    </w:p>
                    <w:p w14:paraId="54240FF5" w14:textId="77777777" w:rsidR="00790B93" w:rsidRPr="004A61C5" w:rsidRDefault="00790B93" w:rsidP="000B30FA">
                      <w:pPr>
                        <w:pStyle w:val="TLKontakty"/>
                        <w:spacing w:after="80" w:line="240" w:lineRule="auto"/>
                        <w:rPr>
                          <w:color w:val="auto"/>
                        </w:rPr>
                      </w:pPr>
                    </w:p>
                    <w:p w14:paraId="06851E85" w14:textId="77777777" w:rsidR="00790B93" w:rsidRPr="004A61C5" w:rsidRDefault="00790B93" w:rsidP="000B30FA">
                      <w:pPr>
                        <w:pStyle w:val="TLKontakty"/>
                        <w:spacing w:after="80" w:line="240" w:lineRule="auto"/>
                        <w:rPr>
                          <w:b w:val="0"/>
                          <w:color w:val="auto"/>
                        </w:rPr>
                      </w:pPr>
                      <w:r w:rsidRPr="00D66223">
                        <w:t>Ústí nad Labem</w:t>
                      </w:r>
                      <w:r w:rsidRPr="004A61C5">
                        <w:rPr>
                          <w:b w:val="0"/>
                          <w:color w:val="auto"/>
                        </w:rPr>
                        <w:t xml:space="preserve"> | Špálova 2684, 400 11 Ústí nad Labem</w:t>
                      </w:r>
                      <w:r>
                        <w:rPr>
                          <w:b w:val="0"/>
                          <w:color w:val="auto"/>
                        </w:rPr>
                        <w:t xml:space="preserve">, </w:t>
                      </w:r>
                      <w:r w:rsidRPr="004A61C5">
                        <w:rPr>
                          <w:b w:val="0"/>
                          <w:color w:val="auto"/>
                        </w:rPr>
                        <w:t>tel.</w:t>
                      </w:r>
                      <w:r>
                        <w:rPr>
                          <w:b w:val="0"/>
                          <w:color w:val="auto"/>
                        </w:rPr>
                        <w:t xml:space="preserve">: </w:t>
                      </w:r>
                      <w:r w:rsidRPr="004A61C5">
                        <w:rPr>
                          <w:b w:val="0"/>
                          <w:color w:val="auto"/>
                        </w:rPr>
                        <w:t>472 706 176,</w:t>
                      </w:r>
                      <w:r>
                        <w:rPr>
                          <w:b w:val="0"/>
                          <w:color w:val="auto"/>
                        </w:rPr>
                        <w:t xml:space="preserve"> </w:t>
                      </w:r>
                      <w:r w:rsidRPr="004A61C5">
                        <w:rPr>
                          <w:b w:val="0"/>
                          <w:color w:val="auto"/>
                        </w:rPr>
                        <w:t>472 706 121</w:t>
                      </w:r>
                    </w:p>
                    <w:p w14:paraId="3BF0991A" w14:textId="77777777" w:rsidR="00790B93" w:rsidRPr="004A61C5" w:rsidRDefault="00790B93" w:rsidP="000B30FA">
                      <w:pPr>
                        <w:pStyle w:val="TLKontakty"/>
                        <w:spacing w:after="80" w:line="240" w:lineRule="auto"/>
                        <w:rPr>
                          <w:b w:val="0"/>
                          <w:color w:val="auto"/>
                        </w:rPr>
                      </w:pPr>
                      <w:r w:rsidRPr="004A61C5">
                        <w:rPr>
                          <w:b w:val="0"/>
                          <w:color w:val="auto"/>
                        </w:rPr>
                        <w:t xml:space="preserve">e-mail: infoservisul@czso.cz | </w:t>
                      </w:r>
                      <w:r w:rsidRPr="004A61C5">
                        <w:rPr>
                          <w:color w:val="auto"/>
                        </w:rPr>
                        <w:t>www.ustinadlabem.czso.cz</w:t>
                      </w:r>
                    </w:p>
                    <w:p w14:paraId="182E4A8C" w14:textId="77777777" w:rsidR="00790B93" w:rsidRPr="004A61C5" w:rsidRDefault="00790B93" w:rsidP="000B30FA">
                      <w:pPr>
                        <w:pStyle w:val="TLKontakty"/>
                        <w:spacing w:after="80" w:line="240" w:lineRule="auto"/>
                        <w:rPr>
                          <w:color w:val="auto"/>
                        </w:rPr>
                      </w:pPr>
                    </w:p>
                    <w:p w14:paraId="42EE9701" w14:textId="77777777" w:rsidR="00790B93" w:rsidRPr="004A61C5" w:rsidRDefault="00790B93" w:rsidP="000B30FA">
                      <w:pPr>
                        <w:pStyle w:val="TLKontakty"/>
                        <w:spacing w:after="80" w:line="240" w:lineRule="auto"/>
                        <w:rPr>
                          <w:b w:val="0"/>
                          <w:color w:val="auto"/>
                        </w:rPr>
                      </w:pPr>
                      <w:r w:rsidRPr="00D66223">
                        <w:t>Liberec</w:t>
                      </w:r>
                      <w:r w:rsidRPr="004A61C5">
                        <w:rPr>
                          <w:b w:val="0"/>
                          <w:color w:val="auto"/>
                        </w:rPr>
                        <w:t xml:space="preserve"> | Nám. Dr. Edvarda Beneše 585/26, 460 01 Liberec 1, tel.</w:t>
                      </w:r>
                      <w:r>
                        <w:rPr>
                          <w:b w:val="0"/>
                          <w:color w:val="auto"/>
                        </w:rPr>
                        <w:t xml:space="preserve">: </w:t>
                      </w:r>
                      <w:r w:rsidRPr="004A61C5">
                        <w:rPr>
                          <w:b w:val="0"/>
                          <w:color w:val="auto"/>
                        </w:rPr>
                        <w:t>485 238 811</w:t>
                      </w:r>
                    </w:p>
                    <w:p w14:paraId="5623D967" w14:textId="77777777" w:rsidR="00790B93" w:rsidRPr="004A61C5" w:rsidRDefault="00790B93" w:rsidP="000B30FA">
                      <w:pPr>
                        <w:pStyle w:val="TLKontakty"/>
                        <w:spacing w:after="80" w:line="240" w:lineRule="auto"/>
                        <w:rPr>
                          <w:b w:val="0"/>
                          <w:color w:val="auto"/>
                        </w:rPr>
                      </w:pPr>
                      <w:r w:rsidRPr="004A61C5">
                        <w:rPr>
                          <w:b w:val="0"/>
                          <w:color w:val="auto"/>
                        </w:rPr>
                        <w:t xml:space="preserve">e-mail: infoservislbc@czso.cz | </w:t>
                      </w:r>
                      <w:r w:rsidRPr="004A61C5">
                        <w:rPr>
                          <w:color w:val="auto"/>
                        </w:rPr>
                        <w:t>www.liberec.czso.cz</w:t>
                      </w:r>
                    </w:p>
                    <w:p w14:paraId="38582EAB" w14:textId="77777777" w:rsidR="00790B93" w:rsidRPr="004A61C5" w:rsidRDefault="00790B93" w:rsidP="000B30FA">
                      <w:pPr>
                        <w:pStyle w:val="TLKontakty"/>
                        <w:spacing w:after="80" w:line="240" w:lineRule="auto"/>
                        <w:rPr>
                          <w:b w:val="0"/>
                          <w:color w:val="auto"/>
                        </w:rPr>
                      </w:pPr>
                    </w:p>
                    <w:p w14:paraId="2A031F54" w14:textId="77777777" w:rsidR="00790B93" w:rsidRPr="004A61C5" w:rsidRDefault="00790B93" w:rsidP="000B30FA">
                      <w:pPr>
                        <w:pStyle w:val="TLKontakty"/>
                        <w:spacing w:after="80" w:line="240" w:lineRule="auto"/>
                        <w:rPr>
                          <w:b w:val="0"/>
                          <w:color w:val="auto"/>
                        </w:rPr>
                      </w:pPr>
                      <w:r w:rsidRPr="00D66223">
                        <w:t>Hradec Králové</w:t>
                      </w:r>
                      <w:r w:rsidRPr="004A61C5">
                        <w:rPr>
                          <w:b w:val="0"/>
                          <w:color w:val="auto"/>
                        </w:rPr>
                        <w:t xml:space="preserve"> | Myslivečkova 914, 500 03 Hradec Králové 3, </w:t>
                      </w:r>
                      <w:r>
                        <w:rPr>
                          <w:b w:val="0"/>
                          <w:color w:val="auto"/>
                        </w:rPr>
                        <w:t>tel.</w:t>
                      </w:r>
                      <w:r w:rsidRPr="007D40DF">
                        <w:rPr>
                          <w:b w:val="0"/>
                          <w:color w:val="auto"/>
                        </w:rPr>
                        <w:t>:</w:t>
                      </w:r>
                      <w:r>
                        <w:rPr>
                          <w:b w:val="0"/>
                          <w:color w:val="auto"/>
                        </w:rPr>
                        <w:t xml:space="preserve"> </w:t>
                      </w:r>
                      <w:r w:rsidRPr="004A61C5">
                        <w:rPr>
                          <w:b w:val="0"/>
                          <w:color w:val="auto"/>
                        </w:rPr>
                        <w:t>495 762 322,</w:t>
                      </w:r>
                      <w:r>
                        <w:rPr>
                          <w:b w:val="0"/>
                          <w:color w:val="auto"/>
                        </w:rPr>
                        <w:t xml:space="preserve"> </w:t>
                      </w:r>
                      <w:r w:rsidRPr="004A61C5">
                        <w:rPr>
                          <w:b w:val="0"/>
                          <w:color w:val="auto"/>
                        </w:rPr>
                        <w:t>495 762 317</w:t>
                      </w:r>
                    </w:p>
                    <w:p w14:paraId="54D59EC0" w14:textId="77777777" w:rsidR="00790B93" w:rsidRPr="004A61C5" w:rsidRDefault="00790B93" w:rsidP="000B30FA">
                      <w:pPr>
                        <w:pStyle w:val="TLKontakty"/>
                        <w:spacing w:after="80" w:line="240" w:lineRule="auto"/>
                        <w:rPr>
                          <w:b w:val="0"/>
                          <w:color w:val="auto"/>
                        </w:rPr>
                      </w:pPr>
                      <w:r w:rsidRPr="004A61C5">
                        <w:rPr>
                          <w:b w:val="0"/>
                          <w:color w:val="auto"/>
                        </w:rPr>
                        <w:t xml:space="preserve">e-mail: infoservishk@czso.cz | </w:t>
                      </w:r>
                      <w:r w:rsidRPr="004A61C5">
                        <w:rPr>
                          <w:color w:val="auto"/>
                        </w:rPr>
                        <w:t>www.hradeckralove.czso.cz</w:t>
                      </w:r>
                    </w:p>
                    <w:p w14:paraId="2237FF4C" w14:textId="77777777" w:rsidR="00790B93" w:rsidRPr="004A61C5" w:rsidRDefault="00790B93" w:rsidP="000B30FA">
                      <w:pPr>
                        <w:pStyle w:val="TLKontakty"/>
                        <w:spacing w:after="80" w:line="240" w:lineRule="auto"/>
                        <w:rPr>
                          <w:color w:val="auto"/>
                        </w:rPr>
                      </w:pPr>
                    </w:p>
                    <w:p w14:paraId="5949CE64" w14:textId="77777777" w:rsidR="00790B93" w:rsidRPr="004A61C5" w:rsidRDefault="00790B93" w:rsidP="000B30FA">
                      <w:pPr>
                        <w:pStyle w:val="TLKontakty"/>
                        <w:spacing w:after="80" w:line="240" w:lineRule="auto"/>
                        <w:rPr>
                          <w:b w:val="0"/>
                          <w:color w:val="auto"/>
                        </w:rPr>
                      </w:pPr>
                      <w:r w:rsidRPr="00D66223">
                        <w:t>Pardubice</w:t>
                      </w:r>
                      <w:r w:rsidRPr="004A61C5">
                        <w:rPr>
                          <w:b w:val="0"/>
                          <w:color w:val="auto"/>
                        </w:rPr>
                        <w:t xml:space="preserve"> | V Ráji 872, 531 53 Pardubice</w:t>
                      </w:r>
                      <w:r>
                        <w:rPr>
                          <w:b w:val="0"/>
                          <w:color w:val="auto"/>
                        </w:rPr>
                        <w:t xml:space="preserve">, </w:t>
                      </w:r>
                      <w:r w:rsidRPr="004A61C5">
                        <w:rPr>
                          <w:b w:val="0"/>
                          <w:color w:val="auto"/>
                        </w:rPr>
                        <w:t>tel.</w:t>
                      </w:r>
                      <w:r>
                        <w:rPr>
                          <w:b w:val="0"/>
                          <w:color w:val="auto"/>
                        </w:rPr>
                        <w:t>:</w:t>
                      </w:r>
                      <w:r w:rsidRPr="004A61C5">
                        <w:rPr>
                          <w:b w:val="0"/>
                          <w:color w:val="auto"/>
                        </w:rPr>
                        <w:t xml:space="preserve"> 466 743 480, 466 743 418</w:t>
                      </w:r>
                    </w:p>
                    <w:p w14:paraId="7F7FAC9D" w14:textId="77777777" w:rsidR="00790B93" w:rsidRPr="004A61C5" w:rsidRDefault="00790B93" w:rsidP="000B30FA">
                      <w:pPr>
                        <w:pStyle w:val="TLKontakty"/>
                        <w:spacing w:after="80" w:line="240" w:lineRule="auto"/>
                        <w:rPr>
                          <w:b w:val="0"/>
                          <w:color w:val="auto"/>
                        </w:rPr>
                      </w:pPr>
                      <w:r w:rsidRPr="004A61C5">
                        <w:rPr>
                          <w:b w:val="0"/>
                          <w:color w:val="auto"/>
                        </w:rPr>
                        <w:t xml:space="preserve">e-mail: infoservispa@czso.cz | </w:t>
                      </w:r>
                      <w:r w:rsidRPr="004A61C5">
                        <w:rPr>
                          <w:color w:val="auto"/>
                        </w:rPr>
                        <w:t>www.pardubice.czso.cz</w:t>
                      </w:r>
                    </w:p>
                    <w:p w14:paraId="600DFE84" w14:textId="77777777" w:rsidR="00790B93" w:rsidRPr="004A61C5" w:rsidRDefault="00790B93" w:rsidP="000B30FA">
                      <w:pPr>
                        <w:pStyle w:val="TLKontakty"/>
                        <w:spacing w:after="80" w:line="240" w:lineRule="auto"/>
                        <w:rPr>
                          <w:b w:val="0"/>
                          <w:color w:val="auto"/>
                        </w:rPr>
                      </w:pPr>
                    </w:p>
                    <w:p w14:paraId="13E9F4FC" w14:textId="77777777" w:rsidR="00790B93" w:rsidRPr="004A61C5" w:rsidRDefault="00790B93" w:rsidP="000B30FA">
                      <w:pPr>
                        <w:pStyle w:val="TLKontakty"/>
                        <w:spacing w:after="80" w:line="240" w:lineRule="auto"/>
                        <w:rPr>
                          <w:b w:val="0"/>
                          <w:color w:val="auto"/>
                        </w:rPr>
                      </w:pPr>
                      <w:r w:rsidRPr="00D66223">
                        <w:t>Jihlava</w:t>
                      </w:r>
                      <w:r w:rsidRPr="004A61C5">
                        <w:rPr>
                          <w:b w:val="0"/>
                          <w:color w:val="auto"/>
                        </w:rPr>
                        <w:t xml:space="preserve"> | Ke Skalce 30,</w:t>
                      </w:r>
                      <w:r>
                        <w:rPr>
                          <w:b w:val="0"/>
                          <w:color w:val="auto"/>
                        </w:rPr>
                        <w:t xml:space="preserve"> 586 01 Jihlava, tel.: </w:t>
                      </w:r>
                      <w:r w:rsidRPr="004A61C5">
                        <w:rPr>
                          <w:b w:val="0"/>
                          <w:color w:val="auto"/>
                        </w:rPr>
                        <w:t xml:space="preserve">567 109 </w:t>
                      </w:r>
                      <w:r w:rsidRPr="00BC731E">
                        <w:rPr>
                          <w:b w:val="0"/>
                          <w:color w:val="auto"/>
                        </w:rPr>
                        <w:t>062, 567 109 073</w:t>
                      </w:r>
                    </w:p>
                    <w:p w14:paraId="116811A9" w14:textId="77777777" w:rsidR="00790B93" w:rsidRPr="004A61C5" w:rsidRDefault="00790B93" w:rsidP="000B30FA">
                      <w:pPr>
                        <w:pStyle w:val="TLKontakty"/>
                        <w:spacing w:after="80" w:line="240" w:lineRule="auto"/>
                        <w:rPr>
                          <w:b w:val="0"/>
                          <w:color w:val="auto"/>
                        </w:rPr>
                      </w:pPr>
                      <w:r w:rsidRPr="004A61C5">
                        <w:rPr>
                          <w:b w:val="0"/>
                          <w:color w:val="auto"/>
                        </w:rPr>
                        <w:t xml:space="preserve">e-mail: infoservisvys@czso.cz | </w:t>
                      </w:r>
                      <w:r w:rsidRPr="004A61C5">
                        <w:rPr>
                          <w:color w:val="auto"/>
                        </w:rPr>
                        <w:t>www.jihlava.czso.cz</w:t>
                      </w:r>
                    </w:p>
                    <w:p w14:paraId="607A3704" w14:textId="77777777" w:rsidR="00790B93" w:rsidRDefault="00790B93" w:rsidP="000B30FA">
                      <w:pPr>
                        <w:pStyle w:val="TLKontakty"/>
                        <w:spacing w:after="80" w:line="240" w:lineRule="auto"/>
                      </w:pPr>
                    </w:p>
                    <w:p w14:paraId="4B9D7E40" w14:textId="77777777" w:rsidR="00790B93" w:rsidRPr="00BC731E" w:rsidRDefault="00790B93" w:rsidP="000B30FA">
                      <w:pPr>
                        <w:pStyle w:val="TLKontakty"/>
                        <w:spacing w:after="80" w:line="240" w:lineRule="auto"/>
                        <w:rPr>
                          <w:b w:val="0"/>
                          <w:color w:val="auto"/>
                        </w:rPr>
                      </w:pPr>
                      <w:r w:rsidRPr="00D66223">
                        <w:t>Brno</w:t>
                      </w:r>
                      <w:r w:rsidRPr="004A61C5">
                        <w:rPr>
                          <w:b w:val="0"/>
                          <w:color w:val="auto"/>
                        </w:rPr>
                        <w:t xml:space="preserve"> | Jezuitská 2, 601 59 Brno, </w:t>
                      </w:r>
                      <w:r>
                        <w:rPr>
                          <w:b w:val="0"/>
                          <w:color w:val="auto"/>
                        </w:rPr>
                        <w:t xml:space="preserve">tel: </w:t>
                      </w:r>
                      <w:r w:rsidRPr="004A61C5">
                        <w:rPr>
                          <w:b w:val="0"/>
                          <w:color w:val="auto"/>
                        </w:rPr>
                        <w:t xml:space="preserve">542 528 </w:t>
                      </w:r>
                      <w:r w:rsidRPr="00BC731E">
                        <w:rPr>
                          <w:b w:val="0"/>
                          <w:color w:val="auto"/>
                        </w:rPr>
                        <w:t>115, 542 528 200</w:t>
                      </w:r>
                    </w:p>
                    <w:p w14:paraId="7401495E" w14:textId="77777777" w:rsidR="00790B93" w:rsidRPr="004A61C5" w:rsidRDefault="00790B93" w:rsidP="000B30FA">
                      <w:pPr>
                        <w:pStyle w:val="TLKontakty"/>
                        <w:spacing w:after="80" w:line="240" w:lineRule="auto"/>
                        <w:rPr>
                          <w:color w:val="auto"/>
                        </w:rPr>
                      </w:pPr>
                      <w:r w:rsidRPr="004A61C5">
                        <w:rPr>
                          <w:b w:val="0"/>
                          <w:color w:val="auto"/>
                        </w:rPr>
                        <w:t xml:space="preserve">e-mail: infoservisbrno@czso.cz | </w:t>
                      </w:r>
                      <w:r w:rsidRPr="004A61C5">
                        <w:rPr>
                          <w:color w:val="auto"/>
                        </w:rPr>
                        <w:t>www.brno.czso.cz</w:t>
                      </w:r>
                    </w:p>
                    <w:p w14:paraId="70689F78" w14:textId="77777777" w:rsidR="00790B93" w:rsidRPr="004A61C5" w:rsidRDefault="00790B93" w:rsidP="000B30FA">
                      <w:pPr>
                        <w:pStyle w:val="TLKontakty"/>
                        <w:spacing w:after="80" w:line="240" w:lineRule="auto"/>
                        <w:rPr>
                          <w:b w:val="0"/>
                          <w:color w:val="auto"/>
                        </w:rPr>
                      </w:pPr>
                    </w:p>
                    <w:p w14:paraId="78BAB667" w14:textId="77777777" w:rsidR="00790B93" w:rsidRPr="005E7C78" w:rsidRDefault="00790B93" w:rsidP="000B30FA">
                      <w:pPr>
                        <w:pStyle w:val="TLKontakty"/>
                        <w:spacing w:after="80" w:line="240" w:lineRule="auto"/>
                        <w:rPr>
                          <w:b w:val="0"/>
                          <w:color w:val="auto"/>
                        </w:rPr>
                      </w:pPr>
                      <w:r w:rsidRPr="00D66223">
                        <w:t>Olomouc</w:t>
                      </w:r>
                      <w:r w:rsidRPr="005E7C78">
                        <w:rPr>
                          <w:b w:val="0"/>
                          <w:color w:val="auto"/>
                        </w:rPr>
                        <w:t xml:space="preserve"> | Jeremenkova 1142/42, 772 11 Olomouc, </w:t>
                      </w:r>
                      <w:r>
                        <w:rPr>
                          <w:b w:val="0"/>
                          <w:color w:val="auto"/>
                        </w:rPr>
                        <w:t xml:space="preserve">tel.: </w:t>
                      </w:r>
                      <w:r w:rsidRPr="005E7C78">
                        <w:rPr>
                          <w:b w:val="0"/>
                          <w:color w:val="auto"/>
                        </w:rPr>
                        <w:t xml:space="preserve">585 731 </w:t>
                      </w:r>
                      <w:r w:rsidRPr="00BC731E">
                        <w:rPr>
                          <w:b w:val="0"/>
                          <w:color w:val="auto"/>
                        </w:rPr>
                        <w:t>516, 585 731 511</w:t>
                      </w:r>
                    </w:p>
                    <w:p w14:paraId="2DF47858" w14:textId="77777777" w:rsidR="00790B93" w:rsidRPr="005E7C78" w:rsidRDefault="00790B93" w:rsidP="000B30FA">
                      <w:pPr>
                        <w:pStyle w:val="TLKontakty"/>
                        <w:spacing w:after="80" w:line="240" w:lineRule="auto"/>
                        <w:rPr>
                          <w:b w:val="0"/>
                          <w:color w:val="auto"/>
                        </w:rPr>
                      </w:pPr>
                      <w:r w:rsidRPr="005E7C78">
                        <w:rPr>
                          <w:b w:val="0"/>
                          <w:color w:val="auto"/>
                        </w:rPr>
                        <w:t xml:space="preserve">e-mail: infoservisolom@czso.cz | </w:t>
                      </w:r>
                      <w:r w:rsidRPr="005E7C78">
                        <w:rPr>
                          <w:color w:val="auto"/>
                        </w:rPr>
                        <w:t>www.olomouc.czso.cz</w:t>
                      </w:r>
                    </w:p>
                    <w:p w14:paraId="16B9833D" w14:textId="77777777" w:rsidR="00790B93" w:rsidRPr="005E7C78" w:rsidRDefault="00790B93" w:rsidP="000B30FA">
                      <w:pPr>
                        <w:pStyle w:val="TLKontakty"/>
                        <w:spacing w:after="80" w:line="240" w:lineRule="auto"/>
                        <w:rPr>
                          <w:b w:val="0"/>
                          <w:color w:val="auto"/>
                        </w:rPr>
                      </w:pPr>
                    </w:p>
                    <w:p w14:paraId="65EC88A2" w14:textId="77777777" w:rsidR="00790B93" w:rsidRPr="005E7C78" w:rsidRDefault="00790B93" w:rsidP="000B30FA">
                      <w:pPr>
                        <w:pStyle w:val="TLKontakty"/>
                        <w:spacing w:after="80" w:line="240" w:lineRule="auto"/>
                        <w:rPr>
                          <w:b w:val="0"/>
                          <w:color w:val="auto"/>
                        </w:rPr>
                      </w:pPr>
                      <w:r w:rsidRPr="00D66223">
                        <w:t>Zlín</w:t>
                      </w:r>
                      <w:r w:rsidRPr="005E7C78">
                        <w:rPr>
                          <w:b w:val="0"/>
                          <w:color w:val="auto"/>
                        </w:rPr>
                        <w:t xml:space="preserve"> | tř. Tomáše Bati 1565, 761 76 Zlín, </w:t>
                      </w:r>
                      <w:r w:rsidRPr="00BC731E">
                        <w:rPr>
                          <w:b w:val="0"/>
                          <w:color w:val="auto"/>
                        </w:rPr>
                        <w:t>tel.: 577 004 932, 5</w:t>
                      </w:r>
                      <w:r w:rsidRPr="005E7C78">
                        <w:rPr>
                          <w:b w:val="0"/>
                          <w:color w:val="auto"/>
                        </w:rPr>
                        <w:t>77 004 935</w:t>
                      </w:r>
                    </w:p>
                    <w:p w14:paraId="3E42A803" w14:textId="77777777" w:rsidR="00790B93" w:rsidRDefault="00790B93" w:rsidP="000B30FA">
                      <w:pPr>
                        <w:pStyle w:val="TLKontakty"/>
                        <w:spacing w:after="80" w:line="240" w:lineRule="auto"/>
                        <w:rPr>
                          <w:color w:val="auto"/>
                        </w:rPr>
                      </w:pPr>
                      <w:r w:rsidRPr="005E7C78">
                        <w:rPr>
                          <w:b w:val="0"/>
                          <w:color w:val="auto"/>
                        </w:rPr>
                        <w:t xml:space="preserve">e-mail: infoservis-zl@czso.cz | </w:t>
                      </w:r>
                      <w:r w:rsidRPr="00227A53">
                        <w:rPr>
                          <w:color w:val="auto"/>
                        </w:rPr>
                        <w:t>www.zlin.czso.cz</w:t>
                      </w:r>
                    </w:p>
                    <w:p w14:paraId="1E3449EB" w14:textId="77777777" w:rsidR="00790B93" w:rsidRPr="005E7C78" w:rsidRDefault="00790B93" w:rsidP="000B30FA">
                      <w:pPr>
                        <w:pStyle w:val="TLKontakty"/>
                        <w:spacing w:after="80" w:line="240" w:lineRule="auto"/>
                        <w:rPr>
                          <w:b w:val="0"/>
                          <w:color w:val="auto"/>
                        </w:rPr>
                      </w:pPr>
                    </w:p>
                    <w:p w14:paraId="57047325" w14:textId="77777777" w:rsidR="00790B93" w:rsidRPr="005E7C78" w:rsidRDefault="00790B93" w:rsidP="000B30FA">
                      <w:pPr>
                        <w:pStyle w:val="TLKontakty"/>
                        <w:spacing w:after="80" w:line="240" w:lineRule="auto"/>
                        <w:rPr>
                          <w:b w:val="0"/>
                          <w:color w:val="auto"/>
                        </w:rPr>
                      </w:pPr>
                      <w:r w:rsidRPr="00D66223">
                        <w:t>Ostrava</w:t>
                      </w:r>
                      <w:r w:rsidRPr="005E7C78">
                        <w:rPr>
                          <w:b w:val="0"/>
                          <w:color w:val="auto"/>
                        </w:rPr>
                        <w:t xml:space="preserve"> | Repinova 17, 702 03 Ostrava,</w:t>
                      </w:r>
                      <w:r>
                        <w:rPr>
                          <w:b w:val="0"/>
                          <w:color w:val="auto"/>
                        </w:rPr>
                        <w:t xml:space="preserve"> tel: </w:t>
                      </w:r>
                      <w:r w:rsidRPr="005E7C78">
                        <w:rPr>
                          <w:b w:val="0"/>
                          <w:color w:val="auto"/>
                        </w:rPr>
                        <w:t>595 131 230, 595 131 232</w:t>
                      </w:r>
                    </w:p>
                    <w:p w14:paraId="60C223D0" w14:textId="77777777" w:rsidR="00790B93" w:rsidRPr="0010437D" w:rsidRDefault="00790B93" w:rsidP="00825C4D">
                      <w:pPr>
                        <w:pStyle w:val="TLKontakty"/>
                        <w:spacing w:after="80" w:line="240" w:lineRule="auto"/>
                        <w:rPr>
                          <w:b w:val="0"/>
                          <w:color w:val="auto"/>
                        </w:rPr>
                      </w:pPr>
                      <w:r w:rsidRPr="005E7C78">
                        <w:rPr>
                          <w:b w:val="0"/>
                          <w:color w:val="auto"/>
                        </w:rPr>
                        <w:t xml:space="preserve">e-mail: infoservis_ov@czso.cz | </w:t>
                      </w:r>
                      <w:r w:rsidRPr="005E7C78">
                        <w:rPr>
                          <w:color w:val="auto"/>
                        </w:rPr>
                        <w:t>www.ostrava.czso.cz</w:t>
                      </w:r>
                    </w:p>
                  </w:txbxContent>
                </v:textbox>
                <w10:wrap anchorx="page" anchory="page"/>
                <w10:anchorlock/>
              </v:shape>
            </w:pict>
          </mc:Fallback>
        </mc:AlternateContent>
      </w:r>
      <w:r w:rsidRPr="00D92E20">
        <w:rPr>
          <w:noProof/>
        </w:rPr>
        <mc:AlternateContent>
          <mc:Choice Requires="wps">
            <w:drawing>
              <wp:anchor distT="0" distB="0" distL="114300" distR="114300" simplePos="0" relativeHeight="251661824" behindDoc="0" locked="1" layoutInCell="1" allowOverlap="1" wp14:anchorId="70772995" wp14:editId="268334EA">
                <wp:simplePos x="0" y="0"/>
                <wp:positionH relativeFrom="page">
                  <wp:posOffset>720090</wp:posOffset>
                </wp:positionH>
                <wp:positionV relativeFrom="page">
                  <wp:posOffset>9486900</wp:posOffset>
                </wp:positionV>
                <wp:extent cx="6120130" cy="360045"/>
                <wp:effectExtent l="0" t="0" r="1270" b="20955"/>
                <wp:wrapNone/>
                <wp:docPr id="23"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60045"/>
                        </a:xfrm>
                        <a:prstGeom prst="rect">
                          <a:avLst/>
                        </a:prstGeom>
                        <a:noFill/>
                        <a:ln>
                          <a:noFill/>
                        </a:ln>
                        <a:extLst>
                          <a:ext uri="{909E8E84-426E-40dd-AFC4-6F175D3DCCD1}">
                            <a14:hiddenFill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D9DBBC2" w14:textId="0EECB9C2" w:rsidR="00790B93" w:rsidRPr="00321924" w:rsidRDefault="00790B93" w:rsidP="008F029B">
                            <w:r w:rsidRPr="00321924">
                              <w:t xml:space="preserve">© Český statistický úřad, </w:t>
                            </w:r>
                            <w:r>
                              <w:t>Praha</w:t>
                            </w:r>
                            <w:r w:rsidRPr="00321924">
                              <w:t xml:space="preserve">, </w:t>
                            </w:r>
                            <w:r>
                              <w:t>2022</w:t>
                            </w:r>
                          </w:p>
                          <w:p w14:paraId="5738F218" w14:textId="77777777" w:rsidR="00790B93" w:rsidRDefault="00790B93"/>
                          <w:p w14:paraId="3EAC5CDC" w14:textId="77777777" w:rsidR="00790B93" w:rsidRPr="00841D9F" w:rsidRDefault="00790B93" w:rsidP="000A3A2C">
                            <w:r w:rsidRPr="00841D9F">
                              <w:rPr>
                                <w:szCs w:val="26"/>
                              </w:rPr>
                              <w:t xml:space="preserve">ISBN XX-XXXX-XXX-X  </w:t>
                            </w:r>
                            <w:r w:rsidRPr="00841D9F">
                              <w:t>(pouze u nepravidelných a ročních publikací)</w:t>
                            </w:r>
                          </w:p>
                          <w:p w14:paraId="75732B1A" w14:textId="77777777" w:rsidR="00790B93" w:rsidRPr="00AF2852" w:rsidRDefault="00790B93" w:rsidP="000A3A2C">
                            <w:r w:rsidRPr="00841D9F">
                              <w:t>© Český sta</w:t>
                            </w:r>
                            <w:r>
                              <w:t xml:space="preserve">tistický úřad / </w:t>
                            </w:r>
                            <w:r w:rsidRPr="009A1902">
                              <w:rPr>
                                <w:i/>
                              </w:rPr>
                              <w:t xml:space="preserve">Czech </w:t>
                            </w:r>
                            <w:r w:rsidRPr="009A1902">
                              <w:rPr>
                                <w:rFonts w:cs="Arial"/>
                                <w:i/>
                                <w:szCs w:val="20"/>
                              </w:rPr>
                              <w:t>Statistical Office</w:t>
                            </w:r>
                            <w:r>
                              <w:t>, místo, rok vydání</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0772995" id="_x0000_s1031" type="#_x0000_t202" style="position:absolute;margin-left:56.7pt;margin-top:747pt;width:481.9pt;height:28.35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" filled="f" stroked="f">
                <v:textbox inset="0,0,0,0">
                  <w:txbxContent>
                    <w:p w14:paraId="6D9DBBC2" w14:textId="0EECB9C2" w:rsidR="00790B93" w:rsidRPr="00321924" w:rsidRDefault="00790B93" w:rsidP="008F029B">
                      <w:r w:rsidRPr="00321924">
                        <w:t xml:space="preserve">© Český statistický úřad, </w:t>
                      </w:r>
                      <w:r>
                        <w:t>Praha</w:t>
                      </w:r>
                      <w:r w:rsidRPr="00321924">
                        <w:t xml:space="preserve">, </w:t>
                      </w:r>
                      <w:r>
                        <w:t>2022</w:t>
                      </w:r>
                    </w:p>
                    <w:p w14:paraId="5738F218" w14:textId="77777777" w:rsidR="00790B93" w:rsidRDefault="00790B93"/>
                    <w:p w14:paraId="3EAC5CDC" w14:textId="77777777" w:rsidR="00790B93" w:rsidRPr="00841D9F" w:rsidRDefault="00790B93" w:rsidP="000A3A2C">
                      <w:r w:rsidRPr="00841D9F">
                        <w:rPr>
                          <w:szCs w:val="26"/>
                        </w:rPr>
                        <w:t xml:space="preserve">ISBN XX-XXXX-XXX-X  </w:t>
                      </w:r>
                      <w:r w:rsidRPr="00841D9F">
                        <w:t>(pouze u nepravidelných a ročních publikací)</w:t>
                      </w:r>
                    </w:p>
                    <w:p w14:paraId="75732B1A" w14:textId="77777777" w:rsidR="00790B93" w:rsidRPr="00AF2852" w:rsidRDefault="00790B93" w:rsidP="000A3A2C">
                      <w:r w:rsidRPr="00841D9F">
                        <w:t>© Český sta</w:t>
                      </w:r>
                      <w:r>
                        <w:t xml:space="preserve">tistický úřad / </w:t>
                      </w:r>
                      <w:r w:rsidRPr="009A1902">
                        <w:rPr>
                          <w:i/>
                        </w:rPr>
                        <w:t xml:space="preserve">Czech </w:t>
                      </w:r>
                      <w:r w:rsidRPr="009A1902">
                        <w:rPr>
                          <w:rFonts w:cs="Arial"/>
                          <w:i/>
                          <w:szCs w:val="20"/>
                        </w:rPr>
                        <w:t>Statistical Office</w:t>
                      </w:r>
                      <w:r>
                        <w:t>, místo, rok vydání</w:t>
                      </w:r>
                    </w:p>
                  </w:txbxContent>
                </v:textbox>
                <w10:wrap anchorx="page" anchory="page"/>
                <w10:anchorlock/>
              </v:shape>
            </w:pict>
          </mc:Fallback>
        </mc:AlternateContent>
      </w:r>
      <w:r w:rsidRPr="00D92E20">
        <w:rPr>
          <w:noProof/>
        </w:rPr>
        <mc:AlternateContent>
          <mc:Choice Requires="wps">
            <w:drawing>
              <wp:anchor distT="0" distB="0" distL="114300" distR="114300" simplePos="0" relativeHeight="251660800" behindDoc="0" locked="1" layoutInCell="1" allowOverlap="1" wp14:anchorId="1291AB2F" wp14:editId="7960EA0F">
                <wp:simplePos x="0" y="0"/>
                <wp:positionH relativeFrom="page">
                  <wp:posOffset>723265</wp:posOffset>
                </wp:positionH>
                <wp:positionV relativeFrom="page">
                  <wp:posOffset>723265</wp:posOffset>
                </wp:positionV>
                <wp:extent cx="6119495" cy="572770"/>
                <wp:effectExtent l="0" t="0" r="2540" b="0"/>
                <wp:wrapNone/>
                <wp:docPr id="1"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9495" cy="572770"/>
                        </a:xfrm>
                        <a:prstGeom prst="rect">
                          <a:avLst/>
                        </a:prstGeom>
                        <a:noFill/>
                        <a:ln>
                          <a:noFill/>
                        </a:ln>
                        <a:extLst>
                          <a:ext uri="{909E8E84-426E-40dd-AFC4-6F175D3DCCD1}">
                            <a14:hiddenFill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2E90347" w14:textId="77777777" w:rsidR="00790B93" w:rsidRPr="009A1902" w:rsidRDefault="00790B93" w:rsidP="000A3A2C">
                            <w:pPr>
                              <w:rPr>
                                <w:b/>
                                <w:bCs/>
                                <w:i/>
                                <w:sz w:val="24"/>
                              </w:rPr>
                            </w:pPr>
                            <w:r w:rsidRPr="00B95F50">
                              <w:rPr>
                                <w:b/>
                                <w:color w:val="0071BC"/>
                                <w:sz w:val="24"/>
                              </w:rPr>
                              <w:t xml:space="preserve">Zajímají Vás nejnovější údaje o inflaci, HDP, obyvatelstvu, průměrných mzdách </w:t>
                            </w:r>
                            <w:r>
                              <w:rPr>
                                <w:b/>
                                <w:color w:val="0071BC"/>
                                <w:sz w:val="24"/>
                              </w:rPr>
                              <w:br/>
                            </w:r>
                            <w:r w:rsidRPr="00B95F50">
                              <w:rPr>
                                <w:b/>
                                <w:color w:val="0071BC"/>
                                <w:sz w:val="24"/>
                              </w:rPr>
                              <w:t xml:space="preserve">a mnohé další? Najdete je na stránkách ČSÚ na internetu: </w:t>
                            </w:r>
                            <w:r>
                              <w:rPr>
                                <w:b/>
                                <w:bCs/>
                                <w:sz w:val="24"/>
                              </w:rPr>
                              <w:t>www.czso.cz</w:t>
                            </w:r>
                          </w:p>
                        </w:txbxContent>
                      </wps:txbx>
                      <wps:bodyPr rot="0" vert="horz" wrap="square" lIns="0" tIns="0" rIns="0" bIns="0" anchor="t" anchorCtr="0" upright="1">
                        <a:spAutoFit/>
                      </wps:bodyPr>
                    </wps:wsp>
                  </a:graphicData>
                </a:graphic>
                <wp14:sizeRelH relativeFrom="margin">
                  <wp14:pctWidth>0</wp14:pctWidth>
                </wp14:sizeRelH>
                <wp14:sizeRelV relativeFrom="margin">
                  <wp14:pctHeight>0</wp14:pctHeight>
                </wp14:sizeRelV>
              </wp:anchor>
            </w:drawing>
          </mc:Choice>
          <mc:Fallback>
            <w:pict>
              <v:shape w14:anchorId="1291AB2F" id="_x0000_s1032" type="#_x0000_t202" style="position:absolute;margin-left:56.95pt;margin-top:56.95pt;width:481.85pt;height:45.1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" filled="f" stroked="f">
                <v:textbox style="mso-fit-shape-to-text:t" inset="0,0,0,0">
                  <w:txbxContent>
                    <w:p w14:paraId="42E90347" w14:textId="77777777" w:rsidR="00790B93" w:rsidRPr="009A1902" w:rsidRDefault="00790B93" w:rsidP="000A3A2C">
                      <w:pPr>
                        <w:rPr>
                          <w:b/>
                          <w:bCs/>
                          <w:i/>
                          <w:sz w:val="24"/>
                        </w:rPr>
                      </w:pPr>
                      <w:r w:rsidRPr="00B95F50">
                        <w:rPr>
                          <w:b/>
                          <w:color w:val="0071BC"/>
                          <w:sz w:val="24"/>
                        </w:rPr>
                        <w:t xml:space="preserve">Zajímají Vás nejnovější údaje o inflaci, HDP, obyvatelstvu, průměrných mzdách </w:t>
                      </w:r>
                      <w:r>
                        <w:rPr>
                          <w:b/>
                          <w:color w:val="0071BC"/>
                          <w:sz w:val="24"/>
                        </w:rPr>
                        <w:br/>
                      </w:r>
                      <w:r w:rsidRPr="00B95F50">
                        <w:rPr>
                          <w:b/>
                          <w:color w:val="0071BC"/>
                          <w:sz w:val="24"/>
                        </w:rPr>
                        <w:t xml:space="preserve">a mnohé další? Najdete je na stránkách ČSÚ na internetu: </w:t>
                      </w:r>
                      <w:r>
                        <w:rPr>
                          <w:b/>
                          <w:bCs/>
                          <w:sz w:val="24"/>
                        </w:rPr>
                        <w:t>www.czso.cz</w:t>
                      </w:r>
                    </w:p>
                  </w:txbxContent>
                </v:textbox>
                <w10:wrap anchorx="page" anchory="page"/>
                <w10:anchorlock/>
              </v:shape>
            </w:pict>
          </mc:Fallback>
        </mc:AlternateContent>
      </w:r>
    </w:p>
    <w:p w14:paraId="10BD7E3D" w14:textId="77777777" w:rsidR="00EE4B1B" w:rsidRPr="00D92E20" w:rsidRDefault="00EE4B1B" w:rsidP="006F5416">
      <w:pPr>
        <w:pStyle w:val="Obsah"/>
      </w:pPr>
      <w:r w:rsidRPr="00D92E20">
        <w:lastRenderedPageBreak/>
        <w:t>Obsah</w:t>
      </w:r>
    </w:p>
    <w:p w14:paraId="613352AC" w14:textId="77777777" w:rsidR="00550835" w:rsidRDefault="004B0288" w:rsidP="004B0288">
      <w:pPr>
        <w:pStyle w:val="Obsah1"/>
        <w:rPr>
          <w:noProof/>
        </w:rPr>
      </w:pPr>
      <w:r w:rsidRPr="00D92E20">
        <w:rPr>
          <w:b/>
        </w:rPr>
        <w:t xml:space="preserve"> </w:t>
      </w:r>
      <w:r w:rsidR="00ED103E" w:rsidRPr="00DC4882">
        <w:rPr>
          <w:b/>
          <w:highlight w:val="yellow"/>
        </w:rPr>
        <w:fldChar w:fldCharType="begin"/>
      </w:r>
      <w:r w:rsidR="00ED103E" w:rsidRPr="00DC4882">
        <w:rPr>
          <w:b/>
          <w:highlight w:val="yellow"/>
        </w:rPr>
        <w:instrText xml:space="preserve"> TOC \o "1-3" \h \z \u </w:instrText>
      </w:r>
      <w:r w:rsidR="00ED103E" w:rsidRPr="00DC4882">
        <w:rPr>
          <w:b/>
          <w:highlight w:val="yellow"/>
        </w:rPr>
        <w:fldChar w:fldCharType="separate"/>
      </w:r>
    </w:p>
    <w:p w14:paraId="08F778A3" w14:textId="490F620E" w:rsidR="00550835" w:rsidRDefault="00550835">
      <w:pPr>
        <w:pStyle w:val="Obsah2"/>
        <w:rPr>
          <w:rFonts w:asciiTheme="minorHAnsi" w:eastAsiaTheme="minorEastAsia" w:hAnsiTheme="minorHAnsi" w:cstheme="minorBidi"/>
          <w:noProof/>
          <w:sz w:val="22"/>
          <w:szCs w:val="22"/>
        </w:rPr>
      </w:pPr>
      <w:hyperlink w:anchor="_Toc117774416" w:history="1">
        <w:r w:rsidRPr="00771FB4">
          <w:rPr>
            <w:rStyle w:val="Hypertextovodkaz"/>
            <w:noProof/>
          </w:rPr>
          <w:t>1.</w:t>
        </w:r>
        <w:r>
          <w:rPr>
            <w:rFonts w:asciiTheme="minorHAnsi" w:eastAsiaTheme="minorEastAsia" w:hAnsiTheme="minorHAnsi" w:cstheme="minorBidi"/>
            <w:noProof/>
            <w:sz w:val="22"/>
            <w:szCs w:val="22"/>
          </w:rPr>
          <w:tab/>
        </w:r>
        <w:r w:rsidRPr="00771FB4">
          <w:rPr>
            <w:rStyle w:val="Hypertextovodkaz"/>
            <w:noProof/>
          </w:rPr>
          <w:t>Úvod</w:t>
        </w:r>
        <w:r>
          <w:rPr>
            <w:noProof/>
            <w:webHidden/>
          </w:rPr>
          <w:tab/>
        </w:r>
        <w:r>
          <w:rPr>
            <w:noProof/>
            <w:webHidden/>
          </w:rPr>
          <w:fldChar w:fldCharType="begin"/>
        </w:r>
        <w:r>
          <w:rPr>
            <w:noProof/>
            <w:webHidden/>
          </w:rPr>
          <w:instrText xml:space="preserve"> PAGEREF _Toc117774416 \h </w:instrText>
        </w:r>
        <w:r>
          <w:rPr>
            <w:noProof/>
            <w:webHidden/>
          </w:rPr>
        </w:r>
        <w:r>
          <w:rPr>
            <w:noProof/>
            <w:webHidden/>
          </w:rPr>
          <w:fldChar w:fldCharType="separate"/>
        </w:r>
        <w:r>
          <w:rPr>
            <w:noProof/>
            <w:webHidden/>
          </w:rPr>
          <w:t>4</w:t>
        </w:r>
        <w:r>
          <w:rPr>
            <w:noProof/>
            <w:webHidden/>
          </w:rPr>
          <w:fldChar w:fldCharType="end"/>
        </w:r>
      </w:hyperlink>
    </w:p>
    <w:p w14:paraId="18DBCB20" w14:textId="6513BC97" w:rsidR="00550835" w:rsidRDefault="00550835">
      <w:pPr>
        <w:pStyle w:val="Obsah2"/>
        <w:rPr>
          <w:rFonts w:asciiTheme="minorHAnsi" w:eastAsiaTheme="minorEastAsia" w:hAnsiTheme="minorHAnsi" w:cstheme="minorBidi"/>
          <w:noProof/>
          <w:sz w:val="22"/>
          <w:szCs w:val="22"/>
        </w:rPr>
      </w:pPr>
      <w:hyperlink w:anchor="_Toc117774417" w:history="1">
        <w:r w:rsidRPr="00771FB4">
          <w:rPr>
            <w:rStyle w:val="Hypertextovodkaz"/>
            <w:noProof/>
          </w:rPr>
          <w:t>2.</w:t>
        </w:r>
        <w:r>
          <w:rPr>
            <w:rFonts w:asciiTheme="minorHAnsi" w:eastAsiaTheme="minorEastAsia" w:hAnsiTheme="minorHAnsi" w:cstheme="minorBidi"/>
            <w:noProof/>
            <w:sz w:val="22"/>
            <w:szCs w:val="22"/>
          </w:rPr>
          <w:tab/>
        </w:r>
        <w:r w:rsidRPr="00771FB4">
          <w:rPr>
            <w:rStyle w:val="Hypertextovodkaz"/>
            <w:noProof/>
          </w:rPr>
          <w:t>Legislativní úprava nemocenského pojištění</w:t>
        </w:r>
        <w:r>
          <w:rPr>
            <w:noProof/>
            <w:webHidden/>
          </w:rPr>
          <w:tab/>
        </w:r>
        <w:r>
          <w:rPr>
            <w:noProof/>
            <w:webHidden/>
          </w:rPr>
          <w:fldChar w:fldCharType="begin"/>
        </w:r>
        <w:r>
          <w:rPr>
            <w:noProof/>
            <w:webHidden/>
          </w:rPr>
          <w:instrText xml:space="preserve"> PAGEREF _Toc117774417 \h </w:instrText>
        </w:r>
        <w:r>
          <w:rPr>
            <w:noProof/>
            <w:webHidden/>
          </w:rPr>
        </w:r>
        <w:r>
          <w:rPr>
            <w:noProof/>
            <w:webHidden/>
          </w:rPr>
          <w:fldChar w:fldCharType="separate"/>
        </w:r>
        <w:r>
          <w:rPr>
            <w:noProof/>
            <w:webHidden/>
          </w:rPr>
          <w:t>6</w:t>
        </w:r>
        <w:r>
          <w:rPr>
            <w:noProof/>
            <w:webHidden/>
          </w:rPr>
          <w:fldChar w:fldCharType="end"/>
        </w:r>
      </w:hyperlink>
    </w:p>
    <w:p w14:paraId="430C5029" w14:textId="5C99E138" w:rsidR="00550835" w:rsidRDefault="00550835">
      <w:pPr>
        <w:pStyle w:val="Obsah3"/>
        <w:rPr>
          <w:rFonts w:asciiTheme="minorHAnsi" w:eastAsiaTheme="minorEastAsia" w:hAnsiTheme="minorHAnsi" w:cstheme="minorBidi"/>
          <w:noProof/>
          <w:sz w:val="22"/>
          <w:szCs w:val="22"/>
        </w:rPr>
      </w:pPr>
      <w:hyperlink w:anchor="_Toc117774418" w:history="1">
        <w:r w:rsidRPr="00771FB4">
          <w:rPr>
            <w:rStyle w:val="Hypertextovodkaz"/>
            <w:noProof/>
          </w:rPr>
          <w:t>2.1</w:t>
        </w:r>
        <w:r>
          <w:rPr>
            <w:rFonts w:asciiTheme="minorHAnsi" w:eastAsiaTheme="minorEastAsia" w:hAnsiTheme="minorHAnsi" w:cstheme="minorBidi"/>
            <w:noProof/>
            <w:sz w:val="22"/>
            <w:szCs w:val="22"/>
          </w:rPr>
          <w:tab/>
        </w:r>
        <w:r w:rsidRPr="00771FB4">
          <w:rPr>
            <w:rStyle w:val="Hypertextovodkaz"/>
            <w:noProof/>
          </w:rPr>
          <w:t>Účast na nemocenském pojištění</w:t>
        </w:r>
        <w:r>
          <w:rPr>
            <w:noProof/>
            <w:webHidden/>
          </w:rPr>
          <w:tab/>
        </w:r>
        <w:r>
          <w:rPr>
            <w:noProof/>
            <w:webHidden/>
          </w:rPr>
          <w:fldChar w:fldCharType="begin"/>
        </w:r>
        <w:r>
          <w:rPr>
            <w:noProof/>
            <w:webHidden/>
          </w:rPr>
          <w:instrText xml:space="preserve"> PAGEREF _Toc117774418 \h </w:instrText>
        </w:r>
        <w:r>
          <w:rPr>
            <w:noProof/>
            <w:webHidden/>
          </w:rPr>
        </w:r>
        <w:r>
          <w:rPr>
            <w:noProof/>
            <w:webHidden/>
          </w:rPr>
          <w:fldChar w:fldCharType="separate"/>
        </w:r>
        <w:r>
          <w:rPr>
            <w:noProof/>
            <w:webHidden/>
          </w:rPr>
          <w:t>6</w:t>
        </w:r>
        <w:r>
          <w:rPr>
            <w:noProof/>
            <w:webHidden/>
          </w:rPr>
          <w:fldChar w:fldCharType="end"/>
        </w:r>
      </w:hyperlink>
    </w:p>
    <w:p w14:paraId="4A6BFDF3" w14:textId="4B57F8F1" w:rsidR="00550835" w:rsidRDefault="00550835">
      <w:pPr>
        <w:pStyle w:val="Obsah3"/>
        <w:rPr>
          <w:rFonts w:asciiTheme="minorHAnsi" w:eastAsiaTheme="minorEastAsia" w:hAnsiTheme="minorHAnsi" w:cstheme="minorBidi"/>
          <w:noProof/>
          <w:sz w:val="22"/>
          <w:szCs w:val="22"/>
        </w:rPr>
      </w:pPr>
      <w:hyperlink w:anchor="_Toc117774419" w:history="1">
        <w:r w:rsidRPr="00771FB4">
          <w:rPr>
            <w:rStyle w:val="Hypertextovodkaz"/>
            <w:noProof/>
          </w:rPr>
          <w:t>2.2</w:t>
        </w:r>
        <w:r>
          <w:rPr>
            <w:rFonts w:asciiTheme="minorHAnsi" w:eastAsiaTheme="minorEastAsia" w:hAnsiTheme="minorHAnsi" w:cstheme="minorBidi"/>
            <w:noProof/>
            <w:sz w:val="22"/>
            <w:szCs w:val="22"/>
          </w:rPr>
          <w:tab/>
        </w:r>
        <w:r w:rsidRPr="00771FB4">
          <w:rPr>
            <w:rStyle w:val="Hypertextovodkaz"/>
            <w:noProof/>
          </w:rPr>
          <w:t>Nemocenské</w:t>
        </w:r>
        <w:r>
          <w:rPr>
            <w:noProof/>
            <w:webHidden/>
          </w:rPr>
          <w:tab/>
        </w:r>
        <w:r>
          <w:rPr>
            <w:noProof/>
            <w:webHidden/>
          </w:rPr>
          <w:fldChar w:fldCharType="begin"/>
        </w:r>
        <w:r>
          <w:rPr>
            <w:noProof/>
            <w:webHidden/>
          </w:rPr>
          <w:instrText xml:space="preserve"> PAGEREF _Toc117774419 \h </w:instrText>
        </w:r>
        <w:r>
          <w:rPr>
            <w:noProof/>
            <w:webHidden/>
          </w:rPr>
        </w:r>
        <w:r>
          <w:rPr>
            <w:noProof/>
            <w:webHidden/>
          </w:rPr>
          <w:fldChar w:fldCharType="separate"/>
        </w:r>
        <w:r>
          <w:rPr>
            <w:noProof/>
            <w:webHidden/>
          </w:rPr>
          <w:t>7</w:t>
        </w:r>
        <w:r>
          <w:rPr>
            <w:noProof/>
            <w:webHidden/>
          </w:rPr>
          <w:fldChar w:fldCharType="end"/>
        </w:r>
      </w:hyperlink>
    </w:p>
    <w:p w14:paraId="2BFA30F0" w14:textId="13404932" w:rsidR="00550835" w:rsidRDefault="00550835">
      <w:pPr>
        <w:pStyle w:val="Obsah3"/>
        <w:rPr>
          <w:rFonts w:asciiTheme="minorHAnsi" w:eastAsiaTheme="minorEastAsia" w:hAnsiTheme="minorHAnsi" w:cstheme="minorBidi"/>
          <w:noProof/>
          <w:sz w:val="22"/>
          <w:szCs w:val="22"/>
        </w:rPr>
      </w:pPr>
      <w:hyperlink w:anchor="_Toc117774420" w:history="1">
        <w:r w:rsidRPr="00771FB4">
          <w:rPr>
            <w:rStyle w:val="Hypertextovodkaz"/>
            <w:noProof/>
          </w:rPr>
          <w:t>2.3</w:t>
        </w:r>
        <w:r>
          <w:rPr>
            <w:rFonts w:asciiTheme="minorHAnsi" w:eastAsiaTheme="minorEastAsia" w:hAnsiTheme="minorHAnsi" w:cstheme="minorBidi"/>
            <w:noProof/>
            <w:sz w:val="22"/>
            <w:szCs w:val="22"/>
          </w:rPr>
          <w:tab/>
        </w:r>
        <w:r w:rsidRPr="00771FB4">
          <w:rPr>
            <w:rStyle w:val="Hypertextovodkaz"/>
            <w:noProof/>
          </w:rPr>
          <w:t>Uplatnění nároku na dávku nemocenského</w:t>
        </w:r>
        <w:r>
          <w:rPr>
            <w:noProof/>
            <w:webHidden/>
          </w:rPr>
          <w:tab/>
        </w:r>
        <w:r>
          <w:rPr>
            <w:noProof/>
            <w:webHidden/>
          </w:rPr>
          <w:fldChar w:fldCharType="begin"/>
        </w:r>
        <w:r>
          <w:rPr>
            <w:noProof/>
            <w:webHidden/>
          </w:rPr>
          <w:instrText xml:space="preserve"> PAGEREF _Toc117774420 \h </w:instrText>
        </w:r>
        <w:r>
          <w:rPr>
            <w:noProof/>
            <w:webHidden/>
          </w:rPr>
        </w:r>
        <w:r>
          <w:rPr>
            <w:noProof/>
            <w:webHidden/>
          </w:rPr>
          <w:fldChar w:fldCharType="separate"/>
        </w:r>
        <w:r>
          <w:rPr>
            <w:noProof/>
            <w:webHidden/>
          </w:rPr>
          <w:t>8</w:t>
        </w:r>
        <w:r>
          <w:rPr>
            <w:noProof/>
            <w:webHidden/>
          </w:rPr>
          <w:fldChar w:fldCharType="end"/>
        </w:r>
      </w:hyperlink>
    </w:p>
    <w:p w14:paraId="383442FA" w14:textId="7F40675B" w:rsidR="00550835" w:rsidRDefault="00550835">
      <w:pPr>
        <w:pStyle w:val="Obsah3"/>
        <w:rPr>
          <w:rFonts w:asciiTheme="minorHAnsi" w:eastAsiaTheme="minorEastAsia" w:hAnsiTheme="minorHAnsi" w:cstheme="minorBidi"/>
          <w:noProof/>
          <w:sz w:val="22"/>
          <w:szCs w:val="22"/>
        </w:rPr>
      </w:pPr>
      <w:hyperlink w:anchor="_Toc117774421" w:history="1">
        <w:r w:rsidRPr="00771FB4">
          <w:rPr>
            <w:rStyle w:val="Hypertextovodkaz"/>
            <w:noProof/>
          </w:rPr>
          <w:t>2.4</w:t>
        </w:r>
        <w:r>
          <w:rPr>
            <w:rFonts w:asciiTheme="minorHAnsi" w:eastAsiaTheme="minorEastAsia" w:hAnsiTheme="minorHAnsi" w:cstheme="minorBidi"/>
            <w:noProof/>
            <w:sz w:val="22"/>
            <w:szCs w:val="22"/>
          </w:rPr>
          <w:tab/>
        </w:r>
        <w:r w:rsidRPr="00771FB4">
          <w:rPr>
            <w:rStyle w:val="Hypertextovodkaz"/>
            <w:noProof/>
          </w:rPr>
          <w:t>Uplatnění nároku na ostatní dávky nemocenského pojištění včetně nemocenského z důvodu nařízené karantény</w:t>
        </w:r>
        <w:r>
          <w:rPr>
            <w:noProof/>
            <w:webHidden/>
          </w:rPr>
          <w:tab/>
        </w:r>
        <w:r>
          <w:rPr>
            <w:noProof/>
            <w:webHidden/>
          </w:rPr>
          <w:fldChar w:fldCharType="begin"/>
        </w:r>
        <w:r>
          <w:rPr>
            <w:noProof/>
            <w:webHidden/>
          </w:rPr>
          <w:instrText xml:space="preserve"> PAGEREF _Toc117774421 \h </w:instrText>
        </w:r>
        <w:r>
          <w:rPr>
            <w:noProof/>
            <w:webHidden/>
          </w:rPr>
        </w:r>
        <w:r>
          <w:rPr>
            <w:noProof/>
            <w:webHidden/>
          </w:rPr>
          <w:fldChar w:fldCharType="separate"/>
        </w:r>
        <w:r>
          <w:rPr>
            <w:noProof/>
            <w:webHidden/>
          </w:rPr>
          <w:t>9</w:t>
        </w:r>
        <w:r>
          <w:rPr>
            <w:noProof/>
            <w:webHidden/>
          </w:rPr>
          <w:fldChar w:fldCharType="end"/>
        </w:r>
      </w:hyperlink>
    </w:p>
    <w:p w14:paraId="47FA37DA" w14:textId="0865D2BB" w:rsidR="00550835" w:rsidRDefault="00550835">
      <w:pPr>
        <w:pStyle w:val="Obsah3"/>
        <w:rPr>
          <w:rFonts w:asciiTheme="minorHAnsi" w:eastAsiaTheme="minorEastAsia" w:hAnsiTheme="minorHAnsi" w:cstheme="minorBidi"/>
          <w:noProof/>
          <w:sz w:val="22"/>
          <w:szCs w:val="22"/>
        </w:rPr>
      </w:pPr>
      <w:hyperlink w:anchor="_Toc117774422" w:history="1">
        <w:r w:rsidRPr="00771FB4">
          <w:rPr>
            <w:rStyle w:val="Hypertextovodkaz"/>
            <w:noProof/>
          </w:rPr>
          <w:t>2.5</w:t>
        </w:r>
        <w:r>
          <w:rPr>
            <w:rFonts w:asciiTheme="minorHAnsi" w:eastAsiaTheme="minorEastAsia" w:hAnsiTheme="minorHAnsi" w:cstheme="minorBidi"/>
            <w:noProof/>
            <w:sz w:val="22"/>
            <w:szCs w:val="22"/>
          </w:rPr>
          <w:tab/>
        </w:r>
        <w:r w:rsidRPr="00771FB4">
          <w:rPr>
            <w:rStyle w:val="Hypertextovodkaz"/>
            <w:noProof/>
          </w:rPr>
          <w:t>Výpočet dávky nemocenského</w:t>
        </w:r>
        <w:r>
          <w:rPr>
            <w:noProof/>
            <w:webHidden/>
          </w:rPr>
          <w:tab/>
        </w:r>
        <w:r>
          <w:rPr>
            <w:noProof/>
            <w:webHidden/>
          </w:rPr>
          <w:fldChar w:fldCharType="begin"/>
        </w:r>
        <w:r>
          <w:rPr>
            <w:noProof/>
            <w:webHidden/>
          </w:rPr>
          <w:instrText xml:space="preserve"> PAGEREF _Toc117774422 \h </w:instrText>
        </w:r>
        <w:r>
          <w:rPr>
            <w:noProof/>
            <w:webHidden/>
          </w:rPr>
        </w:r>
        <w:r>
          <w:rPr>
            <w:noProof/>
            <w:webHidden/>
          </w:rPr>
          <w:fldChar w:fldCharType="separate"/>
        </w:r>
        <w:r>
          <w:rPr>
            <w:noProof/>
            <w:webHidden/>
          </w:rPr>
          <w:t>9</w:t>
        </w:r>
        <w:r>
          <w:rPr>
            <w:noProof/>
            <w:webHidden/>
          </w:rPr>
          <w:fldChar w:fldCharType="end"/>
        </w:r>
      </w:hyperlink>
    </w:p>
    <w:p w14:paraId="653D8786" w14:textId="152B801A" w:rsidR="00550835" w:rsidRDefault="00550835">
      <w:pPr>
        <w:pStyle w:val="Obsah3"/>
        <w:rPr>
          <w:rFonts w:asciiTheme="minorHAnsi" w:eastAsiaTheme="minorEastAsia" w:hAnsiTheme="minorHAnsi" w:cstheme="minorBidi"/>
          <w:noProof/>
          <w:sz w:val="22"/>
          <w:szCs w:val="22"/>
        </w:rPr>
      </w:pPr>
      <w:hyperlink w:anchor="_Toc117774423" w:history="1">
        <w:r w:rsidRPr="00771FB4">
          <w:rPr>
            <w:rStyle w:val="Hypertextovodkaz"/>
            <w:noProof/>
          </w:rPr>
          <w:t>2.6</w:t>
        </w:r>
        <w:r>
          <w:rPr>
            <w:rFonts w:asciiTheme="minorHAnsi" w:eastAsiaTheme="minorEastAsia" w:hAnsiTheme="minorHAnsi" w:cstheme="minorBidi"/>
            <w:noProof/>
            <w:sz w:val="22"/>
            <w:szCs w:val="22"/>
          </w:rPr>
          <w:tab/>
        </w:r>
        <w:r w:rsidRPr="00771FB4">
          <w:rPr>
            <w:rStyle w:val="Hypertextovodkaz"/>
            <w:noProof/>
          </w:rPr>
          <w:t>Nejvýznamnější legislativní změny v oblasti nemocenského pojištění</w:t>
        </w:r>
        <w:r>
          <w:rPr>
            <w:noProof/>
            <w:webHidden/>
          </w:rPr>
          <w:tab/>
        </w:r>
        <w:r>
          <w:rPr>
            <w:noProof/>
            <w:webHidden/>
          </w:rPr>
          <w:fldChar w:fldCharType="begin"/>
        </w:r>
        <w:r>
          <w:rPr>
            <w:noProof/>
            <w:webHidden/>
          </w:rPr>
          <w:instrText xml:space="preserve"> PAGEREF _Toc117774423 \h </w:instrText>
        </w:r>
        <w:r>
          <w:rPr>
            <w:noProof/>
            <w:webHidden/>
          </w:rPr>
        </w:r>
        <w:r>
          <w:rPr>
            <w:noProof/>
            <w:webHidden/>
          </w:rPr>
          <w:fldChar w:fldCharType="separate"/>
        </w:r>
        <w:r>
          <w:rPr>
            <w:noProof/>
            <w:webHidden/>
          </w:rPr>
          <w:t>9</w:t>
        </w:r>
        <w:r>
          <w:rPr>
            <w:noProof/>
            <w:webHidden/>
          </w:rPr>
          <w:fldChar w:fldCharType="end"/>
        </w:r>
      </w:hyperlink>
    </w:p>
    <w:p w14:paraId="04851E03" w14:textId="0B8BD4B3" w:rsidR="00550835" w:rsidRDefault="00550835">
      <w:pPr>
        <w:pStyle w:val="Obsah2"/>
        <w:rPr>
          <w:rFonts w:asciiTheme="minorHAnsi" w:eastAsiaTheme="minorEastAsia" w:hAnsiTheme="minorHAnsi" w:cstheme="minorBidi"/>
          <w:noProof/>
          <w:sz w:val="22"/>
          <w:szCs w:val="22"/>
        </w:rPr>
      </w:pPr>
      <w:hyperlink w:anchor="_Toc117774424" w:history="1">
        <w:r w:rsidRPr="00771FB4">
          <w:rPr>
            <w:rStyle w:val="Hypertextovodkaz"/>
            <w:noProof/>
          </w:rPr>
          <w:t>3.</w:t>
        </w:r>
        <w:r>
          <w:rPr>
            <w:rFonts w:asciiTheme="minorHAnsi" w:eastAsiaTheme="minorEastAsia" w:hAnsiTheme="minorHAnsi" w:cstheme="minorBidi"/>
            <w:noProof/>
            <w:sz w:val="22"/>
            <w:szCs w:val="22"/>
          </w:rPr>
          <w:tab/>
        </w:r>
        <w:r w:rsidRPr="00771FB4">
          <w:rPr>
            <w:rStyle w:val="Hypertextovodkaz"/>
            <w:noProof/>
          </w:rPr>
          <w:t>Metodika a zdroje dat</w:t>
        </w:r>
        <w:r>
          <w:rPr>
            <w:noProof/>
            <w:webHidden/>
          </w:rPr>
          <w:tab/>
        </w:r>
        <w:r>
          <w:rPr>
            <w:noProof/>
            <w:webHidden/>
          </w:rPr>
          <w:fldChar w:fldCharType="begin"/>
        </w:r>
        <w:r>
          <w:rPr>
            <w:noProof/>
            <w:webHidden/>
          </w:rPr>
          <w:instrText xml:space="preserve"> PAGEREF _Toc117774424 \h </w:instrText>
        </w:r>
        <w:r>
          <w:rPr>
            <w:noProof/>
            <w:webHidden/>
          </w:rPr>
        </w:r>
        <w:r>
          <w:rPr>
            <w:noProof/>
            <w:webHidden/>
          </w:rPr>
          <w:fldChar w:fldCharType="separate"/>
        </w:r>
        <w:r>
          <w:rPr>
            <w:noProof/>
            <w:webHidden/>
          </w:rPr>
          <w:t>11</w:t>
        </w:r>
        <w:r>
          <w:rPr>
            <w:noProof/>
            <w:webHidden/>
          </w:rPr>
          <w:fldChar w:fldCharType="end"/>
        </w:r>
      </w:hyperlink>
    </w:p>
    <w:p w14:paraId="01DD1603" w14:textId="38AA1528" w:rsidR="00550835" w:rsidRDefault="00550835">
      <w:pPr>
        <w:pStyle w:val="Obsah2"/>
        <w:rPr>
          <w:rFonts w:asciiTheme="minorHAnsi" w:eastAsiaTheme="minorEastAsia" w:hAnsiTheme="minorHAnsi" w:cstheme="minorBidi"/>
          <w:noProof/>
          <w:sz w:val="22"/>
          <w:szCs w:val="22"/>
        </w:rPr>
      </w:pPr>
      <w:hyperlink w:anchor="_Toc117774425" w:history="1">
        <w:r w:rsidRPr="00771FB4">
          <w:rPr>
            <w:rStyle w:val="Hypertextovodkaz"/>
            <w:noProof/>
          </w:rPr>
          <w:t>4.</w:t>
        </w:r>
        <w:r>
          <w:rPr>
            <w:rFonts w:asciiTheme="minorHAnsi" w:eastAsiaTheme="minorEastAsia" w:hAnsiTheme="minorHAnsi" w:cstheme="minorBidi"/>
            <w:noProof/>
            <w:sz w:val="22"/>
            <w:szCs w:val="22"/>
          </w:rPr>
          <w:tab/>
        </w:r>
        <w:r w:rsidRPr="00771FB4">
          <w:rPr>
            <w:rStyle w:val="Hypertextovodkaz"/>
            <w:noProof/>
          </w:rPr>
          <w:t>Analytická část</w:t>
        </w:r>
        <w:r>
          <w:rPr>
            <w:noProof/>
            <w:webHidden/>
          </w:rPr>
          <w:tab/>
        </w:r>
        <w:r>
          <w:rPr>
            <w:noProof/>
            <w:webHidden/>
          </w:rPr>
          <w:fldChar w:fldCharType="begin"/>
        </w:r>
        <w:r>
          <w:rPr>
            <w:noProof/>
            <w:webHidden/>
          </w:rPr>
          <w:instrText xml:space="preserve"> PAGEREF _Toc117774425 \h </w:instrText>
        </w:r>
        <w:r>
          <w:rPr>
            <w:noProof/>
            <w:webHidden/>
          </w:rPr>
        </w:r>
        <w:r>
          <w:rPr>
            <w:noProof/>
            <w:webHidden/>
          </w:rPr>
          <w:fldChar w:fldCharType="separate"/>
        </w:r>
        <w:r>
          <w:rPr>
            <w:noProof/>
            <w:webHidden/>
          </w:rPr>
          <w:t>14</w:t>
        </w:r>
        <w:r>
          <w:rPr>
            <w:noProof/>
            <w:webHidden/>
          </w:rPr>
          <w:fldChar w:fldCharType="end"/>
        </w:r>
      </w:hyperlink>
    </w:p>
    <w:p w14:paraId="19A2180E" w14:textId="393DB6F6" w:rsidR="00550835" w:rsidRDefault="00550835">
      <w:pPr>
        <w:pStyle w:val="Obsah3"/>
        <w:rPr>
          <w:rFonts w:asciiTheme="minorHAnsi" w:eastAsiaTheme="minorEastAsia" w:hAnsiTheme="minorHAnsi" w:cstheme="minorBidi"/>
          <w:noProof/>
          <w:sz w:val="22"/>
          <w:szCs w:val="22"/>
        </w:rPr>
      </w:pPr>
      <w:hyperlink w:anchor="_Toc117774426" w:history="1">
        <w:r w:rsidRPr="00771FB4">
          <w:rPr>
            <w:rStyle w:val="Hypertextovodkaz"/>
            <w:noProof/>
          </w:rPr>
          <w:t>4.1 Nemocensky pojištěné osoby</w:t>
        </w:r>
        <w:r>
          <w:rPr>
            <w:noProof/>
            <w:webHidden/>
          </w:rPr>
          <w:tab/>
        </w:r>
        <w:r>
          <w:rPr>
            <w:noProof/>
            <w:webHidden/>
          </w:rPr>
          <w:fldChar w:fldCharType="begin"/>
        </w:r>
        <w:r>
          <w:rPr>
            <w:noProof/>
            <w:webHidden/>
          </w:rPr>
          <w:instrText xml:space="preserve"> PAGEREF _Toc117774426 \h </w:instrText>
        </w:r>
        <w:r>
          <w:rPr>
            <w:noProof/>
            <w:webHidden/>
          </w:rPr>
        </w:r>
        <w:r>
          <w:rPr>
            <w:noProof/>
            <w:webHidden/>
          </w:rPr>
          <w:fldChar w:fldCharType="separate"/>
        </w:r>
        <w:r>
          <w:rPr>
            <w:noProof/>
            <w:webHidden/>
          </w:rPr>
          <w:t>14</w:t>
        </w:r>
        <w:r>
          <w:rPr>
            <w:noProof/>
            <w:webHidden/>
          </w:rPr>
          <w:fldChar w:fldCharType="end"/>
        </w:r>
      </w:hyperlink>
    </w:p>
    <w:p w14:paraId="7A8195F2" w14:textId="7DE0918F" w:rsidR="00550835" w:rsidRDefault="00550835">
      <w:pPr>
        <w:pStyle w:val="Obsah3"/>
        <w:rPr>
          <w:rFonts w:asciiTheme="minorHAnsi" w:eastAsiaTheme="minorEastAsia" w:hAnsiTheme="minorHAnsi" w:cstheme="minorBidi"/>
          <w:noProof/>
          <w:sz w:val="22"/>
          <w:szCs w:val="22"/>
        </w:rPr>
      </w:pPr>
      <w:hyperlink w:anchor="_Toc117774427" w:history="1">
        <w:r w:rsidRPr="00771FB4">
          <w:rPr>
            <w:rStyle w:val="Hypertextovodkaz"/>
            <w:noProof/>
          </w:rPr>
          <w:t>4.2 Nově hlá</w:t>
        </w:r>
        <w:r w:rsidRPr="00771FB4">
          <w:rPr>
            <w:rStyle w:val="Hypertextovodkaz"/>
            <w:noProof/>
          </w:rPr>
          <w:t>š</w:t>
        </w:r>
        <w:r w:rsidRPr="00771FB4">
          <w:rPr>
            <w:rStyle w:val="Hypertextovodkaz"/>
            <w:noProof/>
          </w:rPr>
          <w:t>ené případy dočasné pracovní neschopnosti</w:t>
        </w:r>
        <w:r>
          <w:rPr>
            <w:noProof/>
            <w:webHidden/>
          </w:rPr>
          <w:tab/>
        </w:r>
        <w:r>
          <w:rPr>
            <w:noProof/>
            <w:webHidden/>
          </w:rPr>
          <w:fldChar w:fldCharType="begin"/>
        </w:r>
        <w:r>
          <w:rPr>
            <w:noProof/>
            <w:webHidden/>
          </w:rPr>
          <w:instrText xml:space="preserve"> PAGEREF _Toc117774427 \h </w:instrText>
        </w:r>
        <w:r>
          <w:rPr>
            <w:noProof/>
            <w:webHidden/>
          </w:rPr>
        </w:r>
        <w:r>
          <w:rPr>
            <w:noProof/>
            <w:webHidden/>
          </w:rPr>
          <w:fldChar w:fldCharType="separate"/>
        </w:r>
        <w:r>
          <w:rPr>
            <w:noProof/>
            <w:webHidden/>
          </w:rPr>
          <w:t>17</w:t>
        </w:r>
        <w:r>
          <w:rPr>
            <w:noProof/>
            <w:webHidden/>
          </w:rPr>
          <w:fldChar w:fldCharType="end"/>
        </w:r>
      </w:hyperlink>
    </w:p>
    <w:p w14:paraId="586252FC" w14:textId="5097ABFD" w:rsidR="00550835" w:rsidRDefault="00550835">
      <w:pPr>
        <w:pStyle w:val="Obsah3"/>
        <w:rPr>
          <w:rFonts w:asciiTheme="minorHAnsi" w:eastAsiaTheme="minorEastAsia" w:hAnsiTheme="minorHAnsi" w:cstheme="minorBidi"/>
          <w:noProof/>
          <w:sz w:val="22"/>
          <w:szCs w:val="22"/>
        </w:rPr>
      </w:pPr>
      <w:hyperlink w:anchor="_Toc117774428" w:history="1">
        <w:r w:rsidRPr="00771FB4">
          <w:rPr>
            <w:rStyle w:val="Hypertextovodkaz"/>
            <w:noProof/>
          </w:rPr>
          <w:t>4.2.1 Počet případů dočasné pracovní neschopnosti</w:t>
        </w:r>
        <w:r>
          <w:rPr>
            <w:noProof/>
            <w:webHidden/>
          </w:rPr>
          <w:tab/>
        </w:r>
        <w:r>
          <w:rPr>
            <w:noProof/>
            <w:webHidden/>
          </w:rPr>
          <w:fldChar w:fldCharType="begin"/>
        </w:r>
        <w:r>
          <w:rPr>
            <w:noProof/>
            <w:webHidden/>
          </w:rPr>
          <w:instrText xml:space="preserve"> PAGEREF _Toc117774428 \h </w:instrText>
        </w:r>
        <w:r>
          <w:rPr>
            <w:noProof/>
            <w:webHidden/>
          </w:rPr>
        </w:r>
        <w:r>
          <w:rPr>
            <w:noProof/>
            <w:webHidden/>
          </w:rPr>
          <w:fldChar w:fldCharType="separate"/>
        </w:r>
        <w:r>
          <w:rPr>
            <w:noProof/>
            <w:webHidden/>
          </w:rPr>
          <w:t>17</w:t>
        </w:r>
        <w:r>
          <w:rPr>
            <w:noProof/>
            <w:webHidden/>
          </w:rPr>
          <w:fldChar w:fldCharType="end"/>
        </w:r>
      </w:hyperlink>
    </w:p>
    <w:p w14:paraId="4F1660F1" w14:textId="34A5759A" w:rsidR="00550835" w:rsidRDefault="00550835">
      <w:pPr>
        <w:pStyle w:val="Obsah3"/>
        <w:rPr>
          <w:rFonts w:asciiTheme="minorHAnsi" w:eastAsiaTheme="minorEastAsia" w:hAnsiTheme="minorHAnsi" w:cstheme="minorBidi"/>
          <w:noProof/>
          <w:sz w:val="22"/>
          <w:szCs w:val="22"/>
        </w:rPr>
      </w:pPr>
      <w:hyperlink w:anchor="_Toc117774429" w:history="1">
        <w:r w:rsidRPr="00771FB4">
          <w:rPr>
            <w:rStyle w:val="Hypertextovodkaz"/>
            <w:noProof/>
          </w:rPr>
          <w:t>4.2.2 Délka trvání dočasné pracovní neschopnosti</w:t>
        </w:r>
        <w:r>
          <w:rPr>
            <w:noProof/>
            <w:webHidden/>
          </w:rPr>
          <w:tab/>
        </w:r>
        <w:r>
          <w:rPr>
            <w:noProof/>
            <w:webHidden/>
          </w:rPr>
          <w:fldChar w:fldCharType="begin"/>
        </w:r>
        <w:r>
          <w:rPr>
            <w:noProof/>
            <w:webHidden/>
          </w:rPr>
          <w:instrText xml:space="preserve"> PAGEREF _Toc117774429 \h </w:instrText>
        </w:r>
        <w:r>
          <w:rPr>
            <w:noProof/>
            <w:webHidden/>
          </w:rPr>
        </w:r>
        <w:r>
          <w:rPr>
            <w:noProof/>
            <w:webHidden/>
          </w:rPr>
          <w:fldChar w:fldCharType="separate"/>
        </w:r>
        <w:r>
          <w:rPr>
            <w:noProof/>
            <w:webHidden/>
          </w:rPr>
          <w:t>25</w:t>
        </w:r>
        <w:r>
          <w:rPr>
            <w:noProof/>
            <w:webHidden/>
          </w:rPr>
          <w:fldChar w:fldCharType="end"/>
        </w:r>
      </w:hyperlink>
    </w:p>
    <w:p w14:paraId="2891DDC3" w14:textId="69EB5A40" w:rsidR="00550835" w:rsidRDefault="00550835">
      <w:pPr>
        <w:pStyle w:val="Obsah3"/>
        <w:rPr>
          <w:rFonts w:asciiTheme="minorHAnsi" w:eastAsiaTheme="minorEastAsia" w:hAnsiTheme="minorHAnsi" w:cstheme="minorBidi"/>
          <w:noProof/>
          <w:sz w:val="22"/>
          <w:szCs w:val="22"/>
        </w:rPr>
      </w:pPr>
      <w:hyperlink w:anchor="_Toc117774430" w:history="1">
        <w:r w:rsidRPr="00771FB4">
          <w:rPr>
            <w:rStyle w:val="Hypertextovodkaz"/>
            <w:noProof/>
          </w:rPr>
          <w:t>4.2.3 Průměrné procento dočasné pracovní neschopnosti a průměrný denní stav dočasně práce neschopných</w:t>
        </w:r>
        <w:r>
          <w:rPr>
            <w:noProof/>
            <w:webHidden/>
          </w:rPr>
          <w:tab/>
        </w:r>
        <w:r>
          <w:rPr>
            <w:noProof/>
            <w:webHidden/>
          </w:rPr>
          <w:fldChar w:fldCharType="begin"/>
        </w:r>
        <w:r>
          <w:rPr>
            <w:noProof/>
            <w:webHidden/>
          </w:rPr>
          <w:instrText xml:space="preserve"> PAGEREF _Toc117774430 \h </w:instrText>
        </w:r>
        <w:r>
          <w:rPr>
            <w:noProof/>
            <w:webHidden/>
          </w:rPr>
        </w:r>
        <w:r>
          <w:rPr>
            <w:noProof/>
            <w:webHidden/>
          </w:rPr>
          <w:fldChar w:fldCharType="separate"/>
        </w:r>
        <w:r>
          <w:rPr>
            <w:noProof/>
            <w:webHidden/>
          </w:rPr>
          <w:t>33</w:t>
        </w:r>
        <w:r>
          <w:rPr>
            <w:noProof/>
            <w:webHidden/>
          </w:rPr>
          <w:fldChar w:fldCharType="end"/>
        </w:r>
      </w:hyperlink>
    </w:p>
    <w:p w14:paraId="7EF53E01" w14:textId="2313ABA8" w:rsidR="00550835" w:rsidRDefault="00550835">
      <w:pPr>
        <w:pStyle w:val="Obsah3"/>
        <w:rPr>
          <w:rFonts w:asciiTheme="minorHAnsi" w:eastAsiaTheme="minorEastAsia" w:hAnsiTheme="minorHAnsi" w:cstheme="minorBidi"/>
          <w:noProof/>
          <w:sz w:val="22"/>
          <w:szCs w:val="22"/>
        </w:rPr>
      </w:pPr>
      <w:hyperlink w:anchor="_Toc117774431" w:history="1">
        <w:r w:rsidRPr="00771FB4">
          <w:rPr>
            <w:rStyle w:val="Hypertextovodkaz"/>
            <w:noProof/>
          </w:rPr>
          <w:t>4.3 Ukončené</w:t>
        </w:r>
        <w:r w:rsidRPr="00771FB4">
          <w:rPr>
            <w:rStyle w:val="Hypertextovodkaz"/>
            <w:noProof/>
          </w:rPr>
          <w:t xml:space="preserve"> </w:t>
        </w:r>
        <w:r w:rsidRPr="00771FB4">
          <w:rPr>
            <w:rStyle w:val="Hypertextovodkaz"/>
            <w:noProof/>
          </w:rPr>
          <w:t>případy dočasné pracovní neschopnosti</w:t>
        </w:r>
        <w:r>
          <w:rPr>
            <w:noProof/>
            <w:webHidden/>
          </w:rPr>
          <w:tab/>
        </w:r>
        <w:r>
          <w:rPr>
            <w:noProof/>
            <w:webHidden/>
          </w:rPr>
          <w:fldChar w:fldCharType="begin"/>
        </w:r>
        <w:r>
          <w:rPr>
            <w:noProof/>
            <w:webHidden/>
          </w:rPr>
          <w:instrText xml:space="preserve"> PAGEREF _Toc117774431 \h </w:instrText>
        </w:r>
        <w:r>
          <w:rPr>
            <w:noProof/>
            <w:webHidden/>
          </w:rPr>
        </w:r>
        <w:r>
          <w:rPr>
            <w:noProof/>
            <w:webHidden/>
          </w:rPr>
          <w:fldChar w:fldCharType="separate"/>
        </w:r>
        <w:r>
          <w:rPr>
            <w:noProof/>
            <w:webHidden/>
          </w:rPr>
          <w:t>38</w:t>
        </w:r>
        <w:r>
          <w:rPr>
            <w:noProof/>
            <w:webHidden/>
          </w:rPr>
          <w:fldChar w:fldCharType="end"/>
        </w:r>
      </w:hyperlink>
    </w:p>
    <w:p w14:paraId="2158A719" w14:textId="0F6B9BC8" w:rsidR="00550835" w:rsidRDefault="00550835">
      <w:pPr>
        <w:pStyle w:val="Obsah3"/>
        <w:rPr>
          <w:rFonts w:asciiTheme="minorHAnsi" w:eastAsiaTheme="minorEastAsia" w:hAnsiTheme="minorHAnsi" w:cstheme="minorBidi"/>
          <w:noProof/>
          <w:sz w:val="22"/>
          <w:szCs w:val="22"/>
        </w:rPr>
      </w:pPr>
      <w:hyperlink w:anchor="_Toc117774432" w:history="1">
        <w:r w:rsidRPr="00771FB4">
          <w:rPr>
            <w:rStyle w:val="Hypertextovodkaz"/>
            <w:noProof/>
          </w:rPr>
          <w:t>4.4 Výdaje na dávky nemocenského pojištění</w:t>
        </w:r>
        <w:r>
          <w:rPr>
            <w:noProof/>
            <w:webHidden/>
          </w:rPr>
          <w:tab/>
        </w:r>
        <w:r>
          <w:rPr>
            <w:noProof/>
            <w:webHidden/>
          </w:rPr>
          <w:fldChar w:fldCharType="begin"/>
        </w:r>
        <w:r>
          <w:rPr>
            <w:noProof/>
            <w:webHidden/>
          </w:rPr>
          <w:instrText xml:space="preserve"> PAGEREF _Toc117774432 \h </w:instrText>
        </w:r>
        <w:r>
          <w:rPr>
            <w:noProof/>
            <w:webHidden/>
          </w:rPr>
        </w:r>
        <w:r>
          <w:rPr>
            <w:noProof/>
            <w:webHidden/>
          </w:rPr>
          <w:fldChar w:fldCharType="separate"/>
        </w:r>
        <w:r>
          <w:rPr>
            <w:noProof/>
            <w:webHidden/>
          </w:rPr>
          <w:t>41</w:t>
        </w:r>
        <w:r>
          <w:rPr>
            <w:noProof/>
            <w:webHidden/>
          </w:rPr>
          <w:fldChar w:fldCharType="end"/>
        </w:r>
      </w:hyperlink>
    </w:p>
    <w:p w14:paraId="610F31F0" w14:textId="5F5FD9E4" w:rsidR="00550835" w:rsidRDefault="00550835">
      <w:pPr>
        <w:pStyle w:val="Obsah3"/>
        <w:rPr>
          <w:rFonts w:asciiTheme="minorHAnsi" w:eastAsiaTheme="minorEastAsia" w:hAnsiTheme="minorHAnsi" w:cstheme="minorBidi"/>
          <w:noProof/>
          <w:sz w:val="22"/>
          <w:szCs w:val="22"/>
        </w:rPr>
      </w:pPr>
      <w:hyperlink w:anchor="_Toc117774433" w:history="1">
        <w:r w:rsidRPr="00771FB4">
          <w:rPr>
            <w:rStyle w:val="Hypertextovodkaz"/>
            <w:noProof/>
          </w:rPr>
          <w:t>4.4.1 Vliv pandemie covid-19 na dávky nemocenského pojištění</w:t>
        </w:r>
        <w:r>
          <w:rPr>
            <w:noProof/>
            <w:webHidden/>
          </w:rPr>
          <w:tab/>
        </w:r>
        <w:r>
          <w:rPr>
            <w:noProof/>
            <w:webHidden/>
          </w:rPr>
          <w:fldChar w:fldCharType="begin"/>
        </w:r>
        <w:r>
          <w:rPr>
            <w:noProof/>
            <w:webHidden/>
          </w:rPr>
          <w:instrText xml:space="preserve"> PAGEREF _Toc117774433 \h </w:instrText>
        </w:r>
        <w:r>
          <w:rPr>
            <w:noProof/>
            <w:webHidden/>
          </w:rPr>
        </w:r>
        <w:r>
          <w:rPr>
            <w:noProof/>
            <w:webHidden/>
          </w:rPr>
          <w:fldChar w:fldCharType="separate"/>
        </w:r>
        <w:r>
          <w:rPr>
            <w:noProof/>
            <w:webHidden/>
          </w:rPr>
          <w:t>43</w:t>
        </w:r>
        <w:r>
          <w:rPr>
            <w:noProof/>
            <w:webHidden/>
          </w:rPr>
          <w:fldChar w:fldCharType="end"/>
        </w:r>
      </w:hyperlink>
    </w:p>
    <w:p w14:paraId="1EFBA572" w14:textId="3507A51E" w:rsidR="00550835" w:rsidRDefault="00550835">
      <w:pPr>
        <w:pStyle w:val="Obsah3"/>
        <w:rPr>
          <w:rFonts w:asciiTheme="minorHAnsi" w:eastAsiaTheme="minorEastAsia" w:hAnsiTheme="minorHAnsi" w:cstheme="minorBidi"/>
          <w:noProof/>
          <w:sz w:val="22"/>
          <w:szCs w:val="22"/>
        </w:rPr>
      </w:pPr>
      <w:hyperlink w:anchor="_Toc117774434" w:history="1">
        <w:r w:rsidRPr="00771FB4">
          <w:rPr>
            <w:rStyle w:val="Hypertextovodkaz"/>
            <w:noProof/>
          </w:rPr>
          <w:t>4.5 Pracovní úrazy</w:t>
        </w:r>
        <w:r>
          <w:rPr>
            <w:noProof/>
            <w:webHidden/>
          </w:rPr>
          <w:tab/>
        </w:r>
        <w:r>
          <w:rPr>
            <w:noProof/>
            <w:webHidden/>
          </w:rPr>
          <w:fldChar w:fldCharType="begin"/>
        </w:r>
        <w:r>
          <w:rPr>
            <w:noProof/>
            <w:webHidden/>
          </w:rPr>
          <w:instrText xml:space="preserve"> PAGEREF _Toc117774434 \h </w:instrText>
        </w:r>
        <w:r>
          <w:rPr>
            <w:noProof/>
            <w:webHidden/>
          </w:rPr>
        </w:r>
        <w:r>
          <w:rPr>
            <w:noProof/>
            <w:webHidden/>
          </w:rPr>
          <w:fldChar w:fldCharType="separate"/>
        </w:r>
        <w:r>
          <w:rPr>
            <w:noProof/>
            <w:webHidden/>
          </w:rPr>
          <w:t>45</w:t>
        </w:r>
        <w:r>
          <w:rPr>
            <w:noProof/>
            <w:webHidden/>
          </w:rPr>
          <w:fldChar w:fldCharType="end"/>
        </w:r>
      </w:hyperlink>
    </w:p>
    <w:p w14:paraId="3706D76A" w14:textId="698F34D0" w:rsidR="00550835" w:rsidRDefault="00550835">
      <w:pPr>
        <w:pStyle w:val="Obsah3"/>
        <w:rPr>
          <w:rFonts w:asciiTheme="minorHAnsi" w:eastAsiaTheme="minorEastAsia" w:hAnsiTheme="minorHAnsi" w:cstheme="minorBidi"/>
          <w:noProof/>
          <w:sz w:val="22"/>
          <w:szCs w:val="22"/>
        </w:rPr>
      </w:pPr>
      <w:hyperlink w:anchor="_Toc117774435" w:history="1">
        <w:r w:rsidRPr="00771FB4">
          <w:rPr>
            <w:rStyle w:val="Hypertextovodkaz"/>
            <w:noProof/>
          </w:rPr>
          <w:t>4.6 Závěrečné shrnutí</w:t>
        </w:r>
        <w:r>
          <w:rPr>
            <w:noProof/>
            <w:webHidden/>
          </w:rPr>
          <w:tab/>
        </w:r>
        <w:r>
          <w:rPr>
            <w:noProof/>
            <w:webHidden/>
          </w:rPr>
          <w:fldChar w:fldCharType="begin"/>
        </w:r>
        <w:r>
          <w:rPr>
            <w:noProof/>
            <w:webHidden/>
          </w:rPr>
          <w:instrText xml:space="preserve"> PAGEREF _Toc117774435 \h </w:instrText>
        </w:r>
        <w:r>
          <w:rPr>
            <w:noProof/>
            <w:webHidden/>
          </w:rPr>
        </w:r>
        <w:r>
          <w:rPr>
            <w:noProof/>
            <w:webHidden/>
          </w:rPr>
          <w:fldChar w:fldCharType="separate"/>
        </w:r>
        <w:r>
          <w:rPr>
            <w:noProof/>
            <w:webHidden/>
          </w:rPr>
          <w:t>49</w:t>
        </w:r>
        <w:r>
          <w:rPr>
            <w:noProof/>
            <w:webHidden/>
          </w:rPr>
          <w:fldChar w:fldCharType="end"/>
        </w:r>
      </w:hyperlink>
    </w:p>
    <w:p w14:paraId="1C82BE8C" w14:textId="02950E3B" w:rsidR="00550835" w:rsidRDefault="00550835">
      <w:pPr>
        <w:pStyle w:val="Obsah2"/>
        <w:rPr>
          <w:rFonts w:asciiTheme="minorHAnsi" w:eastAsiaTheme="minorEastAsia" w:hAnsiTheme="minorHAnsi" w:cstheme="minorBidi"/>
          <w:noProof/>
          <w:sz w:val="22"/>
          <w:szCs w:val="22"/>
        </w:rPr>
      </w:pPr>
      <w:hyperlink w:anchor="_Toc117774436" w:history="1">
        <w:r w:rsidRPr="00771FB4">
          <w:rPr>
            <w:rStyle w:val="Hypertextovodkaz"/>
            <w:noProof/>
          </w:rPr>
          <w:t>5.</w:t>
        </w:r>
        <w:r>
          <w:rPr>
            <w:rFonts w:asciiTheme="minorHAnsi" w:eastAsiaTheme="minorEastAsia" w:hAnsiTheme="minorHAnsi" w:cstheme="minorBidi"/>
            <w:noProof/>
            <w:sz w:val="22"/>
            <w:szCs w:val="22"/>
          </w:rPr>
          <w:tab/>
        </w:r>
        <w:r w:rsidRPr="00771FB4">
          <w:rPr>
            <w:rStyle w:val="Hypertextovodkaz"/>
            <w:noProof/>
          </w:rPr>
          <w:t>Použité zkratky a značky</w:t>
        </w:r>
        <w:r>
          <w:rPr>
            <w:noProof/>
            <w:webHidden/>
          </w:rPr>
          <w:tab/>
        </w:r>
        <w:r>
          <w:rPr>
            <w:noProof/>
            <w:webHidden/>
          </w:rPr>
          <w:fldChar w:fldCharType="begin"/>
        </w:r>
        <w:r>
          <w:rPr>
            <w:noProof/>
            <w:webHidden/>
          </w:rPr>
          <w:instrText xml:space="preserve"> PAGEREF _Toc117774436 \h </w:instrText>
        </w:r>
        <w:r>
          <w:rPr>
            <w:noProof/>
            <w:webHidden/>
          </w:rPr>
        </w:r>
        <w:r>
          <w:rPr>
            <w:noProof/>
            <w:webHidden/>
          </w:rPr>
          <w:fldChar w:fldCharType="separate"/>
        </w:r>
        <w:r>
          <w:rPr>
            <w:noProof/>
            <w:webHidden/>
          </w:rPr>
          <w:t>50</w:t>
        </w:r>
        <w:r>
          <w:rPr>
            <w:noProof/>
            <w:webHidden/>
          </w:rPr>
          <w:fldChar w:fldCharType="end"/>
        </w:r>
      </w:hyperlink>
    </w:p>
    <w:p w14:paraId="5ED4CDCF" w14:textId="5E2A8486" w:rsidR="00550835" w:rsidRDefault="00550835">
      <w:pPr>
        <w:pStyle w:val="Obsah2"/>
        <w:rPr>
          <w:rFonts w:asciiTheme="minorHAnsi" w:eastAsiaTheme="minorEastAsia" w:hAnsiTheme="minorHAnsi" w:cstheme="minorBidi"/>
          <w:noProof/>
          <w:sz w:val="22"/>
          <w:szCs w:val="22"/>
        </w:rPr>
      </w:pPr>
      <w:hyperlink w:anchor="_Toc117774437" w:history="1">
        <w:r w:rsidRPr="00771FB4">
          <w:rPr>
            <w:rStyle w:val="Hypertextovodkaz"/>
            <w:noProof/>
          </w:rPr>
          <w:t>6.</w:t>
        </w:r>
        <w:r>
          <w:rPr>
            <w:rFonts w:asciiTheme="minorHAnsi" w:eastAsiaTheme="minorEastAsia" w:hAnsiTheme="minorHAnsi" w:cstheme="minorBidi"/>
            <w:noProof/>
            <w:sz w:val="22"/>
            <w:szCs w:val="22"/>
          </w:rPr>
          <w:tab/>
        </w:r>
        <w:r w:rsidRPr="00771FB4">
          <w:rPr>
            <w:rStyle w:val="Hypertextovodkaz"/>
            <w:noProof/>
          </w:rPr>
          <w:t>Tabulková část –</w:t>
        </w:r>
        <w:r w:rsidRPr="00771FB4">
          <w:rPr>
            <w:rStyle w:val="Hypertextovodkaz"/>
            <w:noProof/>
          </w:rPr>
          <w:t xml:space="preserve"> </w:t>
        </w:r>
        <w:r w:rsidRPr="00771FB4">
          <w:rPr>
            <w:rStyle w:val="Hypertextovodkaz"/>
            <w:noProof/>
          </w:rPr>
          <w:t>seznam tabulek</w:t>
        </w:r>
        <w:r>
          <w:rPr>
            <w:noProof/>
            <w:webHidden/>
          </w:rPr>
          <w:tab/>
        </w:r>
        <w:r>
          <w:rPr>
            <w:noProof/>
            <w:webHidden/>
          </w:rPr>
          <w:fldChar w:fldCharType="begin"/>
        </w:r>
        <w:r>
          <w:rPr>
            <w:noProof/>
            <w:webHidden/>
          </w:rPr>
          <w:instrText xml:space="preserve"> PAGEREF _Toc117774437 \h </w:instrText>
        </w:r>
        <w:r>
          <w:rPr>
            <w:noProof/>
            <w:webHidden/>
          </w:rPr>
        </w:r>
        <w:r>
          <w:rPr>
            <w:noProof/>
            <w:webHidden/>
          </w:rPr>
          <w:fldChar w:fldCharType="separate"/>
        </w:r>
        <w:r>
          <w:rPr>
            <w:noProof/>
            <w:webHidden/>
          </w:rPr>
          <w:t>51</w:t>
        </w:r>
        <w:r>
          <w:rPr>
            <w:noProof/>
            <w:webHidden/>
          </w:rPr>
          <w:fldChar w:fldCharType="end"/>
        </w:r>
      </w:hyperlink>
    </w:p>
    <w:p w14:paraId="09582E3B" w14:textId="77777777" w:rsidR="00924AC8" w:rsidRPr="00D92E20" w:rsidRDefault="00ED103E" w:rsidP="00924AC8">
      <w:pPr>
        <w:pStyle w:val="Obsahpoloky"/>
      </w:pPr>
      <w:r w:rsidRPr="00DC4882">
        <w:rPr>
          <w:b/>
          <w:highlight w:val="yellow"/>
        </w:rPr>
        <w:fldChar w:fldCharType="end"/>
      </w:r>
    </w:p>
    <w:p w14:paraId="16F24209" w14:textId="77777777" w:rsidR="008E2C57" w:rsidRPr="00D92E20" w:rsidRDefault="00087F2B" w:rsidP="006F5416">
      <w:pPr>
        <w:pStyle w:val="Obsahpoloky"/>
      </w:pPr>
      <w:r w:rsidRPr="00D92E20">
        <w:br w:type="page"/>
      </w:r>
    </w:p>
    <w:p w14:paraId="66DC1A60" w14:textId="77777777" w:rsidR="00EE4B1B" w:rsidRPr="00D92E20" w:rsidRDefault="007241C5" w:rsidP="001A5951">
      <w:pPr>
        <w:pStyle w:val="Nadpis2"/>
        <w:numPr>
          <w:ilvl w:val="0"/>
          <w:numId w:val="18"/>
        </w:numPr>
        <w:spacing w:after="100"/>
        <w:ind w:left="426"/>
      </w:pPr>
      <w:bookmarkStart w:id="0" w:name="_Toc444112494"/>
      <w:bookmarkStart w:id="1" w:name="_Toc117774416"/>
      <w:r w:rsidRPr="00D92E20">
        <w:lastRenderedPageBreak/>
        <w:t>Úvod</w:t>
      </w:r>
      <w:bookmarkEnd w:id="0"/>
      <w:bookmarkEnd w:id="1"/>
    </w:p>
    <w:p w14:paraId="448C09DC" w14:textId="20336A37" w:rsidR="00437453" w:rsidRPr="00D92E20" w:rsidRDefault="00437453" w:rsidP="00437453">
      <w:pPr>
        <w:pStyle w:val="Odstavecseseznamem"/>
        <w:spacing w:before="60"/>
        <w:ind w:left="0"/>
        <w:jc w:val="both"/>
        <w:rPr>
          <w:rFonts w:cs="Arial"/>
        </w:rPr>
      </w:pPr>
      <w:r w:rsidRPr="00D92E20">
        <w:rPr>
          <w:rFonts w:cs="Arial"/>
          <w:b/>
        </w:rPr>
        <w:t>Problematika pracovní neschopnosti pro nemoc a úraz</w:t>
      </w:r>
      <w:r w:rsidRPr="00D92E20">
        <w:rPr>
          <w:rFonts w:cs="Arial"/>
        </w:rPr>
        <w:t xml:space="preserve"> je závažná a z pohledu hodnocení vývoje v čase také zajímavá nejméně ze dvou následujících důvodů</w:t>
      </w:r>
      <w:r w:rsidR="009F34CD">
        <w:rPr>
          <w:rFonts w:cs="Arial"/>
        </w:rPr>
        <w:t>:</w:t>
      </w:r>
      <w:r w:rsidRPr="00D92E20">
        <w:rPr>
          <w:rFonts w:cs="Arial"/>
        </w:rPr>
        <w:t xml:space="preserve"> </w:t>
      </w:r>
    </w:p>
    <w:p w14:paraId="4B6314BD" w14:textId="33DFA1EE" w:rsidR="00437453" w:rsidRPr="00D92E20" w:rsidRDefault="00437453" w:rsidP="00437453">
      <w:pPr>
        <w:pStyle w:val="Odstavecseseznamem"/>
        <w:numPr>
          <w:ilvl w:val="0"/>
          <w:numId w:val="3"/>
        </w:numPr>
        <w:spacing w:before="60"/>
        <w:jc w:val="both"/>
        <w:rPr>
          <w:rFonts w:cs="Arial"/>
        </w:rPr>
      </w:pPr>
      <w:r w:rsidRPr="00D92E20">
        <w:rPr>
          <w:rFonts w:cs="Arial"/>
          <w:b/>
        </w:rPr>
        <w:t xml:space="preserve">ze zdravotního </w:t>
      </w:r>
      <w:r w:rsidRPr="00D92E20">
        <w:rPr>
          <w:rFonts w:cs="Arial"/>
        </w:rPr>
        <w:t>– souvisí se zdravotním stavem zaměstnanců v návaznosti na určitou pracovní činnost, prostředí, pracovní podmínky, používanou techniku a technologii, bezpečnost a hygienu práce apod.</w:t>
      </w:r>
      <w:r w:rsidR="009F34CD">
        <w:rPr>
          <w:rFonts w:cs="Arial"/>
        </w:rPr>
        <w:t>,</w:t>
      </w:r>
      <w:r w:rsidRPr="00D92E20">
        <w:rPr>
          <w:rFonts w:cs="Arial"/>
        </w:rPr>
        <w:t xml:space="preserve"> </w:t>
      </w:r>
    </w:p>
    <w:p w14:paraId="331F6C01" w14:textId="77777777" w:rsidR="00437453" w:rsidRPr="00D92E20" w:rsidRDefault="00437453" w:rsidP="00437453">
      <w:pPr>
        <w:pStyle w:val="Odstavecseseznamem"/>
        <w:numPr>
          <w:ilvl w:val="0"/>
          <w:numId w:val="3"/>
        </w:numPr>
        <w:spacing w:before="60" w:after="120"/>
        <w:ind w:left="714" w:hanging="357"/>
        <w:jc w:val="both"/>
        <w:rPr>
          <w:rFonts w:cs="Arial"/>
        </w:rPr>
      </w:pPr>
      <w:r w:rsidRPr="00D92E20">
        <w:rPr>
          <w:rFonts w:cs="Arial"/>
          <w:b/>
        </w:rPr>
        <w:t xml:space="preserve">z ekonomického </w:t>
      </w:r>
      <w:r w:rsidRPr="00D92E20">
        <w:rPr>
          <w:rFonts w:cs="Arial"/>
        </w:rPr>
        <w:t>– vztahuje se totiž k důsledkům nepřítomnosti dočasně práce neschopných v zaměstnání, ke snížení tvorby zdrojů, k čerpání fondu nemocenského pojištění a v neposlední řadě i k vyvolaným nákladům zdravotní péče.</w:t>
      </w:r>
    </w:p>
    <w:p w14:paraId="577F37EE" w14:textId="77777777" w:rsidR="00437453" w:rsidRPr="00D92E20" w:rsidRDefault="00437453" w:rsidP="00437453">
      <w:pPr>
        <w:spacing w:before="60" w:after="120"/>
        <w:jc w:val="both"/>
        <w:rPr>
          <w:rFonts w:cs="Arial"/>
        </w:rPr>
      </w:pPr>
      <w:r w:rsidRPr="00D92E20">
        <w:rPr>
          <w:rFonts w:cs="Arial"/>
        </w:rPr>
        <w:t xml:space="preserve">Statistiky pracovní neschopnosti sice nabízí dlouhodobé časové řady, které ukazují mnohé souvislosti a trendy, nicméně je třeba si dobře uvědomit faktory, které zde působí. Zjednodušeně lze říci, že v průběhu času dochází ke změnám dvojího druhu. Jedny jsou projevem „přirozeného“ vývoje, zatímco druhé vycházejí z určitého vědomého rozhodnutí. Oba tyto druhy změn v různé míře ovlivňují hodnoty ukazatelů pracovní neschopnosti a je nutné k nim při analytickém hodnocení přihlížet. </w:t>
      </w:r>
    </w:p>
    <w:p w14:paraId="46918FEF" w14:textId="7CE7FB32" w:rsidR="00437453" w:rsidRPr="00D92E20" w:rsidRDefault="00437453" w:rsidP="006C42D5">
      <w:pPr>
        <w:pStyle w:val="Odstavecseseznamem"/>
        <w:numPr>
          <w:ilvl w:val="0"/>
          <w:numId w:val="25"/>
        </w:numPr>
        <w:spacing w:before="60" w:after="120"/>
        <w:jc w:val="both"/>
        <w:rPr>
          <w:rFonts w:cs="Arial"/>
        </w:rPr>
      </w:pPr>
      <w:r w:rsidRPr="00D92E20">
        <w:rPr>
          <w:rFonts w:cs="Arial"/>
        </w:rPr>
        <w:t xml:space="preserve">Přirozené vlivy jsou např. změny </w:t>
      </w:r>
      <w:r w:rsidRPr="00D92E20">
        <w:rPr>
          <w:rFonts w:cs="Arial"/>
          <w:b/>
        </w:rPr>
        <w:t>demografické</w:t>
      </w:r>
      <w:r w:rsidRPr="00D92E20">
        <w:rPr>
          <w:rFonts w:cs="Arial"/>
        </w:rPr>
        <w:t xml:space="preserve"> (změny počtu nemocensky pojištěných, stárnutí obyvatelstva) či </w:t>
      </w:r>
      <w:r w:rsidRPr="00D92E20">
        <w:rPr>
          <w:rFonts w:cs="Arial"/>
          <w:b/>
        </w:rPr>
        <w:t>ekonomické</w:t>
      </w:r>
      <w:r w:rsidRPr="00D92E20">
        <w:rPr>
          <w:rFonts w:cs="Arial"/>
        </w:rPr>
        <w:t xml:space="preserve"> (vývoj nezaměstnanosti, inflace), podobně jako technický a</w:t>
      </w:r>
      <w:r w:rsidR="006C42D5" w:rsidRPr="00D92E20">
        <w:rPr>
          <w:rFonts w:cs="Arial"/>
        </w:rPr>
        <w:t> </w:t>
      </w:r>
      <w:r w:rsidRPr="00D92E20">
        <w:rPr>
          <w:rFonts w:cs="Arial"/>
        </w:rPr>
        <w:t xml:space="preserve">technologický rozvoj (mající dopad na bezpečnost a náročnost práce). </w:t>
      </w:r>
    </w:p>
    <w:p w14:paraId="594BA1EF" w14:textId="2047CB8D" w:rsidR="00437453" w:rsidRPr="00D92E20" w:rsidRDefault="00437453" w:rsidP="00661F19">
      <w:pPr>
        <w:pStyle w:val="Odstavecseseznamem"/>
        <w:numPr>
          <w:ilvl w:val="0"/>
          <w:numId w:val="25"/>
        </w:numPr>
        <w:spacing w:after="120"/>
        <w:ind w:left="714" w:hanging="357"/>
        <w:jc w:val="both"/>
        <w:rPr>
          <w:rFonts w:cs="Arial"/>
        </w:rPr>
      </w:pPr>
      <w:r w:rsidRPr="00D92E20">
        <w:rPr>
          <w:rFonts w:cs="Arial"/>
        </w:rPr>
        <w:t xml:space="preserve">Vedle toho působí i vědomě prováděná opatření v oblasti </w:t>
      </w:r>
      <w:r w:rsidRPr="00D92E20">
        <w:rPr>
          <w:rFonts w:cs="Arial"/>
          <w:b/>
        </w:rPr>
        <w:t xml:space="preserve">legislativy </w:t>
      </w:r>
      <w:r w:rsidRPr="00D92E20">
        <w:rPr>
          <w:rFonts w:cs="Arial"/>
        </w:rPr>
        <w:t xml:space="preserve">(např. změny výše dávek a jiných nároků, úpravy pojištění), ale rovněž změny </w:t>
      </w:r>
      <w:r w:rsidRPr="00D92E20">
        <w:rPr>
          <w:rFonts w:cs="Arial"/>
          <w:b/>
        </w:rPr>
        <w:t>metodické</w:t>
      </w:r>
      <w:r w:rsidRPr="00D92E20">
        <w:rPr>
          <w:rFonts w:cs="Arial"/>
        </w:rPr>
        <w:t xml:space="preserve"> (způsob sběru dat, změny klasifikací).</w:t>
      </w:r>
    </w:p>
    <w:p w14:paraId="29223B32" w14:textId="77777777" w:rsidR="007241C5" w:rsidRPr="00D92E20" w:rsidRDefault="007241C5" w:rsidP="005377DA">
      <w:pPr>
        <w:autoSpaceDE w:val="0"/>
        <w:autoSpaceDN w:val="0"/>
        <w:adjustRightInd w:val="0"/>
        <w:spacing w:after="120"/>
        <w:jc w:val="both"/>
        <w:rPr>
          <w:rFonts w:cs="Arial"/>
        </w:rPr>
      </w:pPr>
      <w:r w:rsidRPr="00D92E20">
        <w:rPr>
          <w:rFonts w:cs="Arial"/>
        </w:rPr>
        <w:t>Údaje o pracovní neschopnosti pro nemoc a úraz vycházejí ze společného zpracování dat</w:t>
      </w:r>
      <w:r w:rsidRPr="00D92E20">
        <w:rPr>
          <w:rFonts w:cs="Arial"/>
          <w:b/>
        </w:rPr>
        <w:t xml:space="preserve"> České správy sociálního zabezpečení </w:t>
      </w:r>
      <w:r w:rsidRPr="00D92E20">
        <w:rPr>
          <w:rFonts w:cs="Arial"/>
        </w:rPr>
        <w:t>(ČSSZ)</w:t>
      </w:r>
      <w:r w:rsidRPr="00D92E20">
        <w:rPr>
          <w:rFonts w:cs="Arial"/>
          <w:b/>
        </w:rPr>
        <w:t xml:space="preserve"> </w:t>
      </w:r>
      <w:r w:rsidRPr="00D92E20">
        <w:rPr>
          <w:rFonts w:cs="Arial"/>
        </w:rPr>
        <w:t>a</w:t>
      </w:r>
      <w:r w:rsidRPr="00D92E20">
        <w:rPr>
          <w:rFonts w:cs="Arial"/>
          <w:b/>
        </w:rPr>
        <w:t xml:space="preserve"> Českého statistického úřadu </w:t>
      </w:r>
      <w:r w:rsidRPr="00D92E20">
        <w:rPr>
          <w:rFonts w:cs="Arial"/>
        </w:rPr>
        <w:t>(ČSÚ) a jsou publikovány vždy za 1. pololetí (na konci října sledovaného roku)</w:t>
      </w:r>
      <w:r w:rsidRPr="00D92E20">
        <w:rPr>
          <w:rFonts w:cs="Arial"/>
          <w:vertAlign w:val="superscript"/>
        </w:rPr>
        <w:t xml:space="preserve"> </w:t>
      </w:r>
      <w:r w:rsidRPr="00D92E20">
        <w:rPr>
          <w:rFonts w:cs="Arial"/>
        </w:rPr>
        <w:t>a za celý rok (na konci května následujícího roku)</w:t>
      </w:r>
      <w:r w:rsidRPr="00D92E20">
        <w:rPr>
          <w:rStyle w:val="Znakapoznpodarou"/>
          <w:rFonts w:cs="Arial"/>
        </w:rPr>
        <w:footnoteReference w:id="1"/>
      </w:r>
      <w:r w:rsidRPr="00D92E20">
        <w:rPr>
          <w:rFonts w:cs="Arial"/>
        </w:rPr>
        <w:t>.</w:t>
      </w:r>
    </w:p>
    <w:p w14:paraId="5A8B70CF" w14:textId="5EC5A340" w:rsidR="00AC7EEB" w:rsidRPr="00D92E20" w:rsidRDefault="00AC7EEB" w:rsidP="00AC7EEB">
      <w:pPr>
        <w:spacing w:after="120"/>
        <w:jc w:val="both"/>
      </w:pPr>
      <w:r w:rsidRPr="00D92E20">
        <w:t xml:space="preserve">Tato publikace přináší základní údaje o dočasné pracovní neschopnosti pracujících obyvatel ČR z důvodu nemoci či úrazu </w:t>
      </w:r>
      <w:r w:rsidRPr="00D92E20">
        <w:rPr>
          <w:b/>
        </w:rPr>
        <w:t>v</w:t>
      </w:r>
      <w:r w:rsidR="00501113">
        <w:rPr>
          <w:b/>
        </w:rPr>
        <w:t xml:space="preserve"> 1. pololetí </w:t>
      </w:r>
      <w:r w:rsidRPr="00D92E20">
        <w:rPr>
          <w:b/>
        </w:rPr>
        <w:t>202</w:t>
      </w:r>
      <w:r w:rsidR="00DC4882">
        <w:rPr>
          <w:b/>
        </w:rPr>
        <w:t>2</w:t>
      </w:r>
      <w:r w:rsidRPr="00D92E20">
        <w:t xml:space="preserve"> a u vybraných ukazatelů jejich vývoj v delší </w:t>
      </w:r>
      <w:r w:rsidRPr="00D92E20">
        <w:rPr>
          <w:b/>
        </w:rPr>
        <w:t>časové řadě (</w:t>
      </w:r>
      <w:r w:rsidR="00501113">
        <w:rPr>
          <w:b/>
        </w:rPr>
        <w:t xml:space="preserve">1. pololetí v letech </w:t>
      </w:r>
      <w:r w:rsidRPr="00D92E20">
        <w:rPr>
          <w:b/>
        </w:rPr>
        <w:t>201</w:t>
      </w:r>
      <w:r w:rsidR="00DC4882">
        <w:rPr>
          <w:b/>
        </w:rPr>
        <w:t>2</w:t>
      </w:r>
      <w:r w:rsidRPr="00D92E20">
        <w:rPr>
          <w:b/>
        </w:rPr>
        <w:t>–202</w:t>
      </w:r>
      <w:r w:rsidR="00DC4882">
        <w:rPr>
          <w:b/>
        </w:rPr>
        <w:t>2</w:t>
      </w:r>
      <w:r w:rsidRPr="00D92E20">
        <w:rPr>
          <w:b/>
        </w:rPr>
        <w:t>).</w:t>
      </w:r>
    </w:p>
    <w:p w14:paraId="2145AA75" w14:textId="6C44A0F2" w:rsidR="007241C5" w:rsidRPr="00D92E20" w:rsidRDefault="007241C5" w:rsidP="005377DA">
      <w:pPr>
        <w:autoSpaceDE w:val="0"/>
        <w:autoSpaceDN w:val="0"/>
        <w:adjustRightInd w:val="0"/>
        <w:spacing w:after="120"/>
        <w:jc w:val="both"/>
        <w:rPr>
          <w:rFonts w:cs="Arial"/>
        </w:rPr>
      </w:pPr>
      <w:r w:rsidRPr="00D92E20">
        <w:rPr>
          <w:rFonts w:cs="Arial"/>
        </w:rPr>
        <w:t>Publikace je členěna na textovou a tabulkovou část.</w:t>
      </w:r>
      <w:r w:rsidR="005377DA" w:rsidRPr="00D92E20">
        <w:rPr>
          <w:rFonts w:cs="Arial"/>
        </w:rPr>
        <w:t xml:space="preserve"> </w:t>
      </w:r>
      <w:r w:rsidRPr="00D92E20">
        <w:rPr>
          <w:rFonts w:cs="Arial"/>
          <w:b/>
        </w:rPr>
        <w:t>Textová část</w:t>
      </w:r>
      <w:r w:rsidRPr="00D92E20">
        <w:rPr>
          <w:rFonts w:cs="Arial"/>
        </w:rPr>
        <w:t xml:space="preserve"> nejprve obsahuje stručné seznámení s legislativní úpravou nemocenského pojištění, vč. významných legislativních změn ovlivňujících podstatným způsobem vývoj ukazatelů pracovní neschopnosti. Dále textová část pokračuje popisem metodiky zpracování dat dočasné pracovní neschopnosti prostřednictvím systémů ČSSZ a ČSÚ a výčtem dalších možných zdrojů dat v oblasti statistiky nemocnosti a úrazovosti. Stěžejní část tvoří </w:t>
      </w:r>
      <w:r w:rsidRPr="00D92E20">
        <w:rPr>
          <w:rFonts w:cs="Arial"/>
          <w:b/>
        </w:rPr>
        <w:t>analýza</w:t>
      </w:r>
      <w:r w:rsidRPr="00D92E20">
        <w:rPr>
          <w:rFonts w:cs="Arial"/>
        </w:rPr>
        <w:t>, která přináší rozbor vývoje a</w:t>
      </w:r>
      <w:r w:rsidR="00C02C40" w:rsidRPr="00D92E20">
        <w:rPr>
          <w:rFonts w:cs="Arial"/>
        </w:rPr>
        <w:t> </w:t>
      </w:r>
      <w:r w:rsidRPr="00D92E20">
        <w:rPr>
          <w:rFonts w:cs="Arial"/>
        </w:rPr>
        <w:t>intenzity základních ukazatelů dočasné pracovní neschopnosti pro nemoc a úraz v ČR vč. definic sledovaných indikátorů. Je doplněna i daty z jiných dostupných zdrojů</w:t>
      </w:r>
      <w:r w:rsidR="00C6313F" w:rsidRPr="00D92E20">
        <w:rPr>
          <w:rFonts w:cs="Arial"/>
        </w:rPr>
        <w:t>.</w:t>
      </w:r>
      <w:r w:rsidRPr="00D92E20">
        <w:rPr>
          <w:rFonts w:cs="Arial"/>
        </w:rPr>
        <w:t xml:space="preserve"> </w:t>
      </w:r>
      <w:r w:rsidR="00C6313F" w:rsidRPr="00D92E20">
        <w:rPr>
          <w:rFonts w:cs="Arial"/>
        </w:rPr>
        <w:t xml:space="preserve">Data z </w:t>
      </w:r>
      <w:r w:rsidRPr="00D92E20">
        <w:rPr>
          <w:rFonts w:cs="Arial"/>
        </w:rPr>
        <w:t>ČSSZ doplňují po</w:t>
      </w:r>
      <w:r w:rsidR="00C6313F" w:rsidRPr="00D92E20">
        <w:rPr>
          <w:rFonts w:cs="Arial"/>
        </w:rPr>
        <w:t xml:space="preserve">hled na tuto oblast statistiky pomocí ukončených případů dočasné pracovní neschopnosti, </w:t>
      </w:r>
      <w:r w:rsidRPr="00D92E20">
        <w:rPr>
          <w:rFonts w:cs="Arial"/>
        </w:rPr>
        <w:t>počt</w:t>
      </w:r>
      <w:r w:rsidR="00C6313F" w:rsidRPr="00D92E20">
        <w:rPr>
          <w:rFonts w:cs="Arial"/>
        </w:rPr>
        <w:t>u</w:t>
      </w:r>
      <w:r w:rsidRPr="00D92E20">
        <w:rPr>
          <w:rFonts w:cs="Arial"/>
        </w:rPr>
        <w:t xml:space="preserve"> karantén</w:t>
      </w:r>
      <w:r w:rsidR="007D2E78" w:rsidRPr="00D92E20">
        <w:rPr>
          <w:rFonts w:cs="Arial"/>
        </w:rPr>
        <w:t xml:space="preserve"> a</w:t>
      </w:r>
      <w:r w:rsidRPr="00D92E20">
        <w:rPr>
          <w:rFonts w:cs="Arial"/>
        </w:rPr>
        <w:t xml:space="preserve"> výdaj</w:t>
      </w:r>
      <w:r w:rsidR="00C6313F" w:rsidRPr="00D92E20">
        <w:rPr>
          <w:rFonts w:cs="Arial"/>
        </w:rPr>
        <w:t>ů</w:t>
      </w:r>
      <w:r w:rsidRPr="00D92E20">
        <w:rPr>
          <w:rFonts w:cs="Arial"/>
        </w:rPr>
        <w:t xml:space="preserve"> na dávky nemocenského pojištění</w:t>
      </w:r>
      <w:r w:rsidR="00C6313F" w:rsidRPr="00D92E20">
        <w:rPr>
          <w:rFonts w:cs="Arial"/>
        </w:rPr>
        <w:t>. Údaje ze Státního úřadu inspekce práce (SÚIP) se týkají pracovních úrazů.</w:t>
      </w:r>
    </w:p>
    <w:p w14:paraId="08A91450" w14:textId="77777777" w:rsidR="007241C5" w:rsidRPr="00D92E20" w:rsidRDefault="007241C5" w:rsidP="007241C5">
      <w:pPr>
        <w:autoSpaceDE w:val="0"/>
        <w:autoSpaceDN w:val="0"/>
        <w:adjustRightInd w:val="0"/>
        <w:spacing w:after="60"/>
        <w:jc w:val="both"/>
        <w:rPr>
          <w:rFonts w:cs="Arial"/>
        </w:rPr>
      </w:pPr>
      <w:r w:rsidRPr="00D92E20">
        <w:rPr>
          <w:rFonts w:cs="Arial"/>
        </w:rPr>
        <w:t xml:space="preserve">Publikace nabízí zejména údaje o </w:t>
      </w:r>
      <w:r w:rsidRPr="00D92E20">
        <w:rPr>
          <w:rFonts w:cs="Arial"/>
          <w:b/>
        </w:rPr>
        <w:t>nově hlášených případech dočasné pracovní neschopnosti pro nemoc a úraz</w:t>
      </w:r>
      <w:r w:rsidRPr="00D92E20">
        <w:rPr>
          <w:rFonts w:cs="Arial"/>
        </w:rPr>
        <w:t xml:space="preserve"> (kapitola 4.2) a související ukazatele:</w:t>
      </w:r>
    </w:p>
    <w:p w14:paraId="597CF151" w14:textId="77777777" w:rsidR="007241C5" w:rsidRPr="00D92E20" w:rsidRDefault="007241C5" w:rsidP="00277304">
      <w:pPr>
        <w:pStyle w:val="Odstavecseseznamem"/>
        <w:numPr>
          <w:ilvl w:val="0"/>
          <w:numId w:val="1"/>
        </w:numPr>
        <w:autoSpaceDE w:val="0"/>
        <w:autoSpaceDN w:val="0"/>
        <w:adjustRightInd w:val="0"/>
        <w:jc w:val="both"/>
        <w:rPr>
          <w:rFonts w:cs="Arial"/>
        </w:rPr>
      </w:pPr>
      <w:r w:rsidRPr="00D92E20">
        <w:rPr>
          <w:rFonts w:cs="Arial"/>
        </w:rPr>
        <w:t>průměrný počet nemocensky pojištěných osob,</w:t>
      </w:r>
    </w:p>
    <w:p w14:paraId="2942895E" w14:textId="77777777" w:rsidR="007241C5" w:rsidRPr="00D92E20" w:rsidRDefault="007241C5" w:rsidP="00277304">
      <w:pPr>
        <w:pStyle w:val="Odstavecseseznamem"/>
        <w:numPr>
          <w:ilvl w:val="0"/>
          <w:numId w:val="1"/>
        </w:numPr>
        <w:autoSpaceDE w:val="0"/>
        <w:autoSpaceDN w:val="0"/>
        <w:adjustRightInd w:val="0"/>
        <w:jc w:val="both"/>
        <w:rPr>
          <w:rFonts w:cs="Arial"/>
        </w:rPr>
      </w:pPr>
      <w:r w:rsidRPr="00D92E20">
        <w:rPr>
          <w:rFonts w:cs="Arial"/>
        </w:rPr>
        <w:t>počet nově hlášených případů pracovní neschopnosti na 100 nemocensky pojištěných osob,</w:t>
      </w:r>
    </w:p>
    <w:p w14:paraId="789CA5EC" w14:textId="77777777" w:rsidR="007241C5" w:rsidRPr="00D92E20" w:rsidRDefault="007241C5" w:rsidP="00277304">
      <w:pPr>
        <w:pStyle w:val="Odstavecseseznamem"/>
        <w:numPr>
          <w:ilvl w:val="0"/>
          <w:numId w:val="1"/>
        </w:numPr>
        <w:autoSpaceDE w:val="0"/>
        <w:autoSpaceDN w:val="0"/>
        <w:adjustRightInd w:val="0"/>
        <w:jc w:val="both"/>
        <w:rPr>
          <w:rFonts w:cs="Arial"/>
        </w:rPr>
      </w:pPr>
      <w:r w:rsidRPr="00D92E20">
        <w:rPr>
          <w:rFonts w:cs="Arial"/>
        </w:rPr>
        <w:t>počet kalendářních dnů pracovní neschopnosti,</w:t>
      </w:r>
    </w:p>
    <w:p w14:paraId="2C965994" w14:textId="5BD18D7F" w:rsidR="007241C5" w:rsidRPr="00D92E20" w:rsidRDefault="007241C5" w:rsidP="00277304">
      <w:pPr>
        <w:pStyle w:val="Odstavecseseznamem"/>
        <w:numPr>
          <w:ilvl w:val="0"/>
          <w:numId w:val="1"/>
        </w:numPr>
        <w:autoSpaceDE w:val="0"/>
        <w:autoSpaceDN w:val="0"/>
        <w:adjustRightInd w:val="0"/>
        <w:jc w:val="both"/>
        <w:rPr>
          <w:rFonts w:cs="Arial"/>
        </w:rPr>
      </w:pPr>
      <w:r w:rsidRPr="00D92E20">
        <w:rPr>
          <w:rFonts w:cs="Arial"/>
        </w:rPr>
        <w:t>průměrn</w:t>
      </w:r>
      <w:r w:rsidR="00417B81" w:rsidRPr="00D92E20">
        <w:rPr>
          <w:rFonts w:cs="Arial"/>
        </w:rPr>
        <w:t>á</w:t>
      </w:r>
      <w:r w:rsidRPr="00D92E20">
        <w:rPr>
          <w:rFonts w:cs="Arial"/>
        </w:rPr>
        <w:t xml:space="preserve"> délk</w:t>
      </w:r>
      <w:r w:rsidR="00417B81" w:rsidRPr="00D92E20">
        <w:rPr>
          <w:rFonts w:cs="Arial"/>
        </w:rPr>
        <w:t>a</w:t>
      </w:r>
      <w:r w:rsidRPr="00D92E20">
        <w:rPr>
          <w:rFonts w:cs="Arial"/>
        </w:rPr>
        <w:t xml:space="preserve"> trvání jednoho případu pracovní neschopnosti,</w:t>
      </w:r>
    </w:p>
    <w:p w14:paraId="1EF74C93" w14:textId="77777777" w:rsidR="007241C5" w:rsidRPr="00D92E20" w:rsidRDefault="007241C5" w:rsidP="00277304">
      <w:pPr>
        <w:pStyle w:val="Odstavecseseznamem"/>
        <w:numPr>
          <w:ilvl w:val="0"/>
          <w:numId w:val="1"/>
        </w:numPr>
        <w:autoSpaceDE w:val="0"/>
        <w:autoSpaceDN w:val="0"/>
        <w:adjustRightInd w:val="0"/>
        <w:jc w:val="both"/>
        <w:rPr>
          <w:rFonts w:cs="Arial"/>
        </w:rPr>
      </w:pPr>
      <w:r w:rsidRPr="00D92E20">
        <w:rPr>
          <w:rFonts w:cs="Arial"/>
        </w:rPr>
        <w:t>průměrné procento pracovní neschopnosti,</w:t>
      </w:r>
    </w:p>
    <w:p w14:paraId="104153A9" w14:textId="77777777" w:rsidR="007241C5" w:rsidRPr="00D92E20" w:rsidRDefault="007241C5" w:rsidP="00277304">
      <w:pPr>
        <w:pStyle w:val="Odstavecseseznamem"/>
        <w:numPr>
          <w:ilvl w:val="0"/>
          <w:numId w:val="1"/>
        </w:numPr>
        <w:autoSpaceDE w:val="0"/>
        <w:autoSpaceDN w:val="0"/>
        <w:adjustRightInd w:val="0"/>
        <w:jc w:val="both"/>
        <w:rPr>
          <w:rFonts w:cs="Arial"/>
        </w:rPr>
      </w:pPr>
      <w:r w:rsidRPr="00D92E20">
        <w:rPr>
          <w:rFonts w:cs="Arial"/>
        </w:rPr>
        <w:t>průměrný denní stav dočasně práce neschopných,</w:t>
      </w:r>
    </w:p>
    <w:p w14:paraId="35332CF9" w14:textId="1C847E27" w:rsidR="007241C5" w:rsidRPr="00D92E20" w:rsidRDefault="007241C5" w:rsidP="005377DA">
      <w:pPr>
        <w:pStyle w:val="Odstavecseseznamem"/>
        <w:numPr>
          <w:ilvl w:val="0"/>
          <w:numId w:val="1"/>
        </w:numPr>
        <w:autoSpaceDE w:val="0"/>
        <w:autoSpaceDN w:val="0"/>
        <w:adjustRightInd w:val="0"/>
        <w:spacing w:after="120"/>
        <w:ind w:left="714" w:hanging="357"/>
        <w:jc w:val="both"/>
        <w:rPr>
          <w:rFonts w:cs="Arial"/>
        </w:rPr>
      </w:pPr>
      <w:r w:rsidRPr="00D92E20">
        <w:rPr>
          <w:rFonts w:cs="Arial"/>
        </w:rPr>
        <w:t>počet pracovních úrazů s pracovní neschopností delší než 3 dny</w:t>
      </w:r>
      <w:r w:rsidR="00B9558B">
        <w:rPr>
          <w:rFonts w:cs="Arial"/>
        </w:rPr>
        <w:t xml:space="preserve"> (kap. 4.5)</w:t>
      </w:r>
      <w:r w:rsidRPr="00D92E20">
        <w:rPr>
          <w:rFonts w:cs="Arial"/>
        </w:rPr>
        <w:t>.</w:t>
      </w:r>
    </w:p>
    <w:p w14:paraId="0751173D" w14:textId="77777777" w:rsidR="007241C5" w:rsidRPr="00D92E20" w:rsidRDefault="007241C5" w:rsidP="005377DA">
      <w:pPr>
        <w:autoSpaceDE w:val="0"/>
        <w:autoSpaceDN w:val="0"/>
        <w:adjustRightInd w:val="0"/>
        <w:spacing w:after="120"/>
        <w:jc w:val="both"/>
        <w:rPr>
          <w:rFonts w:cs="Arial"/>
          <w:szCs w:val="20"/>
        </w:rPr>
      </w:pPr>
      <w:r w:rsidRPr="00D92E20">
        <w:rPr>
          <w:rFonts w:cs="Arial"/>
          <w:szCs w:val="20"/>
        </w:rPr>
        <w:lastRenderedPageBreak/>
        <w:t>Předkládané ukazatele jsou k dispozici v celé řadě třídění např. podle kraje a okresu, velikosti podniku, převažující ekonomické činnosti a sektoru zaměstnavatele nemocensky pojištěných osob. Členění do krajů a okresů vychází z údaje o sídle útvaru, který vede evidenci mezd zaměstnavateli osoby, která je v pracovní neschopnosti. Vedle údajů o zaměstnancích publikace poskytuje také data o nemocensky pojištěných osobách samostatně výdělečně činných (OSVČ).</w:t>
      </w:r>
    </w:p>
    <w:p w14:paraId="4CF53D46" w14:textId="4EB67E3B" w:rsidR="007241C5" w:rsidRPr="00D92E20" w:rsidRDefault="007241C5" w:rsidP="005377DA">
      <w:pPr>
        <w:autoSpaceDE w:val="0"/>
        <w:autoSpaceDN w:val="0"/>
        <w:adjustRightInd w:val="0"/>
        <w:spacing w:after="120"/>
        <w:jc w:val="both"/>
        <w:rPr>
          <w:rFonts w:cs="Arial"/>
          <w:szCs w:val="20"/>
        </w:rPr>
      </w:pPr>
      <w:r w:rsidRPr="00D92E20">
        <w:rPr>
          <w:rFonts w:cs="Arial"/>
          <w:szCs w:val="20"/>
        </w:rPr>
        <w:t xml:space="preserve">Kromě podrobných dat o nově hlášených případech, přináší publikace v kapitole 4.3 i údaje o </w:t>
      </w:r>
      <w:r w:rsidRPr="00D92E20">
        <w:rPr>
          <w:rFonts w:cs="Arial"/>
          <w:b/>
          <w:szCs w:val="20"/>
        </w:rPr>
        <w:t>ukončených případech</w:t>
      </w:r>
      <w:r w:rsidRPr="00D92E20">
        <w:rPr>
          <w:rFonts w:cs="Arial"/>
          <w:szCs w:val="20"/>
        </w:rPr>
        <w:t xml:space="preserve"> podle pohlaví a věku osob dočasně práce neschopných. </w:t>
      </w:r>
      <w:r w:rsidR="00417B81" w:rsidRPr="00D92E20">
        <w:rPr>
          <w:rFonts w:cs="Arial"/>
          <w:szCs w:val="20"/>
        </w:rPr>
        <w:t>Počty ukončených případů</w:t>
      </w:r>
      <w:r w:rsidRPr="00D92E20">
        <w:rPr>
          <w:rFonts w:cs="Arial"/>
          <w:szCs w:val="20"/>
        </w:rPr>
        <w:t xml:space="preserve"> jsou dostupné také podle příčiny pracovní neschopnosti dle jednotlivých </w:t>
      </w:r>
      <w:r w:rsidR="009F34CD">
        <w:rPr>
          <w:rFonts w:cs="Arial"/>
          <w:szCs w:val="20"/>
        </w:rPr>
        <w:t xml:space="preserve">skupin </w:t>
      </w:r>
      <w:r w:rsidRPr="00D92E20">
        <w:rPr>
          <w:rFonts w:cs="Arial"/>
          <w:szCs w:val="20"/>
        </w:rPr>
        <w:t>diagnóz či délky jejího trvání.</w:t>
      </w:r>
    </w:p>
    <w:p w14:paraId="773C9685" w14:textId="0C4E9836" w:rsidR="007241C5" w:rsidRPr="00D92E20" w:rsidRDefault="007241C5" w:rsidP="005377DA">
      <w:pPr>
        <w:autoSpaceDE w:val="0"/>
        <w:autoSpaceDN w:val="0"/>
        <w:adjustRightInd w:val="0"/>
        <w:spacing w:after="120"/>
        <w:jc w:val="both"/>
        <w:rPr>
          <w:rFonts w:cs="Arial"/>
          <w:szCs w:val="20"/>
        </w:rPr>
      </w:pPr>
      <w:r w:rsidRPr="00D92E20">
        <w:rPr>
          <w:rFonts w:cs="Arial"/>
          <w:szCs w:val="20"/>
        </w:rPr>
        <w:t xml:space="preserve">Kapitola 4.4 je věnována výši výdajů na jednotlivé dávky placené z nemocenského pojištění. </w:t>
      </w:r>
      <w:r w:rsidR="00C6313F" w:rsidRPr="00D92E20">
        <w:rPr>
          <w:rFonts w:cs="Arial"/>
          <w:szCs w:val="20"/>
        </w:rPr>
        <w:t>Součástí je i</w:t>
      </w:r>
      <w:r w:rsidR="00C02C40" w:rsidRPr="00D92E20">
        <w:rPr>
          <w:rFonts w:cs="Arial"/>
          <w:szCs w:val="20"/>
        </w:rPr>
        <w:t> </w:t>
      </w:r>
      <w:r w:rsidR="005C661C">
        <w:rPr>
          <w:rFonts w:cs="Arial"/>
          <w:szCs w:val="20"/>
        </w:rPr>
        <w:t>nastínění</w:t>
      </w:r>
      <w:r w:rsidR="005C661C" w:rsidRPr="00D92E20">
        <w:rPr>
          <w:rFonts w:cs="Arial"/>
          <w:szCs w:val="20"/>
        </w:rPr>
        <w:t xml:space="preserve"> </w:t>
      </w:r>
      <w:r w:rsidR="00C6313F" w:rsidRPr="00D92E20">
        <w:rPr>
          <w:rFonts w:cs="Arial"/>
          <w:szCs w:val="20"/>
        </w:rPr>
        <w:t xml:space="preserve">vlivu pandemie nemoci </w:t>
      </w:r>
      <w:r w:rsidR="00661F19">
        <w:rPr>
          <w:rFonts w:cs="Arial"/>
          <w:szCs w:val="20"/>
        </w:rPr>
        <w:t>c</w:t>
      </w:r>
      <w:r w:rsidR="00C6313F" w:rsidRPr="00D92E20">
        <w:rPr>
          <w:rFonts w:cs="Arial"/>
          <w:szCs w:val="20"/>
        </w:rPr>
        <w:t xml:space="preserve">ovid-19 na </w:t>
      </w:r>
      <w:r w:rsidR="005377DA" w:rsidRPr="00D92E20">
        <w:rPr>
          <w:rFonts w:cs="Arial"/>
          <w:szCs w:val="20"/>
        </w:rPr>
        <w:t>tyto výdaje</w:t>
      </w:r>
      <w:r w:rsidR="00C6313F" w:rsidRPr="00D92E20">
        <w:rPr>
          <w:rFonts w:cs="Arial"/>
          <w:szCs w:val="20"/>
        </w:rPr>
        <w:t xml:space="preserve">. </w:t>
      </w:r>
      <w:r w:rsidRPr="00D92E20">
        <w:rPr>
          <w:rFonts w:cs="Arial"/>
          <w:szCs w:val="20"/>
        </w:rPr>
        <w:t xml:space="preserve">Následuje kapitola </w:t>
      </w:r>
      <w:r w:rsidR="003405F9">
        <w:rPr>
          <w:rFonts w:cs="Arial"/>
          <w:szCs w:val="20"/>
        </w:rPr>
        <w:t xml:space="preserve">4.5 </w:t>
      </w:r>
      <w:r w:rsidRPr="00D92E20">
        <w:rPr>
          <w:rFonts w:cs="Arial"/>
          <w:szCs w:val="20"/>
        </w:rPr>
        <w:t>o pracovních úrazech.</w:t>
      </w:r>
    </w:p>
    <w:p w14:paraId="6A676254" w14:textId="77777777" w:rsidR="007241C5" w:rsidRPr="00D92E20" w:rsidRDefault="007241C5" w:rsidP="007241C5">
      <w:pPr>
        <w:autoSpaceDE w:val="0"/>
        <w:autoSpaceDN w:val="0"/>
        <w:adjustRightInd w:val="0"/>
        <w:spacing w:after="60"/>
        <w:jc w:val="both"/>
        <w:rPr>
          <w:rFonts w:cs="Arial"/>
          <w:szCs w:val="20"/>
        </w:rPr>
      </w:pPr>
      <w:r w:rsidRPr="00D92E20">
        <w:rPr>
          <w:rFonts w:cs="Arial"/>
          <w:b/>
          <w:szCs w:val="20"/>
        </w:rPr>
        <w:t>Tabulková část</w:t>
      </w:r>
      <w:r w:rsidRPr="00D92E20">
        <w:rPr>
          <w:rFonts w:cs="Arial"/>
          <w:szCs w:val="20"/>
        </w:rPr>
        <w:t xml:space="preserve"> publikace obsahuje datové výstupy ze zpracování nově hlášených případů dočasné pracovní neschopnosti zaměstnanců a OSVČ v členění dle:</w:t>
      </w:r>
    </w:p>
    <w:p w14:paraId="1B340DA7" w14:textId="77777777" w:rsidR="007241C5" w:rsidRPr="00D92E20" w:rsidRDefault="007241C5" w:rsidP="00277304">
      <w:pPr>
        <w:pStyle w:val="Odstavecseseznamem"/>
        <w:numPr>
          <w:ilvl w:val="0"/>
          <w:numId w:val="2"/>
        </w:numPr>
        <w:autoSpaceDE w:val="0"/>
        <w:autoSpaceDN w:val="0"/>
        <w:adjustRightInd w:val="0"/>
        <w:jc w:val="both"/>
        <w:rPr>
          <w:rFonts w:cs="Arial"/>
          <w:szCs w:val="20"/>
        </w:rPr>
      </w:pPr>
      <w:r w:rsidRPr="00D92E20">
        <w:rPr>
          <w:rFonts w:cs="Arial"/>
          <w:szCs w:val="20"/>
        </w:rPr>
        <w:t>pohlaví nemocensky pojištěných osob,</w:t>
      </w:r>
    </w:p>
    <w:p w14:paraId="36FC910A" w14:textId="77777777" w:rsidR="007241C5" w:rsidRPr="00D92E20" w:rsidRDefault="007241C5" w:rsidP="00277304">
      <w:pPr>
        <w:pStyle w:val="Odstavecseseznamem"/>
        <w:numPr>
          <w:ilvl w:val="0"/>
          <w:numId w:val="2"/>
        </w:numPr>
        <w:autoSpaceDE w:val="0"/>
        <w:autoSpaceDN w:val="0"/>
        <w:adjustRightInd w:val="0"/>
        <w:jc w:val="both"/>
        <w:rPr>
          <w:rFonts w:cs="Arial"/>
          <w:szCs w:val="20"/>
        </w:rPr>
      </w:pPr>
      <w:r w:rsidRPr="00D92E20">
        <w:rPr>
          <w:rFonts w:cs="Arial"/>
          <w:szCs w:val="20"/>
        </w:rPr>
        <w:t>postavení v zaměstnání nemocensky pojištěných osob (zaměstnanci, OSVČ),</w:t>
      </w:r>
    </w:p>
    <w:p w14:paraId="12551084" w14:textId="77777777" w:rsidR="007241C5" w:rsidRPr="00D92E20" w:rsidRDefault="007241C5" w:rsidP="00277304">
      <w:pPr>
        <w:pStyle w:val="Odstavecseseznamem"/>
        <w:numPr>
          <w:ilvl w:val="0"/>
          <w:numId w:val="2"/>
        </w:numPr>
        <w:autoSpaceDE w:val="0"/>
        <w:autoSpaceDN w:val="0"/>
        <w:adjustRightInd w:val="0"/>
        <w:jc w:val="both"/>
        <w:rPr>
          <w:rFonts w:cs="Arial"/>
          <w:szCs w:val="20"/>
        </w:rPr>
      </w:pPr>
      <w:r w:rsidRPr="00D92E20">
        <w:rPr>
          <w:rFonts w:cs="Arial"/>
          <w:szCs w:val="20"/>
        </w:rPr>
        <w:t>velikosti ekonomického subjektu (dle počtu zaměstnanců),</w:t>
      </w:r>
    </w:p>
    <w:p w14:paraId="6467504C" w14:textId="77777777" w:rsidR="007241C5" w:rsidRPr="00D92E20" w:rsidRDefault="007241C5" w:rsidP="00277304">
      <w:pPr>
        <w:pStyle w:val="Odstavecseseznamem"/>
        <w:numPr>
          <w:ilvl w:val="0"/>
          <w:numId w:val="2"/>
        </w:numPr>
        <w:autoSpaceDE w:val="0"/>
        <w:autoSpaceDN w:val="0"/>
        <w:adjustRightInd w:val="0"/>
        <w:jc w:val="both"/>
        <w:rPr>
          <w:rFonts w:cs="Arial"/>
          <w:szCs w:val="20"/>
        </w:rPr>
      </w:pPr>
      <w:r w:rsidRPr="00D92E20">
        <w:rPr>
          <w:rFonts w:cs="Arial"/>
          <w:szCs w:val="20"/>
        </w:rPr>
        <w:t>sektoru zaměstnavatele (dle klasifikace institucionálních sektorů a subsektorů dle ESA 2010),</w:t>
      </w:r>
    </w:p>
    <w:p w14:paraId="6A806439" w14:textId="77777777" w:rsidR="005377DA" w:rsidRPr="00D92E20" w:rsidRDefault="007241C5" w:rsidP="00000A90">
      <w:pPr>
        <w:pStyle w:val="Odstavecseseznamem"/>
        <w:numPr>
          <w:ilvl w:val="0"/>
          <w:numId w:val="2"/>
        </w:numPr>
        <w:autoSpaceDE w:val="0"/>
        <w:autoSpaceDN w:val="0"/>
        <w:adjustRightInd w:val="0"/>
        <w:spacing w:after="120"/>
        <w:ind w:left="714" w:hanging="357"/>
        <w:jc w:val="both"/>
        <w:rPr>
          <w:rFonts w:cs="Arial"/>
          <w:szCs w:val="20"/>
        </w:rPr>
      </w:pPr>
      <w:r w:rsidRPr="00D92E20">
        <w:rPr>
          <w:rFonts w:cs="Arial"/>
          <w:szCs w:val="20"/>
        </w:rPr>
        <w:t>převažující ekonomické činnosti (na úrovni sekcí či oddílů klasifikace CZ-NACE),</w:t>
      </w:r>
    </w:p>
    <w:p w14:paraId="5A91DF22" w14:textId="77777777" w:rsidR="007241C5" w:rsidRPr="00D92E20" w:rsidRDefault="007241C5" w:rsidP="00000A90">
      <w:pPr>
        <w:pStyle w:val="Odstavecseseznamem"/>
        <w:numPr>
          <w:ilvl w:val="0"/>
          <w:numId w:val="2"/>
        </w:numPr>
        <w:autoSpaceDE w:val="0"/>
        <w:autoSpaceDN w:val="0"/>
        <w:adjustRightInd w:val="0"/>
        <w:spacing w:after="120"/>
        <w:ind w:left="714" w:hanging="357"/>
        <w:jc w:val="both"/>
        <w:rPr>
          <w:rFonts w:cs="Arial"/>
          <w:szCs w:val="20"/>
        </w:rPr>
      </w:pPr>
      <w:r w:rsidRPr="00D92E20">
        <w:rPr>
          <w:rFonts w:cs="Arial"/>
          <w:szCs w:val="20"/>
        </w:rPr>
        <w:t>sídla zaměstnavatele (kraje a okresy ČR dle klasifikace CZ-NUTS).</w:t>
      </w:r>
    </w:p>
    <w:p w14:paraId="292A01EE" w14:textId="77777777" w:rsidR="007241C5" w:rsidRPr="00D92E20" w:rsidRDefault="007241C5" w:rsidP="005377DA">
      <w:pPr>
        <w:autoSpaceDE w:val="0"/>
        <w:autoSpaceDN w:val="0"/>
        <w:adjustRightInd w:val="0"/>
        <w:spacing w:after="120"/>
        <w:jc w:val="both"/>
        <w:rPr>
          <w:rFonts w:cs="Arial"/>
          <w:szCs w:val="20"/>
        </w:rPr>
      </w:pPr>
      <w:r w:rsidRPr="00D92E20">
        <w:rPr>
          <w:rFonts w:cs="Arial"/>
          <w:szCs w:val="20"/>
        </w:rPr>
        <w:t>Tabulková část dále obsahuje data o pracovní úrazovosti s dočasnou pracovní neschopností delší než 3 dny, se samostatným výstupem o pracovní úrazovosti mladistvých (tj. nemocensky pojištěných osob do 18 let).</w:t>
      </w:r>
    </w:p>
    <w:p w14:paraId="653AA83E" w14:textId="77777777" w:rsidR="00CF2EE9" w:rsidRPr="00D92E20" w:rsidRDefault="00CF2EE9">
      <w:pPr>
        <w:spacing w:after="0" w:line="240" w:lineRule="auto"/>
        <w:rPr>
          <w:rFonts w:cs="Arial"/>
        </w:rPr>
      </w:pPr>
      <w:r w:rsidRPr="00D92E20">
        <w:rPr>
          <w:rFonts w:cs="Arial"/>
        </w:rPr>
        <w:br w:type="page"/>
      </w:r>
    </w:p>
    <w:p w14:paraId="16553A27" w14:textId="77777777" w:rsidR="00CF2EE9" w:rsidRPr="00D92E20" w:rsidRDefault="00CF2EE9" w:rsidP="00145F42">
      <w:pPr>
        <w:pStyle w:val="Nadpis2"/>
        <w:numPr>
          <w:ilvl w:val="0"/>
          <w:numId w:val="18"/>
        </w:numPr>
        <w:ind w:left="425" w:hanging="357"/>
      </w:pPr>
      <w:bookmarkStart w:id="2" w:name="_Toc54262789"/>
      <w:bookmarkStart w:id="3" w:name="_Toc117774417"/>
      <w:r w:rsidRPr="00D92E20">
        <w:lastRenderedPageBreak/>
        <w:t>Legislativní úprava nemocenského pojištění</w:t>
      </w:r>
      <w:bookmarkEnd w:id="2"/>
      <w:bookmarkEnd w:id="3"/>
    </w:p>
    <w:p w14:paraId="5EA4A5A9" w14:textId="77777777" w:rsidR="00CF2EE9" w:rsidRPr="00D92E20" w:rsidRDefault="00CF2EE9" w:rsidP="00CF2EE9">
      <w:pPr>
        <w:spacing w:after="120"/>
        <w:jc w:val="both"/>
      </w:pPr>
      <w:r w:rsidRPr="00D92E20">
        <w:t>Systém nemocenského pojištění je určen pro výdělečně činné osoby, které při ztrátě příjmu v případech tzv. krátkodobých sociálních událostí (dočasné pracovní neschopnosti z důvodu nemoci nebo úrazu či karantény, ošetřování člena rodiny, těhotenství a mateřství, péče o dítě) zabezpečuje peněžitými dávkami nemocenského pojištění.</w:t>
      </w:r>
    </w:p>
    <w:p w14:paraId="6D7426C6" w14:textId="77777777" w:rsidR="00CF2EE9" w:rsidRPr="00D92E20" w:rsidRDefault="00CF2EE9" w:rsidP="005377DA">
      <w:pPr>
        <w:spacing w:after="120"/>
        <w:jc w:val="both"/>
      </w:pPr>
      <w:r w:rsidRPr="00D92E20">
        <w:t xml:space="preserve">Od 1. ledna 2009 je nemocenské pojištění upraveno </w:t>
      </w:r>
      <w:r w:rsidRPr="00D92E20">
        <w:rPr>
          <w:b/>
          <w:bCs/>
        </w:rPr>
        <w:t>zákonem č. 187/2006 Sb., o nemocenském pojištění</w:t>
      </w:r>
      <w:r w:rsidRPr="00D92E20">
        <w:t>, ve znění pozdějších předpisů (dále též „zákon o nemocenském pojištění“). Jde o komplexní úpravu nemocenského pojištění, která zahrnuje jak okruh osob účastných nemocenského pojištění, jejich nároky z tohoto pojištění a stanovení výše poskytovaných dávek, posuzování zdravotního stavu pro účely nemocenského pojištění, tak organizační uspořádání nemocenského pojištění, jakož i řízení v tomto pojištění.</w:t>
      </w:r>
    </w:p>
    <w:p w14:paraId="1C0066BA" w14:textId="77777777" w:rsidR="00CF2EE9" w:rsidRPr="00D92E20" w:rsidRDefault="00CF2EE9" w:rsidP="00CF2EE9">
      <w:pPr>
        <w:pStyle w:val="Seznam"/>
        <w:spacing w:after="60"/>
        <w:jc w:val="both"/>
        <w:rPr>
          <w:b/>
          <w:bCs/>
        </w:rPr>
      </w:pPr>
      <w:r w:rsidRPr="00D92E20">
        <w:t>K oblasti nemocenského pojištění se kromě zákona o nemocenském pojištění dále vztahují následující právní předpisy:</w:t>
      </w:r>
    </w:p>
    <w:p w14:paraId="5671BD85" w14:textId="77777777" w:rsidR="00CF2EE9" w:rsidRPr="00D92E20" w:rsidRDefault="00CF2EE9" w:rsidP="00277304">
      <w:pPr>
        <w:pStyle w:val="Seznam"/>
        <w:numPr>
          <w:ilvl w:val="0"/>
          <w:numId w:val="4"/>
        </w:numPr>
        <w:jc w:val="both"/>
      </w:pPr>
      <w:r w:rsidRPr="00D92E20">
        <w:t>zákon č. 589/1992 Sb., o pojistném na sociální zabezpečení a příspěvku na státní politiku zaměstnanosti, ve znění pozdějších předpisů (upravuje pojistné na nemocenské pojištění),</w:t>
      </w:r>
    </w:p>
    <w:p w14:paraId="648069E3" w14:textId="77777777" w:rsidR="00CF2EE9" w:rsidRPr="00D92E20" w:rsidRDefault="00CF2EE9" w:rsidP="00277304">
      <w:pPr>
        <w:pStyle w:val="Seznam"/>
        <w:numPr>
          <w:ilvl w:val="0"/>
          <w:numId w:val="4"/>
        </w:numPr>
        <w:jc w:val="both"/>
      </w:pPr>
      <w:r w:rsidRPr="00D92E20">
        <w:t>zákon č. 262/2006 Sb., zákoník práce, ve znění pozdějších předpisů (upravuje náhradu mzdy nebo platu při pracovní neschopnosti),</w:t>
      </w:r>
    </w:p>
    <w:p w14:paraId="2D6B09C0" w14:textId="016C1D93" w:rsidR="00CF2EE9" w:rsidRPr="00D92E20" w:rsidRDefault="00CF2EE9" w:rsidP="00277304">
      <w:pPr>
        <w:pStyle w:val="Seznam"/>
        <w:numPr>
          <w:ilvl w:val="0"/>
          <w:numId w:val="4"/>
        </w:numPr>
        <w:jc w:val="both"/>
      </w:pPr>
      <w:r w:rsidRPr="00D92E20">
        <w:t xml:space="preserve">zákon č. 234/2014 Sb., o státní službě, ve znění pozdějších předpisů (upravuje </w:t>
      </w:r>
      <w:r w:rsidR="00B9558B">
        <w:t xml:space="preserve">náhradu </w:t>
      </w:r>
      <w:r w:rsidRPr="00D92E20">
        <w:t>plat</w:t>
      </w:r>
      <w:r w:rsidR="00B9558B">
        <w:t>u</w:t>
      </w:r>
      <w:r w:rsidRPr="00D92E20">
        <w:t xml:space="preserve"> při dočasné neschopnosti k výkonu služby),</w:t>
      </w:r>
    </w:p>
    <w:p w14:paraId="7E61CDE2" w14:textId="19B02637" w:rsidR="00032C2E" w:rsidRPr="00D92E20" w:rsidRDefault="00032C2E" w:rsidP="00710F87">
      <w:pPr>
        <w:pStyle w:val="Seznam"/>
        <w:numPr>
          <w:ilvl w:val="0"/>
          <w:numId w:val="4"/>
        </w:numPr>
        <w:jc w:val="both"/>
      </w:pPr>
      <w:r w:rsidRPr="00D92E20">
        <w:rPr>
          <w:bCs/>
        </w:rPr>
        <w:t xml:space="preserve">nařízení vlády </w:t>
      </w:r>
      <w:r w:rsidR="00710F87">
        <w:rPr>
          <w:bCs/>
        </w:rPr>
        <w:t>č. 356/2021 Sb</w:t>
      </w:r>
      <w:r w:rsidRPr="00D92E20">
        <w:rPr>
          <w:bCs/>
        </w:rPr>
        <w:t xml:space="preserve">., o výši všeobecného vyměřovacího základu </w:t>
      </w:r>
      <w:r w:rsidR="00710F87" w:rsidRPr="00710F87">
        <w:rPr>
          <w:bCs/>
        </w:rPr>
        <w:t>za rok 2020, přepočítacího koeficientu pro úpravu všeobecného vyměřovacího základu za rok 2020, redukčních hranic pro stanovení výpočtového základu pro rok 2022 a základní výměry důchodu stanovené pro rok 2022 a</w:t>
      </w:r>
      <w:r w:rsidR="00710F87">
        <w:rPr>
          <w:bCs/>
        </w:rPr>
        <w:t> </w:t>
      </w:r>
      <w:r w:rsidR="00710F87" w:rsidRPr="00710F87">
        <w:rPr>
          <w:bCs/>
        </w:rPr>
        <w:t>o</w:t>
      </w:r>
      <w:r w:rsidR="00710F87">
        <w:rPr>
          <w:bCs/>
        </w:rPr>
        <w:t> </w:t>
      </w:r>
      <w:r w:rsidR="00710F87" w:rsidRPr="00710F87">
        <w:rPr>
          <w:bCs/>
        </w:rPr>
        <w:t>zvýšení důchodů v roce 2022</w:t>
      </w:r>
      <w:r w:rsidR="00AD7EB3">
        <w:rPr>
          <w:bCs/>
        </w:rPr>
        <w:t>,</w:t>
      </w:r>
    </w:p>
    <w:p w14:paraId="09244DB7" w14:textId="19EFACA2" w:rsidR="00EE4B1B" w:rsidRPr="00DE42AF" w:rsidRDefault="00032C2E" w:rsidP="00710F87">
      <w:pPr>
        <w:pStyle w:val="Seznam"/>
        <w:numPr>
          <w:ilvl w:val="0"/>
          <w:numId w:val="4"/>
        </w:numPr>
        <w:spacing w:after="120"/>
        <w:jc w:val="both"/>
        <w:rPr>
          <w:i/>
        </w:rPr>
      </w:pPr>
      <w:r w:rsidRPr="00D92E20">
        <w:rPr>
          <w:bCs/>
        </w:rPr>
        <w:t xml:space="preserve">sdělení Ministerstva práce a sociálních věcí č. </w:t>
      </w:r>
      <w:r w:rsidR="00710F87" w:rsidRPr="00710F87">
        <w:rPr>
          <w:bCs/>
        </w:rPr>
        <w:t>380/2021</w:t>
      </w:r>
      <w:r w:rsidR="003B1EAF">
        <w:rPr>
          <w:bCs/>
        </w:rPr>
        <w:t xml:space="preserve"> Sb</w:t>
      </w:r>
      <w:r w:rsidRPr="00D92E20">
        <w:rPr>
          <w:bCs/>
        </w:rPr>
        <w:t>., kterým se vyhlašuje pro účely nemocenského pojištění výše redukčních hranic pro úpravu denního vyměřovacího základu platných v roce 202</w:t>
      </w:r>
      <w:r w:rsidR="003B1EAF">
        <w:rPr>
          <w:bCs/>
        </w:rPr>
        <w:t>2</w:t>
      </w:r>
      <w:r w:rsidR="00DE42AF">
        <w:rPr>
          <w:bCs/>
        </w:rPr>
        <w:t>,</w:t>
      </w:r>
    </w:p>
    <w:p w14:paraId="3ACD9452" w14:textId="435C1285" w:rsidR="00DE42AF" w:rsidRPr="00DE42AF" w:rsidRDefault="00DE42AF" w:rsidP="00DE42AF">
      <w:pPr>
        <w:pStyle w:val="Seznam"/>
        <w:numPr>
          <w:ilvl w:val="0"/>
          <w:numId w:val="4"/>
        </w:numPr>
        <w:spacing w:after="120"/>
        <w:jc w:val="both"/>
      </w:pPr>
      <w:r>
        <w:t>s</w:t>
      </w:r>
      <w:r w:rsidRPr="00DE42AF">
        <w:t>dělení Ministerstva práce a sociálních věcí č. 436/2020 Sb., kterým se vyhlašuje zvýšení částky rozhodné pro účast zaměstnanců na nemocenském pojištění</w:t>
      </w:r>
      <w:r>
        <w:t>.</w:t>
      </w:r>
    </w:p>
    <w:p w14:paraId="50C62DA3" w14:textId="77777777" w:rsidR="00B71F7A" w:rsidRPr="00D92E20" w:rsidRDefault="00B71F7A" w:rsidP="00145F42">
      <w:pPr>
        <w:pStyle w:val="Nadpis3"/>
        <w:numPr>
          <w:ilvl w:val="1"/>
          <w:numId w:val="18"/>
        </w:numPr>
        <w:ind w:left="426" w:hanging="403"/>
      </w:pPr>
      <w:bookmarkStart w:id="4" w:name="_Toc117774418"/>
      <w:r w:rsidRPr="00D92E20">
        <w:t>Účast na nemocenském pojištění</w:t>
      </w:r>
      <w:bookmarkEnd w:id="4"/>
    </w:p>
    <w:p w14:paraId="5DD19CFB" w14:textId="59A357F8" w:rsidR="0094191B" w:rsidRDefault="0094191B" w:rsidP="005377DA">
      <w:pPr>
        <w:spacing w:after="120"/>
        <w:jc w:val="both"/>
      </w:pPr>
      <w:r w:rsidRPr="00D92E20">
        <w:t xml:space="preserve">Nemocenského pojištění jsou účastni </w:t>
      </w:r>
      <w:r w:rsidRPr="00D92E20">
        <w:rPr>
          <w:b/>
        </w:rPr>
        <w:t xml:space="preserve">zaměstnanci </w:t>
      </w:r>
      <w:r w:rsidRPr="00D92E20">
        <w:t>(bližší určení viz § 5 zákona o nemocenském pojištění) a </w:t>
      </w:r>
      <w:r w:rsidRPr="00D92E20">
        <w:rPr>
          <w:b/>
        </w:rPr>
        <w:t>osoby samostatně výdělečně činné</w:t>
      </w:r>
      <w:r w:rsidRPr="00D92E20">
        <w:t xml:space="preserve"> (dále též „OSVČ“). </w:t>
      </w:r>
      <w:r w:rsidRPr="00145F42">
        <w:rPr>
          <w:b/>
        </w:rPr>
        <w:t>Zaměstnanci</w:t>
      </w:r>
      <w:r w:rsidRPr="00D92E20">
        <w:t xml:space="preserve"> jsou </w:t>
      </w:r>
      <w:r w:rsidRPr="00145F42">
        <w:rPr>
          <w:b/>
        </w:rPr>
        <w:t>povinně</w:t>
      </w:r>
      <w:r w:rsidRPr="00D92E20">
        <w:t xml:space="preserve"> účastni nemocenského pojištění, na rozdíl od </w:t>
      </w:r>
      <w:r w:rsidRPr="00145F42">
        <w:rPr>
          <w:b/>
        </w:rPr>
        <w:t>OSVČ</w:t>
      </w:r>
      <w:r w:rsidRPr="00D92E20">
        <w:t xml:space="preserve">, jejichž nemocenské pojištění je </w:t>
      </w:r>
      <w:r w:rsidRPr="00145F42">
        <w:rPr>
          <w:b/>
        </w:rPr>
        <w:t>dobrovolné</w:t>
      </w:r>
      <w:r w:rsidRPr="00D92E20">
        <w:t>.</w:t>
      </w:r>
    </w:p>
    <w:p w14:paraId="6A72A3F3" w14:textId="2E7BFBDF" w:rsidR="00145F42" w:rsidRPr="00D92E20" w:rsidRDefault="00145F42" w:rsidP="005377DA">
      <w:pPr>
        <w:spacing w:after="120"/>
        <w:jc w:val="both"/>
      </w:pPr>
      <w:r w:rsidRPr="00145F42">
        <w:t xml:space="preserve">Za </w:t>
      </w:r>
      <w:r w:rsidRPr="00145F42">
        <w:rPr>
          <w:b/>
          <w:bCs/>
        </w:rPr>
        <w:t>zaměstnání</w:t>
      </w:r>
      <w:r w:rsidRPr="00145F42">
        <w:t xml:space="preserve"> se pro účely nemocenského pojištění považuje činnost zaměstnance pro zaměstnavatele, z</w:t>
      </w:r>
      <w:r>
        <w:t> </w:t>
      </w:r>
      <w:r w:rsidRPr="00145F42">
        <w:t>níž mu plynou nebo by mohly plynout od zaměstnavatele příjmy ze závislé činnosti bez ohledu na druh pracovního vztahu.</w:t>
      </w:r>
    </w:p>
    <w:p w14:paraId="4D80300F" w14:textId="77777777" w:rsidR="0094191B" w:rsidRPr="00D92E20" w:rsidRDefault="0094191B" w:rsidP="005377DA">
      <w:pPr>
        <w:spacing w:after="120"/>
        <w:jc w:val="both"/>
      </w:pPr>
      <w:r w:rsidRPr="00D92E20">
        <w:rPr>
          <w:b/>
        </w:rPr>
        <w:t>Povinná účast na nemocenském pojištění</w:t>
      </w:r>
      <w:r w:rsidRPr="00D92E20">
        <w:t xml:space="preserve"> vzniká u zaměstnance (s výjimkou zaměstnance činného na základě dohody o provedení práce), pokud splňuje podmínky stanovené zákonem o nemocenském pojištění.</w:t>
      </w:r>
    </w:p>
    <w:p w14:paraId="49C09859" w14:textId="77777777" w:rsidR="0094191B" w:rsidRPr="00D92E20" w:rsidRDefault="0094191B" w:rsidP="0094191B">
      <w:pPr>
        <w:spacing w:after="60"/>
        <w:jc w:val="both"/>
      </w:pPr>
      <w:r w:rsidRPr="00D92E20">
        <w:t>Jedná se o dvě základní podmínky, a to o:</w:t>
      </w:r>
    </w:p>
    <w:p w14:paraId="7CA1738F" w14:textId="77777777" w:rsidR="0094191B" w:rsidRPr="00D92E20" w:rsidRDefault="0094191B" w:rsidP="00277304">
      <w:pPr>
        <w:pStyle w:val="Odstavecseseznamem"/>
        <w:numPr>
          <w:ilvl w:val="0"/>
          <w:numId w:val="7"/>
        </w:numPr>
        <w:jc w:val="both"/>
      </w:pPr>
      <w:r w:rsidRPr="00D92E20">
        <w:rPr>
          <w:b/>
        </w:rPr>
        <w:t>výkon práce</w:t>
      </w:r>
      <w:r w:rsidRPr="00D92E20">
        <w:t xml:space="preserve"> na území České republiky (dále též „ČR“) v zaměstnání vykonávaném v </w:t>
      </w:r>
      <w:r w:rsidRPr="00D92E20">
        <w:rPr>
          <w:b/>
          <w:bCs/>
        </w:rPr>
        <w:t>pracovním vztahu</w:t>
      </w:r>
      <w:r w:rsidRPr="00D92E20">
        <w:t>, který může účast na nemocenském pojištění založit,</w:t>
      </w:r>
    </w:p>
    <w:p w14:paraId="58DB1DFF" w14:textId="06974883" w:rsidR="005377DA" w:rsidRPr="00D92E20" w:rsidRDefault="0094191B" w:rsidP="005377DA">
      <w:pPr>
        <w:pStyle w:val="Odstavecseseznamem"/>
        <w:numPr>
          <w:ilvl w:val="0"/>
          <w:numId w:val="6"/>
        </w:numPr>
        <w:spacing w:after="120"/>
        <w:ind w:left="714" w:hanging="357"/>
        <w:jc w:val="both"/>
      </w:pPr>
      <w:r w:rsidRPr="00D92E20">
        <w:rPr>
          <w:b/>
        </w:rPr>
        <w:t>minimální výši sjednaného příjmu</w:t>
      </w:r>
      <w:r w:rsidRPr="00D92E20">
        <w:t xml:space="preserve"> (jedná se o tzv. rozhodný příjem, jehož hranice byla od 1. 1. 20</w:t>
      </w:r>
      <w:r w:rsidR="00E206F0">
        <w:t>21</w:t>
      </w:r>
      <w:r w:rsidRPr="00D92E20">
        <w:t xml:space="preserve"> stanovena na</w:t>
      </w:r>
      <w:r w:rsidRPr="00D92E20">
        <w:rPr>
          <w:b/>
        </w:rPr>
        <w:t xml:space="preserve"> 3 </w:t>
      </w:r>
      <w:r w:rsidR="00E206F0">
        <w:rPr>
          <w:b/>
        </w:rPr>
        <w:t>5</w:t>
      </w:r>
      <w:r w:rsidRPr="00D92E20">
        <w:rPr>
          <w:b/>
        </w:rPr>
        <w:t>00 Kč</w:t>
      </w:r>
      <w:r w:rsidRPr="00D92E20">
        <w:t>/kalendářní měsíc</w:t>
      </w:r>
      <w:r w:rsidR="005C661C">
        <w:t>)</w:t>
      </w:r>
      <w:r w:rsidRPr="00D92E20">
        <w:t>.</w:t>
      </w:r>
    </w:p>
    <w:p w14:paraId="40500306" w14:textId="489D73A1" w:rsidR="005377DA" w:rsidRPr="00D92E20" w:rsidRDefault="0094191B" w:rsidP="00145F42">
      <w:pPr>
        <w:spacing w:after="120"/>
        <w:jc w:val="both"/>
      </w:pPr>
      <w:r w:rsidRPr="00D92E20">
        <w:rPr>
          <w:rFonts w:cs="Arial"/>
          <w:szCs w:val="20"/>
        </w:rPr>
        <w:t xml:space="preserve">Zvláštní podmínky účasti zaměstnanců na nemocenském pojištění jsou stanoveny při výkonu </w:t>
      </w:r>
      <w:r w:rsidRPr="00D92E20">
        <w:rPr>
          <w:rFonts w:cs="Arial"/>
          <w:b/>
          <w:bCs/>
          <w:szCs w:val="20"/>
        </w:rPr>
        <w:t>zaměstnání malého rozsahu</w:t>
      </w:r>
      <w:r w:rsidRPr="00D92E20">
        <w:rPr>
          <w:rFonts w:cs="Arial"/>
          <w:szCs w:val="20"/>
        </w:rPr>
        <w:t xml:space="preserve">. Zaměstnáním malého rozsahu se rozumí zaměstnání, v němž jsou splněny podmínky výkonu zaměstnání na území ČR, avšak není splněna podmínka sjednání příjmu ze zaměstnání ve stanovené výši. Jde o situace, kdy </w:t>
      </w:r>
      <w:r w:rsidR="0026728F" w:rsidRPr="00D92E20">
        <w:rPr>
          <w:rFonts w:cs="Arial"/>
          <w:szCs w:val="20"/>
        </w:rPr>
        <w:t xml:space="preserve">je </w:t>
      </w:r>
      <w:r w:rsidRPr="00D92E20">
        <w:rPr>
          <w:rFonts w:cs="Arial"/>
          <w:szCs w:val="20"/>
        </w:rPr>
        <w:t>sjednaná měsíční</w:t>
      </w:r>
      <w:r w:rsidR="0026728F" w:rsidRPr="00D92E20">
        <w:rPr>
          <w:rFonts w:cs="Arial"/>
          <w:szCs w:val="20"/>
        </w:rPr>
        <w:t xml:space="preserve"> částka započitatelného příjmu</w:t>
      </w:r>
      <w:r w:rsidRPr="00D92E20">
        <w:rPr>
          <w:rFonts w:cs="Arial"/>
          <w:szCs w:val="20"/>
        </w:rPr>
        <w:t xml:space="preserve"> nižší než rozhodný příjem, anebo měsíční příjem nebyl sjednán vůbec. Při výkonu zaměstnání malého rozsahu je zaměstnanec pojištěn jen v těch kalendářních měsících, v nichž dosáhl aspoň příjmu v příslušné rozhodné výši.</w:t>
      </w:r>
      <w:r w:rsidR="005377DA" w:rsidRPr="00D92E20">
        <w:br w:type="page"/>
      </w:r>
    </w:p>
    <w:p w14:paraId="5890C27D" w14:textId="77777777" w:rsidR="0094191B" w:rsidRPr="00D92E20" w:rsidRDefault="0094191B" w:rsidP="0094191B">
      <w:pPr>
        <w:pStyle w:val="Seznam"/>
        <w:jc w:val="both"/>
      </w:pPr>
      <w:r w:rsidRPr="00D92E20">
        <w:lastRenderedPageBreak/>
        <w:t xml:space="preserve">U zaměstnance činného na základě </w:t>
      </w:r>
      <w:r w:rsidRPr="00D92E20">
        <w:rPr>
          <w:b/>
          <w:bCs/>
        </w:rPr>
        <w:t>dohody o provedení práce</w:t>
      </w:r>
      <w:r w:rsidRPr="00D92E20">
        <w:t xml:space="preserve"> vzniká povinná účast na nemocenském pojištění, pokud splňuje dvě podmínky, a to:</w:t>
      </w:r>
    </w:p>
    <w:p w14:paraId="44820FEC" w14:textId="77777777" w:rsidR="0094191B" w:rsidRPr="00D92E20" w:rsidRDefault="0094191B" w:rsidP="00277304">
      <w:pPr>
        <w:pStyle w:val="Seznam"/>
        <w:numPr>
          <w:ilvl w:val="0"/>
          <w:numId w:val="8"/>
        </w:numPr>
        <w:jc w:val="both"/>
      </w:pPr>
      <w:r w:rsidRPr="00D92E20">
        <w:t>výkon práce na území ČR a</w:t>
      </w:r>
    </w:p>
    <w:p w14:paraId="4CA9BAC2" w14:textId="77777777" w:rsidR="0094191B" w:rsidRPr="00D92E20" w:rsidRDefault="0094191B" w:rsidP="005377DA">
      <w:pPr>
        <w:pStyle w:val="Seznam"/>
        <w:numPr>
          <w:ilvl w:val="0"/>
          <w:numId w:val="8"/>
        </w:numPr>
        <w:spacing w:after="120"/>
        <w:ind w:left="714" w:hanging="357"/>
        <w:jc w:val="both"/>
      </w:pPr>
      <w:r w:rsidRPr="00D92E20">
        <w:t>v kalendářním měsíci, v němž dohoda o provedení práce trvá, dosáhl započitatelného příjmu v částce vyšší než 10 000 Kč.</w:t>
      </w:r>
    </w:p>
    <w:p w14:paraId="266E7F24" w14:textId="77777777" w:rsidR="0094191B" w:rsidRPr="00D92E20" w:rsidRDefault="0094191B" w:rsidP="005377DA">
      <w:pPr>
        <w:spacing w:after="120"/>
        <w:jc w:val="both"/>
      </w:pPr>
      <w:r w:rsidRPr="00D92E20">
        <w:t xml:space="preserve">Účast </w:t>
      </w:r>
      <w:r w:rsidRPr="00145F42">
        <w:rPr>
          <w:b/>
        </w:rPr>
        <w:t>OSVČ</w:t>
      </w:r>
      <w:r w:rsidRPr="00D92E20">
        <w:t xml:space="preserve"> na nemocenském pojištění vzniká na základě přihlášky k nemocenskému pojištění a zaplacením pojistného na nemocenské pojištění.</w:t>
      </w:r>
    </w:p>
    <w:p w14:paraId="781059AC" w14:textId="176A9929" w:rsidR="0094191B" w:rsidRPr="00D92E20" w:rsidRDefault="0094191B" w:rsidP="005377DA">
      <w:pPr>
        <w:pStyle w:val="Normlnweb"/>
        <w:spacing w:before="120" w:beforeAutospacing="0" w:after="120" w:afterAutospacing="0" w:line="288" w:lineRule="auto"/>
        <w:jc w:val="both"/>
        <w:rPr>
          <w:rFonts w:ascii="Arial" w:hAnsi="Arial"/>
          <w:sz w:val="20"/>
        </w:rPr>
      </w:pPr>
      <w:r w:rsidRPr="00D92E20">
        <w:rPr>
          <w:rFonts w:ascii="Arial" w:hAnsi="Arial" w:cs="Arial"/>
          <w:sz w:val="20"/>
          <w:szCs w:val="20"/>
        </w:rPr>
        <w:t>Minimální měsíční základ, který si může OSVČ určit pro placení pojistného na nemocenské pojištění od 1. 1. 20</w:t>
      </w:r>
      <w:r w:rsidR="00E206F0">
        <w:rPr>
          <w:rFonts w:ascii="Arial" w:hAnsi="Arial" w:cs="Arial"/>
          <w:sz w:val="20"/>
          <w:szCs w:val="20"/>
        </w:rPr>
        <w:t>21</w:t>
      </w:r>
      <w:r w:rsidRPr="00D92E20">
        <w:rPr>
          <w:rFonts w:ascii="Arial" w:hAnsi="Arial" w:cs="Arial"/>
          <w:sz w:val="20"/>
          <w:szCs w:val="20"/>
        </w:rPr>
        <w:t xml:space="preserve"> čin</w:t>
      </w:r>
      <w:r w:rsidR="00A52F24">
        <w:rPr>
          <w:rFonts w:ascii="Arial" w:hAnsi="Arial" w:cs="Arial"/>
          <w:sz w:val="20"/>
          <w:szCs w:val="20"/>
        </w:rPr>
        <w:t>í</w:t>
      </w:r>
      <w:r w:rsidRPr="00D92E20">
        <w:rPr>
          <w:rFonts w:ascii="Arial" w:hAnsi="Arial" w:cs="Arial"/>
          <w:sz w:val="20"/>
          <w:szCs w:val="20"/>
        </w:rPr>
        <w:t xml:space="preserve"> </w:t>
      </w:r>
      <w:r w:rsidR="00E206F0">
        <w:rPr>
          <w:rFonts w:ascii="Arial" w:hAnsi="Arial" w:cs="Arial"/>
          <w:sz w:val="20"/>
          <w:szCs w:val="20"/>
        </w:rPr>
        <w:t>7</w:t>
      </w:r>
      <w:r w:rsidRPr="00D92E20">
        <w:rPr>
          <w:rFonts w:ascii="Arial" w:hAnsi="Arial" w:cs="Arial"/>
          <w:sz w:val="20"/>
          <w:szCs w:val="20"/>
        </w:rPr>
        <w:t xml:space="preserve"> 000 Kč. </w:t>
      </w:r>
      <w:r w:rsidRPr="00D92E20">
        <w:rPr>
          <w:rFonts w:ascii="Arial" w:hAnsi="Arial"/>
          <w:sz w:val="20"/>
        </w:rPr>
        <w:t xml:space="preserve">Sazba pojistného činí 2,1 % a minimální pojistné na nemocenské pojištění </w:t>
      </w:r>
      <w:r w:rsidR="00A52F24">
        <w:rPr>
          <w:rFonts w:ascii="Arial" w:hAnsi="Arial"/>
          <w:sz w:val="20"/>
        </w:rPr>
        <w:t>je</w:t>
      </w:r>
      <w:r w:rsidRPr="00D92E20">
        <w:rPr>
          <w:rFonts w:ascii="Arial" w:hAnsi="Arial"/>
          <w:sz w:val="20"/>
        </w:rPr>
        <w:t xml:space="preserve"> </w:t>
      </w:r>
      <w:r w:rsidR="00D20F57">
        <w:rPr>
          <w:rFonts w:ascii="Arial" w:hAnsi="Arial"/>
          <w:sz w:val="20"/>
        </w:rPr>
        <w:t xml:space="preserve">od roku </w:t>
      </w:r>
      <w:r w:rsidRPr="00D92E20">
        <w:rPr>
          <w:rFonts w:ascii="Arial" w:hAnsi="Arial"/>
          <w:sz w:val="20"/>
        </w:rPr>
        <w:t>202</w:t>
      </w:r>
      <w:r w:rsidR="00E206F0">
        <w:rPr>
          <w:rFonts w:ascii="Arial" w:hAnsi="Arial"/>
          <w:sz w:val="20"/>
        </w:rPr>
        <w:t>1</w:t>
      </w:r>
      <w:r w:rsidRPr="00D92E20">
        <w:rPr>
          <w:rFonts w:ascii="Arial" w:hAnsi="Arial"/>
          <w:sz w:val="20"/>
        </w:rPr>
        <w:t xml:space="preserve"> stanoveno na </w:t>
      </w:r>
      <w:r w:rsidRPr="00D92E20">
        <w:rPr>
          <w:rFonts w:ascii="Arial" w:hAnsi="Arial"/>
          <w:b/>
          <w:bCs/>
          <w:sz w:val="20"/>
        </w:rPr>
        <w:t>1</w:t>
      </w:r>
      <w:r w:rsidR="00E206F0">
        <w:rPr>
          <w:rFonts w:ascii="Arial" w:hAnsi="Arial"/>
          <w:b/>
          <w:bCs/>
          <w:sz w:val="20"/>
        </w:rPr>
        <w:t>47</w:t>
      </w:r>
      <w:r w:rsidRPr="00D92E20">
        <w:rPr>
          <w:rFonts w:ascii="Arial" w:hAnsi="Arial"/>
          <w:b/>
          <w:bCs/>
          <w:sz w:val="20"/>
        </w:rPr>
        <w:t xml:space="preserve"> Kč</w:t>
      </w:r>
      <w:r w:rsidRPr="00D92E20">
        <w:rPr>
          <w:rFonts w:ascii="Arial" w:hAnsi="Arial"/>
          <w:sz w:val="20"/>
        </w:rPr>
        <w:t>.</w:t>
      </w:r>
    </w:p>
    <w:p w14:paraId="264D1445" w14:textId="7E3651F7" w:rsidR="0094191B" w:rsidRPr="00D92E20" w:rsidRDefault="0094191B" w:rsidP="0094191B">
      <w:pPr>
        <w:jc w:val="both"/>
      </w:pPr>
      <w:r w:rsidRPr="00D92E20">
        <w:t xml:space="preserve">Další informace k účasti na nemocenském pojištění </w:t>
      </w:r>
      <w:r w:rsidR="009F34CD">
        <w:t>lze najít</w:t>
      </w:r>
      <w:r w:rsidRPr="00D92E20">
        <w:t xml:space="preserve"> na adrese: </w:t>
      </w:r>
      <w:hyperlink r:id="rId8" w:anchor="_blank" w:history="1">
        <w:r w:rsidRPr="00D92E20">
          <w:rPr>
            <w:rStyle w:val="Hypertextovodkaz"/>
            <w:rFonts w:eastAsia="MS Gothic" w:cs="Arial"/>
            <w:szCs w:val="20"/>
          </w:rPr>
          <w:t>http://w</w:t>
        </w:r>
        <w:r w:rsidRPr="00D92E20">
          <w:rPr>
            <w:rStyle w:val="Hypertextovodkaz"/>
            <w:rFonts w:eastAsia="MS Gothic" w:cs="Arial"/>
            <w:szCs w:val="20"/>
          </w:rPr>
          <w:t>w</w:t>
        </w:r>
        <w:r w:rsidRPr="00D92E20">
          <w:rPr>
            <w:rStyle w:val="Hypertextovodkaz"/>
            <w:rFonts w:eastAsia="MS Gothic" w:cs="Arial"/>
            <w:szCs w:val="20"/>
          </w:rPr>
          <w:t>w.cssz.cz/cz/nemocenske-pojisteni/ucast-na-pojisteni/</w:t>
        </w:r>
      </w:hyperlink>
      <w:r w:rsidRPr="00D92E20">
        <w:t xml:space="preserve"> </w:t>
      </w:r>
      <w:r w:rsidR="0026728F" w:rsidRPr="00D92E20">
        <w:t>nebo</w:t>
      </w:r>
      <w:r w:rsidRPr="00D92E20">
        <w:t xml:space="preserve"> </w:t>
      </w:r>
      <w:hyperlink r:id="rId9" w:history="1">
        <w:r w:rsidRPr="00D92E20">
          <w:rPr>
            <w:rStyle w:val="Hypertextovodkaz"/>
          </w:rPr>
          <w:t>https://www.cssz.cz/web/cz/osvc-n</w:t>
        </w:r>
        <w:r w:rsidRPr="00D92E20">
          <w:rPr>
            <w:rStyle w:val="Hypertextovodkaz"/>
          </w:rPr>
          <w:t>e</w:t>
        </w:r>
        <w:r w:rsidRPr="00D92E20">
          <w:rPr>
            <w:rStyle w:val="Hypertextovodkaz"/>
          </w:rPr>
          <w:t>mocenske-pojisteni-ucast-na-pojisteni</w:t>
        </w:r>
      </w:hyperlink>
      <w:r w:rsidRPr="00D92E20">
        <w:t>.</w:t>
      </w:r>
    </w:p>
    <w:p w14:paraId="760F6D69" w14:textId="77777777" w:rsidR="00415731" w:rsidRPr="00D92E20" w:rsidRDefault="00415731" w:rsidP="00145F42">
      <w:pPr>
        <w:pStyle w:val="Nadpis3"/>
        <w:numPr>
          <w:ilvl w:val="1"/>
          <w:numId w:val="18"/>
        </w:numPr>
        <w:ind w:left="426" w:hanging="403"/>
      </w:pPr>
      <w:bookmarkStart w:id="5" w:name="_Toc54262791"/>
      <w:bookmarkStart w:id="6" w:name="_Toc117774419"/>
      <w:r w:rsidRPr="00D92E20">
        <w:t>Nemocenské</w:t>
      </w:r>
      <w:bookmarkEnd w:id="5"/>
      <w:bookmarkEnd w:id="6"/>
    </w:p>
    <w:p w14:paraId="48E546E3" w14:textId="481AB924" w:rsidR="00415731" w:rsidRPr="00D92E20" w:rsidRDefault="00415731" w:rsidP="00415731">
      <w:pPr>
        <w:pStyle w:val="Seznam"/>
        <w:jc w:val="both"/>
      </w:pPr>
      <w:r w:rsidRPr="00D92E20">
        <w:rPr>
          <w:b/>
        </w:rPr>
        <w:t>Dočasná pracovní neschopnost</w:t>
      </w:r>
      <w:r w:rsidRPr="00D92E20">
        <w:t xml:space="preserve"> je stav člověka, který je </w:t>
      </w:r>
      <w:r w:rsidRPr="00D92E20">
        <w:rPr>
          <w:b/>
        </w:rPr>
        <w:t>lékařem ze zdravotních důvodů dočasně uznán neschopným k výkonu</w:t>
      </w:r>
      <w:r w:rsidRPr="00D92E20">
        <w:t xml:space="preserve"> svého dosavadního </w:t>
      </w:r>
      <w:r w:rsidRPr="00D92E20">
        <w:rPr>
          <w:b/>
        </w:rPr>
        <w:t>zaměstnání</w:t>
      </w:r>
      <w:r w:rsidRPr="00D92E20">
        <w:t xml:space="preserve">. O vzniku dočasné pracovní neschopnosti rozhoduje ošetřující lékař, a to vystavením </w:t>
      </w:r>
      <w:r w:rsidRPr="00D92E20">
        <w:rPr>
          <w:i/>
          <w:iCs/>
        </w:rPr>
        <w:t>Rozhodnutí o dočasné pracovní neschopnosti</w:t>
      </w:r>
      <w:r w:rsidR="0026728F" w:rsidRPr="00D92E20">
        <w:t xml:space="preserve"> (tzv. e-neschopenk</w:t>
      </w:r>
      <w:r w:rsidR="00A52F24">
        <w:t>y</w:t>
      </w:r>
      <w:r w:rsidRPr="00D92E20">
        <w:t xml:space="preserve">). </w:t>
      </w:r>
      <w:r w:rsidR="00FB50FB" w:rsidRPr="00D92E20">
        <w:t>Kategorie jsou následující:</w:t>
      </w:r>
    </w:p>
    <w:p w14:paraId="1EDD421E" w14:textId="52932351" w:rsidR="00415731" w:rsidRPr="00D92E20" w:rsidRDefault="00415731" w:rsidP="00277304">
      <w:pPr>
        <w:pStyle w:val="Seznam"/>
        <w:numPr>
          <w:ilvl w:val="0"/>
          <w:numId w:val="9"/>
        </w:numPr>
        <w:jc w:val="both"/>
      </w:pPr>
      <w:r w:rsidRPr="00D92E20">
        <w:rPr>
          <w:b/>
          <w:bCs/>
        </w:rPr>
        <w:t xml:space="preserve">nemoc </w:t>
      </w:r>
      <w:r w:rsidRPr="00D92E20">
        <w:rPr>
          <w:bCs/>
        </w:rPr>
        <w:t xml:space="preserve">– </w:t>
      </w:r>
      <w:r w:rsidRPr="00D92E20">
        <w:t xml:space="preserve">za případy dočasné pracovní neschopnosti pro nemoc jsou považovány všechny případy nemocí podle </w:t>
      </w:r>
      <w:r w:rsidRPr="00D92E20">
        <w:rPr>
          <w:b/>
        </w:rPr>
        <w:t>Mezinárodní statistické klasifikace nemocí a přidružených zdravotních problémů</w:t>
      </w:r>
      <w:r w:rsidR="009F34CD">
        <w:t xml:space="preserve"> (MKN-10),</w:t>
      </w:r>
    </w:p>
    <w:p w14:paraId="293E2F99" w14:textId="40B09D63" w:rsidR="00415731" w:rsidRPr="00D92E20" w:rsidRDefault="00415731" w:rsidP="00277304">
      <w:pPr>
        <w:pStyle w:val="Seznam"/>
        <w:numPr>
          <w:ilvl w:val="0"/>
          <w:numId w:val="9"/>
        </w:numPr>
        <w:jc w:val="both"/>
        <w:rPr>
          <w:b/>
          <w:bCs/>
        </w:rPr>
      </w:pPr>
      <w:r w:rsidRPr="00D92E20">
        <w:rPr>
          <w:b/>
          <w:bCs/>
        </w:rPr>
        <w:t xml:space="preserve">pracovní úraz </w:t>
      </w:r>
      <w:r w:rsidRPr="00D92E20">
        <w:rPr>
          <w:bCs/>
        </w:rPr>
        <w:t>–</w:t>
      </w:r>
      <w:r w:rsidRPr="00D92E20">
        <w:rPr>
          <w:b/>
          <w:bCs/>
        </w:rPr>
        <w:t xml:space="preserve"> </w:t>
      </w:r>
      <w:r w:rsidRPr="00D92E20">
        <w:t xml:space="preserve">pracovním úrazem se rozumí </w:t>
      </w:r>
      <w:r w:rsidRPr="00D92E20">
        <w:rPr>
          <w:b/>
        </w:rPr>
        <w:t>poškození zdraví nebo smrt zaměstnance</w:t>
      </w:r>
      <w:r w:rsidRPr="00D92E20">
        <w:t xml:space="preserve">, došlo-li k nim nezávisle na jeho vůli krátkodobým, náhlým a násilným </w:t>
      </w:r>
      <w:r w:rsidRPr="00D92E20">
        <w:rPr>
          <w:b/>
        </w:rPr>
        <w:t>působením zevních vlivů</w:t>
      </w:r>
      <w:r w:rsidRPr="00D92E20">
        <w:t xml:space="preserve"> při plnění pracovních úkolů nebo v přímé souvislosti s ním (viz § 271k odst. 1 až 3 zákona č. 262/2006 Sb., zákoník práce, ve z</w:t>
      </w:r>
      <w:r w:rsidR="009F34CD">
        <w:t>nění pozdějších předpisů),</w:t>
      </w:r>
    </w:p>
    <w:p w14:paraId="51B4CAFC" w14:textId="77777777" w:rsidR="00415731" w:rsidRPr="00D92E20" w:rsidRDefault="00415731" w:rsidP="005377DA">
      <w:pPr>
        <w:pStyle w:val="Seznam"/>
        <w:numPr>
          <w:ilvl w:val="0"/>
          <w:numId w:val="9"/>
        </w:numPr>
        <w:spacing w:after="120"/>
        <w:ind w:left="714" w:hanging="357"/>
        <w:jc w:val="both"/>
      </w:pPr>
      <w:r w:rsidRPr="00D92E20">
        <w:rPr>
          <w:b/>
          <w:bCs/>
        </w:rPr>
        <w:t xml:space="preserve">ostatní úrazy </w:t>
      </w:r>
      <w:r w:rsidRPr="00D92E20">
        <w:rPr>
          <w:bCs/>
        </w:rPr>
        <w:t>–</w:t>
      </w:r>
      <w:r w:rsidRPr="00D92E20">
        <w:rPr>
          <w:b/>
          <w:bCs/>
        </w:rPr>
        <w:t xml:space="preserve"> </w:t>
      </w:r>
      <w:r w:rsidRPr="00D92E20">
        <w:rPr>
          <w:bCs/>
        </w:rPr>
        <w:t xml:space="preserve">za ostatní úrazy jsou považovány případy </w:t>
      </w:r>
      <w:r w:rsidRPr="00D92E20">
        <w:rPr>
          <w:b/>
        </w:rPr>
        <w:t>poškození zdraví</w:t>
      </w:r>
      <w:r w:rsidRPr="00D92E20">
        <w:t xml:space="preserve">, na jehož následky je postižený v dočasné pracovní neschopnosti, které však lékařem </w:t>
      </w:r>
      <w:r w:rsidRPr="00D92E20">
        <w:rPr>
          <w:b/>
        </w:rPr>
        <w:t xml:space="preserve">nebyly vyhodnoceny </w:t>
      </w:r>
      <w:r w:rsidRPr="00D92E20">
        <w:rPr>
          <w:b/>
          <w:spacing w:val="-4"/>
        </w:rPr>
        <w:t>jako</w:t>
      </w:r>
      <w:r w:rsidRPr="00D92E20">
        <w:rPr>
          <w:b/>
        </w:rPr>
        <w:t xml:space="preserve"> pracovní úraz</w:t>
      </w:r>
      <w:r w:rsidRPr="00D92E20">
        <w:t>.</w:t>
      </w:r>
    </w:p>
    <w:p w14:paraId="1FDC0D8D" w14:textId="77777777" w:rsidR="00415731" w:rsidRPr="00D92E20" w:rsidRDefault="00415731" w:rsidP="005377DA">
      <w:pPr>
        <w:spacing w:after="120"/>
        <w:jc w:val="both"/>
        <w:rPr>
          <w:bCs/>
        </w:rPr>
      </w:pPr>
      <w:r w:rsidRPr="00D92E20">
        <w:rPr>
          <w:bCs/>
        </w:rPr>
        <w:t xml:space="preserve">Zaměstnanec nebo OSVČ, který je uznán ošetřujícím lékařem dočasně práce neschopným (nebo mu byla nařízena karanténa), má nárok na </w:t>
      </w:r>
      <w:r w:rsidRPr="00D92E20">
        <w:rPr>
          <w:b/>
          <w:bCs/>
        </w:rPr>
        <w:t>nemocenské od 15. kalendářního dne</w:t>
      </w:r>
      <w:r w:rsidRPr="00D92E20">
        <w:rPr>
          <w:bCs/>
        </w:rPr>
        <w:t xml:space="preserve"> trvání dočasné pracovní neschopnosti do konce dočasné pracovní neschopnosti, </w:t>
      </w:r>
      <w:r w:rsidRPr="00D92E20">
        <w:rPr>
          <w:b/>
          <w:bCs/>
        </w:rPr>
        <w:t>maximálně však 380 kalendářních dnů</w:t>
      </w:r>
      <w:r w:rsidRPr="00D92E20">
        <w:rPr>
          <w:bCs/>
        </w:rPr>
        <w:t xml:space="preserve"> počítaných od vzniku dočasné pracovní neschopnosti (včetně zápočtů předchozí doby trvání dočasné pracovní neschopnosti). OSVČ však pro získání nároku na nemocenské musí být účastna dobrovolného nemocenského pojištění OSVČ alespoň po dobu 3 měsíců bezprostředně předcházejících dni vzniku dočasné pracovní neschopnosti.</w:t>
      </w:r>
    </w:p>
    <w:p w14:paraId="58009231" w14:textId="5424CB70" w:rsidR="005377DA" w:rsidRPr="00D92E20" w:rsidRDefault="00415731" w:rsidP="005377DA">
      <w:pPr>
        <w:spacing w:after="120"/>
        <w:jc w:val="both"/>
      </w:pPr>
      <w:r w:rsidRPr="00D92E20">
        <w:t xml:space="preserve">Po dobu </w:t>
      </w:r>
      <w:r w:rsidRPr="00D92E20">
        <w:rPr>
          <w:b/>
        </w:rPr>
        <w:t xml:space="preserve">prvních 14 kalendářních dnů </w:t>
      </w:r>
      <w:r w:rsidRPr="00D92E20">
        <w:t xml:space="preserve">je zaměstnanec (nikoli OSVČ), kterému trvá pracovní vztah zakládající účast na nemocenském pojištění, zabezpečen </w:t>
      </w:r>
      <w:r w:rsidRPr="00D92E20">
        <w:rPr>
          <w:b/>
        </w:rPr>
        <w:t>náhradou mzdy nebo platu</w:t>
      </w:r>
      <w:r w:rsidRPr="00D92E20">
        <w:t>, kterou poskytuje zaměstnavatel podle zákoníku práce. Náhrada mzdy náleží za pracovní dny</w:t>
      </w:r>
      <w:r w:rsidR="00AD7EB3">
        <w:t>,</w:t>
      </w:r>
      <w:r w:rsidRPr="00D92E20">
        <w:t xml:space="preserve"> a to při dočasné pracovní neschopnosti od 1. pracovního dne.</w:t>
      </w:r>
    </w:p>
    <w:p w14:paraId="28F555F1" w14:textId="77777777" w:rsidR="00415731" w:rsidRPr="00D92E20" w:rsidRDefault="00415731" w:rsidP="005377DA">
      <w:pPr>
        <w:spacing w:after="120"/>
        <w:jc w:val="both"/>
        <w:rPr>
          <w:b/>
          <w:bCs/>
        </w:rPr>
      </w:pPr>
      <w:r w:rsidRPr="00D92E20">
        <w:rPr>
          <w:rFonts w:cs="Arial"/>
          <w:b/>
          <w:bCs/>
          <w:szCs w:val="20"/>
        </w:rPr>
        <w:t>Příjemci starobního důchodu nebo invalidního důchodu pro invaliditu 3. stupně</w:t>
      </w:r>
      <w:r w:rsidRPr="00D92E20">
        <w:rPr>
          <w:rFonts w:cs="Arial"/>
          <w:szCs w:val="20"/>
        </w:rPr>
        <w:t xml:space="preserve"> se nemocenské vyplácí od 15. kalendářního dne trvání dočasné pracovní neschopnosti (karantény) po dobu nejvýše 70 kalendářních dnů, nejdéle však do dne, jímž končí pojištěná činnost.</w:t>
      </w:r>
    </w:p>
    <w:p w14:paraId="66EEC6DB" w14:textId="77777777" w:rsidR="00415731" w:rsidRPr="00D92E20" w:rsidRDefault="00415731" w:rsidP="005377DA">
      <w:pPr>
        <w:pStyle w:val="Normlnweb"/>
        <w:spacing w:before="0" w:beforeAutospacing="0" w:after="120" w:afterAutospacing="0" w:line="288" w:lineRule="auto"/>
        <w:jc w:val="both"/>
        <w:rPr>
          <w:rFonts w:ascii="Arial" w:hAnsi="Arial" w:cs="Arial"/>
          <w:sz w:val="20"/>
          <w:szCs w:val="20"/>
        </w:rPr>
      </w:pPr>
      <w:r w:rsidRPr="00D92E20">
        <w:rPr>
          <w:rFonts w:ascii="Arial" w:hAnsi="Arial" w:cs="Arial"/>
          <w:b/>
          <w:sz w:val="20"/>
          <w:szCs w:val="20"/>
        </w:rPr>
        <w:t>Nemocenské</w:t>
      </w:r>
      <w:r w:rsidRPr="00D92E20">
        <w:rPr>
          <w:rFonts w:ascii="Arial" w:hAnsi="Arial" w:cs="Arial"/>
          <w:sz w:val="20"/>
          <w:szCs w:val="20"/>
        </w:rPr>
        <w:t xml:space="preserve"> náleží rovněž ve stanovených případech, jestliže ke vzniku dočasné pracovní neschopnosti (karantény) došlo po skončení pojištěného zaměstnání v tzv. </w:t>
      </w:r>
      <w:r w:rsidRPr="00D92E20">
        <w:rPr>
          <w:rFonts w:ascii="Arial" w:hAnsi="Arial" w:cs="Arial"/>
          <w:b/>
          <w:sz w:val="20"/>
          <w:szCs w:val="20"/>
        </w:rPr>
        <w:t>ochranné lhůtě</w:t>
      </w:r>
      <w:r w:rsidRPr="00D92E20">
        <w:rPr>
          <w:rFonts w:ascii="Arial" w:hAnsi="Arial" w:cs="Arial"/>
          <w:sz w:val="20"/>
          <w:szCs w:val="20"/>
        </w:rPr>
        <w:t xml:space="preserve">. Účelem ochranné lhůty je zajistit bývalého zaměstnance po stanovenou dobu po skončení pojištění pro případ vzniku sociální události (dočasné pracovní neschopnosti) dříve, než opět nastoupí do dalšího zaměstnání. Ochranná lhůta v případě uplatňování nároku na nemocenské činí 7 kalendářních dnů ode dne skončení zaměstnání, které zakládalo </w:t>
      </w:r>
      <w:r w:rsidRPr="00D92E20">
        <w:rPr>
          <w:rFonts w:ascii="Arial" w:hAnsi="Arial" w:cs="Arial"/>
          <w:sz w:val="20"/>
          <w:szCs w:val="20"/>
        </w:rPr>
        <w:lastRenderedPageBreak/>
        <w:t>účast na nemocenském pojištění. U </w:t>
      </w:r>
      <w:r w:rsidRPr="00D92E20">
        <w:rPr>
          <w:rFonts w:ascii="Arial" w:hAnsi="Arial" w:cs="Arial"/>
          <w:b/>
          <w:sz w:val="20"/>
          <w:szCs w:val="20"/>
        </w:rPr>
        <w:t>zaměstnání kratších</w:t>
      </w:r>
      <w:r w:rsidRPr="00D92E20">
        <w:rPr>
          <w:rFonts w:ascii="Arial" w:hAnsi="Arial" w:cs="Arial"/>
          <w:sz w:val="20"/>
          <w:szCs w:val="20"/>
        </w:rPr>
        <w:t xml:space="preserve"> </w:t>
      </w:r>
      <w:r w:rsidRPr="00D92E20">
        <w:rPr>
          <w:rFonts w:ascii="Arial" w:hAnsi="Arial" w:cs="Arial"/>
          <w:b/>
          <w:sz w:val="20"/>
          <w:szCs w:val="20"/>
        </w:rPr>
        <w:t>než 7 kalendářních dnů</w:t>
      </w:r>
      <w:r w:rsidRPr="00D92E20">
        <w:rPr>
          <w:rFonts w:ascii="Arial" w:hAnsi="Arial" w:cs="Arial"/>
          <w:sz w:val="20"/>
          <w:szCs w:val="20"/>
        </w:rPr>
        <w:t xml:space="preserve"> činí</w:t>
      </w:r>
      <w:r w:rsidRPr="00D92E20">
        <w:rPr>
          <w:rFonts w:ascii="Arial" w:hAnsi="Arial" w:cs="Arial"/>
          <w:b/>
          <w:sz w:val="20"/>
          <w:szCs w:val="20"/>
        </w:rPr>
        <w:t xml:space="preserve"> ochranná lhůta</w:t>
      </w:r>
      <w:r w:rsidRPr="00D92E20">
        <w:rPr>
          <w:rFonts w:ascii="Arial" w:hAnsi="Arial" w:cs="Arial"/>
          <w:sz w:val="20"/>
          <w:szCs w:val="20"/>
        </w:rPr>
        <w:t xml:space="preserve"> pouze tolik dnů, kolik činilo toto poslední zaměstnání.</w:t>
      </w:r>
    </w:p>
    <w:p w14:paraId="714FA442" w14:textId="77777777" w:rsidR="00415731" w:rsidRPr="00D92E20" w:rsidRDefault="00415731" w:rsidP="00415731">
      <w:pPr>
        <w:pStyle w:val="Normlnweb"/>
        <w:spacing w:before="120" w:beforeAutospacing="0" w:after="60" w:afterAutospacing="0" w:line="288" w:lineRule="auto"/>
        <w:jc w:val="both"/>
        <w:rPr>
          <w:rFonts w:ascii="Arial" w:hAnsi="Arial" w:cs="Arial"/>
          <w:sz w:val="20"/>
          <w:szCs w:val="20"/>
        </w:rPr>
      </w:pPr>
      <w:r w:rsidRPr="00D92E20">
        <w:rPr>
          <w:rFonts w:ascii="Arial" w:hAnsi="Arial" w:cs="Arial"/>
          <w:b/>
          <w:bCs/>
          <w:sz w:val="20"/>
          <w:szCs w:val="20"/>
        </w:rPr>
        <w:t>Ochranná lhůta neplyne</w:t>
      </w:r>
    </w:p>
    <w:p w14:paraId="175D7CFA" w14:textId="77777777" w:rsidR="00415731" w:rsidRPr="00D92E20" w:rsidRDefault="00415731" w:rsidP="00155829">
      <w:pPr>
        <w:numPr>
          <w:ilvl w:val="0"/>
          <w:numId w:val="10"/>
        </w:numPr>
        <w:spacing w:after="100" w:afterAutospacing="1"/>
        <w:ind w:left="714" w:hanging="357"/>
        <w:jc w:val="both"/>
      </w:pPr>
      <w:r w:rsidRPr="00D92E20">
        <w:t>z pojištěné činnosti poživatele starobního důchodu nebo invalidního důchodu pro invaliditu 3. stupně,</w:t>
      </w:r>
    </w:p>
    <w:p w14:paraId="7890462D" w14:textId="77777777" w:rsidR="00415731" w:rsidRPr="00D92E20" w:rsidRDefault="00415731" w:rsidP="00155829">
      <w:pPr>
        <w:numPr>
          <w:ilvl w:val="0"/>
          <w:numId w:val="10"/>
        </w:numPr>
        <w:spacing w:before="100" w:beforeAutospacing="1" w:after="100" w:afterAutospacing="1"/>
        <w:jc w:val="both"/>
      </w:pPr>
      <w:r w:rsidRPr="00D92E20">
        <w:t>z dalšího zaměstnání sjednaného jen na dobu dovolené v jiném zaměstnání,</w:t>
      </w:r>
    </w:p>
    <w:p w14:paraId="51E137DD" w14:textId="77777777" w:rsidR="00415731" w:rsidRPr="00D92E20" w:rsidRDefault="00415731" w:rsidP="00155829">
      <w:pPr>
        <w:numPr>
          <w:ilvl w:val="0"/>
          <w:numId w:val="10"/>
        </w:numPr>
        <w:spacing w:before="100" w:beforeAutospacing="1" w:after="100" w:afterAutospacing="1"/>
        <w:jc w:val="both"/>
      </w:pPr>
      <w:r w:rsidRPr="00D92E20">
        <w:t>ze zaměstnání zaměstnance činného na základě dohody o provedení práce,</w:t>
      </w:r>
    </w:p>
    <w:p w14:paraId="4828FB84" w14:textId="77777777" w:rsidR="00415731" w:rsidRPr="00D92E20" w:rsidRDefault="00415731" w:rsidP="00155829">
      <w:pPr>
        <w:numPr>
          <w:ilvl w:val="0"/>
          <w:numId w:val="10"/>
        </w:numPr>
        <w:spacing w:before="100" w:beforeAutospacing="1" w:after="100" w:afterAutospacing="1"/>
        <w:jc w:val="both"/>
      </w:pPr>
      <w:r w:rsidRPr="00D92E20">
        <w:t>ze zaměstnání malého rozsahu,</w:t>
      </w:r>
    </w:p>
    <w:p w14:paraId="6745D5CF" w14:textId="77777777" w:rsidR="00415731" w:rsidRPr="00D92E20" w:rsidRDefault="00415731" w:rsidP="00155829">
      <w:pPr>
        <w:numPr>
          <w:ilvl w:val="0"/>
          <w:numId w:val="10"/>
        </w:numPr>
        <w:spacing w:before="100" w:beforeAutospacing="1" w:after="100" w:afterAutospacing="1"/>
        <w:jc w:val="both"/>
      </w:pPr>
      <w:r w:rsidRPr="00D92E20">
        <w:t>ze zaměstnání, které si žák nebo student sjednali výlučně na dobu školních prázdnin nebo jejich část,</w:t>
      </w:r>
    </w:p>
    <w:p w14:paraId="7D2864C0" w14:textId="77777777" w:rsidR="00415731" w:rsidRPr="00D92E20" w:rsidRDefault="00415731" w:rsidP="00155829">
      <w:pPr>
        <w:numPr>
          <w:ilvl w:val="0"/>
          <w:numId w:val="10"/>
        </w:numPr>
        <w:spacing w:before="100" w:beforeAutospacing="1" w:after="120"/>
        <w:ind w:left="714" w:hanging="357"/>
        <w:jc w:val="both"/>
      </w:pPr>
      <w:r w:rsidRPr="00D92E20">
        <w:t>v případě, že pojištění odsouzeného skončí v době jeho útěku z místa výkonu trestu odnětí svobody.</w:t>
      </w:r>
    </w:p>
    <w:p w14:paraId="404A3333" w14:textId="77777777" w:rsidR="007D4F06" w:rsidRDefault="00415731" w:rsidP="005377DA">
      <w:pPr>
        <w:spacing w:before="120" w:after="120"/>
        <w:jc w:val="both"/>
        <w:rPr>
          <w:rFonts w:cs="Arial"/>
          <w:szCs w:val="20"/>
        </w:rPr>
      </w:pPr>
      <w:r w:rsidRPr="00D92E20">
        <w:rPr>
          <w:rFonts w:cs="Arial"/>
          <w:b/>
          <w:szCs w:val="20"/>
        </w:rPr>
        <w:t>Jestliže si pojištěnec přivodil dočasnou pracovní neschopnost</w:t>
      </w:r>
      <w:r w:rsidRPr="00D92E20">
        <w:rPr>
          <w:rFonts w:cs="Arial"/>
          <w:szCs w:val="20"/>
        </w:rPr>
        <w:t xml:space="preserve"> zaviněnou účastí ve rvačce nebo jako bezp</w:t>
      </w:r>
      <w:r w:rsidR="0026728F" w:rsidRPr="00D92E20">
        <w:rPr>
          <w:rFonts w:cs="Arial"/>
          <w:szCs w:val="20"/>
        </w:rPr>
        <w:t xml:space="preserve">rostřední následek své opilosti, </w:t>
      </w:r>
      <w:r w:rsidRPr="00D92E20">
        <w:rPr>
          <w:rFonts w:cs="Arial"/>
          <w:szCs w:val="20"/>
        </w:rPr>
        <w:t>zneužití omamných prostředků neb</w:t>
      </w:r>
      <w:r w:rsidR="0026728F" w:rsidRPr="00D92E20">
        <w:rPr>
          <w:rFonts w:cs="Arial"/>
          <w:szCs w:val="20"/>
        </w:rPr>
        <w:t xml:space="preserve">o psychotropních látek, </w:t>
      </w:r>
      <w:r w:rsidRPr="00D92E20">
        <w:rPr>
          <w:rFonts w:cs="Arial"/>
          <w:szCs w:val="20"/>
        </w:rPr>
        <w:t xml:space="preserve">při spáchání úmyslného trestného činu nebo úmyslně zaviněného přestupku, </w:t>
      </w:r>
      <w:r w:rsidRPr="00D92E20">
        <w:rPr>
          <w:rFonts w:cs="Arial"/>
          <w:b/>
          <w:szCs w:val="20"/>
        </w:rPr>
        <w:t>náleží mu nemocenské za kalendářní den v poloviční výši</w:t>
      </w:r>
      <w:r w:rsidRPr="00D92E20">
        <w:rPr>
          <w:rFonts w:cs="Arial"/>
          <w:szCs w:val="20"/>
        </w:rPr>
        <w:t xml:space="preserve">. </w:t>
      </w:r>
    </w:p>
    <w:p w14:paraId="11AE11F0" w14:textId="12617821" w:rsidR="00415731" w:rsidRPr="00D92E20" w:rsidRDefault="00415731" w:rsidP="005377DA">
      <w:pPr>
        <w:spacing w:before="120" w:after="120"/>
        <w:jc w:val="both"/>
        <w:rPr>
          <w:rFonts w:cs="Arial"/>
          <w:szCs w:val="20"/>
        </w:rPr>
      </w:pPr>
      <w:r w:rsidRPr="00D92E20">
        <w:rPr>
          <w:rFonts w:cs="Arial"/>
          <w:b/>
          <w:szCs w:val="20"/>
        </w:rPr>
        <w:t>Nárok na nemocenské nemá pojištěnec</w:t>
      </w:r>
      <w:r w:rsidRPr="00D92E20">
        <w:rPr>
          <w:rFonts w:cs="Arial"/>
          <w:szCs w:val="20"/>
        </w:rPr>
        <w:t xml:space="preserve">, který si dočasnou pracovní neschopnost </w:t>
      </w:r>
      <w:r w:rsidRPr="00D92E20">
        <w:rPr>
          <w:rFonts w:cs="Arial"/>
          <w:b/>
          <w:szCs w:val="20"/>
        </w:rPr>
        <w:t>přivodil úmyslně</w:t>
      </w:r>
      <w:r w:rsidRPr="00D92E20">
        <w:rPr>
          <w:rFonts w:cs="Arial"/>
          <w:szCs w:val="20"/>
        </w:rPr>
        <w:t xml:space="preserve">. </w:t>
      </w:r>
      <w:r w:rsidR="00A52F24">
        <w:rPr>
          <w:rFonts w:cs="Arial"/>
          <w:szCs w:val="20"/>
        </w:rPr>
        <w:t xml:space="preserve">Dále jestliže </w:t>
      </w:r>
      <w:r w:rsidR="00A52F24">
        <w:t xml:space="preserve">občanovi vznikl v době dočasné pracovní neschopnosti nebo nařízené karantény nárok na výplatu starobního důchodu, pokud pojištěná činnost skončila přede dnem, od něhož </w:t>
      </w:r>
      <w:r w:rsidR="00256A1C">
        <w:t xml:space="preserve">vznikl nárok na výplatu důchodu. </w:t>
      </w:r>
      <w:r w:rsidRPr="00D92E20">
        <w:rPr>
          <w:rFonts w:cs="Arial"/>
          <w:szCs w:val="20"/>
        </w:rPr>
        <w:t xml:space="preserve">Pojištěnec nemá nárok na nemocenské ani v případě, kdy vznikla dočasná pracovní neschopnost nebo </w:t>
      </w:r>
      <w:r w:rsidR="0026728F" w:rsidRPr="00D92E20">
        <w:rPr>
          <w:rFonts w:cs="Arial"/>
          <w:szCs w:val="20"/>
        </w:rPr>
        <w:t xml:space="preserve">mu </w:t>
      </w:r>
      <w:r w:rsidRPr="00D92E20">
        <w:rPr>
          <w:rFonts w:cs="Arial"/>
          <w:szCs w:val="20"/>
        </w:rPr>
        <w:t>byla nařízena karanténa v době útěku z místa vazby nebo z místa výkonu trestu odnětí svobody.</w:t>
      </w:r>
    </w:p>
    <w:p w14:paraId="5DF2E526" w14:textId="77777777" w:rsidR="00FB50FB" w:rsidRPr="00D92E20" w:rsidRDefault="00FB50FB" w:rsidP="007D4F06">
      <w:pPr>
        <w:pStyle w:val="Nadpis3"/>
        <w:numPr>
          <w:ilvl w:val="1"/>
          <w:numId w:val="18"/>
        </w:numPr>
        <w:ind w:left="426" w:hanging="403"/>
      </w:pPr>
      <w:bookmarkStart w:id="7" w:name="_Toc54262792"/>
      <w:bookmarkStart w:id="8" w:name="_Toc117774420"/>
      <w:r w:rsidRPr="00D92E20">
        <w:t>Uplatnění nároku na dávku nemocenského</w:t>
      </w:r>
      <w:bookmarkEnd w:id="7"/>
      <w:bookmarkEnd w:id="8"/>
    </w:p>
    <w:p w14:paraId="4A4DCF27" w14:textId="390B1BE1" w:rsidR="005377DA" w:rsidRPr="00D92E20" w:rsidRDefault="00CB4EF7" w:rsidP="00155829">
      <w:pPr>
        <w:pStyle w:val="Seznam"/>
        <w:spacing w:after="120"/>
        <w:contextualSpacing w:val="0"/>
        <w:jc w:val="both"/>
      </w:pPr>
      <w:r>
        <w:t>Hlášení</w:t>
      </w:r>
      <w:r w:rsidRPr="00D92E20">
        <w:t xml:space="preserve"> </w:t>
      </w:r>
      <w:r w:rsidR="00FB50FB" w:rsidRPr="00D92E20">
        <w:t>o dočasné pracovní neschopnosti probíhá od 1. 1. 2020 elektronicky</w:t>
      </w:r>
      <w:r w:rsidR="00FB50FB" w:rsidRPr="00D92E20">
        <w:rPr>
          <w:rStyle w:val="Znakapoznpodarou"/>
        </w:rPr>
        <w:footnoteReference w:id="2"/>
      </w:r>
      <w:r w:rsidR="00FB50FB" w:rsidRPr="00D92E20">
        <w:t xml:space="preserve">. Bylo tak upuštěno od zdlouhavého oběhu listinných dokumentů, který byl nahrazen elektronickým </w:t>
      </w:r>
      <w:r w:rsidR="0026728F" w:rsidRPr="00D92E20">
        <w:t>zpracováním</w:t>
      </w:r>
      <w:r w:rsidR="00FB50FB" w:rsidRPr="00D92E20">
        <w:t>.</w:t>
      </w:r>
    </w:p>
    <w:p w14:paraId="2610D7AC" w14:textId="77777777" w:rsidR="00B12C5F" w:rsidRPr="00D92E20" w:rsidRDefault="00FB50FB" w:rsidP="005377DA">
      <w:pPr>
        <w:pStyle w:val="Seznam"/>
        <w:spacing w:after="120"/>
        <w:contextualSpacing w:val="0"/>
        <w:jc w:val="both"/>
      </w:pPr>
      <w:r w:rsidRPr="00D92E20">
        <w:t>Ošetřující lékař od 1. 1. 2020 hlásí vznik, trvání a ukončení dočasné pracovní neschopnosti přímo správě sociálního zabezpečení pouze elektronicky. Ošetřující lékař již nevydává zaměstnanci žádné papírové díly neschopenky určené pro zaměstnavatele. Zachován zůstal pouze „Průkaz dočasně</w:t>
      </w:r>
      <w:r w:rsidR="00FB19E5" w:rsidRPr="00D92E20">
        <w:t xml:space="preserve"> práce neschopného pojištěnce“ pro případné prokázání</w:t>
      </w:r>
      <w:r w:rsidRPr="00D92E20">
        <w:t xml:space="preserve">. </w:t>
      </w:r>
      <w:r w:rsidRPr="00D92E20">
        <w:rPr>
          <w:b/>
          <w:bCs/>
        </w:rPr>
        <w:t xml:space="preserve">Hlášení </w:t>
      </w:r>
      <w:r w:rsidRPr="00D92E20">
        <w:rPr>
          <w:bCs/>
        </w:rPr>
        <w:t>správě sociálního zabezpečení</w:t>
      </w:r>
      <w:r w:rsidRPr="00D92E20">
        <w:rPr>
          <w:b/>
          <w:bCs/>
        </w:rPr>
        <w:t xml:space="preserve"> o vzniku dočasné pracovní neschopnosti je při </w:t>
      </w:r>
      <w:r w:rsidRPr="00D92E20">
        <w:rPr>
          <w:bCs/>
        </w:rPr>
        <w:t>dočasné pracovní</w:t>
      </w:r>
      <w:r w:rsidRPr="00D92E20">
        <w:rPr>
          <w:b/>
          <w:bCs/>
        </w:rPr>
        <w:t xml:space="preserve"> neschopnosti přesahující 14 kalendářních dnů </w:t>
      </w:r>
      <w:r w:rsidRPr="00D92E20">
        <w:rPr>
          <w:bCs/>
        </w:rPr>
        <w:t xml:space="preserve">automaticky </w:t>
      </w:r>
      <w:r w:rsidRPr="00D92E20">
        <w:rPr>
          <w:b/>
          <w:bCs/>
        </w:rPr>
        <w:t>považováno za žádost o nemocenské.</w:t>
      </w:r>
      <w:r w:rsidRPr="00D92E20">
        <w:t xml:space="preserve"> Ošetřující lékař hlásí trvání dočasné pracovní neschopnosti přímo správě sociálního zabezpečení. Hlášení o ukončení dočasné pracovní neschopnosti, které ošetřující lékař rovněž zasílá přímo správě sociálního zabezpečení, je automaticky i dokladem pro ukončení výplaty nemocenského.</w:t>
      </w:r>
      <w:r w:rsidR="00B12C5F" w:rsidRPr="00D92E20">
        <w:t xml:space="preserve"> </w:t>
      </w:r>
    </w:p>
    <w:p w14:paraId="6F2EA66A" w14:textId="6FB0B5D7" w:rsidR="00155829" w:rsidRPr="00D92E20" w:rsidRDefault="00B12C5F" w:rsidP="00155829">
      <w:pPr>
        <w:pStyle w:val="Seznam"/>
        <w:spacing w:after="120"/>
        <w:contextualSpacing w:val="0"/>
        <w:jc w:val="both"/>
      </w:pPr>
      <w:r w:rsidRPr="00D92E20">
        <w:t xml:space="preserve">Pro zaměstnavatele se tedy již nevystavuje žádný listinný díl rozhodnutí o dočasné pracovní neschopnosti. </w:t>
      </w:r>
      <w:r w:rsidRPr="00D92E20">
        <w:rPr>
          <w:bCs/>
        </w:rPr>
        <w:t>I</w:t>
      </w:r>
      <w:r w:rsidR="00FB19E5" w:rsidRPr="00D92E20">
        <w:rPr>
          <w:bCs/>
        </w:rPr>
        <w:t> </w:t>
      </w:r>
      <w:r w:rsidRPr="00D92E20">
        <w:rPr>
          <w:bCs/>
        </w:rPr>
        <w:t>nadále však</w:t>
      </w:r>
      <w:r w:rsidRPr="00D92E20">
        <w:rPr>
          <w:b/>
          <w:bCs/>
        </w:rPr>
        <w:t xml:space="preserve"> zůstává </w:t>
      </w:r>
      <w:r w:rsidRPr="00D92E20">
        <w:rPr>
          <w:bCs/>
        </w:rPr>
        <w:t>zachována</w:t>
      </w:r>
      <w:r w:rsidRPr="00D92E20">
        <w:rPr>
          <w:b/>
          <w:bCs/>
        </w:rPr>
        <w:t xml:space="preserve"> povinnost zaměstnance, aby o </w:t>
      </w:r>
      <w:r w:rsidRPr="00D92E20">
        <w:rPr>
          <w:bCs/>
        </w:rPr>
        <w:t>své dočasné</w:t>
      </w:r>
      <w:r w:rsidRPr="00D92E20">
        <w:rPr>
          <w:b/>
          <w:bCs/>
        </w:rPr>
        <w:t xml:space="preserve"> pracovní neschopnosti </w:t>
      </w:r>
      <w:r w:rsidRPr="00D92E20">
        <w:rPr>
          <w:bCs/>
        </w:rPr>
        <w:t>neprodleně</w:t>
      </w:r>
      <w:r w:rsidRPr="00D92E20">
        <w:rPr>
          <w:b/>
          <w:bCs/>
        </w:rPr>
        <w:t xml:space="preserve"> informoval </w:t>
      </w:r>
      <w:r w:rsidRPr="00D92E20">
        <w:rPr>
          <w:bCs/>
        </w:rPr>
        <w:t>svého</w:t>
      </w:r>
      <w:r w:rsidRPr="00D92E20">
        <w:rPr>
          <w:b/>
          <w:bCs/>
        </w:rPr>
        <w:t xml:space="preserve"> zaměstnavatele</w:t>
      </w:r>
      <w:r w:rsidRPr="00D92E20">
        <w:t xml:space="preserve"> (např. telefonicky, </w:t>
      </w:r>
      <w:r w:rsidR="00AD7EB3">
        <w:t>e-</w:t>
      </w:r>
      <w:r w:rsidRPr="00D92E20">
        <w:t>mailem).</w:t>
      </w:r>
      <w:r w:rsidR="00155829" w:rsidRPr="00D92E20">
        <w:t xml:space="preserve"> </w:t>
      </w:r>
    </w:p>
    <w:p w14:paraId="6BB334E7" w14:textId="77777777" w:rsidR="00B12C5F" w:rsidRPr="00D92E20" w:rsidRDefault="00B12C5F" w:rsidP="00155829">
      <w:pPr>
        <w:pStyle w:val="Seznam"/>
        <w:spacing w:before="60" w:after="60"/>
        <w:contextualSpacing w:val="0"/>
        <w:jc w:val="both"/>
      </w:pPr>
      <w:r w:rsidRPr="00D92E20">
        <w:t>Zaměstnavatel může využít nové způsoby zjišťování informací o pracovních neschopnostech (PN) svých zaměstnanců:</w:t>
      </w:r>
    </w:p>
    <w:p w14:paraId="5501809F" w14:textId="112EE643" w:rsidR="00B12C5F" w:rsidRPr="00D92E20" w:rsidRDefault="009F34CD" w:rsidP="003636A2">
      <w:pPr>
        <w:pStyle w:val="Seznam"/>
        <w:spacing w:after="120"/>
        <w:ind w:firstLine="142"/>
        <w:jc w:val="both"/>
      </w:pPr>
      <w:r>
        <w:t>1) p</w:t>
      </w:r>
      <w:r w:rsidR="00B12C5F" w:rsidRPr="00D92E20">
        <w:t>řes službu ePortálu ČSSZ pro ověření či stažení údajů o</w:t>
      </w:r>
      <w:r>
        <w:t xml:space="preserve"> dočasných PN svých zaměstnanců,</w:t>
      </w:r>
      <w:r w:rsidR="00B12C5F" w:rsidRPr="00D92E20">
        <w:t xml:space="preserve"> </w:t>
      </w:r>
    </w:p>
    <w:p w14:paraId="35B03399" w14:textId="06899A90" w:rsidR="00B12C5F" w:rsidRPr="00D92E20" w:rsidRDefault="00FB19E5" w:rsidP="003636A2">
      <w:pPr>
        <w:pStyle w:val="Seznam"/>
        <w:spacing w:after="120"/>
        <w:ind w:firstLine="142"/>
        <w:jc w:val="both"/>
      </w:pPr>
      <w:r w:rsidRPr="00D92E20">
        <w:t xml:space="preserve">2) </w:t>
      </w:r>
      <w:r w:rsidR="009F34CD">
        <w:t>ž</w:t>
      </w:r>
      <w:r w:rsidRPr="00D92E20">
        <w:t>ádostí o zasílání</w:t>
      </w:r>
      <w:r w:rsidR="00B12C5F" w:rsidRPr="00D92E20">
        <w:t xml:space="preserve"> elektronických notifikací o</w:t>
      </w:r>
      <w:r w:rsidR="009F34CD">
        <w:t xml:space="preserve"> dočasných PN svých zaměstnanců,</w:t>
      </w:r>
    </w:p>
    <w:p w14:paraId="43B83445" w14:textId="751CA0B6" w:rsidR="00155829" w:rsidRPr="00D92E20" w:rsidRDefault="009F34CD" w:rsidP="003636A2">
      <w:pPr>
        <w:pStyle w:val="Seznam"/>
        <w:spacing w:after="120"/>
        <w:ind w:firstLine="142"/>
        <w:contextualSpacing w:val="0"/>
        <w:jc w:val="both"/>
      </w:pPr>
      <w:r>
        <w:t>3) p</w:t>
      </w:r>
      <w:r w:rsidR="00B12C5F" w:rsidRPr="00D92E20">
        <w:t>řes kanál veřejného rozhraní pro elektronické podání</w:t>
      </w:r>
      <w:r w:rsidR="003636A2">
        <w:t xml:space="preserve">. </w:t>
      </w:r>
    </w:p>
    <w:p w14:paraId="0CBA240B" w14:textId="32466798" w:rsidR="00FB50FB" w:rsidRPr="00D92E20" w:rsidRDefault="00FB50FB" w:rsidP="00155829">
      <w:pPr>
        <w:pStyle w:val="Seznam"/>
        <w:spacing w:after="120"/>
        <w:contextualSpacing w:val="0"/>
        <w:jc w:val="both"/>
      </w:pPr>
      <w:r w:rsidRPr="00D92E20">
        <w:t>Zaměstnavatel je povinen p</w:t>
      </w:r>
      <w:r w:rsidR="00AD7EB3">
        <w:t xml:space="preserve">o 14 dnech trvání neschopnosti </w:t>
      </w:r>
      <w:r w:rsidRPr="00D92E20">
        <w:t xml:space="preserve">zaslat ČSSZ </w:t>
      </w:r>
      <w:r w:rsidRPr="00D92E20">
        <w:rPr>
          <w:b/>
          <w:bCs/>
        </w:rPr>
        <w:t>Přílohu k žádosti o dávku</w:t>
      </w:r>
      <w:r w:rsidRPr="00D92E20">
        <w:t xml:space="preserve">, která obsahuje údaje potřebné pro posouzení nároku, výpočet a výplatu nemocenského, </w:t>
      </w:r>
      <w:r w:rsidRPr="00D92E20">
        <w:rPr>
          <w:b/>
          <w:bCs/>
        </w:rPr>
        <w:t>a to v elektronické formě</w:t>
      </w:r>
      <w:r w:rsidRPr="00D92E20">
        <w:t xml:space="preserve"> (papírový tiskopis je možno použít pouze v př</w:t>
      </w:r>
      <w:r w:rsidR="00AD7EB3">
        <w:t>ípadě technického výpadku). Do P</w:t>
      </w:r>
      <w:r w:rsidRPr="00D92E20">
        <w:t xml:space="preserve">řílohy k žádosti o dávku zaměstnavatel nově uvede informaci o tom, kam je zaměstnanci vyplácena mzda nebo plat (stejným způsobem se zpravidla bude zaměstnanci vyplácet nemocenské). Podklady ke srážkám z dávek se mohou </w:t>
      </w:r>
      <w:r w:rsidRPr="00D92E20">
        <w:lastRenderedPageBreak/>
        <w:t>zasílat stále stejn</w:t>
      </w:r>
      <w:r w:rsidR="00AD7EB3">
        <w:t xml:space="preserve">ým způsobem,  buď poštou, nebo </w:t>
      </w:r>
      <w:r w:rsidRPr="00D92E20">
        <w:t>přes datovou schránku. Při skončení dočasné pracovní neschopnosti zaměstnavatel zašle hlášení s údaji potřebnými pro výplatu poslední dávky nemocenského.</w:t>
      </w:r>
    </w:p>
    <w:p w14:paraId="5C057FD4" w14:textId="77777777" w:rsidR="00B12C5F" w:rsidRPr="00D92E20" w:rsidRDefault="00B12C5F" w:rsidP="003636A2">
      <w:pPr>
        <w:pStyle w:val="Nadpis3"/>
        <w:numPr>
          <w:ilvl w:val="1"/>
          <w:numId w:val="18"/>
        </w:numPr>
        <w:ind w:left="426" w:hanging="403"/>
        <w:jc w:val="both"/>
      </w:pPr>
      <w:bookmarkStart w:id="9" w:name="_Toc54262793"/>
      <w:bookmarkStart w:id="10" w:name="_Toc117774421"/>
      <w:r w:rsidRPr="00D92E20">
        <w:t>Uplatnění nároku na ostatní dávky nemocenského pojištění včetně</w:t>
      </w:r>
      <w:r w:rsidRPr="00D92E20">
        <w:br/>
        <w:t>nemocenského z důvodu nařízené karantény</w:t>
      </w:r>
      <w:bookmarkEnd w:id="9"/>
      <w:bookmarkEnd w:id="10"/>
    </w:p>
    <w:p w14:paraId="5A05CCF1" w14:textId="48BD7DAD" w:rsidR="00B12C5F" w:rsidRPr="00D92E20" w:rsidRDefault="00B12C5F" w:rsidP="00155829">
      <w:pPr>
        <w:spacing w:after="120"/>
        <w:jc w:val="both"/>
      </w:pPr>
      <w:r w:rsidRPr="00D92E20">
        <w:t xml:space="preserve">Zaměstnanec předá žádost o dávku, kterou zpravidla vystavuje lékař, svému zaměstnavateli, který ji spolu s podklady pro stanovení nároku na dávku a její výplatu zašle </w:t>
      </w:r>
      <w:r w:rsidR="000E0772" w:rsidRPr="00D92E20">
        <w:t xml:space="preserve">elektronicky </w:t>
      </w:r>
      <w:r w:rsidRPr="00D92E20">
        <w:t>příslušné okresní správě sociálního zabezpečení</w:t>
      </w:r>
      <w:r w:rsidR="003636A2">
        <w:t xml:space="preserve"> (OSSZ)</w:t>
      </w:r>
      <w:r w:rsidRPr="00D92E20">
        <w:t xml:space="preserve">, která provádí nemocenské pojištění zaměstnanců. K žádosti zaměstnance o dávku nemocenského pojištění je zaměstnavatel povinen vyplnit zákonem předepsaný tiskopis, jehož vydávání zajišťuje Česká správa sociálního zabezpečení. Jedná se o přílohu k žádosti o dávku nemocenského pojištění. Tato příloha je uveřejněna na webových stránkách České správy sociálního zabezpečení. Na tiskopisu zaměstnavatel uvede především započitatelné příjmy zaměstnance v rozhodném období a počet tzv. „nezapočitatelných dnů“ v tomto rozhodném období, aby </w:t>
      </w:r>
      <w:r w:rsidR="003636A2">
        <w:t xml:space="preserve">OSSZ </w:t>
      </w:r>
      <w:r w:rsidRPr="00D92E20">
        <w:t>mohla vypočítat denní výši dávky. Zaměstnavatelé přijímají žádosti o dávku i od svých bývalých zaměstnanců.</w:t>
      </w:r>
    </w:p>
    <w:p w14:paraId="2B942D17" w14:textId="77777777" w:rsidR="00B12C5F" w:rsidRPr="00D92E20" w:rsidRDefault="00B12C5F" w:rsidP="00155829">
      <w:pPr>
        <w:spacing w:after="120"/>
        <w:jc w:val="both"/>
      </w:pPr>
      <w:r w:rsidRPr="00D92E20">
        <w:t>Služební útvary provádějí nemocenské pojištění příslušníků Policie České republiky, Hasičského záchranného sboru České republiky, Celní správy České republiky, Vězeňské služby České republiky, Bezpečnostní informační služby a Úřadu pro zahraniční styky a informace, vojáků z povolání, odsouzených ve výkonu trestu, kteří vykonávají práci ve výkonu trestu, a osob obviněných vykonávajících práci ve vazbě.</w:t>
      </w:r>
    </w:p>
    <w:p w14:paraId="6E92A8A4" w14:textId="77777777" w:rsidR="000E0772" w:rsidRPr="00D92E20" w:rsidRDefault="000E0772" w:rsidP="003636A2">
      <w:pPr>
        <w:pStyle w:val="Nadpis3"/>
        <w:numPr>
          <w:ilvl w:val="1"/>
          <w:numId w:val="18"/>
        </w:numPr>
        <w:ind w:left="426" w:hanging="403"/>
      </w:pPr>
      <w:bookmarkStart w:id="11" w:name="_Toc54262794"/>
      <w:bookmarkStart w:id="12" w:name="_Toc117774422"/>
      <w:r w:rsidRPr="00D92E20">
        <w:t>Výpočet dávky nemocenského</w:t>
      </w:r>
      <w:bookmarkEnd w:id="11"/>
      <w:bookmarkEnd w:id="12"/>
    </w:p>
    <w:p w14:paraId="0B5C7AE4" w14:textId="1586F0FB" w:rsidR="000E0772" w:rsidRPr="00D92E20" w:rsidRDefault="000E0772" w:rsidP="00155829">
      <w:pPr>
        <w:spacing w:after="120"/>
        <w:jc w:val="both"/>
      </w:pPr>
      <w:r w:rsidRPr="00D92E20">
        <w:t xml:space="preserve">Výše dávky nemocenského se počítá </w:t>
      </w:r>
      <w:r w:rsidR="003636A2">
        <w:t>z denního vyměřovacího základu. Započitatelný příjem zúčtovaný zaměst</w:t>
      </w:r>
      <w:r w:rsidRPr="00D92E20">
        <w:t>nanci v rozhodném období (zpravidla období 12 kalendářních měsíců před kalendářním měsícem, ve kterém vznikla sociální událost – v případě výplaty nemocenského dočasná pracov</w:t>
      </w:r>
      <w:r w:rsidR="003636A2">
        <w:t xml:space="preserve">ní neschopnost) se dělí počtem </w:t>
      </w:r>
      <w:r w:rsidRPr="00D92E20">
        <w:t>započitatelných kalendářních dnů připadajících na toto rozhodné období. Takto stanovený průměrný denní příjem se upravuje (redukuje) pomocí tří redukčních hranic na denní vyměřovací základ.</w:t>
      </w:r>
    </w:p>
    <w:p w14:paraId="75E33219" w14:textId="77777777" w:rsidR="000E0772" w:rsidRPr="00D92E20" w:rsidRDefault="000E0772" w:rsidP="00155829">
      <w:pPr>
        <w:spacing w:after="120"/>
        <w:jc w:val="both"/>
        <w:rPr>
          <w:lang w:eastAsia="ar-SA"/>
        </w:rPr>
      </w:pPr>
      <w:r w:rsidRPr="00D92E20">
        <w:rPr>
          <w:lang w:eastAsia="ar-SA"/>
        </w:rPr>
        <w:t xml:space="preserve">Výši tří </w:t>
      </w:r>
      <w:r w:rsidRPr="00D92E20">
        <w:rPr>
          <w:b/>
          <w:lang w:eastAsia="ar-SA"/>
        </w:rPr>
        <w:t>redukčních hranic</w:t>
      </w:r>
      <w:r w:rsidRPr="00D92E20">
        <w:rPr>
          <w:lang w:eastAsia="ar-SA"/>
        </w:rPr>
        <w:t xml:space="preserve"> platných od 1. ledna kalendářního roku vyhlašuje Ministerstvo práce a sociálních věcí formou Sdělení ve Sbírce zákonů. </w:t>
      </w:r>
    </w:p>
    <w:p w14:paraId="2805EEE8" w14:textId="71C12675" w:rsidR="000E0772" w:rsidRPr="00D92E20" w:rsidRDefault="000E0772" w:rsidP="00155829">
      <w:pPr>
        <w:spacing w:after="120"/>
        <w:jc w:val="both"/>
        <w:rPr>
          <w:lang w:eastAsia="ar-SA"/>
        </w:rPr>
      </w:pPr>
      <w:r w:rsidRPr="00D92E20">
        <w:rPr>
          <w:lang w:eastAsia="ar-SA"/>
        </w:rPr>
        <w:t xml:space="preserve">V roce </w:t>
      </w:r>
      <w:r w:rsidRPr="00D92E20">
        <w:rPr>
          <w:b/>
          <w:lang w:eastAsia="ar-SA"/>
        </w:rPr>
        <w:t>202</w:t>
      </w:r>
      <w:r w:rsidR="003636A2">
        <w:rPr>
          <w:b/>
          <w:lang w:eastAsia="ar-SA"/>
        </w:rPr>
        <w:t>2</w:t>
      </w:r>
      <w:r w:rsidR="003A2D2A">
        <w:rPr>
          <w:lang w:eastAsia="ar-SA"/>
        </w:rPr>
        <w:t xml:space="preserve"> činí</w:t>
      </w:r>
      <w:r w:rsidRPr="00D92E20">
        <w:rPr>
          <w:lang w:eastAsia="ar-SA"/>
        </w:rPr>
        <w:t xml:space="preserve"> 1. redukční hranice </w:t>
      </w:r>
      <w:r w:rsidRPr="00D92E20">
        <w:rPr>
          <w:b/>
        </w:rPr>
        <w:t>1 </w:t>
      </w:r>
      <w:r w:rsidR="003C209F">
        <w:rPr>
          <w:b/>
        </w:rPr>
        <w:t>298</w:t>
      </w:r>
      <w:r w:rsidRPr="00D92E20">
        <w:t xml:space="preserve"> </w:t>
      </w:r>
      <w:r w:rsidRPr="00D92E20">
        <w:rPr>
          <w:b/>
          <w:lang w:eastAsia="ar-SA"/>
        </w:rPr>
        <w:t>Kč</w:t>
      </w:r>
      <w:r w:rsidRPr="00D92E20">
        <w:rPr>
          <w:lang w:eastAsia="ar-SA"/>
        </w:rPr>
        <w:t xml:space="preserve">, 2. redukční hranice </w:t>
      </w:r>
      <w:r w:rsidRPr="00D92E20">
        <w:rPr>
          <w:b/>
        </w:rPr>
        <w:t xml:space="preserve">1 </w:t>
      </w:r>
      <w:r w:rsidR="003C209F">
        <w:rPr>
          <w:b/>
        </w:rPr>
        <w:t>946</w:t>
      </w:r>
      <w:r w:rsidRPr="00D92E20">
        <w:rPr>
          <w:b/>
          <w:lang w:eastAsia="ar-SA"/>
        </w:rPr>
        <w:t xml:space="preserve"> Kč</w:t>
      </w:r>
      <w:r w:rsidRPr="00D92E20">
        <w:rPr>
          <w:lang w:eastAsia="ar-SA"/>
        </w:rPr>
        <w:t xml:space="preserve">, 3. redukční hranice </w:t>
      </w:r>
      <w:r w:rsidRPr="00D92E20">
        <w:rPr>
          <w:b/>
        </w:rPr>
        <w:t xml:space="preserve">3 </w:t>
      </w:r>
      <w:r w:rsidR="003C209F">
        <w:rPr>
          <w:b/>
        </w:rPr>
        <w:t>892</w:t>
      </w:r>
      <w:r w:rsidRPr="00D92E20">
        <w:t xml:space="preserve"> </w:t>
      </w:r>
      <w:r w:rsidRPr="00D92E20">
        <w:rPr>
          <w:b/>
          <w:lang w:eastAsia="ar-SA"/>
        </w:rPr>
        <w:t>Kč</w:t>
      </w:r>
      <w:r w:rsidRPr="00D92E20">
        <w:rPr>
          <w:lang w:eastAsia="ar-SA"/>
        </w:rPr>
        <w:t>.</w:t>
      </w:r>
    </w:p>
    <w:p w14:paraId="06AAFDA5" w14:textId="77777777" w:rsidR="000E0772" w:rsidRPr="00D92E20" w:rsidRDefault="000E0772" w:rsidP="000E0772">
      <w:pPr>
        <w:spacing w:after="60"/>
        <w:jc w:val="both"/>
      </w:pPr>
      <w:r w:rsidRPr="00D92E20">
        <w:rPr>
          <w:b/>
        </w:rPr>
        <w:t>Redukce u nemocenského</w:t>
      </w:r>
      <w:r w:rsidRPr="00D92E20">
        <w:t xml:space="preserve"> se provede následujícím způsobem.</w:t>
      </w:r>
    </w:p>
    <w:p w14:paraId="68D161BB" w14:textId="77777777" w:rsidR="000E0772" w:rsidRPr="00D92E20" w:rsidRDefault="000E0772" w:rsidP="00277304">
      <w:pPr>
        <w:pStyle w:val="Odstavecseseznamem"/>
        <w:numPr>
          <w:ilvl w:val="0"/>
          <w:numId w:val="11"/>
        </w:numPr>
        <w:jc w:val="both"/>
      </w:pPr>
      <w:r w:rsidRPr="00D92E20">
        <w:rPr>
          <w:b/>
        </w:rPr>
        <w:t>do</w:t>
      </w:r>
      <w:r w:rsidRPr="00D92E20">
        <w:t xml:space="preserve"> </w:t>
      </w:r>
      <w:r w:rsidRPr="00D92E20">
        <w:rPr>
          <w:b/>
        </w:rPr>
        <w:t>první redukční hranice</w:t>
      </w:r>
      <w:r w:rsidRPr="00D92E20">
        <w:t xml:space="preserve"> se započte </w:t>
      </w:r>
      <w:r w:rsidRPr="00D92E20">
        <w:rPr>
          <w:b/>
        </w:rPr>
        <w:t>90 %</w:t>
      </w:r>
      <w:r w:rsidRPr="00D92E20">
        <w:t xml:space="preserve"> denního vyměřovacího základu,</w:t>
      </w:r>
    </w:p>
    <w:p w14:paraId="439F2504" w14:textId="77777777" w:rsidR="000E0772" w:rsidRPr="00D92E20" w:rsidRDefault="000E0772" w:rsidP="00277304">
      <w:pPr>
        <w:pStyle w:val="Odstavecseseznamem"/>
        <w:numPr>
          <w:ilvl w:val="0"/>
          <w:numId w:val="11"/>
        </w:numPr>
        <w:jc w:val="both"/>
      </w:pPr>
      <w:r w:rsidRPr="00D92E20">
        <w:t xml:space="preserve">z části denního vyměřovacího základu </w:t>
      </w:r>
      <w:r w:rsidRPr="00D92E20">
        <w:rPr>
          <w:b/>
        </w:rPr>
        <w:t>mezi první a druhou redukční hranicí</w:t>
      </w:r>
      <w:r w:rsidRPr="00D92E20">
        <w:t xml:space="preserve"> se započte </w:t>
      </w:r>
      <w:r w:rsidRPr="00D92E20">
        <w:rPr>
          <w:b/>
        </w:rPr>
        <w:t>60 %</w:t>
      </w:r>
      <w:r w:rsidRPr="00D92E20">
        <w:t>,</w:t>
      </w:r>
    </w:p>
    <w:p w14:paraId="4B5BDB60" w14:textId="77777777" w:rsidR="000E0772" w:rsidRPr="00D92E20" w:rsidRDefault="000E0772" w:rsidP="00277304">
      <w:pPr>
        <w:pStyle w:val="Odstavecseseznamem"/>
        <w:numPr>
          <w:ilvl w:val="0"/>
          <w:numId w:val="11"/>
        </w:numPr>
        <w:jc w:val="both"/>
      </w:pPr>
      <w:r w:rsidRPr="00D92E20">
        <w:t xml:space="preserve">z části </w:t>
      </w:r>
      <w:r w:rsidRPr="00D92E20">
        <w:rPr>
          <w:b/>
        </w:rPr>
        <w:t>mezi druhou a třetí</w:t>
      </w:r>
      <w:r w:rsidRPr="00D92E20">
        <w:t xml:space="preserve"> redukční hranicí se započte </w:t>
      </w:r>
      <w:r w:rsidRPr="00D92E20">
        <w:rPr>
          <w:b/>
        </w:rPr>
        <w:t>30 %</w:t>
      </w:r>
      <w:r w:rsidRPr="00D92E20">
        <w:t>,</w:t>
      </w:r>
    </w:p>
    <w:p w14:paraId="1DFBD24F" w14:textId="77777777" w:rsidR="000E0772" w:rsidRPr="00D92E20" w:rsidRDefault="000E0772" w:rsidP="00155829">
      <w:pPr>
        <w:pStyle w:val="Odstavecseseznamem"/>
        <w:numPr>
          <w:ilvl w:val="0"/>
          <w:numId w:val="11"/>
        </w:numPr>
        <w:spacing w:after="120"/>
        <w:ind w:left="714" w:hanging="357"/>
        <w:jc w:val="both"/>
      </w:pPr>
      <w:r w:rsidRPr="00D92E20">
        <w:t xml:space="preserve">k části </w:t>
      </w:r>
      <w:r w:rsidRPr="00D92E20">
        <w:rPr>
          <w:b/>
        </w:rPr>
        <w:t>nad třetí</w:t>
      </w:r>
      <w:r w:rsidRPr="00D92E20">
        <w:t xml:space="preserve"> redukční hranici </w:t>
      </w:r>
      <w:r w:rsidRPr="00D92E20">
        <w:rPr>
          <w:b/>
        </w:rPr>
        <w:t>se nepřihlédne</w:t>
      </w:r>
      <w:r w:rsidRPr="00D92E20">
        <w:t>.</w:t>
      </w:r>
    </w:p>
    <w:p w14:paraId="60BFF1C5" w14:textId="77777777" w:rsidR="000E0772" w:rsidRPr="00D92E20" w:rsidRDefault="000E0772" w:rsidP="00155829">
      <w:pPr>
        <w:spacing w:after="120"/>
        <w:jc w:val="both"/>
      </w:pPr>
      <w:r w:rsidRPr="00D92E20">
        <w:t xml:space="preserve">Výše </w:t>
      </w:r>
      <w:r w:rsidRPr="00D92E20">
        <w:rPr>
          <w:b/>
          <w:bCs/>
        </w:rPr>
        <w:t>nemocenského</w:t>
      </w:r>
      <w:r w:rsidRPr="00D92E20">
        <w:t xml:space="preserve"> činí </w:t>
      </w:r>
      <w:r w:rsidRPr="00D92E20">
        <w:rPr>
          <w:b/>
          <w:bCs/>
        </w:rPr>
        <w:t>60 %</w:t>
      </w:r>
      <w:r w:rsidRPr="00D92E20">
        <w:t xml:space="preserve"> denního vyměřovacího základu </w:t>
      </w:r>
      <w:r w:rsidRPr="00D92E20">
        <w:rPr>
          <w:b/>
        </w:rPr>
        <w:t>od 15. kalendářního dne</w:t>
      </w:r>
      <w:r w:rsidRPr="00D92E20">
        <w:t xml:space="preserve"> trvání dočasné pracovní neschopnosti nebo karantény, </w:t>
      </w:r>
      <w:r w:rsidRPr="00D92E20">
        <w:rPr>
          <w:b/>
        </w:rPr>
        <w:t>od 31. kalendářního dne</w:t>
      </w:r>
      <w:r w:rsidRPr="00D92E20">
        <w:t xml:space="preserve"> sazba činí </w:t>
      </w:r>
      <w:r w:rsidRPr="00D92E20">
        <w:rPr>
          <w:b/>
          <w:bCs/>
        </w:rPr>
        <w:t>66 %</w:t>
      </w:r>
      <w:r w:rsidRPr="00D92E20">
        <w:t xml:space="preserve"> denního vyměřovacího základu a dále </w:t>
      </w:r>
      <w:r w:rsidRPr="00D92E20">
        <w:rPr>
          <w:b/>
        </w:rPr>
        <w:t>od 61. kalendářního dne</w:t>
      </w:r>
      <w:r w:rsidRPr="00D92E20">
        <w:t xml:space="preserve"> sazba činí </w:t>
      </w:r>
      <w:r w:rsidRPr="00D92E20">
        <w:rPr>
          <w:b/>
          <w:bCs/>
        </w:rPr>
        <w:t>72 %</w:t>
      </w:r>
      <w:r w:rsidRPr="00D92E20">
        <w:t xml:space="preserve"> denního vyměřovacího základu.</w:t>
      </w:r>
    </w:p>
    <w:p w14:paraId="3EAB00F0" w14:textId="77777777" w:rsidR="000E0772" w:rsidRPr="00D92E20" w:rsidRDefault="000E0772" w:rsidP="00155829">
      <w:pPr>
        <w:spacing w:after="120"/>
        <w:jc w:val="both"/>
      </w:pPr>
      <w:r w:rsidRPr="00D92E20">
        <w:t>Výše nemocenského u </w:t>
      </w:r>
      <w:r w:rsidRPr="00D92E20">
        <w:rPr>
          <w:b/>
          <w:bCs/>
        </w:rPr>
        <w:t>dobrovolných členů integrovaného záchranného systému</w:t>
      </w:r>
      <w:r w:rsidRPr="00D92E20">
        <w:t xml:space="preserve"> (např. u dobrovolných hasičů) činí </w:t>
      </w:r>
      <w:r w:rsidRPr="00D92E20">
        <w:rPr>
          <w:b/>
          <w:bCs/>
        </w:rPr>
        <w:t>100 %</w:t>
      </w:r>
      <w:r w:rsidRPr="00D92E20">
        <w:t xml:space="preserve"> denního vyměřovacího základu, pokud tato dočasná pracovní neschopnost nebo karanténa vznikla v důsledku zásahu (tj. v důsledku provádění záchranných a likvidačních prací), k němuž byla jednotka nebo složka integrovaného záchranného systému povolána. Tuto skutečnost pojištěnci potvrdí operační středisko integrovaného záchranného systému.</w:t>
      </w:r>
    </w:p>
    <w:p w14:paraId="3649823E" w14:textId="16C416C3" w:rsidR="00161606" w:rsidRDefault="000E0772" w:rsidP="003C209F">
      <w:pPr>
        <w:spacing w:after="120"/>
        <w:jc w:val="both"/>
        <w:rPr>
          <w:rStyle w:val="Hypertextovodkaz"/>
        </w:rPr>
      </w:pPr>
      <w:r w:rsidRPr="00D92E20">
        <w:t>Orientační výši dávky spočítá příslušná</w:t>
      </w:r>
      <w:r w:rsidR="003A2D2A">
        <w:t xml:space="preserve"> </w:t>
      </w:r>
      <w:hyperlink r:id="rId10" w:history="1">
        <w:r w:rsidR="003A2D2A" w:rsidRPr="003A2D2A">
          <w:rPr>
            <w:rStyle w:val="Hypertextovodkaz"/>
          </w:rPr>
          <w:t>kalku</w:t>
        </w:r>
        <w:r w:rsidR="003A2D2A" w:rsidRPr="003A2D2A">
          <w:rPr>
            <w:rStyle w:val="Hypertextovodkaz"/>
          </w:rPr>
          <w:t>l</w:t>
        </w:r>
        <w:r w:rsidR="003A2D2A" w:rsidRPr="003A2D2A">
          <w:rPr>
            <w:rStyle w:val="Hypertextovodkaz"/>
          </w:rPr>
          <w:t>ačka MPSV</w:t>
        </w:r>
      </w:hyperlink>
      <w:r w:rsidRPr="00D92E20">
        <w:t>.</w:t>
      </w:r>
      <w:r w:rsidR="00155829" w:rsidRPr="00D92E20">
        <w:t xml:space="preserve"> </w:t>
      </w:r>
      <w:r w:rsidRPr="00D92E20">
        <w:t xml:space="preserve">Další informace k nemocenskému </w:t>
      </w:r>
      <w:r w:rsidR="00FB19E5" w:rsidRPr="00D92E20">
        <w:t xml:space="preserve">pojištění </w:t>
      </w:r>
      <w:r w:rsidR="007960ED" w:rsidRPr="00D92E20">
        <w:t>na</w:t>
      </w:r>
      <w:r w:rsidR="008C3456">
        <w:t> </w:t>
      </w:r>
      <w:hyperlink r:id="rId11" w:history="1">
        <w:r w:rsidR="003A2D2A" w:rsidRPr="00D1580F">
          <w:rPr>
            <w:rStyle w:val="Hypertextovodkaz"/>
          </w:rPr>
          <w:t>https://www.mpsv.cz/web/cz/nemo</w:t>
        </w:r>
        <w:r w:rsidR="003A2D2A" w:rsidRPr="00D1580F">
          <w:rPr>
            <w:rStyle w:val="Hypertextovodkaz"/>
          </w:rPr>
          <w:t>c</w:t>
        </w:r>
        <w:r w:rsidR="003A2D2A" w:rsidRPr="00D1580F">
          <w:rPr>
            <w:rStyle w:val="Hypertextovodkaz"/>
          </w:rPr>
          <w:t>enske-pojisteni</w:t>
        </w:r>
      </w:hyperlink>
      <w:r w:rsidR="003A2D2A">
        <w:t xml:space="preserve"> </w:t>
      </w:r>
      <w:r w:rsidR="00517A58" w:rsidRPr="00D92E20">
        <w:t>a</w:t>
      </w:r>
      <w:r w:rsidR="00FB19E5" w:rsidRPr="00D92E20">
        <w:t> </w:t>
      </w:r>
      <w:hyperlink r:id="rId12" w:history="1">
        <w:r w:rsidR="00517A58" w:rsidRPr="00D92E20">
          <w:rPr>
            <w:rStyle w:val="Hypertextovodkaz"/>
          </w:rPr>
          <w:t>https://www.cssz.</w:t>
        </w:r>
        <w:r w:rsidR="00517A58" w:rsidRPr="00D92E20">
          <w:rPr>
            <w:rStyle w:val="Hypertextovodkaz"/>
          </w:rPr>
          <w:t>c</w:t>
        </w:r>
        <w:r w:rsidR="00517A58" w:rsidRPr="00D92E20">
          <w:rPr>
            <w:rStyle w:val="Hypertextovodkaz"/>
          </w:rPr>
          <w:t>z/web/cz/nemocenske</w:t>
        </w:r>
      </w:hyperlink>
      <w:r w:rsidR="008D48F1">
        <w:rPr>
          <w:rStyle w:val="Hypertextovodkaz"/>
        </w:rPr>
        <w:t>.</w:t>
      </w:r>
    </w:p>
    <w:p w14:paraId="2B864893" w14:textId="77777777" w:rsidR="00517A58" w:rsidRPr="00D92E20" w:rsidRDefault="00517A58" w:rsidP="003C209F">
      <w:pPr>
        <w:pStyle w:val="Nadpis3"/>
        <w:numPr>
          <w:ilvl w:val="1"/>
          <w:numId w:val="18"/>
        </w:numPr>
        <w:ind w:left="426" w:hanging="403"/>
      </w:pPr>
      <w:bookmarkStart w:id="13" w:name="_Toc54262795"/>
      <w:bookmarkStart w:id="14" w:name="_Toc117774423"/>
      <w:r w:rsidRPr="00D92E20">
        <w:t>Nejvýznamnější legislativní změny v oblasti nemocenského pojištění</w:t>
      </w:r>
      <w:bookmarkEnd w:id="13"/>
      <w:bookmarkEnd w:id="14"/>
    </w:p>
    <w:p w14:paraId="599AF130" w14:textId="74CDC2F2" w:rsidR="00517A58" w:rsidRPr="00D92E20" w:rsidRDefault="00517A58" w:rsidP="00155829">
      <w:pPr>
        <w:pStyle w:val="Seznam"/>
        <w:spacing w:after="60"/>
        <w:contextualSpacing w:val="0"/>
        <w:jc w:val="both"/>
        <w:rPr>
          <w:bCs/>
          <w:szCs w:val="20"/>
        </w:rPr>
      </w:pPr>
      <w:r w:rsidRPr="00D92E20">
        <w:t>Dlouhodobý vývoj dočasné pracovní neschopnosti je významně ov</w:t>
      </w:r>
      <w:r w:rsidR="009F34CD">
        <w:t>livňován legislativními změnami</w:t>
      </w:r>
      <w:r w:rsidRPr="00D92E20">
        <w:t xml:space="preserve"> týkajícími se výš</w:t>
      </w:r>
      <w:r w:rsidR="003A2D2A">
        <w:t>e</w:t>
      </w:r>
      <w:r w:rsidRPr="00D92E20">
        <w:t xml:space="preserve"> dávek nemocenského pojištění a počátku jejich poskytování</w:t>
      </w:r>
      <w:r w:rsidRPr="00D92E20">
        <w:rPr>
          <w:bCs/>
          <w:szCs w:val="20"/>
        </w:rPr>
        <w:t>. Nejdůležitější legislativní změny, které byly přijaty v systému nemocenského pojištění přibližně v posledním desetiletí a které významným způsobem ovlivňují i srovnatelnost dat zdravotnické statistiky, jsou následující:</w:t>
      </w:r>
    </w:p>
    <w:p w14:paraId="7E65E20B" w14:textId="77777777" w:rsidR="003C209F" w:rsidRPr="001E0F29" w:rsidRDefault="003C209F" w:rsidP="003C209F">
      <w:pPr>
        <w:pStyle w:val="Seznam"/>
        <w:numPr>
          <w:ilvl w:val="0"/>
          <w:numId w:val="12"/>
        </w:numPr>
        <w:spacing w:after="120"/>
        <w:ind w:left="777" w:hanging="357"/>
        <w:contextualSpacing w:val="0"/>
        <w:jc w:val="both"/>
        <w:rPr>
          <w:bCs/>
          <w:szCs w:val="20"/>
        </w:rPr>
      </w:pPr>
      <w:r w:rsidRPr="001E0F29">
        <w:rPr>
          <w:bCs/>
          <w:szCs w:val="20"/>
        </w:rPr>
        <w:lastRenderedPageBreak/>
        <w:t xml:space="preserve">V období let </w:t>
      </w:r>
      <w:r w:rsidRPr="001E0F29">
        <w:rPr>
          <w:b/>
          <w:bCs/>
          <w:szCs w:val="20"/>
        </w:rPr>
        <w:t>2010–2017</w:t>
      </w:r>
      <w:r w:rsidRPr="001E0F29">
        <w:rPr>
          <w:bCs/>
          <w:szCs w:val="20"/>
        </w:rPr>
        <w:t xml:space="preserve"> činila výše dávky za kalendářní den </w:t>
      </w:r>
      <w:r w:rsidRPr="001E0F29">
        <w:rPr>
          <w:b/>
          <w:bCs/>
          <w:szCs w:val="20"/>
        </w:rPr>
        <w:t>jednotně 60 %</w:t>
      </w:r>
      <w:r w:rsidRPr="001E0F29">
        <w:rPr>
          <w:bCs/>
          <w:szCs w:val="20"/>
        </w:rPr>
        <w:t xml:space="preserve"> redukovaného denního vyměřovacího základu</w:t>
      </w:r>
      <w:r>
        <w:rPr>
          <w:bCs/>
          <w:szCs w:val="20"/>
        </w:rPr>
        <w:t xml:space="preserve"> bez ohledu na délku trvání dočasné pracovní neschopnosti.</w:t>
      </w:r>
    </w:p>
    <w:p w14:paraId="7B58CDA6" w14:textId="4B17051D" w:rsidR="00517A58" w:rsidRPr="00D92E20" w:rsidRDefault="00517A58" w:rsidP="00155829">
      <w:pPr>
        <w:pStyle w:val="Seznam"/>
        <w:numPr>
          <w:ilvl w:val="0"/>
          <w:numId w:val="12"/>
        </w:numPr>
        <w:spacing w:after="120"/>
        <w:ind w:left="777" w:hanging="357"/>
        <w:contextualSpacing w:val="0"/>
        <w:jc w:val="both"/>
        <w:rPr>
          <w:bCs/>
          <w:szCs w:val="20"/>
        </w:rPr>
      </w:pPr>
      <w:r w:rsidRPr="00D92E20">
        <w:rPr>
          <w:b/>
          <w:bCs/>
          <w:szCs w:val="20"/>
        </w:rPr>
        <w:t>Od 1. 1. 2011 do 31. 12. 2013</w:t>
      </w:r>
      <w:r w:rsidRPr="00D92E20">
        <w:rPr>
          <w:bCs/>
          <w:szCs w:val="20"/>
        </w:rPr>
        <w:t xml:space="preserve"> začínala </w:t>
      </w:r>
      <w:r w:rsidRPr="00D92E20">
        <w:rPr>
          <w:b/>
          <w:bCs/>
          <w:szCs w:val="20"/>
        </w:rPr>
        <w:t>podpůrčí doba u nemocenského</w:t>
      </w:r>
      <w:r w:rsidRPr="00D92E20">
        <w:rPr>
          <w:bCs/>
          <w:szCs w:val="20"/>
        </w:rPr>
        <w:t xml:space="preserve"> až </w:t>
      </w:r>
      <w:r w:rsidRPr="00D92E20">
        <w:rPr>
          <w:b/>
          <w:bCs/>
          <w:szCs w:val="20"/>
        </w:rPr>
        <w:t>22. kalendářním dnem</w:t>
      </w:r>
      <w:r w:rsidRPr="00D92E20">
        <w:rPr>
          <w:bCs/>
          <w:szCs w:val="20"/>
        </w:rPr>
        <w:t xml:space="preserve"> trvání dočasné pracovní neschopnosti, v období 4. až 21. kalendářního dne poskytoval náhradu mzdy nebo platu podle zákoníku práce</w:t>
      </w:r>
      <w:r w:rsidR="003C209F" w:rsidRPr="003C209F">
        <w:rPr>
          <w:bCs/>
          <w:szCs w:val="20"/>
        </w:rPr>
        <w:t xml:space="preserve"> </w:t>
      </w:r>
      <w:r w:rsidR="003C209F" w:rsidRPr="00D92E20">
        <w:rPr>
          <w:bCs/>
          <w:szCs w:val="20"/>
        </w:rPr>
        <w:t>zaměstnanci</w:t>
      </w:r>
      <w:r w:rsidR="003C209F" w:rsidRPr="003C209F">
        <w:rPr>
          <w:bCs/>
          <w:szCs w:val="20"/>
        </w:rPr>
        <w:t xml:space="preserve"> </w:t>
      </w:r>
      <w:r w:rsidR="003C209F" w:rsidRPr="00D92E20">
        <w:rPr>
          <w:bCs/>
          <w:szCs w:val="20"/>
        </w:rPr>
        <w:t>zaměstnavatel</w:t>
      </w:r>
      <w:r w:rsidRPr="00D92E20">
        <w:rPr>
          <w:bCs/>
          <w:szCs w:val="20"/>
        </w:rPr>
        <w:t>.</w:t>
      </w:r>
    </w:p>
    <w:p w14:paraId="18D648BA" w14:textId="5A8AB073" w:rsidR="00517A58" w:rsidRPr="00D92E20" w:rsidRDefault="00517A58" w:rsidP="00155829">
      <w:pPr>
        <w:pStyle w:val="Seznam"/>
        <w:numPr>
          <w:ilvl w:val="0"/>
          <w:numId w:val="12"/>
        </w:numPr>
        <w:spacing w:after="120"/>
        <w:ind w:left="777" w:hanging="357"/>
        <w:contextualSpacing w:val="0"/>
        <w:jc w:val="both"/>
        <w:rPr>
          <w:bCs/>
          <w:szCs w:val="20"/>
        </w:rPr>
      </w:pPr>
      <w:r w:rsidRPr="003C209F">
        <w:rPr>
          <w:b/>
          <w:bCs/>
          <w:szCs w:val="20"/>
        </w:rPr>
        <w:t>Od 1. 1. 2012</w:t>
      </w:r>
      <w:r w:rsidRPr="00D92E20">
        <w:rPr>
          <w:bCs/>
          <w:szCs w:val="20"/>
        </w:rPr>
        <w:t xml:space="preserve"> byl novelou zákoníku práce a zákona o nemocenském pojištění </w:t>
      </w:r>
      <w:r w:rsidRPr="00D92E20">
        <w:rPr>
          <w:b/>
          <w:bCs/>
          <w:szCs w:val="20"/>
        </w:rPr>
        <w:t>rozšířen okruh nemocensky pojištěných osob</w:t>
      </w:r>
      <w:r w:rsidRPr="00D92E20">
        <w:rPr>
          <w:bCs/>
          <w:szCs w:val="20"/>
        </w:rPr>
        <w:t xml:space="preserve"> o zaměstnance činné na základě </w:t>
      </w:r>
      <w:r w:rsidRPr="00D92E20">
        <w:rPr>
          <w:b/>
          <w:bCs/>
          <w:szCs w:val="20"/>
        </w:rPr>
        <w:t>dohody o provedení práce</w:t>
      </w:r>
      <w:r w:rsidRPr="00D92E20">
        <w:rPr>
          <w:bCs/>
          <w:szCs w:val="20"/>
        </w:rPr>
        <w:t xml:space="preserve"> </w:t>
      </w:r>
      <w:r w:rsidR="003C209F" w:rsidRPr="0011766E">
        <w:rPr>
          <w:bCs/>
          <w:szCs w:val="20"/>
        </w:rPr>
        <w:t xml:space="preserve">při výkonu práce na území ČR a </w:t>
      </w:r>
      <w:r w:rsidRPr="00D92E20">
        <w:rPr>
          <w:bCs/>
          <w:szCs w:val="20"/>
        </w:rPr>
        <w:t>při</w:t>
      </w:r>
      <w:r w:rsidR="008C3456">
        <w:rPr>
          <w:bCs/>
          <w:szCs w:val="20"/>
        </w:rPr>
        <w:t> </w:t>
      </w:r>
      <w:r w:rsidRPr="00D92E20">
        <w:rPr>
          <w:bCs/>
          <w:szCs w:val="20"/>
        </w:rPr>
        <w:t xml:space="preserve">započitatelném </w:t>
      </w:r>
      <w:r w:rsidRPr="00D92E20">
        <w:rPr>
          <w:b/>
          <w:bCs/>
          <w:szCs w:val="20"/>
        </w:rPr>
        <w:t>příjmu vyšším než 10 tis. Kč</w:t>
      </w:r>
      <w:r w:rsidRPr="00D92E20">
        <w:rPr>
          <w:bCs/>
          <w:szCs w:val="20"/>
        </w:rPr>
        <w:t xml:space="preserve"> v kalendářním měsíci.</w:t>
      </w:r>
    </w:p>
    <w:p w14:paraId="6FB0BEF1" w14:textId="77777777" w:rsidR="00517A58" w:rsidRPr="00D92E20" w:rsidRDefault="00517A58" w:rsidP="00155829">
      <w:pPr>
        <w:pStyle w:val="Seznam"/>
        <w:numPr>
          <w:ilvl w:val="0"/>
          <w:numId w:val="12"/>
        </w:numPr>
        <w:spacing w:after="120"/>
        <w:ind w:left="777" w:hanging="357"/>
        <w:contextualSpacing w:val="0"/>
        <w:jc w:val="both"/>
        <w:rPr>
          <w:rFonts w:cs="Arial"/>
          <w:szCs w:val="20"/>
        </w:rPr>
      </w:pPr>
      <w:r w:rsidRPr="00D92E20">
        <w:rPr>
          <w:b/>
          <w:bCs/>
          <w:szCs w:val="20"/>
        </w:rPr>
        <w:t>Od 1. 1. 2014</w:t>
      </w:r>
      <w:r w:rsidRPr="00D92E20">
        <w:rPr>
          <w:bCs/>
          <w:szCs w:val="20"/>
        </w:rPr>
        <w:t xml:space="preserve"> byla ukončena platnost přechodného ustanovení o délce poskytování náhrady mzdy nebo platu; </w:t>
      </w:r>
      <w:r w:rsidRPr="00D92E20">
        <w:rPr>
          <w:b/>
          <w:bCs/>
          <w:szCs w:val="20"/>
        </w:rPr>
        <w:t>nárok na nemocenské</w:t>
      </w:r>
      <w:r w:rsidRPr="00D92E20">
        <w:rPr>
          <w:bCs/>
          <w:szCs w:val="20"/>
        </w:rPr>
        <w:t xml:space="preserve"> tedy vznikl </w:t>
      </w:r>
      <w:r w:rsidRPr="00D92E20">
        <w:rPr>
          <w:b/>
          <w:bCs/>
          <w:szCs w:val="20"/>
        </w:rPr>
        <w:t>od 15. kalendářního dne</w:t>
      </w:r>
      <w:r w:rsidRPr="00D92E20">
        <w:rPr>
          <w:bCs/>
          <w:szCs w:val="20"/>
        </w:rPr>
        <w:t xml:space="preserve"> trvání dočasné pracovní neschopnosti.</w:t>
      </w:r>
    </w:p>
    <w:p w14:paraId="677FE981" w14:textId="5FC2DBD8" w:rsidR="007C3147" w:rsidRPr="00D92E20" w:rsidRDefault="007C3147" w:rsidP="007C3147">
      <w:pPr>
        <w:pStyle w:val="Seznam"/>
        <w:numPr>
          <w:ilvl w:val="0"/>
          <w:numId w:val="12"/>
        </w:numPr>
        <w:spacing w:after="120"/>
        <w:contextualSpacing w:val="0"/>
        <w:jc w:val="both"/>
        <w:rPr>
          <w:bCs/>
          <w:szCs w:val="20"/>
        </w:rPr>
      </w:pPr>
      <w:r w:rsidRPr="007C3147">
        <w:rPr>
          <w:bCs/>
          <w:szCs w:val="20"/>
        </w:rPr>
        <w:t xml:space="preserve">Zvýšení nemocenského </w:t>
      </w:r>
      <w:r>
        <w:rPr>
          <w:bCs/>
          <w:szCs w:val="20"/>
        </w:rPr>
        <w:t xml:space="preserve">s účinností </w:t>
      </w:r>
      <w:r w:rsidRPr="003C209F">
        <w:rPr>
          <w:b/>
          <w:bCs/>
          <w:szCs w:val="20"/>
        </w:rPr>
        <w:t>od 1. ledna 2018</w:t>
      </w:r>
      <w:r w:rsidRPr="007C3147">
        <w:rPr>
          <w:bCs/>
          <w:szCs w:val="20"/>
        </w:rPr>
        <w:t xml:space="preserve">. </w:t>
      </w:r>
      <w:r w:rsidRPr="004F44E4">
        <w:rPr>
          <w:b/>
          <w:bCs/>
          <w:szCs w:val="20"/>
        </w:rPr>
        <w:t>Od 31. kalendářního dne</w:t>
      </w:r>
      <w:r>
        <w:rPr>
          <w:bCs/>
          <w:szCs w:val="20"/>
        </w:rPr>
        <w:t xml:space="preserve"> dočasné </w:t>
      </w:r>
      <w:r w:rsidRPr="007C3147">
        <w:rPr>
          <w:bCs/>
          <w:szCs w:val="20"/>
        </w:rPr>
        <w:t xml:space="preserve">pracovní neschopnosti nebo karantény (dále jen „dočasná pracovní neschopnost“) </w:t>
      </w:r>
      <w:r w:rsidRPr="004F44E4">
        <w:rPr>
          <w:b/>
          <w:bCs/>
          <w:szCs w:val="20"/>
        </w:rPr>
        <w:t>se zvýšila sazba</w:t>
      </w:r>
      <w:r w:rsidRPr="007C3147">
        <w:rPr>
          <w:bCs/>
          <w:szCs w:val="20"/>
        </w:rPr>
        <w:t xml:space="preserve"> z 60 % na </w:t>
      </w:r>
      <w:r w:rsidRPr="004F44E4">
        <w:rPr>
          <w:b/>
          <w:bCs/>
          <w:szCs w:val="20"/>
        </w:rPr>
        <w:t xml:space="preserve">66 % redukovaného denního vyměřovacího základu </w:t>
      </w:r>
      <w:r>
        <w:rPr>
          <w:bCs/>
          <w:szCs w:val="20"/>
        </w:rPr>
        <w:t xml:space="preserve">a dále </w:t>
      </w:r>
      <w:r w:rsidRPr="004F44E4">
        <w:rPr>
          <w:b/>
          <w:bCs/>
          <w:szCs w:val="20"/>
        </w:rPr>
        <w:t>od 61. kalendářního dne</w:t>
      </w:r>
      <w:r>
        <w:rPr>
          <w:bCs/>
          <w:szCs w:val="20"/>
        </w:rPr>
        <w:t xml:space="preserve"> dočasné pracovní </w:t>
      </w:r>
      <w:r w:rsidRPr="007C3147">
        <w:rPr>
          <w:bCs/>
          <w:szCs w:val="20"/>
        </w:rPr>
        <w:t>neschopnosti</w:t>
      </w:r>
      <w:r>
        <w:rPr>
          <w:bCs/>
          <w:szCs w:val="20"/>
        </w:rPr>
        <w:t xml:space="preserve"> </w:t>
      </w:r>
      <w:r w:rsidRPr="004F44E4">
        <w:rPr>
          <w:b/>
          <w:bCs/>
          <w:szCs w:val="20"/>
        </w:rPr>
        <w:t>se zvýšila sazba</w:t>
      </w:r>
      <w:r>
        <w:rPr>
          <w:bCs/>
          <w:szCs w:val="20"/>
        </w:rPr>
        <w:t xml:space="preserve"> z 60 % </w:t>
      </w:r>
      <w:r w:rsidR="004F44E4" w:rsidRPr="004F44E4">
        <w:rPr>
          <w:b/>
          <w:bCs/>
          <w:szCs w:val="20"/>
        </w:rPr>
        <w:t xml:space="preserve">na </w:t>
      </w:r>
      <w:r w:rsidRPr="004F44E4">
        <w:rPr>
          <w:b/>
          <w:bCs/>
          <w:szCs w:val="20"/>
        </w:rPr>
        <w:t>72 %</w:t>
      </w:r>
      <w:r w:rsidRPr="007C3147">
        <w:rPr>
          <w:bCs/>
          <w:szCs w:val="20"/>
        </w:rPr>
        <w:t xml:space="preserve"> redukovaného denního vyměřovacího základu.</w:t>
      </w:r>
    </w:p>
    <w:p w14:paraId="1D42F1B6" w14:textId="77777777" w:rsidR="003C209F" w:rsidRDefault="00517A58" w:rsidP="003C209F">
      <w:pPr>
        <w:pStyle w:val="Seznam"/>
        <w:numPr>
          <w:ilvl w:val="0"/>
          <w:numId w:val="12"/>
        </w:numPr>
        <w:spacing w:after="120"/>
        <w:ind w:left="777" w:hanging="357"/>
        <w:contextualSpacing w:val="0"/>
        <w:jc w:val="both"/>
        <w:rPr>
          <w:rFonts w:cs="Arial"/>
          <w:szCs w:val="20"/>
        </w:rPr>
      </w:pPr>
      <w:r w:rsidRPr="00D92E20">
        <w:rPr>
          <w:rFonts w:cs="Arial"/>
          <w:szCs w:val="20"/>
        </w:rPr>
        <w:t xml:space="preserve">S účinností </w:t>
      </w:r>
      <w:r w:rsidRPr="003C209F">
        <w:rPr>
          <w:rFonts w:cs="Arial"/>
          <w:b/>
          <w:szCs w:val="20"/>
        </w:rPr>
        <w:t>od 1. července 2019</w:t>
      </w:r>
      <w:r w:rsidRPr="00D92E20">
        <w:rPr>
          <w:rFonts w:cs="Arial"/>
          <w:szCs w:val="20"/>
        </w:rPr>
        <w:t xml:space="preserve"> byla </w:t>
      </w:r>
      <w:r w:rsidRPr="00D92E20">
        <w:rPr>
          <w:rFonts w:cs="Arial"/>
          <w:b/>
          <w:szCs w:val="20"/>
        </w:rPr>
        <w:t>snížena sazba pojistného na nemocenské pojištění</w:t>
      </w:r>
      <w:r w:rsidRPr="00D92E20">
        <w:rPr>
          <w:rFonts w:cs="Arial"/>
          <w:szCs w:val="20"/>
        </w:rPr>
        <w:t xml:space="preserve"> pro zaměstnavatele a OSVČ </w:t>
      </w:r>
      <w:r w:rsidRPr="00D92E20">
        <w:t>z 2,3 %</w:t>
      </w:r>
      <w:r w:rsidRPr="00D92E20">
        <w:rPr>
          <w:b/>
        </w:rPr>
        <w:t xml:space="preserve"> na 2,1 % z vyměřovacího základu</w:t>
      </w:r>
      <w:r w:rsidRPr="00D92E20">
        <w:t xml:space="preserve"> </w:t>
      </w:r>
      <w:r w:rsidR="00E9284B" w:rsidRPr="00D92E20">
        <w:t>(</w:t>
      </w:r>
      <w:r w:rsidRPr="00D92E20">
        <w:rPr>
          <w:rFonts w:cs="Arial"/>
          <w:szCs w:val="20"/>
        </w:rPr>
        <w:t>zákon č. 32/2019 Sb.</w:t>
      </w:r>
      <w:r w:rsidR="00E9284B" w:rsidRPr="00D92E20">
        <w:rPr>
          <w:rFonts w:cs="Arial"/>
          <w:szCs w:val="20"/>
        </w:rPr>
        <w:t>).</w:t>
      </w:r>
      <w:r w:rsidRPr="00D92E20">
        <w:rPr>
          <w:rFonts w:cs="Arial"/>
          <w:szCs w:val="20"/>
        </w:rPr>
        <w:t xml:space="preserve"> </w:t>
      </w:r>
    </w:p>
    <w:p w14:paraId="31F0C7C3" w14:textId="5B20262D" w:rsidR="00155829" w:rsidRPr="00D92E20" w:rsidRDefault="00517A58" w:rsidP="00277304">
      <w:pPr>
        <w:pStyle w:val="Seznam"/>
        <w:numPr>
          <w:ilvl w:val="0"/>
          <w:numId w:val="12"/>
        </w:numPr>
        <w:spacing w:after="0"/>
        <w:jc w:val="both"/>
        <w:rPr>
          <w:rFonts w:cs="Arial"/>
          <w:szCs w:val="20"/>
        </w:rPr>
      </w:pPr>
      <w:r w:rsidRPr="00D92E20">
        <w:rPr>
          <w:rFonts w:cs="Arial"/>
          <w:szCs w:val="20"/>
        </w:rPr>
        <w:t xml:space="preserve">S účinností </w:t>
      </w:r>
      <w:r w:rsidRPr="003C209F">
        <w:rPr>
          <w:rFonts w:cs="Arial"/>
          <w:b/>
          <w:szCs w:val="20"/>
        </w:rPr>
        <w:t>od 1. července</w:t>
      </w:r>
      <w:r w:rsidRPr="00D92E20">
        <w:rPr>
          <w:rFonts w:cs="Arial"/>
          <w:szCs w:val="20"/>
        </w:rPr>
        <w:t xml:space="preserve"> </w:t>
      </w:r>
      <w:r w:rsidR="00FF62CF" w:rsidRPr="00D20F57">
        <w:rPr>
          <w:rFonts w:cs="Arial"/>
          <w:b/>
          <w:bCs/>
          <w:szCs w:val="20"/>
        </w:rPr>
        <w:t>2019</w:t>
      </w:r>
      <w:r w:rsidR="00FF62CF">
        <w:rPr>
          <w:rFonts w:cs="Arial"/>
          <w:szCs w:val="20"/>
        </w:rPr>
        <w:t xml:space="preserve"> </w:t>
      </w:r>
      <w:r w:rsidRPr="00D92E20">
        <w:rPr>
          <w:rFonts w:cs="Arial"/>
          <w:szCs w:val="20"/>
        </w:rPr>
        <w:t xml:space="preserve">náleží </w:t>
      </w:r>
      <w:r w:rsidRPr="003C209F">
        <w:rPr>
          <w:rFonts w:cs="Arial"/>
          <w:szCs w:val="20"/>
        </w:rPr>
        <w:t>náhrada mzdy, platu nebo odměny z dohody</w:t>
      </w:r>
      <w:r w:rsidRPr="00D92E20">
        <w:rPr>
          <w:rFonts w:cs="Arial"/>
          <w:szCs w:val="20"/>
        </w:rPr>
        <w:t xml:space="preserve"> ve výši 60 % redukovaného průměrného výdělku </w:t>
      </w:r>
      <w:r w:rsidRPr="00D92E20">
        <w:rPr>
          <w:rFonts w:cs="Arial"/>
          <w:b/>
          <w:szCs w:val="20"/>
        </w:rPr>
        <w:t>i za první tři dny</w:t>
      </w:r>
      <w:r w:rsidRPr="00D92E20">
        <w:rPr>
          <w:rFonts w:cs="Arial"/>
          <w:szCs w:val="20"/>
        </w:rPr>
        <w:t xml:space="preserve"> dočasné pracovní neschopnosti</w:t>
      </w:r>
      <w:r w:rsidR="006A4068">
        <w:rPr>
          <w:rFonts w:cs="Arial"/>
          <w:szCs w:val="20"/>
        </w:rPr>
        <w:t xml:space="preserve"> (</w:t>
      </w:r>
      <w:r w:rsidR="006A4068" w:rsidRPr="00D92E20">
        <w:rPr>
          <w:rFonts w:cs="Arial"/>
          <w:b/>
          <w:szCs w:val="20"/>
        </w:rPr>
        <w:t>zrušení karenční doby</w:t>
      </w:r>
      <w:r w:rsidR="006A4068">
        <w:rPr>
          <w:rFonts w:cs="Arial"/>
          <w:szCs w:val="20"/>
        </w:rPr>
        <w:t>)</w:t>
      </w:r>
      <w:r w:rsidRPr="00D92E20">
        <w:rPr>
          <w:rFonts w:cs="Arial"/>
          <w:szCs w:val="20"/>
        </w:rPr>
        <w:t>.</w:t>
      </w:r>
    </w:p>
    <w:p w14:paraId="7D2C4D1E" w14:textId="77777777" w:rsidR="00155829" w:rsidRPr="00D92E20" w:rsidRDefault="00155829">
      <w:pPr>
        <w:spacing w:after="0" w:line="240" w:lineRule="auto"/>
        <w:rPr>
          <w:rFonts w:cs="Arial"/>
          <w:szCs w:val="20"/>
        </w:rPr>
      </w:pPr>
      <w:r w:rsidRPr="00D92E20">
        <w:rPr>
          <w:rFonts w:cs="Arial"/>
          <w:szCs w:val="20"/>
        </w:rPr>
        <w:br w:type="page"/>
      </w:r>
    </w:p>
    <w:p w14:paraId="27976A77" w14:textId="77777777" w:rsidR="00370BD6" w:rsidRPr="00D92E20" w:rsidRDefault="00370BD6" w:rsidP="00F623AA">
      <w:pPr>
        <w:pStyle w:val="Nadpis2"/>
        <w:numPr>
          <w:ilvl w:val="0"/>
          <w:numId w:val="18"/>
        </w:numPr>
        <w:ind w:left="425" w:hanging="357"/>
      </w:pPr>
      <w:bookmarkStart w:id="15" w:name="_Toc54262796"/>
      <w:bookmarkStart w:id="16" w:name="_Toc117774424"/>
      <w:r w:rsidRPr="00D92E20">
        <w:lastRenderedPageBreak/>
        <w:t>Metodika a zdroje dat</w:t>
      </w:r>
      <w:bookmarkEnd w:id="15"/>
      <w:bookmarkEnd w:id="16"/>
    </w:p>
    <w:p w14:paraId="76DC26BA" w14:textId="77777777" w:rsidR="00370BD6" w:rsidRPr="00D92E20" w:rsidRDefault="00370BD6" w:rsidP="00155829">
      <w:pPr>
        <w:autoSpaceDE w:val="0"/>
        <w:autoSpaceDN w:val="0"/>
        <w:adjustRightInd w:val="0"/>
        <w:spacing w:after="120"/>
        <w:jc w:val="both"/>
        <w:rPr>
          <w:rFonts w:cs="Arial"/>
        </w:rPr>
      </w:pPr>
      <w:r w:rsidRPr="00D92E20">
        <w:rPr>
          <w:rFonts w:cs="Arial"/>
        </w:rPr>
        <w:t xml:space="preserve">Základní časové řady statistik dočasné pracovní neschopnosti pro nemoc a úraz v ČR jsou sledovány Českým statistickým úřadem (dále ČSÚ) již od roku 1963. Do roku 2011 byly statistické údaje o dočasné pracovní neschopnosti pro nemoc a úraz zjišťovány prostřednictvím státního statistického </w:t>
      </w:r>
      <w:r w:rsidRPr="00D92E20">
        <w:rPr>
          <w:rFonts w:cs="Arial"/>
          <w:b/>
        </w:rPr>
        <w:t>výkazu Nem Úr 1–02</w:t>
      </w:r>
      <w:r w:rsidRPr="00D92E20">
        <w:rPr>
          <w:rFonts w:cs="Arial"/>
        </w:rPr>
        <w:t xml:space="preserve">. V důsledku snižování administrativní náročnosti a zátěže zpravodajských jednotek byl Výkaz o pracovní neschopnosti pro nemoc a úraz Nem Úr 1–02 nahrazen údaji dostupnými z administrativních zdrojů. </w:t>
      </w:r>
    </w:p>
    <w:p w14:paraId="76C6A30E" w14:textId="2E95C51E" w:rsidR="00370BD6" w:rsidRPr="00D92E20" w:rsidRDefault="00370BD6" w:rsidP="00155829">
      <w:pPr>
        <w:autoSpaceDE w:val="0"/>
        <w:autoSpaceDN w:val="0"/>
        <w:adjustRightInd w:val="0"/>
        <w:spacing w:after="120"/>
        <w:jc w:val="both"/>
        <w:rPr>
          <w:rFonts w:cs="Arial"/>
        </w:rPr>
      </w:pPr>
      <w:r w:rsidRPr="00D92E20">
        <w:rPr>
          <w:rFonts w:cs="Arial"/>
          <w:b/>
        </w:rPr>
        <w:t>Počínaje rokem 2012</w:t>
      </w:r>
      <w:r w:rsidRPr="00D92E20">
        <w:rPr>
          <w:rFonts w:cs="Arial"/>
        </w:rPr>
        <w:t>, zajišťuje ČSÚ na základě smluvního ujednání s Ministerstvem práce a sociálních věcí (MPSV) a Českou správou sociálního zabezpečení (ČSSZ) údaje pro statistiku dočasné pracovní neschopnosti pro nemoc a úraz zpracováním dat z </w:t>
      </w:r>
      <w:r w:rsidRPr="00D92E20">
        <w:rPr>
          <w:rFonts w:cs="Arial"/>
          <w:b/>
        </w:rPr>
        <w:t>administrativního zdroje Informačního systému ČSSZ</w:t>
      </w:r>
      <w:r w:rsidR="00F623AA">
        <w:rPr>
          <w:rStyle w:val="Znakapoznpodarou"/>
          <w:rFonts w:cs="Arial"/>
          <w:b/>
        </w:rPr>
        <w:footnoteReference w:id="3"/>
      </w:r>
      <w:r w:rsidRPr="00D92E20">
        <w:rPr>
          <w:rFonts w:cs="Arial"/>
        </w:rPr>
        <w:t xml:space="preserve">. </w:t>
      </w:r>
    </w:p>
    <w:p w14:paraId="3D6A4918" w14:textId="20C9BE78" w:rsidR="00370BD6" w:rsidRPr="00D92E20" w:rsidRDefault="00370BD6" w:rsidP="00155829">
      <w:pPr>
        <w:spacing w:after="120"/>
        <w:jc w:val="both"/>
      </w:pPr>
      <w:r w:rsidRPr="00D92E20">
        <w:t xml:space="preserve">Vstupním zdrojem a podkladem pro zpracování dat této publikace jsou údaje o dočasné pracovní neschopnosti pro nemoc a úraz nahlášené České správě sociálního zabezpečení prostřednictvím </w:t>
      </w:r>
      <w:r w:rsidRPr="00D92E20">
        <w:rPr>
          <w:b/>
        </w:rPr>
        <w:t>„Rozhodnutí o dočasné pracovní neschopnosti“</w:t>
      </w:r>
      <w:r w:rsidRPr="00D92E20">
        <w:t xml:space="preserve">, které elektronicky </w:t>
      </w:r>
      <w:r w:rsidR="00BE4399">
        <w:rPr>
          <w:b/>
        </w:rPr>
        <w:t>(tzv. „eNeschopenky</w:t>
      </w:r>
      <w:r w:rsidRPr="00D92E20">
        <w:rPr>
          <w:b/>
        </w:rPr>
        <w:t xml:space="preserve">“) </w:t>
      </w:r>
      <w:r w:rsidRPr="00D92E20">
        <w:t>vystavuje ošetřující lékař. Používání elektronického systému pro vydávání neschopností je od 1. 1. 2020 povinné</w:t>
      </w:r>
      <w:r w:rsidRPr="00D92E20">
        <w:rPr>
          <w:rStyle w:val="Znakapoznpodarou"/>
        </w:rPr>
        <w:footnoteReference w:id="4"/>
      </w:r>
      <w:r w:rsidRPr="00D92E20">
        <w:t>.</w:t>
      </w:r>
    </w:p>
    <w:p w14:paraId="3183050C" w14:textId="4110F3F0" w:rsidR="00370BD6" w:rsidRPr="00D92E20" w:rsidRDefault="00370BD6" w:rsidP="00155829">
      <w:pPr>
        <w:spacing w:after="120"/>
        <w:jc w:val="both"/>
      </w:pPr>
      <w:r w:rsidRPr="00D92E20">
        <w:t>Díky evidenci jsou zaznamenána veškerá onemocnění a úrazy, které zapříčinily alespoň jednodenní pracovní neschopnost u nemocensky pojištěných osob. Administrativní data Informačního systému ČSSZ obsahují údaje za všechny zaměstnance</w:t>
      </w:r>
      <w:r w:rsidR="00FF6E1B" w:rsidRPr="00D92E20">
        <w:rPr>
          <w:rStyle w:val="Znakapoznpodarou"/>
        </w:rPr>
        <w:footnoteReference w:id="5"/>
      </w:r>
      <w:r w:rsidRPr="00D92E20">
        <w:t>, ať již zaměstnané právnickou či fyzickou osobou</w:t>
      </w:r>
      <w:r w:rsidR="006A4068">
        <w:t>,</w:t>
      </w:r>
      <w:r w:rsidR="00FF6E1B" w:rsidRPr="00D92E20">
        <w:t xml:space="preserve"> i</w:t>
      </w:r>
      <w:r w:rsidRPr="00D92E20">
        <w:t xml:space="preserve"> data za osoby samostatně výdělečně činné (OSVČ). Zaměstnanci jsou povinně účastni nemocenského pojištění, na rozdíl od OSVČ, jejichž nemocenské pojištění je dobrovolné.</w:t>
      </w:r>
    </w:p>
    <w:p w14:paraId="0A656359" w14:textId="77777777" w:rsidR="00FF6E1B" w:rsidRPr="00D92E20" w:rsidRDefault="00370BD6" w:rsidP="00155829">
      <w:pPr>
        <w:autoSpaceDE w:val="0"/>
        <w:autoSpaceDN w:val="0"/>
        <w:adjustRightInd w:val="0"/>
        <w:spacing w:after="120"/>
        <w:jc w:val="both"/>
        <w:rPr>
          <w:rFonts w:cs="Arial"/>
        </w:rPr>
      </w:pPr>
      <w:r w:rsidRPr="00D92E20">
        <w:rPr>
          <w:rFonts w:cs="Arial"/>
        </w:rPr>
        <w:t xml:space="preserve">ČSSZ za účelem zajištění statistiky dočasné pracovní neschopnosti pro nemoc a úraz poskytuje ČSÚ </w:t>
      </w:r>
      <w:r w:rsidRPr="00D92E20">
        <w:rPr>
          <w:rFonts w:cs="Arial"/>
          <w:b/>
        </w:rPr>
        <w:t xml:space="preserve">datové soubory administrativních </w:t>
      </w:r>
      <w:r w:rsidRPr="00D92E20">
        <w:rPr>
          <w:rFonts w:cs="Arial"/>
        </w:rPr>
        <w:t>agregovaných</w:t>
      </w:r>
      <w:r w:rsidRPr="00D92E20">
        <w:rPr>
          <w:rFonts w:cs="Arial"/>
          <w:b/>
        </w:rPr>
        <w:t xml:space="preserve"> dat o nově hlášených případech</w:t>
      </w:r>
      <w:r w:rsidRPr="00D92E20">
        <w:rPr>
          <w:rFonts w:cs="Arial"/>
        </w:rPr>
        <w:t xml:space="preserve"> dočasné pracovní neschopnosti zaměstnanců a OSVČ, které jsou na ČSÚ dále zpracovány a doplněny s využitím informací z Registru ekonomických subjektů.</w:t>
      </w:r>
    </w:p>
    <w:p w14:paraId="6EA0F378" w14:textId="77777777" w:rsidR="00FF6E1B" w:rsidRPr="00D92E20" w:rsidRDefault="00FF6E1B" w:rsidP="00155829">
      <w:pPr>
        <w:pStyle w:val="Seznam"/>
        <w:spacing w:after="60"/>
        <w:contextualSpacing w:val="0"/>
        <w:jc w:val="both"/>
      </w:pPr>
      <w:r w:rsidRPr="00D92E20">
        <w:t xml:space="preserve">Výstupem zpracování dat Českým statistickým úřadem jsou následující statistické </w:t>
      </w:r>
      <w:r w:rsidRPr="00D92E20">
        <w:rPr>
          <w:b/>
        </w:rPr>
        <w:t>ukazatele</w:t>
      </w:r>
      <w:r w:rsidRPr="00D92E20">
        <w:t>:</w:t>
      </w:r>
    </w:p>
    <w:p w14:paraId="2FA92DE4" w14:textId="77777777" w:rsidR="00FF6E1B" w:rsidRPr="00D92E20" w:rsidRDefault="00A71AB2" w:rsidP="00155829">
      <w:pPr>
        <w:pStyle w:val="Seznam"/>
        <w:numPr>
          <w:ilvl w:val="0"/>
          <w:numId w:val="13"/>
        </w:numPr>
        <w:spacing w:after="120"/>
        <w:ind w:left="714" w:hanging="357"/>
        <w:contextualSpacing w:val="0"/>
        <w:jc w:val="both"/>
        <w:rPr>
          <w:i/>
        </w:rPr>
      </w:pPr>
      <w:r w:rsidRPr="00D92E20">
        <w:rPr>
          <w:b/>
        </w:rPr>
        <w:t>P</w:t>
      </w:r>
      <w:r w:rsidR="00FF6E1B" w:rsidRPr="00D92E20">
        <w:rPr>
          <w:b/>
        </w:rPr>
        <w:t>růměrný počet nemocensky pojištěných osob</w:t>
      </w:r>
      <w:r w:rsidR="00FF6E1B" w:rsidRPr="00D92E20">
        <w:t xml:space="preserve"> – ukazatel udává průměrný počet osob, které jsou povinně či dobrovolně nemocensky pojištěné podle zákona o nemocenském pojištění. Zahrnuje všechny osoby, které byly alespoň po jeden den vykazovaného období nemocensky pojištěné. V případě více překrývajících se pojistných vztahů pojištěnce v rámci jednoho zaměstnavatele a jedné mzdové účtárny se započítává pojištěnec pouze jedenkrát. V ostatních případech je pojištěnec započítáván tolikrát, kolik má pracovněprávních pojistných vztahů. </w:t>
      </w:r>
      <w:r w:rsidR="00FF6E1B" w:rsidRPr="00D92E20">
        <w:rPr>
          <w:i/>
        </w:rPr>
        <w:t>Do průměrného počtu nemocensky pojištěných nejsou započteni vojáci z povolání a příslušníci Policie ČR, Hasičského záchranného sboru ČR, Celní správy ČR, Vězeňské služby ČR, Generální inspekce bezpečnostních sborů, Bezpečnostní informační služby a Úřadu p</w:t>
      </w:r>
      <w:r w:rsidR="00D60D97" w:rsidRPr="00D92E20">
        <w:rPr>
          <w:i/>
        </w:rPr>
        <w:t>ro zahraniční styky a informace.</w:t>
      </w:r>
    </w:p>
    <w:p w14:paraId="085261DE" w14:textId="77777777" w:rsidR="00FF6E1B" w:rsidRPr="00D92E20" w:rsidRDefault="00A71AB2" w:rsidP="00155829">
      <w:pPr>
        <w:pStyle w:val="Seznam"/>
        <w:numPr>
          <w:ilvl w:val="0"/>
          <w:numId w:val="13"/>
        </w:numPr>
        <w:spacing w:after="120"/>
        <w:ind w:left="714" w:hanging="357"/>
        <w:contextualSpacing w:val="0"/>
        <w:jc w:val="both"/>
      </w:pPr>
      <w:r w:rsidRPr="00D92E20">
        <w:rPr>
          <w:b/>
        </w:rPr>
        <w:lastRenderedPageBreak/>
        <w:t>P</w:t>
      </w:r>
      <w:r w:rsidR="00FF6E1B" w:rsidRPr="00D92E20">
        <w:rPr>
          <w:b/>
        </w:rPr>
        <w:t>růměrný počet nemocensky pojištěných mladistvých</w:t>
      </w:r>
      <w:r w:rsidR="00FF6E1B" w:rsidRPr="00D92E20">
        <w:t xml:space="preserve"> – ukazatel udává průměrný počet nemocensky pojištěných osob mladších 18 let (viz § 350 odst. 2 zákona č. 262/2006 Sb., zákoník práce, ve znění pozdějších předpisů)</w:t>
      </w:r>
      <w:r w:rsidRPr="00D92E20">
        <w:t>.</w:t>
      </w:r>
    </w:p>
    <w:p w14:paraId="5B81338D" w14:textId="77777777" w:rsidR="00FF6E1B" w:rsidRPr="00D92E20" w:rsidRDefault="00A71AB2" w:rsidP="00155829">
      <w:pPr>
        <w:pStyle w:val="Seznam"/>
        <w:numPr>
          <w:ilvl w:val="0"/>
          <w:numId w:val="13"/>
        </w:numPr>
        <w:spacing w:after="120"/>
        <w:ind w:left="714" w:hanging="357"/>
        <w:contextualSpacing w:val="0"/>
        <w:jc w:val="both"/>
      </w:pPr>
      <w:r w:rsidRPr="00D92E20">
        <w:rPr>
          <w:b/>
        </w:rPr>
        <w:t>P</w:t>
      </w:r>
      <w:r w:rsidR="00FF6E1B" w:rsidRPr="00D92E20">
        <w:rPr>
          <w:b/>
        </w:rPr>
        <w:t>očet pracovněprávních pojistných vztahů</w:t>
      </w:r>
      <w:r w:rsidR="00FF6E1B" w:rsidRPr="00D92E20">
        <w:t xml:space="preserve"> – </w:t>
      </w:r>
      <w:r w:rsidR="00FF6E1B" w:rsidRPr="00D92E20">
        <w:rPr>
          <w:rFonts w:cs="Arial"/>
          <w:szCs w:val="20"/>
        </w:rPr>
        <w:t>ukazatel udává celkový počet pojistných vztahů nemocensky pojištěných osob, které byly alespoň 1 den vykazovaného období nemocensky pojištěné u daného zaměstnavatele. U zaměstnanců právnických osob a zaměstnanců fyzických osob se započítávají pojistné vztahy všech zaměstnanců nemocensky pojištěných dle § 5 zákona o nemocenském pojištění a účastných pojištění dle § 6 až 10 tohoto zákona (zahrnuje i osoby pobírající dávku ošetřovné, peněžitá pomoc v mateřství, rodičovský příspěvek a vyrovnávací příspěvek v těhotenství a mateřství a osoby vykonávající zaměstnání malého rozsahu). V případě více pojistných vztahů jedné osoby na dané mzdové účtárně se započtou všechny takové pojistné vztahy. Pokud se však pojistné vztahy shodného druhu jedné osoby u jednoho zaměstnavatele překrývají nebo navazují bez mezery, je jejich sjednocení pova</w:t>
      </w:r>
      <w:r w:rsidR="00D60D97" w:rsidRPr="00D92E20">
        <w:rPr>
          <w:rFonts w:cs="Arial"/>
          <w:szCs w:val="20"/>
        </w:rPr>
        <w:t>žováno za jeden pojistný vztah.</w:t>
      </w:r>
    </w:p>
    <w:p w14:paraId="06A38104" w14:textId="7020F11B" w:rsidR="00FF6E1B" w:rsidRPr="00D92E20" w:rsidRDefault="00A71AB2" w:rsidP="00155829">
      <w:pPr>
        <w:pStyle w:val="Seznam"/>
        <w:numPr>
          <w:ilvl w:val="0"/>
          <w:numId w:val="13"/>
        </w:numPr>
        <w:spacing w:after="120"/>
        <w:ind w:left="714" w:hanging="357"/>
        <w:contextualSpacing w:val="0"/>
        <w:jc w:val="both"/>
      </w:pPr>
      <w:r w:rsidRPr="00D92E20">
        <w:rPr>
          <w:b/>
        </w:rPr>
        <w:t>P</w:t>
      </w:r>
      <w:r w:rsidR="00FF6E1B" w:rsidRPr="00D92E20">
        <w:rPr>
          <w:b/>
        </w:rPr>
        <w:t>očet nově hlášených případů dočasné pracovní neschopnosti</w:t>
      </w:r>
      <w:r w:rsidR="00FF6E1B" w:rsidRPr="00D92E20">
        <w:t xml:space="preserve"> – ukazatel zahrnuje nově hlášené případy pracovní neschopnosti </w:t>
      </w:r>
      <w:r w:rsidR="00217CCC">
        <w:t xml:space="preserve">vzniklé </w:t>
      </w:r>
      <w:r w:rsidR="00FF6E1B" w:rsidRPr="00D92E20">
        <w:t>ve sledovaném období (</w:t>
      </w:r>
      <w:r w:rsidR="004F44E4">
        <w:t>1. pololetí</w:t>
      </w:r>
      <w:r w:rsidR="00FF6E1B" w:rsidRPr="00D92E20">
        <w:t xml:space="preserve">) na základě hlášení o vzniku pracovní neschopnosti nemocensky pojištěných osob. Do počtu případů patří i pracovní neschopnost vzniklá po zániku pojištění v tzv. ochranné lhůtě </w:t>
      </w:r>
      <w:r w:rsidR="00D60D97" w:rsidRPr="00D92E20">
        <w:t>sedmi kalendářních dnů.</w:t>
      </w:r>
    </w:p>
    <w:p w14:paraId="4999334B" w14:textId="77777777" w:rsidR="00FF6E1B" w:rsidRPr="00D92E20" w:rsidRDefault="00A71AB2" w:rsidP="00155829">
      <w:pPr>
        <w:pStyle w:val="Seznam"/>
        <w:numPr>
          <w:ilvl w:val="0"/>
          <w:numId w:val="13"/>
        </w:numPr>
        <w:spacing w:after="120"/>
        <w:ind w:left="714" w:hanging="357"/>
        <w:contextualSpacing w:val="0"/>
        <w:jc w:val="both"/>
        <w:rPr>
          <w:spacing w:val="-2"/>
        </w:rPr>
      </w:pPr>
      <w:r w:rsidRPr="00D92E20">
        <w:rPr>
          <w:b/>
        </w:rPr>
        <w:t>P</w:t>
      </w:r>
      <w:r w:rsidR="00FF6E1B" w:rsidRPr="00D92E20">
        <w:rPr>
          <w:b/>
        </w:rPr>
        <w:t xml:space="preserve">očet případů pracovní neschopnosti na 100 pojištěnců </w:t>
      </w:r>
      <w:r w:rsidR="00FF6E1B" w:rsidRPr="00D92E20">
        <w:t xml:space="preserve">– </w:t>
      </w:r>
      <w:r w:rsidR="00FF6E1B" w:rsidRPr="00D92E20">
        <w:rPr>
          <w:spacing w:val="-2"/>
        </w:rPr>
        <w:t>ukazatel vyjadřuje počet nově hlášených případů pracovní neschopnosti, které připadají v průměru na 100 nemocensky pojištěných osob</w:t>
      </w:r>
      <w:r w:rsidRPr="00D92E20">
        <w:rPr>
          <w:spacing w:val="-2"/>
        </w:rPr>
        <w:t>.</w:t>
      </w:r>
    </w:p>
    <w:p w14:paraId="1551B0F8" w14:textId="4B8F3146" w:rsidR="00FF6E1B" w:rsidRPr="00D92E20" w:rsidRDefault="00A71AB2" w:rsidP="00155829">
      <w:pPr>
        <w:pStyle w:val="Seznam"/>
        <w:numPr>
          <w:ilvl w:val="0"/>
          <w:numId w:val="13"/>
        </w:numPr>
        <w:spacing w:after="120"/>
        <w:ind w:left="714" w:hanging="357"/>
        <w:contextualSpacing w:val="0"/>
        <w:jc w:val="both"/>
      </w:pPr>
      <w:r w:rsidRPr="00D92E20">
        <w:rPr>
          <w:b/>
        </w:rPr>
        <w:t>P</w:t>
      </w:r>
      <w:r w:rsidR="00FF6E1B" w:rsidRPr="00D92E20">
        <w:rPr>
          <w:b/>
        </w:rPr>
        <w:t>očet kalendářních dnů dočasné pracovní neschopnosti</w:t>
      </w:r>
      <w:r w:rsidR="00FF6E1B" w:rsidRPr="00D92E20">
        <w:t xml:space="preserve"> – ukazatel udává celkový počet kalendářních dnů, po které byli v daném období (</w:t>
      </w:r>
      <w:r w:rsidR="004F44E4">
        <w:t>1. pololetí</w:t>
      </w:r>
      <w:r w:rsidR="00FF6E1B" w:rsidRPr="00D92E20">
        <w:t xml:space="preserve">) nemocensky pojištění práce neschopni. Počet kalendářních dnů strávených v pracovní neschopnosti je zjišťován na základě hlášení o vzniku a ukončení pracovní neschopnosti. </w:t>
      </w:r>
      <w:r w:rsidR="00217CCC">
        <w:t xml:space="preserve">Údaj zahrnuje dny pracovní neschopnosti </w:t>
      </w:r>
      <w:r w:rsidR="00E31C79">
        <w:t>vč. dnů u těch případů,</w:t>
      </w:r>
      <w:r w:rsidR="00217CCC">
        <w:t xml:space="preserve"> které vznikly před sledovaným obdobím a v počtu nově hlášených případů dočasné pracovní neschopnosti</w:t>
      </w:r>
      <w:r w:rsidR="00300EE3">
        <w:t xml:space="preserve"> za toto období</w:t>
      </w:r>
      <w:r w:rsidR="00217CCC">
        <w:t xml:space="preserve"> zařazeny nejsou. Maximální doba zápočtu je délka sledovaného období</w:t>
      </w:r>
      <w:r w:rsidR="00E31C79">
        <w:t xml:space="preserve"> (180 resp. 181 dnů za 1. pol</w:t>
      </w:r>
      <w:r w:rsidR="007C6359">
        <w:t>oletí</w:t>
      </w:r>
      <w:r w:rsidR="00E31C79">
        <w:t>)</w:t>
      </w:r>
      <w:r w:rsidR="00217CCC">
        <w:t xml:space="preserve"> bez ohledu na délku trvání pracovní neschopnosti daného případu. </w:t>
      </w:r>
      <w:r w:rsidR="00FF6E1B" w:rsidRPr="00D92E20">
        <w:t>Do počtu kalendářních dnů pracovní neschopnosti patří i dny v pracovní neschopnosti, která vznikla po zániku pojištění v tzv. ochrann</w:t>
      </w:r>
      <w:r w:rsidR="00D60D97" w:rsidRPr="00D92E20">
        <w:t>é lhůtě sedmi kalendářních dnů.</w:t>
      </w:r>
    </w:p>
    <w:p w14:paraId="79FEE312" w14:textId="28B246C1" w:rsidR="00FF6E1B" w:rsidRPr="00D92E20" w:rsidRDefault="00A71AB2" w:rsidP="00155829">
      <w:pPr>
        <w:pStyle w:val="Seznam"/>
        <w:numPr>
          <w:ilvl w:val="0"/>
          <w:numId w:val="13"/>
        </w:numPr>
        <w:spacing w:after="120"/>
        <w:ind w:left="714" w:hanging="357"/>
        <w:contextualSpacing w:val="0"/>
        <w:jc w:val="both"/>
      </w:pPr>
      <w:r w:rsidRPr="00D92E20">
        <w:rPr>
          <w:b/>
        </w:rPr>
        <w:t>P</w:t>
      </w:r>
      <w:r w:rsidR="00FF6E1B" w:rsidRPr="00D92E20">
        <w:rPr>
          <w:b/>
        </w:rPr>
        <w:t>růměrná délka trvání pracovní neschopnosti ve dnech</w:t>
      </w:r>
      <w:r w:rsidR="00FF6E1B" w:rsidRPr="00D92E20">
        <w:t xml:space="preserve"> – ukazatel vyjadřuje, kolik kalendářních dnů pracovní neschopnosti v průměru připadá na jeden nově hlášený případ pracovní neschopnosti</w:t>
      </w:r>
      <w:r w:rsidRPr="00D92E20">
        <w:t>.</w:t>
      </w:r>
      <w:r w:rsidR="00E31C79">
        <w:t xml:space="preserve"> </w:t>
      </w:r>
      <w:r w:rsidR="006E6AB3">
        <w:t>Nově hlášený případ musí být vzniklý ve sledovaném období, kdežto do dnů pracovní neschopnosti (maximálně v délce sledovaného období</w:t>
      </w:r>
      <w:r w:rsidR="00E31C79">
        <w:t>, tedy 180 resp. 181 dnů za 1. pol</w:t>
      </w:r>
      <w:r w:rsidR="00954E16">
        <w:t>oletí</w:t>
      </w:r>
      <w:r w:rsidR="006E6AB3">
        <w:t>) se započítávají i dny z</w:t>
      </w:r>
      <w:r w:rsidR="00E31C79">
        <w:t> </w:t>
      </w:r>
      <w:r w:rsidR="006E6AB3">
        <w:t>případů</w:t>
      </w:r>
      <w:r w:rsidR="00E31C79">
        <w:t xml:space="preserve"> PN</w:t>
      </w:r>
      <w:r w:rsidR="006E6AB3">
        <w:t xml:space="preserve">, které mohly vzniknout již v předchozím období, ale </w:t>
      </w:r>
      <w:r w:rsidR="00E31C79">
        <w:t xml:space="preserve">byly ukončeny či nadále trvají </w:t>
      </w:r>
      <w:r w:rsidR="006E6AB3">
        <w:t>v průběhu sledovaného období.</w:t>
      </w:r>
    </w:p>
    <w:p w14:paraId="425A2698" w14:textId="22A2D14B" w:rsidR="00FF6E1B" w:rsidRPr="00D92E20" w:rsidRDefault="00A71AB2" w:rsidP="00155829">
      <w:pPr>
        <w:pStyle w:val="Seznam"/>
        <w:numPr>
          <w:ilvl w:val="0"/>
          <w:numId w:val="13"/>
        </w:numPr>
        <w:spacing w:after="120"/>
        <w:ind w:left="714" w:hanging="357"/>
        <w:contextualSpacing w:val="0"/>
        <w:jc w:val="both"/>
        <w:rPr>
          <w:spacing w:val="-2"/>
        </w:rPr>
      </w:pPr>
      <w:r w:rsidRPr="00D92E20">
        <w:rPr>
          <w:b/>
        </w:rPr>
        <w:t>P</w:t>
      </w:r>
      <w:r w:rsidR="00FF6E1B" w:rsidRPr="00D92E20">
        <w:rPr>
          <w:b/>
        </w:rPr>
        <w:t xml:space="preserve">růměrné procento dočasné pracovní neschopnosti </w:t>
      </w:r>
      <w:r w:rsidR="00FF6E1B" w:rsidRPr="00D92E20">
        <w:t xml:space="preserve">– </w:t>
      </w:r>
      <w:r w:rsidR="00FF6E1B" w:rsidRPr="00D92E20">
        <w:rPr>
          <w:spacing w:val="-2"/>
        </w:rPr>
        <w:t>ukazatel udává, kolik ze 100 nemocensky pojištěných osob je průměrně každý den v pracovní neschopnosti pro nemoc či úraz. Zohledňuje jak celkový počet případů pracovní neschopnosti (jak často lidé do pracovní neschopnosti nastupují), tak i</w:t>
      </w:r>
      <w:r w:rsidR="0031487B" w:rsidRPr="00D92E20">
        <w:rPr>
          <w:spacing w:val="-2"/>
        </w:rPr>
        <w:t> </w:t>
      </w:r>
      <w:r w:rsidR="00FF6E1B" w:rsidRPr="00D92E20">
        <w:rPr>
          <w:spacing w:val="-2"/>
        </w:rPr>
        <w:t>průměrné trvání jednoho případu pracovní neschopnosti (jak dlouho v pr</w:t>
      </w:r>
      <w:r w:rsidR="00D60D97" w:rsidRPr="00D92E20">
        <w:rPr>
          <w:spacing w:val="-2"/>
        </w:rPr>
        <w:t>acovní neschopnosti zůstávají).</w:t>
      </w:r>
    </w:p>
    <w:p w14:paraId="17877534" w14:textId="46D35570" w:rsidR="00FF6E1B" w:rsidRPr="00D92E20" w:rsidRDefault="00A71AB2" w:rsidP="00155829">
      <w:pPr>
        <w:pStyle w:val="Seznam"/>
        <w:numPr>
          <w:ilvl w:val="0"/>
          <w:numId w:val="13"/>
        </w:numPr>
        <w:spacing w:after="120"/>
        <w:ind w:left="714" w:hanging="357"/>
        <w:contextualSpacing w:val="0"/>
        <w:jc w:val="both"/>
      </w:pPr>
      <w:r w:rsidRPr="00D92E20">
        <w:rPr>
          <w:b/>
        </w:rPr>
        <w:t>P</w:t>
      </w:r>
      <w:r w:rsidR="00FF6E1B" w:rsidRPr="00D92E20">
        <w:rPr>
          <w:b/>
        </w:rPr>
        <w:t xml:space="preserve">růměrný denní stav dočasně práce neschopných </w:t>
      </w:r>
      <w:r w:rsidR="00FF6E1B" w:rsidRPr="00D92E20">
        <w:t>– ukazatel vyjadřuje počet nemocensky pojištěných, kteří byli ve sledovaném období (</w:t>
      </w:r>
      <w:r w:rsidR="004F44E4">
        <w:t>1. pololetí</w:t>
      </w:r>
      <w:r w:rsidR="00FF6E1B" w:rsidRPr="00D92E20">
        <w:t>) průměrně d</w:t>
      </w:r>
      <w:r w:rsidR="004F44E4">
        <w:t>enně nepřítomni v práci z důvodu</w:t>
      </w:r>
      <w:r w:rsidR="00FF6E1B" w:rsidRPr="00D92E20">
        <w:t xml:space="preserve"> pracovní neschopnosti</w:t>
      </w:r>
      <w:r w:rsidRPr="00D92E20">
        <w:t>.</w:t>
      </w:r>
    </w:p>
    <w:p w14:paraId="42A81984" w14:textId="77777777" w:rsidR="00FF6E1B" w:rsidRPr="00D92E20" w:rsidRDefault="00A71AB2" w:rsidP="00155829">
      <w:pPr>
        <w:pStyle w:val="Seznam"/>
        <w:numPr>
          <w:ilvl w:val="0"/>
          <w:numId w:val="13"/>
        </w:numPr>
        <w:spacing w:after="120"/>
        <w:ind w:left="714" w:hanging="357"/>
        <w:contextualSpacing w:val="0"/>
        <w:jc w:val="both"/>
      </w:pPr>
      <w:r w:rsidRPr="00D92E20">
        <w:rPr>
          <w:b/>
        </w:rPr>
        <w:t>P</w:t>
      </w:r>
      <w:r w:rsidR="00FF6E1B" w:rsidRPr="00D92E20">
        <w:rPr>
          <w:b/>
        </w:rPr>
        <w:t xml:space="preserve">racovní úrazy s pracovní neschopností delší než 3 dny </w:t>
      </w:r>
      <w:r w:rsidR="00FF6E1B" w:rsidRPr="00D92E20">
        <w:t>– ukazatel zahrnuje případy pracovních úrazů, které měly za následek pracovní neschopnost delší než tři kalendářní dny. Do těchto tří dnů se nezapočítává den, ve kterém k úrazu došlo.</w:t>
      </w:r>
    </w:p>
    <w:p w14:paraId="45E7BDAF" w14:textId="392B3958" w:rsidR="00A71AB2" w:rsidRPr="00D92E20" w:rsidRDefault="00A71AB2" w:rsidP="00155829">
      <w:pPr>
        <w:spacing w:after="120"/>
        <w:jc w:val="both"/>
      </w:pPr>
      <w:r w:rsidRPr="00D92E20">
        <w:rPr>
          <w:rFonts w:cs="Arial"/>
        </w:rPr>
        <w:t>Data o nově hlášených případech dočasné pracovní neschopnosti a související ukazatele ČSÚ zpracová</w:t>
      </w:r>
      <w:r w:rsidR="004460FC">
        <w:rPr>
          <w:rFonts w:cs="Arial"/>
        </w:rPr>
        <w:t>vá</w:t>
      </w:r>
      <w:r w:rsidRPr="00D92E20">
        <w:rPr>
          <w:rFonts w:cs="Arial"/>
        </w:rPr>
        <w:t xml:space="preserve"> v</w:t>
      </w:r>
      <w:r w:rsidR="004460FC">
        <w:rPr>
          <w:rFonts w:cs="Arial"/>
        </w:rPr>
        <w:t> </w:t>
      </w:r>
      <w:r w:rsidRPr="00D92E20">
        <w:rPr>
          <w:rFonts w:cs="Arial"/>
        </w:rPr>
        <w:t xml:space="preserve">členění podle </w:t>
      </w:r>
      <w:r w:rsidRPr="00D92E20">
        <w:rPr>
          <w:rFonts w:cs="Arial"/>
          <w:b/>
        </w:rPr>
        <w:t>pohlaví pojištěnců</w:t>
      </w:r>
      <w:r w:rsidRPr="00D92E20">
        <w:rPr>
          <w:rFonts w:cs="Arial"/>
        </w:rPr>
        <w:t xml:space="preserve"> a dále podle </w:t>
      </w:r>
      <w:r w:rsidRPr="00D92E20">
        <w:rPr>
          <w:rFonts w:cs="Arial"/>
          <w:b/>
        </w:rPr>
        <w:t>sídla</w:t>
      </w:r>
      <w:r w:rsidRPr="00D92E20">
        <w:rPr>
          <w:rFonts w:cs="Arial"/>
        </w:rPr>
        <w:t xml:space="preserve"> zaměstnavatele (do úrovně krajů a okresů dle </w:t>
      </w:r>
      <w:r w:rsidRPr="00D92E20">
        <w:rPr>
          <w:rFonts w:cs="Arial"/>
        </w:rPr>
        <w:lastRenderedPageBreak/>
        <w:t xml:space="preserve">klasifikace CZ-NUTS), </w:t>
      </w:r>
      <w:r w:rsidRPr="00D92E20">
        <w:rPr>
          <w:rFonts w:cs="Arial"/>
          <w:b/>
        </w:rPr>
        <w:t>velikosti</w:t>
      </w:r>
      <w:r w:rsidR="00E9284B" w:rsidRPr="00D92E20">
        <w:rPr>
          <w:rFonts w:cs="Arial"/>
          <w:b/>
        </w:rPr>
        <w:t xml:space="preserve"> podniku</w:t>
      </w:r>
      <w:r w:rsidRPr="00D92E20">
        <w:rPr>
          <w:rFonts w:cs="Arial"/>
        </w:rPr>
        <w:t xml:space="preserve"> (dle počtu zaměstnanců),</w:t>
      </w:r>
      <w:r w:rsidRPr="00D92E20">
        <w:rPr>
          <w:rFonts w:cs="Arial"/>
          <w:b/>
        </w:rPr>
        <w:t xml:space="preserve"> odvětví </w:t>
      </w:r>
      <w:r w:rsidRPr="00D92E20">
        <w:rPr>
          <w:rFonts w:cs="Arial"/>
        </w:rPr>
        <w:t>(do úrovně odvětvových sekcí a</w:t>
      </w:r>
      <w:r w:rsidR="004460FC">
        <w:rPr>
          <w:rFonts w:cs="Arial"/>
        </w:rPr>
        <w:t> </w:t>
      </w:r>
      <w:r w:rsidRPr="00D92E20">
        <w:rPr>
          <w:rFonts w:cs="Arial"/>
        </w:rPr>
        <w:t xml:space="preserve">oddílů podle převažující ekonomické činnosti definované dle klasifikace CZ-NACE) a </w:t>
      </w:r>
      <w:r w:rsidRPr="00D92E20">
        <w:rPr>
          <w:rFonts w:cs="Arial"/>
          <w:b/>
        </w:rPr>
        <w:t>sektoru</w:t>
      </w:r>
      <w:r w:rsidRPr="00D92E20">
        <w:rPr>
          <w:rFonts w:cs="Arial"/>
        </w:rPr>
        <w:t xml:space="preserve"> </w:t>
      </w:r>
      <w:r w:rsidRPr="00D92E20">
        <w:rPr>
          <w:rFonts w:cs="Arial"/>
          <w:b/>
        </w:rPr>
        <w:t>zaměstnavatele</w:t>
      </w:r>
      <w:r w:rsidRPr="00D92E20">
        <w:rPr>
          <w:rFonts w:cs="Arial"/>
        </w:rPr>
        <w:t xml:space="preserve"> (dle k</w:t>
      </w:r>
      <w:r w:rsidRPr="00D92E20">
        <w:t>lasifikace</w:t>
      </w:r>
      <w:r w:rsidRPr="00D92E20">
        <w:rPr>
          <w:b/>
        </w:rPr>
        <w:t xml:space="preserve"> </w:t>
      </w:r>
      <w:r w:rsidRPr="00D92E20">
        <w:t>institucionálních sektorů)</w:t>
      </w:r>
      <w:r w:rsidRPr="00D92E20">
        <w:rPr>
          <w:rStyle w:val="Znakapoznpodarou"/>
        </w:rPr>
        <w:footnoteReference w:id="6"/>
      </w:r>
      <w:r w:rsidRPr="00D92E20">
        <w:t>.</w:t>
      </w:r>
    </w:p>
    <w:p w14:paraId="6664CF85" w14:textId="77777777" w:rsidR="00A71AB2" w:rsidRPr="00D92E20" w:rsidRDefault="00A71AB2" w:rsidP="00155829">
      <w:pPr>
        <w:spacing w:after="120"/>
        <w:jc w:val="both"/>
        <w:rPr>
          <w:rFonts w:cs="Arial"/>
          <w:szCs w:val="20"/>
        </w:rPr>
      </w:pPr>
      <w:r w:rsidRPr="00D92E20">
        <w:rPr>
          <w:rFonts w:cs="Arial"/>
        </w:rPr>
        <w:t>Rozlišení dle krajů a okresů vychází z údaje o sídle útvaru, který vede evidenci mezd zaměstnavateli osoby, která je v pracovní neschopnosti.</w:t>
      </w:r>
    </w:p>
    <w:p w14:paraId="4479FF34" w14:textId="4BF5F01A" w:rsidR="00A71AB2" w:rsidRPr="00D92E20" w:rsidRDefault="00A71AB2" w:rsidP="00155829">
      <w:pPr>
        <w:spacing w:after="120"/>
        <w:jc w:val="both"/>
        <w:rPr>
          <w:rFonts w:cs="Arial"/>
          <w:szCs w:val="20"/>
        </w:rPr>
      </w:pPr>
      <w:r w:rsidRPr="00D92E20">
        <w:rPr>
          <w:rFonts w:cs="Arial"/>
          <w:szCs w:val="20"/>
        </w:rPr>
        <w:t>Kromě statistiky nově hlášených případů dočasné pracovní neschopnosti zpracovávané ČSÚ jsou</w:t>
      </w:r>
      <w:r w:rsidR="000003B4">
        <w:rPr>
          <w:rFonts w:cs="Arial"/>
          <w:szCs w:val="20"/>
        </w:rPr>
        <w:t xml:space="preserve"> z evidence ČSSZ zpracovávány a </w:t>
      </w:r>
      <w:r w:rsidRPr="00D92E20">
        <w:rPr>
          <w:rFonts w:cs="Arial"/>
          <w:szCs w:val="20"/>
        </w:rPr>
        <w:t xml:space="preserve">publikovány také </w:t>
      </w:r>
      <w:r w:rsidRPr="00D92E20">
        <w:rPr>
          <w:rFonts w:cs="Arial"/>
          <w:b/>
          <w:szCs w:val="20"/>
        </w:rPr>
        <w:t xml:space="preserve">údaje o ukončených případech pracovní neschopnosti </w:t>
      </w:r>
      <w:r w:rsidRPr="00D92E20">
        <w:rPr>
          <w:rFonts w:cs="Arial"/>
          <w:szCs w:val="20"/>
        </w:rPr>
        <w:t>za</w:t>
      </w:r>
      <w:r w:rsidR="008C3456">
        <w:rPr>
          <w:rFonts w:cs="Arial"/>
          <w:szCs w:val="20"/>
        </w:rPr>
        <w:t> </w:t>
      </w:r>
      <w:r w:rsidRPr="00D92E20">
        <w:rPr>
          <w:rFonts w:cs="Arial"/>
          <w:szCs w:val="20"/>
        </w:rPr>
        <w:t xml:space="preserve">jednotlivá čtvrtletí, které zpracovává a publikuje </w:t>
      </w:r>
      <w:r w:rsidRPr="004460FC">
        <w:rPr>
          <w:rFonts w:cs="Arial"/>
          <w:szCs w:val="20"/>
        </w:rPr>
        <w:t>ČSSZ</w:t>
      </w:r>
      <w:r w:rsidRPr="00D92E20">
        <w:rPr>
          <w:rFonts w:cs="Arial"/>
          <w:szCs w:val="20"/>
        </w:rPr>
        <w:t>, viz </w:t>
      </w:r>
      <w:hyperlink r:id="rId13" w:history="1">
        <w:r w:rsidRPr="00D92E20">
          <w:rPr>
            <w:rStyle w:val="Hypertextovodkaz"/>
            <w:rFonts w:cs="Arial"/>
            <w:szCs w:val="20"/>
          </w:rPr>
          <w:t>https://</w:t>
        </w:r>
        <w:r w:rsidRPr="00D92E20">
          <w:rPr>
            <w:rStyle w:val="Hypertextovodkaz"/>
            <w:rFonts w:cs="Arial"/>
            <w:szCs w:val="20"/>
          </w:rPr>
          <w:t>w</w:t>
        </w:r>
        <w:r w:rsidRPr="00D92E20">
          <w:rPr>
            <w:rStyle w:val="Hypertextovodkaz"/>
            <w:rFonts w:cs="Arial"/>
            <w:szCs w:val="20"/>
          </w:rPr>
          <w:t>ww.cssz.cz/web/cz/nemocenska-statistika</w:t>
        </w:r>
      </w:hyperlink>
      <w:r w:rsidRPr="00D92E20">
        <w:rPr>
          <w:rFonts w:cs="Arial"/>
          <w:szCs w:val="20"/>
        </w:rPr>
        <w:t xml:space="preserve"> a roční údaje v různých tříděních zveřejňuje také Ústav zdravotnických informací a statistiky ČR (ÚZIS ČR)</w:t>
      </w:r>
      <w:r w:rsidR="004460FC">
        <w:rPr>
          <w:rFonts w:cs="Arial"/>
          <w:szCs w:val="20"/>
        </w:rPr>
        <w:t xml:space="preserve">, viz </w:t>
      </w:r>
      <w:hyperlink r:id="rId14" w:history="1">
        <w:r w:rsidR="004460FC" w:rsidRPr="004460FC">
          <w:rPr>
            <w:rStyle w:val="Hypertextovodkaz"/>
            <w:rFonts w:cs="Arial"/>
            <w:szCs w:val="20"/>
          </w:rPr>
          <w:t>https://www.uzis.cz/in</w:t>
        </w:r>
        <w:r w:rsidR="004460FC" w:rsidRPr="004460FC">
          <w:rPr>
            <w:rStyle w:val="Hypertextovodkaz"/>
            <w:rFonts w:cs="Arial"/>
            <w:szCs w:val="20"/>
          </w:rPr>
          <w:t>d</w:t>
        </w:r>
        <w:r w:rsidR="004460FC" w:rsidRPr="004460FC">
          <w:rPr>
            <w:rStyle w:val="Hypertextovodkaz"/>
            <w:rFonts w:cs="Arial"/>
            <w:szCs w:val="20"/>
          </w:rPr>
          <w:t>ex.php?pg=vystupy--statistika-vybranych-ekonomickych-temat--pracovni-neschopnost</w:t>
        </w:r>
      </w:hyperlink>
      <w:r w:rsidRPr="00D92E20">
        <w:rPr>
          <w:rFonts w:cs="Arial"/>
          <w:szCs w:val="20"/>
        </w:rPr>
        <w:t>.</w:t>
      </w:r>
    </w:p>
    <w:p w14:paraId="17403839" w14:textId="77777777" w:rsidR="00A71AB2" w:rsidRPr="00D92E20" w:rsidRDefault="00A71AB2" w:rsidP="00155829">
      <w:pPr>
        <w:spacing w:after="120"/>
        <w:jc w:val="both"/>
      </w:pPr>
      <w:r w:rsidRPr="00D92E20">
        <w:t>Rozdíly v počtech nově hlášených a ukončených případů dočasné pracovní neschopnosti jsou dány odlišnou metodikou sběru dat.</w:t>
      </w:r>
    </w:p>
    <w:p w14:paraId="15B99D61" w14:textId="2D9918FA" w:rsidR="00A71AB2" w:rsidRPr="00D92E20" w:rsidRDefault="00A71AB2" w:rsidP="00155829">
      <w:pPr>
        <w:spacing w:after="120"/>
        <w:jc w:val="both"/>
        <w:rPr>
          <w:rFonts w:cs="Arial"/>
        </w:rPr>
      </w:pPr>
      <w:r w:rsidRPr="00D92E20">
        <w:t xml:space="preserve">ČSSZ však nabízí ve svých statistikách jiné třídění publikovaných dat než ČSÚ, a to </w:t>
      </w:r>
      <w:r w:rsidRPr="00D92E20">
        <w:rPr>
          <w:rFonts w:cs="Arial"/>
        </w:rPr>
        <w:t xml:space="preserve">zejména </w:t>
      </w:r>
      <w:r w:rsidRPr="00D92E20">
        <w:rPr>
          <w:rFonts w:cs="Arial"/>
          <w:b/>
        </w:rPr>
        <w:t xml:space="preserve">podle věku </w:t>
      </w:r>
      <w:r w:rsidR="00311390" w:rsidRPr="00D92E20">
        <w:rPr>
          <w:rFonts w:cs="Arial"/>
        </w:rPr>
        <w:t xml:space="preserve">dočasně </w:t>
      </w:r>
      <w:r w:rsidRPr="00D92E20">
        <w:rPr>
          <w:rFonts w:cs="Arial"/>
        </w:rPr>
        <w:t xml:space="preserve">práce neschopných a </w:t>
      </w:r>
      <w:r w:rsidRPr="00D92E20">
        <w:rPr>
          <w:rFonts w:cs="Arial"/>
          <w:b/>
        </w:rPr>
        <w:t xml:space="preserve">podle </w:t>
      </w:r>
      <w:r w:rsidR="00D60D97" w:rsidRPr="00D92E20">
        <w:rPr>
          <w:rFonts w:cs="Arial"/>
          <w:b/>
        </w:rPr>
        <w:t>diagnóz</w:t>
      </w:r>
      <w:r w:rsidR="00C05AB7" w:rsidRPr="00C05AB7">
        <w:rPr>
          <w:rFonts w:cs="Arial"/>
        </w:rPr>
        <w:t>, které zapříčinily</w:t>
      </w:r>
      <w:r w:rsidRPr="00D92E20">
        <w:rPr>
          <w:rFonts w:cs="Arial"/>
          <w:b/>
        </w:rPr>
        <w:t xml:space="preserve"> </w:t>
      </w:r>
      <w:r w:rsidR="00C05AB7">
        <w:rPr>
          <w:rFonts w:cs="Arial"/>
        </w:rPr>
        <w:t>pracovní neschopnost</w:t>
      </w:r>
      <w:r w:rsidRPr="00D92E20">
        <w:rPr>
          <w:rFonts w:cs="Arial"/>
        </w:rPr>
        <w:t xml:space="preserve">. Pro </w:t>
      </w:r>
      <w:r w:rsidR="00E9284B" w:rsidRPr="00D92E20">
        <w:rPr>
          <w:rFonts w:cs="Arial"/>
        </w:rPr>
        <w:t>dokreslení</w:t>
      </w:r>
      <w:r w:rsidRPr="00D92E20">
        <w:rPr>
          <w:rFonts w:cs="Arial"/>
        </w:rPr>
        <w:t xml:space="preserve"> pohledu na statistiku nemocnosti byla vybraná data z uvedeného zdroje využita i v této publikaci.</w:t>
      </w:r>
    </w:p>
    <w:p w14:paraId="0CD74E56" w14:textId="77777777" w:rsidR="00A71AB2" w:rsidRPr="00D92E20" w:rsidRDefault="00A71AB2" w:rsidP="00155829">
      <w:pPr>
        <w:spacing w:after="60"/>
        <w:jc w:val="both"/>
        <w:rPr>
          <w:rFonts w:cs="Arial"/>
        </w:rPr>
      </w:pPr>
      <w:r w:rsidRPr="00D92E20">
        <w:rPr>
          <w:rFonts w:cs="Arial"/>
        </w:rPr>
        <w:t>Vzhledem k přechodu ze sběru dat prostřednictvím výkazu ČSÚ na administrativní zdroj Informačního systému ČSSZ v roce 2012 nejsou některé dříve sledované ukazatele od roku 2012 ČSÚ dále zjišťovány. Tyto ukazatele však lze nalézt ve výstupech následujících administrativních zdrojů a dat z registrů:</w:t>
      </w:r>
    </w:p>
    <w:p w14:paraId="3AE4E048" w14:textId="2CC172B7" w:rsidR="00A71AB2" w:rsidRPr="00D92E20" w:rsidRDefault="00A71AB2" w:rsidP="0031487B">
      <w:pPr>
        <w:pStyle w:val="Seznam"/>
        <w:numPr>
          <w:ilvl w:val="0"/>
          <w:numId w:val="13"/>
        </w:numPr>
        <w:spacing w:after="120"/>
        <w:ind w:left="714" w:hanging="357"/>
        <w:contextualSpacing w:val="0"/>
        <w:jc w:val="both"/>
      </w:pPr>
      <w:r w:rsidRPr="00D92E20">
        <w:rPr>
          <w:b/>
        </w:rPr>
        <w:t>Náklady na závodní preventivní péči</w:t>
      </w:r>
      <w:r w:rsidRPr="00D92E20">
        <w:t xml:space="preserve"> – ukazatel je od roku 2012 zařazen do statistického zjišťování ČSÚ v rámci výkazu ÚNP 4–01;</w:t>
      </w:r>
    </w:p>
    <w:p w14:paraId="797CF5FB" w14:textId="695100B9" w:rsidR="00A71AB2" w:rsidRPr="00D92E20" w:rsidRDefault="00A71AB2" w:rsidP="0031487B">
      <w:pPr>
        <w:pStyle w:val="Seznam"/>
        <w:numPr>
          <w:ilvl w:val="0"/>
          <w:numId w:val="13"/>
        </w:numPr>
        <w:spacing w:after="120"/>
        <w:ind w:left="714" w:hanging="357"/>
        <w:contextualSpacing w:val="0"/>
        <w:jc w:val="both"/>
      </w:pPr>
      <w:r w:rsidRPr="00D92E20">
        <w:rPr>
          <w:b/>
        </w:rPr>
        <w:t>Náhrady a přirážky hrazené zaměstnavatelem za škodu při pracovním úrazu nebo nemoci z povolání</w:t>
      </w:r>
      <w:r w:rsidRPr="00D92E20">
        <w:t> – údaje jsou dostupné ze standardních sestav Ministerstva financí ČR;</w:t>
      </w:r>
    </w:p>
    <w:p w14:paraId="49F5977E" w14:textId="3C773997" w:rsidR="00A71AB2" w:rsidRPr="00D92E20" w:rsidRDefault="00A71AB2" w:rsidP="0031487B">
      <w:pPr>
        <w:pStyle w:val="Seznam"/>
        <w:numPr>
          <w:ilvl w:val="0"/>
          <w:numId w:val="13"/>
        </w:numPr>
        <w:spacing w:after="120"/>
        <w:ind w:left="714" w:hanging="357"/>
        <w:contextualSpacing w:val="0"/>
        <w:jc w:val="both"/>
      </w:pPr>
      <w:r w:rsidRPr="00D92E20">
        <w:rPr>
          <w:b/>
        </w:rPr>
        <w:t>Kategorizace prací dle míry rizika</w:t>
      </w:r>
      <w:r w:rsidRPr="00D92E20">
        <w:t xml:space="preserve"> – statistická evidence prací dle míry rizika je od roku 2012 zajišťována Registrem kategorizace prací (IS KaPr); </w:t>
      </w:r>
    </w:p>
    <w:p w14:paraId="6DC1999B" w14:textId="4CCD4322" w:rsidR="00A71AB2" w:rsidRPr="00D92E20" w:rsidRDefault="00A71AB2" w:rsidP="0031487B">
      <w:pPr>
        <w:pStyle w:val="Seznam"/>
        <w:numPr>
          <w:ilvl w:val="0"/>
          <w:numId w:val="13"/>
        </w:numPr>
        <w:spacing w:after="120"/>
        <w:ind w:left="714" w:hanging="357"/>
        <w:contextualSpacing w:val="0"/>
        <w:jc w:val="both"/>
      </w:pPr>
      <w:r w:rsidRPr="00D92E20">
        <w:rPr>
          <w:b/>
        </w:rPr>
        <w:t>Smrtelná pracovní úrazovost</w:t>
      </w:r>
      <w:r w:rsidRPr="00D92E20">
        <w:t xml:space="preserve"> – data jsou pravidelně zveřejňována v analýze Výzkumného ústavu bezpečnosti práce (VÚBP) a Státního úřadu inspekce práce (SÚIP) s názvem</w:t>
      </w:r>
      <w:r w:rsidRPr="00D92E20">
        <w:tab/>
        <w:t>„</w:t>
      </w:r>
      <w:r w:rsidR="000003B4">
        <w:t xml:space="preserve">Zpráva o </w:t>
      </w:r>
      <w:r w:rsidR="00A101F1">
        <w:t xml:space="preserve">pracovní </w:t>
      </w:r>
      <w:r w:rsidRPr="00D92E20">
        <w:t>úrazovosti v České republice“;</w:t>
      </w:r>
    </w:p>
    <w:p w14:paraId="372ED189" w14:textId="04069856" w:rsidR="00C371A5" w:rsidRPr="00D92E20" w:rsidRDefault="00A71AB2" w:rsidP="0031487B">
      <w:pPr>
        <w:pStyle w:val="Seznam"/>
        <w:numPr>
          <w:ilvl w:val="0"/>
          <w:numId w:val="13"/>
        </w:numPr>
        <w:spacing w:after="120"/>
        <w:ind w:left="714" w:hanging="357"/>
        <w:contextualSpacing w:val="0"/>
        <w:jc w:val="both"/>
      </w:pPr>
      <w:r w:rsidRPr="00D92E20">
        <w:rPr>
          <w:b/>
        </w:rPr>
        <w:t>Nemoci z povolání</w:t>
      </w:r>
      <w:r w:rsidRPr="00D92E20">
        <w:t xml:space="preserve"> – data jsou pravidelně zveřejňována v analýze Státního zdravotního</w:t>
      </w:r>
      <w:r w:rsidR="0031487B" w:rsidRPr="00D92E20">
        <w:t xml:space="preserve"> </w:t>
      </w:r>
      <w:r w:rsidRPr="00D92E20">
        <w:t>ústavu (SZÚ) „Nemoci z povolání v České republice“.</w:t>
      </w:r>
    </w:p>
    <w:p w14:paraId="1A2942EC" w14:textId="77777777" w:rsidR="00C371A5" w:rsidRPr="00D92E20" w:rsidRDefault="00C371A5">
      <w:pPr>
        <w:spacing w:after="0" w:line="240" w:lineRule="auto"/>
        <w:rPr>
          <w:rFonts w:cs="Arial"/>
        </w:rPr>
      </w:pPr>
      <w:r w:rsidRPr="00D92E20">
        <w:rPr>
          <w:rFonts w:cs="Arial"/>
        </w:rPr>
        <w:br w:type="page"/>
      </w:r>
    </w:p>
    <w:p w14:paraId="3BF91C85" w14:textId="77777777" w:rsidR="00C371A5" w:rsidRPr="00D92E20" w:rsidRDefault="00C371A5" w:rsidP="00BA0B39">
      <w:pPr>
        <w:pStyle w:val="Nadpis2"/>
        <w:numPr>
          <w:ilvl w:val="0"/>
          <w:numId w:val="18"/>
        </w:numPr>
        <w:ind w:left="425" w:hanging="357"/>
      </w:pPr>
      <w:bookmarkStart w:id="17" w:name="_Toc54262797"/>
      <w:bookmarkStart w:id="18" w:name="_Toc117774425"/>
      <w:r w:rsidRPr="00D92E20">
        <w:lastRenderedPageBreak/>
        <w:t>Analytická část</w:t>
      </w:r>
      <w:bookmarkEnd w:id="17"/>
      <w:bookmarkEnd w:id="18"/>
    </w:p>
    <w:p w14:paraId="5EC7EA6A" w14:textId="77777777" w:rsidR="00C371A5" w:rsidRPr="00D92E20" w:rsidRDefault="00C371A5" w:rsidP="00BA0B39">
      <w:pPr>
        <w:pStyle w:val="Nadpis3"/>
        <w:numPr>
          <w:ilvl w:val="1"/>
          <w:numId w:val="20"/>
        </w:numPr>
        <w:ind w:left="425" w:hanging="357"/>
      </w:pPr>
      <w:bookmarkStart w:id="19" w:name="_Toc54262798"/>
      <w:bookmarkStart w:id="20" w:name="_Toc117774426"/>
      <w:r w:rsidRPr="00D92E20">
        <w:t>Nemocensky pojištěné osoby</w:t>
      </w:r>
      <w:bookmarkEnd w:id="19"/>
      <w:bookmarkEnd w:id="20"/>
    </w:p>
    <w:p w14:paraId="3678C504" w14:textId="77777777" w:rsidR="00184B5C" w:rsidRPr="00D92E20" w:rsidRDefault="00184B5C" w:rsidP="00155829">
      <w:pPr>
        <w:spacing w:after="120"/>
        <w:jc w:val="both"/>
      </w:pPr>
      <w:r w:rsidRPr="00D92E20">
        <w:t>Základním ukazatelem, ke kterému se vztahují údaje o pracovní neschopnosti, je ukazatel průměrného počtu nemocensky pojištěných osob.</w:t>
      </w:r>
    </w:p>
    <w:p w14:paraId="522B027E" w14:textId="77777777" w:rsidR="00184B5C" w:rsidRPr="00D92E20" w:rsidRDefault="00184B5C" w:rsidP="00155829">
      <w:pPr>
        <w:pStyle w:val="Box1"/>
        <w:spacing w:before="120" w:after="120"/>
        <w:ind w:left="0"/>
        <w:contextualSpacing w:val="0"/>
        <w:jc w:val="both"/>
        <w:rPr>
          <w:i/>
        </w:rPr>
      </w:pPr>
      <w:r w:rsidRPr="00D92E20">
        <w:rPr>
          <w:b/>
          <w:i/>
        </w:rPr>
        <w:t xml:space="preserve">Průměrný počet nemocensky pojištěných osob </w:t>
      </w:r>
      <w:r w:rsidRPr="00D92E20">
        <w:rPr>
          <w:i/>
        </w:rPr>
        <w:t xml:space="preserve">– ukazatel udává průměrný počet osob, které jsou povinně či dobrovolně nemocensky pojištěné podle zákona č. 187/2006 Sb., o nemocenském pojištění, ve znění pozdějších předpisů. Zahrnuje všechny osoby, které byly alespoň po jeden den vykazovaného období nemocensky pojištěné. V případě více překrývajících se pojistných vztahů pojištěnce v rámci jednoho zaměstnavatele a jedné mzdové účtárny se započítává pojištěnec pouze jedenkrát. V ostatních případech je pojištěnec započítáván tolikrát, kolik má pracovněprávních pojistných vztahů. </w:t>
      </w:r>
    </w:p>
    <w:p w14:paraId="570B8605" w14:textId="77777777" w:rsidR="00184B5C" w:rsidRPr="00D92E20" w:rsidRDefault="00184B5C" w:rsidP="00184B5C">
      <w:pPr>
        <w:pStyle w:val="Box1"/>
        <w:ind w:left="0"/>
        <w:jc w:val="both"/>
        <w:rPr>
          <w:i/>
          <w:u w:val="single"/>
        </w:rPr>
      </w:pPr>
      <w:r w:rsidRPr="00D92E20">
        <w:rPr>
          <w:i/>
          <w:u w:val="single"/>
        </w:rPr>
        <w:t>Poznámka:</w:t>
      </w:r>
    </w:p>
    <w:p w14:paraId="70215D62" w14:textId="77777777" w:rsidR="00184B5C" w:rsidRPr="00D92E20" w:rsidRDefault="00184B5C" w:rsidP="00184B5C">
      <w:pPr>
        <w:pStyle w:val="Box1"/>
        <w:ind w:left="0"/>
        <w:jc w:val="both"/>
        <w:rPr>
          <w:i/>
        </w:rPr>
      </w:pPr>
      <w:r w:rsidRPr="00D92E20">
        <w:rPr>
          <w:i/>
        </w:rPr>
        <w:t xml:space="preserve">Do průměrného počtu nemocensky pojištěných nejsou započteni vojáci z povolání a příslušníci Policie ČR, Hasičského záchranného sboru ČR, Celní správy ČR, Vězeňské služby ČR, Generální inspekce bezpečnostních sborů, Bezpečnostní informační služby a Úřadu pro zahraniční styky a informace. </w:t>
      </w:r>
    </w:p>
    <w:p w14:paraId="4B086433" w14:textId="77777777" w:rsidR="00184B5C" w:rsidRPr="00D92E20" w:rsidRDefault="00184B5C" w:rsidP="00184B5C">
      <w:pPr>
        <w:pStyle w:val="Box1"/>
        <w:ind w:left="0"/>
        <w:jc w:val="both"/>
        <w:rPr>
          <w:i/>
          <w:u w:val="single"/>
        </w:rPr>
      </w:pPr>
      <w:r w:rsidRPr="00D92E20">
        <w:rPr>
          <w:i/>
          <w:u w:val="single"/>
        </w:rPr>
        <w:t>Způsob výpočtu:</w:t>
      </w:r>
    </w:p>
    <w:p w14:paraId="1BF8CC13" w14:textId="77777777" w:rsidR="00184B5C" w:rsidRPr="00D92E20" w:rsidRDefault="00184B5C" w:rsidP="00155829">
      <w:pPr>
        <w:pStyle w:val="Box1"/>
        <w:spacing w:before="120" w:after="120"/>
        <w:ind w:left="0"/>
        <w:contextualSpacing w:val="0"/>
        <w:jc w:val="both"/>
        <w:rPr>
          <w:i/>
        </w:rPr>
      </w:pPr>
      <w:r w:rsidRPr="00D92E20">
        <w:rPr>
          <w:i/>
        </w:rPr>
        <w:t>Průměrný počet nemocensky pojištěných osob = počet dnů nemocenského pojištění jednotlivých pojištěných osob ve vykazovaném období / počet kalendářních dnů ve vykazovaném období.</w:t>
      </w:r>
    </w:p>
    <w:p w14:paraId="4071AFDF" w14:textId="40433921" w:rsidR="009B330C" w:rsidRPr="00847387" w:rsidRDefault="00184B5C" w:rsidP="00184B5C">
      <w:pPr>
        <w:spacing w:after="120"/>
        <w:jc w:val="both"/>
        <w:rPr>
          <w:rFonts w:cs="Arial"/>
          <w:bCs/>
          <w:color w:val="000000"/>
          <w:szCs w:val="20"/>
        </w:rPr>
      </w:pPr>
      <w:r w:rsidRPr="00847387">
        <w:rPr>
          <w:rFonts w:cs="Arial"/>
          <w:bCs/>
          <w:color w:val="000000"/>
          <w:szCs w:val="20"/>
        </w:rPr>
        <w:t>V</w:t>
      </w:r>
      <w:r w:rsidR="009B330C" w:rsidRPr="00847387">
        <w:rPr>
          <w:rFonts w:cs="Arial"/>
          <w:bCs/>
          <w:color w:val="000000"/>
          <w:szCs w:val="20"/>
        </w:rPr>
        <w:t> 1. pol. 202</w:t>
      </w:r>
      <w:r w:rsidR="00847387" w:rsidRPr="00847387">
        <w:rPr>
          <w:rFonts w:cs="Arial"/>
          <w:bCs/>
          <w:color w:val="000000"/>
          <w:szCs w:val="20"/>
        </w:rPr>
        <w:t>2</w:t>
      </w:r>
      <w:r w:rsidRPr="00847387">
        <w:rPr>
          <w:rFonts w:cs="Arial"/>
          <w:bCs/>
          <w:color w:val="000000"/>
          <w:szCs w:val="20"/>
        </w:rPr>
        <w:t xml:space="preserve"> činil průměrný počet nemocensky pojištěných </w:t>
      </w:r>
      <w:r w:rsidRPr="00847387">
        <w:rPr>
          <w:rFonts w:cs="Arial"/>
          <w:b/>
          <w:bCs/>
          <w:color w:val="000000"/>
          <w:szCs w:val="20"/>
        </w:rPr>
        <w:t>celkem</w:t>
      </w:r>
      <w:r w:rsidRPr="00847387">
        <w:rPr>
          <w:rFonts w:cs="Arial"/>
          <w:bCs/>
          <w:color w:val="000000"/>
          <w:szCs w:val="20"/>
        </w:rPr>
        <w:t xml:space="preserve"> </w:t>
      </w:r>
      <w:r w:rsidRPr="00847387">
        <w:rPr>
          <w:rFonts w:cs="Arial"/>
          <w:b/>
          <w:bCs/>
          <w:color w:val="000000"/>
          <w:szCs w:val="20"/>
        </w:rPr>
        <w:t>4 </w:t>
      </w:r>
      <w:r w:rsidR="00847387" w:rsidRPr="00847387">
        <w:rPr>
          <w:rFonts w:cs="Arial"/>
          <w:b/>
          <w:bCs/>
          <w:color w:val="000000"/>
          <w:szCs w:val="20"/>
        </w:rPr>
        <w:t>720</w:t>
      </w:r>
      <w:r w:rsidRPr="00847387">
        <w:rPr>
          <w:rFonts w:cs="Arial"/>
          <w:b/>
          <w:bCs/>
          <w:color w:val="000000"/>
          <w:szCs w:val="20"/>
        </w:rPr>
        <w:t xml:space="preserve"> tis. osob</w:t>
      </w:r>
      <w:r w:rsidRPr="00847387">
        <w:rPr>
          <w:rFonts w:cs="Arial"/>
          <w:bCs/>
          <w:color w:val="000000"/>
          <w:szCs w:val="20"/>
        </w:rPr>
        <w:t xml:space="preserve">, tedy </w:t>
      </w:r>
      <w:r w:rsidR="001706EA" w:rsidRPr="00847387">
        <w:rPr>
          <w:rFonts w:cs="Arial"/>
          <w:bCs/>
          <w:color w:val="000000"/>
          <w:szCs w:val="20"/>
        </w:rPr>
        <w:t>o </w:t>
      </w:r>
      <w:r w:rsidR="00847387" w:rsidRPr="00847387">
        <w:rPr>
          <w:rFonts w:cs="Arial"/>
          <w:bCs/>
          <w:color w:val="000000"/>
          <w:szCs w:val="20"/>
        </w:rPr>
        <w:t>3</w:t>
      </w:r>
      <w:r w:rsidR="001706EA" w:rsidRPr="00847387">
        <w:rPr>
          <w:rFonts w:cs="Arial"/>
          <w:bCs/>
          <w:color w:val="000000"/>
          <w:szCs w:val="20"/>
        </w:rPr>
        <w:t xml:space="preserve">1,3 tis. </w:t>
      </w:r>
      <w:r w:rsidR="00B15EBE" w:rsidRPr="00847387">
        <w:rPr>
          <w:rFonts w:cs="Arial"/>
          <w:bCs/>
          <w:color w:val="000000"/>
          <w:szCs w:val="20"/>
        </w:rPr>
        <w:t>více</w:t>
      </w:r>
      <w:r w:rsidR="001706EA" w:rsidRPr="00847387">
        <w:rPr>
          <w:rFonts w:cs="Arial"/>
          <w:bCs/>
          <w:color w:val="000000"/>
          <w:szCs w:val="20"/>
        </w:rPr>
        <w:t xml:space="preserve"> </w:t>
      </w:r>
      <w:r w:rsidRPr="00847387">
        <w:rPr>
          <w:rFonts w:cs="Arial"/>
          <w:bCs/>
          <w:color w:val="000000"/>
          <w:szCs w:val="20"/>
        </w:rPr>
        <w:t xml:space="preserve">než před rokem. </w:t>
      </w:r>
      <w:r w:rsidR="00847387" w:rsidRPr="00847387">
        <w:rPr>
          <w:rFonts w:cs="Arial"/>
          <w:bCs/>
          <w:color w:val="000000"/>
          <w:szCs w:val="20"/>
        </w:rPr>
        <w:t>Po poklesu v 1. pol. 2020 a následné stagnaci o rok později</w:t>
      </w:r>
      <w:r w:rsidR="007D333B">
        <w:rPr>
          <w:rFonts w:cs="Arial"/>
          <w:bCs/>
          <w:color w:val="000000"/>
          <w:szCs w:val="20"/>
        </w:rPr>
        <w:t xml:space="preserve">, </w:t>
      </w:r>
      <w:r w:rsidR="007D333B">
        <w:rPr>
          <w:b/>
          <w:bCs/>
        </w:rPr>
        <w:t>způsobenými pravděpodobně epidemií nemoci covid-19</w:t>
      </w:r>
      <w:r w:rsidR="007D333B">
        <w:t xml:space="preserve">, </w:t>
      </w:r>
      <w:r w:rsidR="00847387" w:rsidRPr="00847387">
        <w:rPr>
          <w:rFonts w:cs="Arial"/>
          <w:bCs/>
          <w:color w:val="000000"/>
          <w:szCs w:val="20"/>
        </w:rPr>
        <w:t xml:space="preserve">se počet blíží hodnotě v 1. pol. roku 2019. Tehdy ČSSZ evidovala 4 737 tis. pojištěnců. </w:t>
      </w:r>
      <w:r w:rsidR="00DF6387">
        <w:rPr>
          <w:rFonts w:cs="Arial"/>
          <w:bCs/>
          <w:color w:val="000000"/>
          <w:szCs w:val="20"/>
        </w:rPr>
        <w:t xml:space="preserve">Na meziročním nárůstu se mohou podílet i občané z Ukrajiny, kteří během 1. pol. </w:t>
      </w:r>
      <w:r w:rsidR="00C83A1D">
        <w:rPr>
          <w:rFonts w:cs="Arial"/>
          <w:bCs/>
          <w:color w:val="000000"/>
          <w:szCs w:val="20"/>
        </w:rPr>
        <w:t xml:space="preserve">po vypuknutí válečného konfliktu </w:t>
      </w:r>
      <w:r w:rsidR="00DF6387">
        <w:rPr>
          <w:rFonts w:cs="Arial"/>
          <w:bCs/>
          <w:color w:val="000000"/>
          <w:szCs w:val="20"/>
        </w:rPr>
        <w:t>přicestovali do České republiky a při zaměstnání jim vznikla účast na nemocenském pojištění, tudíž jsou součástí českého systému nemocenského pojištění.</w:t>
      </w:r>
    </w:p>
    <w:p w14:paraId="32B9BCAF" w14:textId="3B1E4065" w:rsidR="00184B5C" w:rsidRPr="00D92E20" w:rsidRDefault="00847387" w:rsidP="00184B5C">
      <w:pPr>
        <w:spacing w:after="120"/>
        <w:jc w:val="both"/>
        <w:rPr>
          <w:rFonts w:cs="Arial"/>
          <w:bCs/>
          <w:color w:val="000000"/>
          <w:szCs w:val="20"/>
        </w:rPr>
      </w:pPr>
      <w:r w:rsidRPr="008A3B50">
        <w:rPr>
          <w:rFonts w:cs="Arial"/>
          <w:bCs/>
          <w:color w:val="000000"/>
          <w:szCs w:val="20"/>
        </w:rPr>
        <w:t>Vůbec poprvé v desetileté historii bylo m</w:t>
      </w:r>
      <w:r w:rsidR="00184B5C" w:rsidRPr="008A3B50">
        <w:rPr>
          <w:rFonts w:cs="Arial"/>
          <w:bCs/>
          <w:color w:val="000000"/>
          <w:szCs w:val="20"/>
        </w:rPr>
        <w:t xml:space="preserve">ezi pojištěnci </w:t>
      </w:r>
      <w:r w:rsidRPr="008A3B50">
        <w:rPr>
          <w:rFonts w:cs="Arial"/>
          <w:bCs/>
          <w:color w:val="000000"/>
          <w:szCs w:val="20"/>
        </w:rPr>
        <w:t>více žen (50,2 %) než mužů (49,8 %).</w:t>
      </w:r>
      <w:r w:rsidR="00184B5C" w:rsidRPr="008A3B50">
        <w:rPr>
          <w:rFonts w:cs="Arial"/>
          <w:bCs/>
          <w:color w:val="000000"/>
          <w:szCs w:val="20"/>
        </w:rPr>
        <w:t xml:space="preserve"> </w:t>
      </w:r>
      <w:r w:rsidR="005D14C3" w:rsidRPr="008A3B50">
        <w:rPr>
          <w:rFonts w:cs="Arial"/>
          <w:bCs/>
          <w:color w:val="000000"/>
          <w:szCs w:val="20"/>
        </w:rPr>
        <w:t>V</w:t>
      </w:r>
      <w:r w:rsidRPr="008A3B50">
        <w:rPr>
          <w:rFonts w:cs="Arial"/>
          <w:bCs/>
          <w:color w:val="000000"/>
          <w:szCs w:val="20"/>
        </w:rPr>
        <w:t> 1. pol. 2022</w:t>
      </w:r>
      <w:r w:rsidR="00184B5C" w:rsidRPr="008A3B50">
        <w:rPr>
          <w:rFonts w:cs="Arial"/>
          <w:bCs/>
          <w:color w:val="000000"/>
          <w:szCs w:val="20"/>
        </w:rPr>
        <w:t xml:space="preserve"> bylo nemocensky pojištěných 2</w:t>
      </w:r>
      <w:r w:rsidR="00C02C40" w:rsidRPr="008A3B50">
        <w:rPr>
          <w:rFonts w:cs="Arial"/>
          <w:bCs/>
          <w:color w:val="000000"/>
          <w:szCs w:val="20"/>
        </w:rPr>
        <w:t> </w:t>
      </w:r>
      <w:r w:rsidRPr="008A3B50">
        <w:rPr>
          <w:rFonts w:cs="Arial"/>
          <w:bCs/>
          <w:color w:val="000000"/>
          <w:szCs w:val="20"/>
        </w:rPr>
        <w:t>369</w:t>
      </w:r>
      <w:r w:rsidR="00C02C40" w:rsidRPr="008A3B50">
        <w:rPr>
          <w:rFonts w:cs="Arial"/>
          <w:bCs/>
          <w:color w:val="000000"/>
          <w:szCs w:val="20"/>
        </w:rPr>
        <w:t> </w:t>
      </w:r>
      <w:r w:rsidR="00184B5C" w:rsidRPr="008A3B50">
        <w:rPr>
          <w:rFonts w:cs="Arial"/>
          <w:bCs/>
          <w:color w:val="000000"/>
          <w:szCs w:val="20"/>
        </w:rPr>
        <w:t xml:space="preserve">tis. </w:t>
      </w:r>
      <w:r w:rsidRPr="008A3B50">
        <w:rPr>
          <w:rFonts w:cs="Arial"/>
          <w:bCs/>
          <w:color w:val="000000"/>
          <w:szCs w:val="20"/>
        </w:rPr>
        <w:t>žen</w:t>
      </w:r>
      <w:r w:rsidR="00184B5C" w:rsidRPr="008A3B50">
        <w:rPr>
          <w:rFonts w:cs="Arial"/>
          <w:bCs/>
          <w:color w:val="000000"/>
          <w:szCs w:val="20"/>
        </w:rPr>
        <w:t xml:space="preserve"> a 2 3</w:t>
      </w:r>
      <w:r w:rsidRPr="008A3B50">
        <w:rPr>
          <w:rFonts w:cs="Arial"/>
          <w:bCs/>
          <w:color w:val="000000"/>
          <w:szCs w:val="20"/>
        </w:rPr>
        <w:t>5</w:t>
      </w:r>
      <w:r w:rsidR="009B330C" w:rsidRPr="008A3B50">
        <w:rPr>
          <w:rFonts w:cs="Arial"/>
          <w:bCs/>
          <w:color w:val="000000"/>
          <w:szCs w:val="20"/>
        </w:rPr>
        <w:t>1</w:t>
      </w:r>
      <w:r w:rsidR="00184B5C" w:rsidRPr="008A3B50">
        <w:rPr>
          <w:rFonts w:cs="Arial"/>
          <w:bCs/>
          <w:color w:val="000000"/>
          <w:szCs w:val="20"/>
        </w:rPr>
        <w:t xml:space="preserve"> tis. </w:t>
      </w:r>
      <w:r w:rsidRPr="008A3B50">
        <w:rPr>
          <w:rFonts w:cs="Arial"/>
          <w:bCs/>
          <w:color w:val="000000"/>
          <w:szCs w:val="20"/>
        </w:rPr>
        <w:t>mužů</w:t>
      </w:r>
      <w:r w:rsidR="00184B5C" w:rsidRPr="008A3B50">
        <w:rPr>
          <w:rFonts w:cs="Arial"/>
          <w:bCs/>
          <w:color w:val="000000"/>
          <w:szCs w:val="20"/>
        </w:rPr>
        <w:t xml:space="preserve">. </w:t>
      </w:r>
      <w:r w:rsidR="00DF6387">
        <w:rPr>
          <w:rFonts w:cs="Arial"/>
          <w:bCs/>
          <w:color w:val="000000"/>
          <w:szCs w:val="20"/>
        </w:rPr>
        <w:t xml:space="preserve">To opět může souviset s příchodem občanů, resp. převážně právě občanek – žen se svými potomky – z Ukrajiny. </w:t>
      </w:r>
      <w:r w:rsidR="00184B5C" w:rsidRPr="008A3B50">
        <w:rPr>
          <w:rFonts w:cs="Arial"/>
          <w:bCs/>
          <w:color w:val="000000"/>
          <w:szCs w:val="20"/>
        </w:rPr>
        <w:t xml:space="preserve">Počty nemocensky pojištěných </w:t>
      </w:r>
      <w:r w:rsidR="00184B5C" w:rsidRPr="008A3B50">
        <w:rPr>
          <w:rFonts w:cs="Arial"/>
          <w:b/>
          <w:bCs/>
          <w:color w:val="000000"/>
          <w:szCs w:val="20"/>
        </w:rPr>
        <w:t>podle pohlaví</w:t>
      </w:r>
      <w:r w:rsidR="00184B5C" w:rsidRPr="008A3B50">
        <w:rPr>
          <w:rFonts w:cs="Arial"/>
          <w:bCs/>
          <w:color w:val="000000"/>
          <w:szCs w:val="20"/>
        </w:rPr>
        <w:t xml:space="preserve"> se k sobě již od roku 2016 neustále při</w:t>
      </w:r>
      <w:r w:rsidRPr="008A3B50">
        <w:rPr>
          <w:rFonts w:cs="Arial"/>
          <w:bCs/>
          <w:color w:val="000000"/>
          <w:szCs w:val="20"/>
        </w:rPr>
        <w:t>bližovaly</w:t>
      </w:r>
      <w:r w:rsidR="005D14C3" w:rsidRPr="008A3B50">
        <w:rPr>
          <w:rFonts w:cs="Arial"/>
          <w:bCs/>
          <w:color w:val="000000"/>
          <w:szCs w:val="20"/>
        </w:rPr>
        <w:t xml:space="preserve">. Zatímco </w:t>
      </w:r>
      <w:r w:rsidR="009B330C" w:rsidRPr="008A3B50">
        <w:rPr>
          <w:rFonts w:cs="Arial"/>
          <w:bCs/>
          <w:color w:val="000000"/>
          <w:szCs w:val="20"/>
        </w:rPr>
        <w:t>v 1. pol. 2016</w:t>
      </w:r>
      <w:r w:rsidR="005D14C3" w:rsidRPr="008A3B50">
        <w:rPr>
          <w:rFonts w:cs="Arial"/>
          <w:bCs/>
          <w:color w:val="000000"/>
          <w:szCs w:val="20"/>
        </w:rPr>
        <w:t xml:space="preserve"> bylo o 8</w:t>
      </w:r>
      <w:r w:rsidR="009B330C" w:rsidRPr="008A3B50">
        <w:rPr>
          <w:rFonts w:cs="Arial"/>
          <w:bCs/>
          <w:color w:val="000000"/>
          <w:szCs w:val="20"/>
        </w:rPr>
        <w:t>5</w:t>
      </w:r>
      <w:r w:rsidR="00184B5C" w:rsidRPr="008A3B50">
        <w:rPr>
          <w:rFonts w:cs="Arial"/>
          <w:bCs/>
          <w:color w:val="000000"/>
          <w:szCs w:val="20"/>
        </w:rPr>
        <w:t xml:space="preserve"> tis. více mužů než žen, </w:t>
      </w:r>
      <w:r w:rsidR="00853033" w:rsidRPr="008A3B50">
        <w:rPr>
          <w:rFonts w:cs="Arial"/>
          <w:bCs/>
          <w:color w:val="000000"/>
          <w:szCs w:val="20"/>
        </w:rPr>
        <w:t>v</w:t>
      </w:r>
      <w:r w:rsidR="008A3B50">
        <w:rPr>
          <w:rFonts w:cs="Arial"/>
          <w:bCs/>
          <w:color w:val="000000"/>
          <w:szCs w:val="20"/>
        </w:rPr>
        <w:t> </w:t>
      </w:r>
      <w:r w:rsidR="009B330C" w:rsidRPr="008A3B50">
        <w:rPr>
          <w:rFonts w:cs="Arial"/>
          <w:bCs/>
          <w:color w:val="000000"/>
          <w:szCs w:val="20"/>
        </w:rPr>
        <w:t>1.</w:t>
      </w:r>
      <w:r w:rsidR="008A3B50">
        <w:rPr>
          <w:rFonts w:cs="Arial"/>
          <w:bCs/>
          <w:color w:val="000000"/>
          <w:szCs w:val="20"/>
        </w:rPr>
        <w:t> </w:t>
      </w:r>
      <w:r w:rsidR="009B330C" w:rsidRPr="008A3B50">
        <w:rPr>
          <w:rFonts w:cs="Arial"/>
          <w:bCs/>
          <w:color w:val="000000"/>
          <w:szCs w:val="20"/>
        </w:rPr>
        <w:t>pol. 2021</w:t>
      </w:r>
      <w:r w:rsidR="00184B5C" w:rsidRPr="008A3B50">
        <w:rPr>
          <w:rFonts w:cs="Arial"/>
          <w:bCs/>
          <w:color w:val="000000"/>
          <w:szCs w:val="20"/>
        </w:rPr>
        <w:t xml:space="preserve"> </w:t>
      </w:r>
      <w:r w:rsidR="008A3B50" w:rsidRPr="008A3B50">
        <w:rPr>
          <w:rFonts w:cs="Arial"/>
          <w:bCs/>
          <w:color w:val="000000"/>
          <w:szCs w:val="20"/>
        </w:rPr>
        <w:t xml:space="preserve">převyšoval počet mužů </w:t>
      </w:r>
      <w:r w:rsidR="00C83A1D">
        <w:rPr>
          <w:rFonts w:cs="Arial"/>
          <w:bCs/>
          <w:color w:val="000000"/>
          <w:szCs w:val="20"/>
        </w:rPr>
        <w:t xml:space="preserve">již pouze </w:t>
      </w:r>
      <w:r w:rsidR="008A3B50" w:rsidRPr="008A3B50">
        <w:rPr>
          <w:rFonts w:cs="Arial"/>
          <w:bCs/>
          <w:color w:val="000000"/>
          <w:szCs w:val="20"/>
        </w:rPr>
        <w:t>o</w:t>
      </w:r>
      <w:r w:rsidR="00184B5C" w:rsidRPr="008A3B50">
        <w:rPr>
          <w:rFonts w:cs="Arial"/>
          <w:bCs/>
          <w:color w:val="000000"/>
          <w:szCs w:val="20"/>
        </w:rPr>
        <w:t xml:space="preserve"> </w:t>
      </w:r>
      <w:r w:rsidR="009B330C" w:rsidRPr="008A3B50">
        <w:rPr>
          <w:rFonts w:cs="Arial"/>
          <w:bCs/>
          <w:color w:val="000000"/>
          <w:szCs w:val="20"/>
        </w:rPr>
        <w:t>6</w:t>
      </w:r>
      <w:r w:rsidR="00184B5C" w:rsidRPr="008A3B50">
        <w:rPr>
          <w:rFonts w:cs="Arial"/>
          <w:bCs/>
          <w:color w:val="000000"/>
          <w:szCs w:val="20"/>
        </w:rPr>
        <w:t xml:space="preserve"> tis. </w:t>
      </w:r>
      <w:r w:rsidRPr="008A3B50">
        <w:rPr>
          <w:rFonts w:cs="Arial"/>
          <w:bCs/>
          <w:color w:val="000000"/>
          <w:szCs w:val="20"/>
        </w:rPr>
        <w:t xml:space="preserve">Nyní bylo o 18 tis. nemocensky pojištěných žen více než mužů. </w:t>
      </w:r>
      <w:r w:rsidR="00184B5C" w:rsidRPr="008A3B50">
        <w:rPr>
          <w:rFonts w:cs="Arial"/>
          <w:bCs/>
          <w:color w:val="000000"/>
          <w:szCs w:val="20"/>
        </w:rPr>
        <w:t xml:space="preserve">Meziročně </w:t>
      </w:r>
      <w:r w:rsidRPr="008A3B50">
        <w:rPr>
          <w:rFonts w:cs="Arial"/>
          <w:bCs/>
          <w:color w:val="000000"/>
          <w:szCs w:val="20"/>
        </w:rPr>
        <w:t>vzrostl</w:t>
      </w:r>
      <w:r w:rsidR="00184B5C" w:rsidRPr="008A3B50">
        <w:rPr>
          <w:rFonts w:cs="Arial"/>
          <w:bCs/>
          <w:color w:val="000000"/>
          <w:szCs w:val="20"/>
        </w:rPr>
        <w:t xml:space="preserve"> počet pojištěných mužů o </w:t>
      </w:r>
      <w:r w:rsidRPr="008A3B50">
        <w:rPr>
          <w:rFonts w:cs="Arial"/>
          <w:bCs/>
          <w:color w:val="000000"/>
          <w:szCs w:val="20"/>
        </w:rPr>
        <w:t>3</w:t>
      </w:r>
      <w:r w:rsidR="00184B5C" w:rsidRPr="008A3B50">
        <w:rPr>
          <w:rFonts w:cs="Arial"/>
          <w:bCs/>
          <w:color w:val="000000"/>
          <w:szCs w:val="20"/>
        </w:rPr>
        <w:t xml:space="preserve"> tis. (v relativním vyjádření o </w:t>
      </w:r>
      <w:r w:rsidR="009B330C" w:rsidRPr="008A3B50">
        <w:rPr>
          <w:rFonts w:cs="Arial"/>
          <w:bCs/>
          <w:color w:val="000000"/>
          <w:szCs w:val="20"/>
        </w:rPr>
        <w:t>0</w:t>
      </w:r>
      <w:r w:rsidR="00184B5C" w:rsidRPr="008A3B50">
        <w:rPr>
          <w:rFonts w:cs="Arial"/>
          <w:bCs/>
          <w:color w:val="000000"/>
          <w:szCs w:val="20"/>
        </w:rPr>
        <w:t>,</w:t>
      </w:r>
      <w:r w:rsidRPr="008A3B50">
        <w:rPr>
          <w:rFonts w:cs="Arial"/>
          <w:bCs/>
          <w:color w:val="000000"/>
          <w:szCs w:val="20"/>
        </w:rPr>
        <w:t>1</w:t>
      </w:r>
      <w:r w:rsidR="00184B5C" w:rsidRPr="008A3B50">
        <w:rPr>
          <w:rFonts w:cs="Arial"/>
          <w:bCs/>
          <w:color w:val="000000"/>
          <w:szCs w:val="20"/>
        </w:rPr>
        <w:t xml:space="preserve"> %), počet žen </w:t>
      </w:r>
      <w:r w:rsidR="009B330C" w:rsidRPr="008A3B50">
        <w:rPr>
          <w:rFonts w:cs="Arial"/>
          <w:bCs/>
          <w:color w:val="000000"/>
          <w:szCs w:val="20"/>
        </w:rPr>
        <w:t xml:space="preserve">se </w:t>
      </w:r>
      <w:r w:rsidRPr="008A3B50">
        <w:rPr>
          <w:rFonts w:cs="Arial"/>
          <w:bCs/>
          <w:color w:val="000000"/>
          <w:szCs w:val="20"/>
        </w:rPr>
        <w:t>zvýšil o 2</w:t>
      </w:r>
      <w:r w:rsidR="009B330C" w:rsidRPr="008A3B50">
        <w:rPr>
          <w:rFonts w:cs="Arial"/>
          <w:bCs/>
          <w:color w:val="000000"/>
          <w:szCs w:val="20"/>
        </w:rPr>
        <w:t>8</w:t>
      </w:r>
      <w:r w:rsidR="005D14C3" w:rsidRPr="008A3B50">
        <w:rPr>
          <w:rFonts w:cs="Arial"/>
          <w:bCs/>
          <w:color w:val="000000"/>
          <w:szCs w:val="20"/>
        </w:rPr>
        <w:t xml:space="preserve"> tis. </w:t>
      </w:r>
      <w:r w:rsidR="009B330C" w:rsidRPr="008A3B50">
        <w:rPr>
          <w:rFonts w:cs="Arial"/>
          <w:bCs/>
          <w:color w:val="000000"/>
          <w:szCs w:val="20"/>
        </w:rPr>
        <w:t>(</w:t>
      </w:r>
      <w:r w:rsidR="008A3B50" w:rsidRPr="008A3B50">
        <w:rPr>
          <w:rFonts w:cs="Arial"/>
          <w:bCs/>
          <w:color w:val="000000"/>
          <w:szCs w:val="20"/>
        </w:rPr>
        <w:t>1,2</w:t>
      </w:r>
      <w:r w:rsidR="00184B5C" w:rsidRPr="008A3B50">
        <w:rPr>
          <w:rFonts w:cs="Arial"/>
          <w:bCs/>
          <w:color w:val="000000"/>
          <w:szCs w:val="20"/>
        </w:rPr>
        <w:t xml:space="preserve"> %).</w:t>
      </w:r>
      <w:r w:rsidR="00CA23A5">
        <w:rPr>
          <w:rFonts w:cs="Arial"/>
          <w:bCs/>
          <w:color w:val="000000"/>
          <w:szCs w:val="20"/>
        </w:rPr>
        <w:t xml:space="preserve"> </w:t>
      </w:r>
    </w:p>
    <w:p w14:paraId="24342A2B" w14:textId="469C16FB" w:rsidR="00BA0B39" w:rsidRDefault="00BA0B39" w:rsidP="00BA0B39">
      <w:pPr>
        <w:spacing w:after="0" w:line="240" w:lineRule="auto"/>
        <w:rPr>
          <w:rFonts w:cs="Arial"/>
          <w:b/>
          <w:bCs/>
          <w:color w:val="000000"/>
          <w:szCs w:val="20"/>
        </w:rPr>
      </w:pPr>
      <w:r w:rsidRPr="00BA0B39">
        <w:rPr>
          <w:rFonts w:cs="Arial"/>
          <w:b/>
          <w:bCs/>
          <w:color w:val="000000"/>
          <w:szCs w:val="20"/>
        </w:rPr>
        <w:t xml:space="preserve">Tab. 1.1: Průměrný počet nemocensky pojištěných osob, </w:t>
      </w:r>
      <w:r w:rsidR="009F34CD" w:rsidRPr="0050059C">
        <w:rPr>
          <w:b/>
          <w:spacing w:val="-2"/>
        </w:rPr>
        <w:t>1. pol. 201</w:t>
      </w:r>
      <w:r w:rsidR="009F34CD">
        <w:rPr>
          <w:b/>
          <w:spacing w:val="-2"/>
        </w:rPr>
        <w:t>2</w:t>
      </w:r>
      <w:r w:rsidR="009F34CD" w:rsidRPr="0050059C">
        <w:rPr>
          <w:b/>
          <w:spacing w:val="-2"/>
        </w:rPr>
        <w:t xml:space="preserve"> až 1. pol. 202</w:t>
      </w:r>
      <w:r w:rsidR="009F34CD">
        <w:rPr>
          <w:b/>
          <w:spacing w:val="-2"/>
        </w:rPr>
        <w:t>2</w:t>
      </w:r>
      <w:r w:rsidR="009F34CD" w:rsidRPr="00BA0B39">
        <w:rPr>
          <w:rFonts w:cs="Arial"/>
          <w:b/>
          <w:bCs/>
          <w:color w:val="000000"/>
          <w:szCs w:val="20"/>
        </w:rPr>
        <w:t xml:space="preserve"> </w:t>
      </w:r>
      <w:r w:rsidRPr="00BA0B39">
        <w:rPr>
          <w:rFonts w:cs="Arial"/>
          <w:b/>
          <w:bCs/>
          <w:color w:val="000000"/>
          <w:szCs w:val="20"/>
        </w:rPr>
        <w:t>(v tis.)</w:t>
      </w:r>
    </w:p>
    <w:tbl>
      <w:tblPr>
        <w:tblW w:w="9571" w:type="dxa"/>
        <w:tblCellMar>
          <w:left w:w="70" w:type="dxa"/>
          <w:right w:w="70" w:type="dxa"/>
        </w:tblCellMar>
        <w:tblLook w:val="04A0" w:firstRow="1" w:lastRow="0" w:firstColumn="1" w:lastColumn="0" w:noHBand="0" w:noVBand="1"/>
      </w:tblPr>
      <w:tblGrid>
        <w:gridCol w:w="1304"/>
        <w:gridCol w:w="896"/>
        <w:gridCol w:w="890"/>
        <w:gridCol w:w="890"/>
        <w:gridCol w:w="1056"/>
        <w:gridCol w:w="907"/>
        <w:gridCol w:w="907"/>
        <w:gridCol w:w="907"/>
        <w:gridCol w:w="907"/>
        <w:gridCol w:w="907"/>
      </w:tblGrid>
      <w:tr w:rsidR="00BA0B39" w:rsidRPr="00BA0B39" w14:paraId="510CECD2" w14:textId="77777777" w:rsidTr="00BA0B39">
        <w:trPr>
          <w:trHeight w:val="300"/>
        </w:trPr>
        <w:tc>
          <w:tcPr>
            <w:tcW w:w="1304" w:type="dxa"/>
            <w:vMerge w:val="restart"/>
            <w:tcBorders>
              <w:top w:val="single" w:sz="4" w:space="0" w:color="auto"/>
              <w:left w:val="nil"/>
              <w:bottom w:val="single" w:sz="4" w:space="0" w:color="000000"/>
              <w:right w:val="single" w:sz="4" w:space="0" w:color="auto"/>
            </w:tcBorders>
            <w:shd w:val="clear" w:color="000000" w:fill="F5DADD"/>
            <w:vAlign w:val="center"/>
            <w:hideMark/>
          </w:tcPr>
          <w:p w14:paraId="5D5C4F5C" w14:textId="77777777" w:rsidR="00BA0B39" w:rsidRPr="00BA0B39" w:rsidRDefault="00BA0B39" w:rsidP="00BA0B39">
            <w:pPr>
              <w:spacing w:after="0" w:line="240" w:lineRule="auto"/>
              <w:jc w:val="center"/>
              <w:rPr>
                <w:rFonts w:cs="Arial"/>
                <w:sz w:val="16"/>
                <w:szCs w:val="16"/>
              </w:rPr>
            </w:pPr>
            <w:r w:rsidRPr="00BA0B39">
              <w:rPr>
                <w:rFonts w:cs="Arial"/>
                <w:sz w:val="16"/>
                <w:szCs w:val="16"/>
              </w:rPr>
              <w:t>Období</w:t>
            </w:r>
          </w:p>
        </w:tc>
        <w:tc>
          <w:tcPr>
            <w:tcW w:w="896" w:type="dxa"/>
            <w:vMerge w:val="restart"/>
            <w:tcBorders>
              <w:top w:val="single" w:sz="4" w:space="0" w:color="auto"/>
              <w:left w:val="single" w:sz="4" w:space="0" w:color="auto"/>
              <w:bottom w:val="single" w:sz="4" w:space="0" w:color="auto"/>
              <w:right w:val="single" w:sz="4" w:space="0" w:color="auto"/>
            </w:tcBorders>
            <w:shd w:val="clear" w:color="000000" w:fill="F2DBDB"/>
            <w:vAlign w:val="center"/>
            <w:hideMark/>
          </w:tcPr>
          <w:p w14:paraId="395D5A28" w14:textId="77777777" w:rsidR="00BA0B39" w:rsidRPr="00BA0B39" w:rsidRDefault="00BA0B39" w:rsidP="00BA0B39">
            <w:pPr>
              <w:spacing w:after="0" w:line="240" w:lineRule="auto"/>
              <w:jc w:val="center"/>
              <w:rPr>
                <w:rFonts w:cs="Arial"/>
                <w:b/>
                <w:bCs/>
                <w:sz w:val="16"/>
                <w:szCs w:val="16"/>
              </w:rPr>
            </w:pPr>
            <w:r w:rsidRPr="00BA0B39">
              <w:rPr>
                <w:rFonts w:cs="Arial"/>
                <w:b/>
                <w:bCs/>
                <w:sz w:val="16"/>
                <w:szCs w:val="16"/>
              </w:rPr>
              <w:t>Celkem</w:t>
            </w:r>
          </w:p>
        </w:tc>
        <w:tc>
          <w:tcPr>
            <w:tcW w:w="1780" w:type="dxa"/>
            <w:gridSpan w:val="2"/>
            <w:tcBorders>
              <w:top w:val="single" w:sz="4" w:space="0" w:color="auto"/>
              <w:left w:val="nil"/>
              <w:bottom w:val="single" w:sz="4" w:space="0" w:color="auto"/>
              <w:right w:val="single" w:sz="4" w:space="0" w:color="auto"/>
            </w:tcBorders>
            <w:shd w:val="clear" w:color="000000" w:fill="F2DBDB"/>
            <w:vAlign w:val="center"/>
            <w:hideMark/>
          </w:tcPr>
          <w:p w14:paraId="4D589349" w14:textId="77777777" w:rsidR="00BA0B39" w:rsidRPr="00BA0B39" w:rsidRDefault="00BA0B39" w:rsidP="00BA0B39">
            <w:pPr>
              <w:spacing w:after="0" w:line="240" w:lineRule="auto"/>
              <w:jc w:val="center"/>
              <w:rPr>
                <w:rFonts w:cs="Arial"/>
                <w:sz w:val="16"/>
                <w:szCs w:val="16"/>
              </w:rPr>
            </w:pPr>
            <w:r w:rsidRPr="00BA0B39">
              <w:rPr>
                <w:rFonts w:cs="Arial"/>
                <w:sz w:val="16"/>
                <w:szCs w:val="16"/>
              </w:rPr>
              <w:t>podle pohlaví</w:t>
            </w:r>
          </w:p>
        </w:tc>
        <w:tc>
          <w:tcPr>
            <w:tcW w:w="1056" w:type="dxa"/>
            <w:vMerge w:val="restart"/>
            <w:tcBorders>
              <w:top w:val="single" w:sz="4" w:space="0" w:color="auto"/>
              <w:left w:val="single" w:sz="4" w:space="0" w:color="auto"/>
              <w:right w:val="single" w:sz="4" w:space="0" w:color="auto"/>
            </w:tcBorders>
            <w:shd w:val="clear" w:color="000000" w:fill="F2DBDB"/>
            <w:vAlign w:val="center"/>
            <w:hideMark/>
          </w:tcPr>
          <w:p w14:paraId="5A1740CB" w14:textId="77777777" w:rsidR="00BA0B39" w:rsidRPr="00BA0B39" w:rsidRDefault="00BA0B39" w:rsidP="00BA0B39">
            <w:pPr>
              <w:spacing w:after="0" w:line="240" w:lineRule="auto"/>
              <w:jc w:val="center"/>
              <w:rPr>
                <w:rFonts w:cs="Arial"/>
                <w:sz w:val="16"/>
                <w:szCs w:val="16"/>
              </w:rPr>
            </w:pPr>
            <w:r w:rsidRPr="00BA0B39">
              <w:rPr>
                <w:rFonts w:cs="Arial"/>
                <w:sz w:val="16"/>
                <w:szCs w:val="16"/>
              </w:rPr>
              <w:t>Zaměstnanci</w:t>
            </w:r>
          </w:p>
        </w:tc>
        <w:tc>
          <w:tcPr>
            <w:tcW w:w="1814" w:type="dxa"/>
            <w:gridSpan w:val="2"/>
            <w:tcBorders>
              <w:top w:val="single" w:sz="4" w:space="0" w:color="auto"/>
              <w:left w:val="nil"/>
              <w:bottom w:val="single" w:sz="4" w:space="0" w:color="auto"/>
              <w:right w:val="single" w:sz="4" w:space="0" w:color="auto"/>
            </w:tcBorders>
            <w:shd w:val="clear" w:color="000000" w:fill="F2DBDB"/>
            <w:vAlign w:val="center"/>
            <w:hideMark/>
          </w:tcPr>
          <w:p w14:paraId="491D8D74" w14:textId="77777777" w:rsidR="00BA0B39" w:rsidRPr="00BA0B39" w:rsidRDefault="00BA0B39" w:rsidP="00BA0B39">
            <w:pPr>
              <w:spacing w:after="0" w:line="240" w:lineRule="auto"/>
              <w:jc w:val="center"/>
              <w:rPr>
                <w:rFonts w:cs="Arial"/>
                <w:sz w:val="16"/>
                <w:szCs w:val="16"/>
              </w:rPr>
            </w:pPr>
            <w:r w:rsidRPr="00BA0B39">
              <w:rPr>
                <w:rFonts w:cs="Arial"/>
                <w:sz w:val="16"/>
                <w:szCs w:val="16"/>
              </w:rPr>
              <w:t>podle pohlaví</w:t>
            </w:r>
          </w:p>
        </w:tc>
        <w:tc>
          <w:tcPr>
            <w:tcW w:w="907" w:type="dxa"/>
            <w:vMerge w:val="restart"/>
            <w:tcBorders>
              <w:top w:val="single" w:sz="4" w:space="0" w:color="auto"/>
              <w:left w:val="single" w:sz="4" w:space="0" w:color="auto"/>
              <w:right w:val="single" w:sz="4" w:space="0" w:color="auto"/>
            </w:tcBorders>
            <w:shd w:val="clear" w:color="000000" w:fill="F2DBDB"/>
            <w:vAlign w:val="center"/>
            <w:hideMark/>
          </w:tcPr>
          <w:p w14:paraId="0DC86F97" w14:textId="77777777" w:rsidR="00BA0B39" w:rsidRPr="00BA0B39" w:rsidRDefault="00BA0B39" w:rsidP="00BA0B39">
            <w:pPr>
              <w:spacing w:after="0" w:line="240" w:lineRule="auto"/>
              <w:jc w:val="center"/>
              <w:rPr>
                <w:rFonts w:cs="Arial"/>
                <w:sz w:val="16"/>
                <w:szCs w:val="16"/>
              </w:rPr>
            </w:pPr>
            <w:r w:rsidRPr="00BA0B39">
              <w:rPr>
                <w:rFonts w:cs="Arial"/>
                <w:sz w:val="16"/>
                <w:szCs w:val="16"/>
              </w:rPr>
              <w:t>OSVČ</w:t>
            </w:r>
          </w:p>
        </w:tc>
        <w:tc>
          <w:tcPr>
            <w:tcW w:w="1814" w:type="dxa"/>
            <w:gridSpan w:val="2"/>
            <w:tcBorders>
              <w:top w:val="single" w:sz="4" w:space="0" w:color="auto"/>
              <w:left w:val="nil"/>
              <w:bottom w:val="single" w:sz="4" w:space="0" w:color="auto"/>
            </w:tcBorders>
            <w:shd w:val="clear" w:color="000000" w:fill="F2DBDB"/>
            <w:vAlign w:val="center"/>
            <w:hideMark/>
          </w:tcPr>
          <w:p w14:paraId="5D6D9C2A" w14:textId="77777777" w:rsidR="00BA0B39" w:rsidRPr="00BA0B39" w:rsidRDefault="00BA0B39" w:rsidP="00BA0B39">
            <w:pPr>
              <w:spacing w:after="0" w:line="240" w:lineRule="auto"/>
              <w:jc w:val="center"/>
              <w:rPr>
                <w:rFonts w:cs="Arial"/>
                <w:sz w:val="16"/>
                <w:szCs w:val="16"/>
              </w:rPr>
            </w:pPr>
            <w:r w:rsidRPr="00BA0B39">
              <w:rPr>
                <w:rFonts w:cs="Arial"/>
                <w:sz w:val="16"/>
                <w:szCs w:val="16"/>
              </w:rPr>
              <w:t>podle pohlaví</w:t>
            </w:r>
          </w:p>
        </w:tc>
      </w:tr>
      <w:tr w:rsidR="00BA0B39" w:rsidRPr="00BA0B39" w14:paraId="0A155419" w14:textId="77777777" w:rsidTr="00BA0B39">
        <w:trPr>
          <w:trHeight w:val="300"/>
        </w:trPr>
        <w:tc>
          <w:tcPr>
            <w:tcW w:w="1304" w:type="dxa"/>
            <w:vMerge/>
            <w:tcBorders>
              <w:top w:val="single" w:sz="4" w:space="0" w:color="auto"/>
              <w:left w:val="nil"/>
              <w:bottom w:val="single" w:sz="4" w:space="0" w:color="000000"/>
              <w:right w:val="single" w:sz="4" w:space="0" w:color="auto"/>
            </w:tcBorders>
            <w:vAlign w:val="center"/>
            <w:hideMark/>
          </w:tcPr>
          <w:p w14:paraId="77E60DE6" w14:textId="77777777" w:rsidR="00BA0B39" w:rsidRPr="00BA0B39" w:rsidRDefault="00BA0B39" w:rsidP="00BA0B39">
            <w:pPr>
              <w:spacing w:after="0" w:line="240" w:lineRule="auto"/>
              <w:rPr>
                <w:rFonts w:cs="Arial"/>
                <w:sz w:val="16"/>
                <w:szCs w:val="16"/>
              </w:rPr>
            </w:pPr>
          </w:p>
        </w:tc>
        <w:tc>
          <w:tcPr>
            <w:tcW w:w="896" w:type="dxa"/>
            <w:vMerge/>
            <w:tcBorders>
              <w:top w:val="single" w:sz="4" w:space="0" w:color="auto"/>
              <w:left w:val="single" w:sz="4" w:space="0" w:color="auto"/>
              <w:bottom w:val="single" w:sz="4" w:space="0" w:color="auto"/>
              <w:right w:val="single" w:sz="4" w:space="0" w:color="auto"/>
            </w:tcBorders>
            <w:vAlign w:val="center"/>
            <w:hideMark/>
          </w:tcPr>
          <w:p w14:paraId="4FB03A0C" w14:textId="77777777" w:rsidR="00BA0B39" w:rsidRPr="00BA0B39" w:rsidRDefault="00BA0B39" w:rsidP="00BA0B39">
            <w:pPr>
              <w:spacing w:after="0" w:line="240" w:lineRule="auto"/>
              <w:rPr>
                <w:rFonts w:cs="Arial"/>
                <w:b/>
                <w:bCs/>
                <w:sz w:val="16"/>
                <w:szCs w:val="16"/>
              </w:rPr>
            </w:pPr>
          </w:p>
        </w:tc>
        <w:tc>
          <w:tcPr>
            <w:tcW w:w="890" w:type="dxa"/>
            <w:tcBorders>
              <w:top w:val="nil"/>
              <w:left w:val="nil"/>
              <w:bottom w:val="single" w:sz="4" w:space="0" w:color="auto"/>
              <w:right w:val="single" w:sz="4" w:space="0" w:color="auto"/>
            </w:tcBorders>
            <w:shd w:val="clear" w:color="000000" w:fill="F2DBDB"/>
            <w:vAlign w:val="center"/>
            <w:hideMark/>
          </w:tcPr>
          <w:p w14:paraId="36AFC430" w14:textId="77777777" w:rsidR="00BA0B39" w:rsidRPr="00BA0B39" w:rsidRDefault="00BA0B39" w:rsidP="00BA0B39">
            <w:pPr>
              <w:spacing w:after="0" w:line="240" w:lineRule="auto"/>
              <w:jc w:val="center"/>
              <w:rPr>
                <w:rFonts w:cs="Arial"/>
                <w:sz w:val="16"/>
                <w:szCs w:val="16"/>
              </w:rPr>
            </w:pPr>
            <w:r w:rsidRPr="00BA0B39">
              <w:rPr>
                <w:rFonts w:cs="Arial"/>
                <w:sz w:val="16"/>
                <w:szCs w:val="16"/>
              </w:rPr>
              <w:t>muži</w:t>
            </w:r>
          </w:p>
        </w:tc>
        <w:tc>
          <w:tcPr>
            <w:tcW w:w="890" w:type="dxa"/>
            <w:tcBorders>
              <w:top w:val="nil"/>
              <w:left w:val="nil"/>
              <w:bottom w:val="single" w:sz="4" w:space="0" w:color="auto"/>
              <w:right w:val="single" w:sz="4" w:space="0" w:color="auto"/>
            </w:tcBorders>
            <w:shd w:val="clear" w:color="000000" w:fill="F2DBDB"/>
            <w:vAlign w:val="center"/>
            <w:hideMark/>
          </w:tcPr>
          <w:p w14:paraId="10063983" w14:textId="77777777" w:rsidR="00BA0B39" w:rsidRPr="00BA0B39" w:rsidRDefault="00BA0B39" w:rsidP="00BA0B39">
            <w:pPr>
              <w:spacing w:after="0" w:line="240" w:lineRule="auto"/>
              <w:jc w:val="center"/>
              <w:rPr>
                <w:rFonts w:cs="Arial"/>
                <w:sz w:val="16"/>
                <w:szCs w:val="16"/>
              </w:rPr>
            </w:pPr>
            <w:r w:rsidRPr="00BA0B39">
              <w:rPr>
                <w:rFonts w:cs="Arial"/>
                <w:sz w:val="16"/>
                <w:szCs w:val="16"/>
              </w:rPr>
              <w:t>ženy</w:t>
            </w:r>
          </w:p>
        </w:tc>
        <w:tc>
          <w:tcPr>
            <w:tcW w:w="1056" w:type="dxa"/>
            <w:vMerge/>
            <w:tcBorders>
              <w:left w:val="single" w:sz="4" w:space="0" w:color="auto"/>
              <w:bottom w:val="single" w:sz="4" w:space="0" w:color="auto"/>
              <w:right w:val="single" w:sz="4" w:space="0" w:color="auto"/>
            </w:tcBorders>
            <w:vAlign w:val="center"/>
            <w:hideMark/>
          </w:tcPr>
          <w:p w14:paraId="59D9026C" w14:textId="77777777" w:rsidR="00BA0B39" w:rsidRPr="00BA0B39" w:rsidRDefault="00BA0B39" w:rsidP="00BA0B39">
            <w:pPr>
              <w:spacing w:after="0" w:line="240" w:lineRule="auto"/>
              <w:rPr>
                <w:rFonts w:cs="Arial"/>
                <w:sz w:val="16"/>
                <w:szCs w:val="16"/>
              </w:rPr>
            </w:pPr>
          </w:p>
        </w:tc>
        <w:tc>
          <w:tcPr>
            <w:tcW w:w="907" w:type="dxa"/>
            <w:tcBorders>
              <w:top w:val="nil"/>
              <w:left w:val="nil"/>
              <w:bottom w:val="single" w:sz="4" w:space="0" w:color="auto"/>
              <w:right w:val="single" w:sz="4" w:space="0" w:color="auto"/>
            </w:tcBorders>
            <w:shd w:val="clear" w:color="000000" w:fill="F2DBDB"/>
            <w:vAlign w:val="center"/>
            <w:hideMark/>
          </w:tcPr>
          <w:p w14:paraId="753ECD09" w14:textId="77777777" w:rsidR="00BA0B39" w:rsidRPr="00BA0B39" w:rsidRDefault="00BA0B39" w:rsidP="00BA0B39">
            <w:pPr>
              <w:spacing w:after="0" w:line="240" w:lineRule="auto"/>
              <w:jc w:val="center"/>
              <w:rPr>
                <w:rFonts w:cs="Arial"/>
                <w:sz w:val="16"/>
                <w:szCs w:val="16"/>
              </w:rPr>
            </w:pPr>
            <w:r w:rsidRPr="00BA0B39">
              <w:rPr>
                <w:rFonts w:cs="Arial"/>
                <w:sz w:val="16"/>
                <w:szCs w:val="16"/>
              </w:rPr>
              <w:t>muži</w:t>
            </w:r>
          </w:p>
        </w:tc>
        <w:tc>
          <w:tcPr>
            <w:tcW w:w="907" w:type="dxa"/>
            <w:tcBorders>
              <w:top w:val="nil"/>
              <w:left w:val="nil"/>
              <w:bottom w:val="single" w:sz="4" w:space="0" w:color="auto"/>
              <w:right w:val="single" w:sz="4" w:space="0" w:color="auto"/>
            </w:tcBorders>
            <w:shd w:val="clear" w:color="000000" w:fill="F2DBDB"/>
            <w:vAlign w:val="center"/>
            <w:hideMark/>
          </w:tcPr>
          <w:p w14:paraId="054CD061" w14:textId="77777777" w:rsidR="00BA0B39" w:rsidRPr="00BA0B39" w:rsidRDefault="00BA0B39" w:rsidP="00BA0B39">
            <w:pPr>
              <w:spacing w:after="0" w:line="240" w:lineRule="auto"/>
              <w:jc w:val="center"/>
              <w:rPr>
                <w:rFonts w:cs="Arial"/>
                <w:sz w:val="16"/>
                <w:szCs w:val="16"/>
              </w:rPr>
            </w:pPr>
            <w:r w:rsidRPr="00BA0B39">
              <w:rPr>
                <w:rFonts w:cs="Arial"/>
                <w:sz w:val="16"/>
                <w:szCs w:val="16"/>
              </w:rPr>
              <w:t>ženy</w:t>
            </w:r>
          </w:p>
        </w:tc>
        <w:tc>
          <w:tcPr>
            <w:tcW w:w="907" w:type="dxa"/>
            <w:vMerge/>
            <w:tcBorders>
              <w:left w:val="single" w:sz="4" w:space="0" w:color="auto"/>
              <w:bottom w:val="single" w:sz="4" w:space="0" w:color="auto"/>
              <w:right w:val="single" w:sz="4" w:space="0" w:color="auto"/>
            </w:tcBorders>
            <w:vAlign w:val="center"/>
            <w:hideMark/>
          </w:tcPr>
          <w:p w14:paraId="6EE2C153" w14:textId="77777777" w:rsidR="00BA0B39" w:rsidRPr="00BA0B39" w:rsidRDefault="00BA0B39" w:rsidP="00BA0B39">
            <w:pPr>
              <w:spacing w:after="0" w:line="240" w:lineRule="auto"/>
              <w:rPr>
                <w:rFonts w:cs="Arial"/>
                <w:sz w:val="16"/>
                <w:szCs w:val="16"/>
              </w:rPr>
            </w:pPr>
          </w:p>
        </w:tc>
        <w:tc>
          <w:tcPr>
            <w:tcW w:w="907" w:type="dxa"/>
            <w:tcBorders>
              <w:top w:val="nil"/>
              <w:left w:val="nil"/>
              <w:bottom w:val="single" w:sz="4" w:space="0" w:color="auto"/>
              <w:right w:val="single" w:sz="4" w:space="0" w:color="auto"/>
            </w:tcBorders>
            <w:shd w:val="clear" w:color="000000" w:fill="F2DBDB"/>
            <w:vAlign w:val="center"/>
            <w:hideMark/>
          </w:tcPr>
          <w:p w14:paraId="0C1F6DD0" w14:textId="77777777" w:rsidR="00BA0B39" w:rsidRPr="00BA0B39" w:rsidRDefault="00BA0B39" w:rsidP="00BA0B39">
            <w:pPr>
              <w:spacing w:after="0" w:line="240" w:lineRule="auto"/>
              <w:jc w:val="center"/>
              <w:rPr>
                <w:rFonts w:cs="Arial"/>
                <w:sz w:val="16"/>
                <w:szCs w:val="16"/>
              </w:rPr>
            </w:pPr>
            <w:r w:rsidRPr="00BA0B39">
              <w:rPr>
                <w:rFonts w:cs="Arial"/>
                <w:sz w:val="16"/>
                <w:szCs w:val="16"/>
              </w:rPr>
              <w:t>muži</w:t>
            </w:r>
          </w:p>
        </w:tc>
        <w:tc>
          <w:tcPr>
            <w:tcW w:w="907" w:type="dxa"/>
            <w:tcBorders>
              <w:top w:val="nil"/>
              <w:left w:val="nil"/>
              <w:bottom w:val="single" w:sz="4" w:space="0" w:color="auto"/>
              <w:right w:val="nil"/>
            </w:tcBorders>
            <w:shd w:val="clear" w:color="000000" w:fill="F2DBDB"/>
            <w:vAlign w:val="center"/>
            <w:hideMark/>
          </w:tcPr>
          <w:p w14:paraId="2CC48454" w14:textId="77777777" w:rsidR="00BA0B39" w:rsidRPr="00BA0B39" w:rsidRDefault="00BA0B39" w:rsidP="00BA0B39">
            <w:pPr>
              <w:spacing w:after="0" w:line="240" w:lineRule="auto"/>
              <w:jc w:val="center"/>
              <w:rPr>
                <w:rFonts w:cs="Arial"/>
                <w:sz w:val="16"/>
                <w:szCs w:val="16"/>
              </w:rPr>
            </w:pPr>
            <w:r w:rsidRPr="00BA0B39">
              <w:rPr>
                <w:rFonts w:cs="Arial"/>
                <w:sz w:val="16"/>
                <w:szCs w:val="16"/>
              </w:rPr>
              <w:t>ženy</w:t>
            </w:r>
          </w:p>
        </w:tc>
      </w:tr>
      <w:tr w:rsidR="00BA0B39" w:rsidRPr="00BA0B39" w14:paraId="7C5EB7F6" w14:textId="77777777" w:rsidTr="00BA0B39">
        <w:trPr>
          <w:trHeight w:val="300"/>
        </w:trPr>
        <w:tc>
          <w:tcPr>
            <w:tcW w:w="1304" w:type="dxa"/>
            <w:tcBorders>
              <w:top w:val="nil"/>
              <w:left w:val="nil"/>
              <w:bottom w:val="nil"/>
              <w:right w:val="single" w:sz="4" w:space="0" w:color="auto"/>
            </w:tcBorders>
            <w:shd w:val="clear" w:color="auto" w:fill="auto"/>
            <w:vAlign w:val="center"/>
            <w:hideMark/>
          </w:tcPr>
          <w:p w14:paraId="6F4804CB" w14:textId="77777777" w:rsidR="00BA0B39" w:rsidRPr="00BA0B39" w:rsidRDefault="00BA0B39" w:rsidP="00BA0B39">
            <w:pPr>
              <w:spacing w:after="0" w:line="240" w:lineRule="auto"/>
              <w:jc w:val="center"/>
              <w:rPr>
                <w:rFonts w:cs="Arial"/>
                <w:sz w:val="16"/>
                <w:szCs w:val="16"/>
              </w:rPr>
            </w:pPr>
            <w:r w:rsidRPr="00BA0B39">
              <w:rPr>
                <w:rFonts w:cs="Arial"/>
                <w:sz w:val="16"/>
                <w:szCs w:val="16"/>
              </w:rPr>
              <w:t>1. pol. 2012</w:t>
            </w:r>
          </w:p>
        </w:tc>
        <w:tc>
          <w:tcPr>
            <w:tcW w:w="896" w:type="dxa"/>
            <w:tcBorders>
              <w:top w:val="nil"/>
              <w:left w:val="single" w:sz="4" w:space="0" w:color="auto"/>
              <w:bottom w:val="nil"/>
              <w:right w:val="nil"/>
            </w:tcBorders>
            <w:shd w:val="clear" w:color="auto" w:fill="auto"/>
            <w:noWrap/>
            <w:vAlign w:val="center"/>
            <w:hideMark/>
          </w:tcPr>
          <w:p w14:paraId="38ECC50D" w14:textId="77777777" w:rsidR="00BA0B39" w:rsidRPr="00BA0B39" w:rsidRDefault="00BA0B39" w:rsidP="00BA0B39">
            <w:pPr>
              <w:spacing w:after="0" w:line="240" w:lineRule="auto"/>
              <w:jc w:val="right"/>
              <w:rPr>
                <w:rFonts w:cs="Arial"/>
                <w:sz w:val="16"/>
                <w:szCs w:val="16"/>
              </w:rPr>
            </w:pPr>
            <w:r w:rsidRPr="00BA0B39">
              <w:rPr>
                <w:rFonts w:cs="Arial"/>
                <w:sz w:val="16"/>
                <w:szCs w:val="16"/>
              </w:rPr>
              <w:t>4 459,0</w:t>
            </w:r>
          </w:p>
        </w:tc>
        <w:tc>
          <w:tcPr>
            <w:tcW w:w="890" w:type="dxa"/>
            <w:tcBorders>
              <w:top w:val="nil"/>
              <w:left w:val="nil"/>
              <w:bottom w:val="nil"/>
              <w:right w:val="nil"/>
            </w:tcBorders>
            <w:shd w:val="clear" w:color="auto" w:fill="auto"/>
            <w:vAlign w:val="center"/>
            <w:hideMark/>
          </w:tcPr>
          <w:p w14:paraId="6E504D60" w14:textId="77777777" w:rsidR="00BA0B39" w:rsidRPr="00BA0B39" w:rsidRDefault="00BA0B39" w:rsidP="00BA0B39">
            <w:pPr>
              <w:spacing w:after="0" w:line="240" w:lineRule="auto"/>
              <w:jc w:val="right"/>
              <w:rPr>
                <w:rFonts w:cs="Arial"/>
                <w:sz w:val="16"/>
                <w:szCs w:val="16"/>
              </w:rPr>
            </w:pPr>
            <w:r w:rsidRPr="00BA0B39">
              <w:rPr>
                <w:rFonts w:cs="Arial"/>
                <w:sz w:val="16"/>
                <w:szCs w:val="16"/>
              </w:rPr>
              <w:t>2 269,1</w:t>
            </w:r>
          </w:p>
        </w:tc>
        <w:tc>
          <w:tcPr>
            <w:tcW w:w="890" w:type="dxa"/>
            <w:tcBorders>
              <w:top w:val="nil"/>
              <w:left w:val="nil"/>
              <w:bottom w:val="nil"/>
              <w:right w:val="single" w:sz="4" w:space="0" w:color="auto"/>
            </w:tcBorders>
            <w:shd w:val="clear" w:color="auto" w:fill="auto"/>
            <w:noWrap/>
            <w:vAlign w:val="center"/>
            <w:hideMark/>
          </w:tcPr>
          <w:p w14:paraId="19B54AEC" w14:textId="77777777" w:rsidR="00BA0B39" w:rsidRPr="00BA0B39" w:rsidRDefault="00BA0B39" w:rsidP="00BA0B39">
            <w:pPr>
              <w:spacing w:after="0" w:line="240" w:lineRule="auto"/>
              <w:jc w:val="right"/>
              <w:rPr>
                <w:rFonts w:cs="Arial"/>
                <w:sz w:val="16"/>
                <w:szCs w:val="16"/>
              </w:rPr>
            </w:pPr>
            <w:r w:rsidRPr="00BA0B39">
              <w:rPr>
                <w:rFonts w:cs="Arial"/>
                <w:sz w:val="16"/>
                <w:szCs w:val="16"/>
              </w:rPr>
              <w:t>2 189,9</w:t>
            </w:r>
          </w:p>
        </w:tc>
        <w:tc>
          <w:tcPr>
            <w:tcW w:w="1056" w:type="dxa"/>
            <w:tcBorders>
              <w:top w:val="nil"/>
              <w:left w:val="nil"/>
              <w:bottom w:val="nil"/>
              <w:right w:val="nil"/>
            </w:tcBorders>
            <w:shd w:val="clear" w:color="auto" w:fill="auto"/>
            <w:noWrap/>
            <w:vAlign w:val="center"/>
            <w:hideMark/>
          </w:tcPr>
          <w:p w14:paraId="5B07FAB4" w14:textId="77777777" w:rsidR="00BA0B39" w:rsidRPr="00BA0B39" w:rsidRDefault="00BA0B39" w:rsidP="00BA0B39">
            <w:pPr>
              <w:spacing w:after="0" w:line="240" w:lineRule="auto"/>
              <w:jc w:val="right"/>
              <w:rPr>
                <w:rFonts w:cs="Arial"/>
                <w:sz w:val="16"/>
                <w:szCs w:val="16"/>
              </w:rPr>
            </w:pPr>
            <w:r w:rsidRPr="00BA0B39">
              <w:rPr>
                <w:rFonts w:cs="Arial"/>
                <w:sz w:val="16"/>
                <w:szCs w:val="16"/>
              </w:rPr>
              <w:t>4 344,5</w:t>
            </w:r>
          </w:p>
        </w:tc>
        <w:tc>
          <w:tcPr>
            <w:tcW w:w="907" w:type="dxa"/>
            <w:tcBorders>
              <w:top w:val="nil"/>
              <w:left w:val="nil"/>
              <w:bottom w:val="nil"/>
              <w:right w:val="nil"/>
            </w:tcBorders>
            <w:shd w:val="clear" w:color="auto" w:fill="auto"/>
            <w:vAlign w:val="center"/>
            <w:hideMark/>
          </w:tcPr>
          <w:p w14:paraId="5C29A35B" w14:textId="77777777" w:rsidR="00BA0B39" w:rsidRPr="00BA0B39" w:rsidRDefault="00BA0B39" w:rsidP="00BA0B39">
            <w:pPr>
              <w:spacing w:after="0" w:line="240" w:lineRule="auto"/>
              <w:jc w:val="right"/>
              <w:rPr>
                <w:rFonts w:cs="Arial"/>
                <w:sz w:val="16"/>
                <w:szCs w:val="16"/>
              </w:rPr>
            </w:pPr>
            <w:r w:rsidRPr="00BA0B39">
              <w:rPr>
                <w:rFonts w:cs="Arial"/>
                <w:sz w:val="16"/>
                <w:szCs w:val="16"/>
              </w:rPr>
              <w:t>2 196,1</w:t>
            </w:r>
          </w:p>
        </w:tc>
        <w:tc>
          <w:tcPr>
            <w:tcW w:w="907" w:type="dxa"/>
            <w:tcBorders>
              <w:top w:val="nil"/>
              <w:left w:val="nil"/>
              <w:bottom w:val="nil"/>
              <w:right w:val="single" w:sz="4" w:space="0" w:color="auto"/>
            </w:tcBorders>
            <w:shd w:val="clear" w:color="auto" w:fill="auto"/>
            <w:vAlign w:val="center"/>
            <w:hideMark/>
          </w:tcPr>
          <w:p w14:paraId="446CBD57" w14:textId="77777777" w:rsidR="00BA0B39" w:rsidRPr="00BA0B39" w:rsidRDefault="00BA0B39" w:rsidP="00BA0B39">
            <w:pPr>
              <w:spacing w:after="0" w:line="240" w:lineRule="auto"/>
              <w:jc w:val="right"/>
              <w:rPr>
                <w:rFonts w:cs="Arial"/>
                <w:sz w:val="16"/>
                <w:szCs w:val="16"/>
              </w:rPr>
            </w:pPr>
            <w:r w:rsidRPr="00BA0B39">
              <w:rPr>
                <w:rFonts w:cs="Arial"/>
                <w:sz w:val="16"/>
                <w:szCs w:val="16"/>
              </w:rPr>
              <w:t>2 148,4</w:t>
            </w:r>
          </w:p>
        </w:tc>
        <w:tc>
          <w:tcPr>
            <w:tcW w:w="907" w:type="dxa"/>
            <w:tcBorders>
              <w:top w:val="nil"/>
              <w:left w:val="nil"/>
              <w:bottom w:val="nil"/>
              <w:right w:val="nil"/>
            </w:tcBorders>
            <w:shd w:val="clear" w:color="auto" w:fill="auto"/>
            <w:noWrap/>
            <w:vAlign w:val="center"/>
            <w:hideMark/>
          </w:tcPr>
          <w:p w14:paraId="1AA87FEF" w14:textId="77777777" w:rsidR="00BA0B39" w:rsidRPr="00BA0B39" w:rsidRDefault="00BA0B39" w:rsidP="00BA0B39">
            <w:pPr>
              <w:spacing w:after="0" w:line="240" w:lineRule="auto"/>
              <w:jc w:val="right"/>
              <w:rPr>
                <w:rFonts w:cs="Arial"/>
                <w:sz w:val="16"/>
                <w:szCs w:val="16"/>
              </w:rPr>
            </w:pPr>
            <w:r w:rsidRPr="00BA0B39">
              <w:rPr>
                <w:rFonts w:cs="Arial"/>
                <w:sz w:val="16"/>
                <w:szCs w:val="16"/>
              </w:rPr>
              <w:t>114,5</w:t>
            </w:r>
          </w:p>
        </w:tc>
        <w:tc>
          <w:tcPr>
            <w:tcW w:w="907" w:type="dxa"/>
            <w:tcBorders>
              <w:top w:val="nil"/>
              <w:left w:val="nil"/>
              <w:bottom w:val="nil"/>
              <w:right w:val="nil"/>
            </w:tcBorders>
            <w:shd w:val="clear" w:color="auto" w:fill="auto"/>
            <w:vAlign w:val="center"/>
            <w:hideMark/>
          </w:tcPr>
          <w:p w14:paraId="4D40B8AF" w14:textId="77777777" w:rsidR="00BA0B39" w:rsidRPr="00BA0B39" w:rsidRDefault="00BA0B39" w:rsidP="00BA0B39">
            <w:pPr>
              <w:spacing w:after="0" w:line="240" w:lineRule="auto"/>
              <w:jc w:val="right"/>
              <w:rPr>
                <w:rFonts w:cs="Arial"/>
                <w:sz w:val="16"/>
                <w:szCs w:val="16"/>
              </w:rPr>
            </w:pPr>
            <w:r w:rsidRPr="00BA0B39">
              <w:rPr>
                <w:rFonts w:cs="Arial"/>
                <w:sz w:val="16"/>
                <w:szCs w:val="16"/>
              </w:rPr>
              <w:t>73,1</w:t>
            </w:r>
          </w:p>
        </w:tc>
        <w:tc>
          <w:tcPr>
            <w:tcW w:w="907" w:type="dxa"/>
            <w:tcBorders>
              <w:top w:val="nil"/>
              <w:left w:val="nil"/>
              <w:bottom w:val="nil"/>
              <w:right w:val="nil"/>
            </w:tcBorders>
            <w:shd w:val="clear" w:color="auto" w:fill="auto"/>
            <w:noWrap/>
            <w:vAlign w:val="center"/>
            <w:hideMark/>
          </w:tcPr>
          <w:p w14:paraId="46F9E8A4" w14:textId="77777777" w:rsidR="00BA0B39" w:rsidRPr="00BA0B39" w:rsidRDefault="00BA0B39" w:rsidP="00BA0B39">
            <w:pPr>
              <w:spacing w:after="0" w:line="240" w:lineRule="auto"/>
              <w:jc w:val="right"/>
              <w:rPr>
                <w:rFonts w:cs="Arial"/>
                <w:sz w:val="16"/>
                <w:szCs w:val="16"/>
              </w:rPr>
            </w:pPr>
            <w:r w:rsidRPr="00BA0B39">
              <w:rPr>
                <w:rFonts w:cs="Arial"/>
                <w:sz w:val="16"/>
                <w:szCs w:val="16"/>
              </w:rPr>
              <w:t>41,5</w:t>
            </w:r>
          </w:p>
        </w:tc>
      </w:tr>
      <w:tr w:rsidR="00BA0B39" w:rsidRPr="00BA0B39" w14:paraId="473DF373" w14:textId="77777777" w:rsidTr="00BA0B39">
        <w:trPr>
          <w:trHeight w:val="300"/>
        </w:trPr>
        <w:tc>
          <w:tcPr>
            <w:tcW w:w="1304" w:type="dxa"/>
            <w:tcBorders>
              <w:top w:val="nil"/>
              <w:left w:val="nil"/>
              <w:bottom w:val="nil"/>
              <w:right w:val="single" w:sz="4" w:space="0" w:color="auto"/>
            </w:tcBorders>
            <w:shd w:val="clear" w:color="auto" w:fill="auto"/>
            <w:vAlign w:val="center"/>
            <w:hideMark/>
          </w:tcPr>
          <w:p w14:paraId="58C45725" w14:textId="77777777" w:rsidR="00BA0B39" w:rsidRPr="00BA0B39" w:rsidRDefault="00BA0B39" w:rsidP="00BA0B39">
            <w:pPr>
              <w:spacing w:after="0" w:line="240" w:lineRule="auto"/>
              <w:jc w:val="center"/>
              <w:rPr>
                <w:rFonts w:cs="Arial"/>
                <w:sz w:val="16"/>
                <w:szCs w:val="16"/>
              </w:rPr>
            </w:pPr>
            <w:r w:rsidRPr="00BA0B39">
              <w:rPr>
                <w:rFonts w:cs="Arial"/>
                <w:sz w:val="16"/>
                <w:szCs w:val="16"/>
              </w:rPr>
              <w:t>1. pol. 2013</w:t>
            </w:r>
          </w:p>
        </w:tc>
        <w:tc>
          <w:tcPr>
            <w:tcW w:w="896" w:type="dxa"/>
            <w:tcBorders>
              <w:top w:val="nil"/>
              <w:left w:val="single" w:sz="4" w:space="0" w:color="auto"/>
              <w:bottom w:val="nil"/>
              <w:right w:val="nil"/>
            </w:tcBorders>
            <w:shd w:val="clear" w:color="auto" w:fill="auto"/>
            <w:noWrap/>
            <w:vAlign w:val="center"/>
            <w:hideMark/>
          </w:tcPr>
          <w:p w14:paraId="7F500D2A" w14:textId="77777777" w:rsidR="00BA0B39" w:rsidRPr="00BA0B39" w:rsidRDefault="00BA0B39" w:rsidP="00BA0B39">
            <w:pPr>
              <w:spacing w:after="0" w:line="240" w:lineRule="auto"/>
              <w:jc w:val="right"/>
              <w:rPr>
                <w:rFonts w:cs="Arial"/>
                <w:sz w:val="16"/>
                <w:szCs w:val="16"/>
              </w:rPr>
            </w:pPr>
            <w:r w:rsidRPr="00BA0B39">
              <w:rPr>
                <w:rFonts w:cs="Arial"/>
                <w:sz w:val="16"/>
                <w:szCs w:val="16"/>
              </w:rPr>
              <w:t>4 415,4</w:t>
            </w:r>
          </w:p>
        </w:tc>
        <w:tc>
          <w:tcPr>
            <w:tcW w:w="890" w:type="dxa"/>
            <w:tcBorders>
              <w:top w:val="nil"/>
              <w:left w:val="nil"/>
              <w:bottom w:val="nil"/>
              <w:right w:val="nil"/>
            </w:tcBorders>
            <w:shd w:val="clear" w:color="auto" w:fill="auto"/>
            <w:vAlign w:val="center"/>
            <w:hideMark/>
          </w:tcPr>
          <w:p w14:paraId="3D160596" w14:textId="77777777" w:rsidR="00BA0B39" w:rsidRPr="00BA0B39" w:rsidRDefault="00BA0B39" w:rsidP="00BA0B39">
            <w:pPr>
              <w:spacing w:after="0" w:line="240" w:lineRule="auto"/>
              <w:jc w:val="right"/>
              <w:rPr>
                <w:rFonts w:cs="Arial"/>
                <w:sz w:val="16"/>
                <w:szCs w:val="16"/>
              </w:rPr>
            </w:pPr>
            <w:r w:rsidRPr="00BA0B39">
              <w:rPr>
                <w:rFonts w:cs="Arial"/>
                <w:sz w:val="16"/>
                <w:szCs w:val="16"/>
              </w:rPr>
              <w:t>2 248,2</w:t>
            </w:r>
          </w:p>
        </w:tc>
        <w:tc>
          <w:tcPr>
            <w:tcW w:w="890" w:type="dxa"/>
            <w:tcBorders>
              <w:top w:val="nil"/>
              <w:left w:val="nil"/>
              <w:bottom w:val="nil"/>
              <w:right w:val="single" w:sz="4" w:space="0" w:color="auto"/>
            </w:tcBorders>
            <w:shd w:val="clear" w:color="auto" w:fill="auto"/>
            <w:noWrap/>
            <w:vAlign w:val="center"/>
            <w:hideMark/>
          </w:tcPr>
          <w:p w14:paraId="10E112C1" w14:textId="77777777" w:rsidR="00BA0B39" w:rsidRPr="00BA0B39" w:rsidRDefault="00BA0B39" w:rsidP="00BA0B39">
            <w:pPr>
              <w:spacing w:after="0" w:line="240" w:lineRule="auto"/>
              <w:jc w:val="right"/>
              <w:rPr>
                <w:rFonts w:cs="Arial"/>
                <w:sz w:val="16"/>
                <w:szCs w:val="16"/>
              </w:rPr>
            </w:pPr>
            <w:r w:rsidRPr="00BA0B39">
              <w:rPr>
                <w:rFonts w:cs="Arial"/>
                <w:sz w:val="16"/>
                <w:szCs w:val="16"/>
              </w:rPr>
              <w:t>2 167,3</w:t>
            </w:r>
          </w:p>
        </w:tc>
        <w:tc>
          <w:tcPr>
            <w:tcW w:w="1056" w:type="dxa"/>
            <w:tcBorders>
              <w:top w:val="nil"/>
              <w:left w:val="nil"/>
              <w:bottom w:val="nil"/>
              <w:right w:val="nil"/>
            </w:tcBorders>
            <w:shd w:val="clear" w:color="auto" w:fill="auto"/>
            <w:noWrap/>
            <w:vAlign w:val="center"/>
            <w:hideMark/>
          </w:tcPr>
          <w:p w14:paraId="25991FA0" w14:textId="77777777" w:rsidR="00BA0B39" w:rsidRPr="00BA0B39" w:rsidRDefault="00BA0B39" w:rsidP="00BA0B39">
            <w:pPr>
              <w:spacing w:after="0" w:line="240" w:lineRule="auto"/>
              <w:jc w:val="right"/>
              <w:rPr>
                <w:rFonts w:cs="Arial"/>
                <w:sz w:val="16"/>
                <w:szCs w:val="16"/>
              </w:rPr>
            </w:pPr>
            <w:r w:rsidRPr="00BA0B39">
              <w:rPr>
                <w:rFonts w:cs="Arial"/>
                <w:sz w:val="16"/>
                <w:szCs w:val="16"/>
              </w:rPr>
              <w:t>4 311,3</w:t>
            </w:r>
          </w:p>
        </w:tc>
        <w:tc>
          <w:tcPr>
            <w:tcW w:w="907" w:type="dxa"/>
            <w:tcBorders>
              <w:top w:val="nil"/>
              <w:left w:val="nil"/>
              <w:bottom w:val="nil"/>
              <w:right w:val="nil"/>
            </w:tcBorders>
            <w:shd w:val="clear" w:color="auto" w:fill="auto"/>
            <w:vAlign w:val="center"/>
            <w:hideMark/>
          </w:tcPr>
          <w:p w14:paraId="7E5F08B9" w14:textId="77777777" w:rsidR="00BA0B39" w:rsidRPr="00BA0B39" w:rsidRDefault="00BA0B39" w:rsidP="00BA0B39">
            <w:pPr>
              <w:spacing w:after="0" w:line="240" w:lineRule="auto"/>
              <w:jc w:val="right"/>
              <w:rPr>
                <w:rFonts w:cs="Arial"/>
                <w:sz w:val="16"/>
                <w:szCs w:val="16"/>
              </w:rPr>
            </w:pPr>
            <w:r w:rsidRPr="00BA0B39">
              <w:rPr>
                <w:rFonts w:cs="Arial"/>
                <w:sz w:val="16"/>
                <w:szCs w:val="16"/>
              </w:rPr>
              <w:t>2 182,4</w:t>
            </w:r>
          </w:p>
        </w:tc>
        <w:tc>
          <w:tcPr>
            <w:tcW w:w="907" w:type="dxa"/>
            <w:tcBorders>
              <w:top w:val="nil"/>
              <w:left w:val="nil"/>
              <w:bottom w:val="nil"/>
              <w:right w:val="single" w:sz="4" w:space="0" w:color="auto"/>
            </w:tcBorders>
            <w:shd w:val="clear" w:color="auto" w:fill="auto"/>
            <w:vAlign w:val="center"/>
            <w:hideMark/>
          </w:tcPr>
          <w:p w14:paraId="1EDEABFA" w14:textId="77777777" w:rsidR="00BA0B39" w:rsidRPr="00BA0B39" w:rsidRDefault="00BA0B39" w:rsidP="00BA0B39">
            <w:pPr>
              <w:spacing w:after="0" w:line="240" w:lineRule="auto"/>
              <w:jc w:val="right"/>
              <w:rPr>
                <w:rFonts w:cs="Arial"/>
                <w:sz w:val="16"/>
                <w:szCs w:val="16"/>
              </w:rPr>
            </w:pPr>
            <w:r w:rsidRPr="00BA0B39">
              <w:rPr>
                <w:rFonts w:cs="Arial"/>
                <w:sz w:val="16"/>
                <w:szCs w:val="16"/>
              </w:rPr>
              <w:t>2 128,9</w:t>
            </w:r>
          </w:p>
        </w:tc>
        <w:tc>
          <w:tcPr>
            <w:tcW w:w="907" w:type="dxa"/>
            <w:tcBorders>
              <w:top w:val="nil"/>
              <w:left w:val="nil"/>
              <w:bottom w:val="nil"/>
              <w:right w:val="nil"/>
            </w:tcBorders>
            <w:shd w:val="clear" w:color="auto" w:fill="auto"/>
            <w:noWrap/>
            <w:vAlign w:val="center"/>
            <w:hideMark/>
          </w:tcPr>
          <w:p w14:paraId="5F785894" w14:textId="77777777" w:rsidR="00BA0B39" w:rsidRPr="00BA0B39" w:rsidRDefault="00BA0B39" w:rsidP="00BA0B39">
            <w:pPr>
              <w:spacing w:after="0" w:line="240" w:lineRule="auto"/>
              <w:jc w:val="right"/>
              <w:rPr>
                <w:rFonts w:cs="Arial"/>
                <w:sz w:val="16"/>
                <w:szCs w:val="16"/>
              </w:rPr>
            </w:pPr>
            <w:r w:rsidRPr="00BA0B39">
              <w:rPr>
                <w:rFonts w:cs="Arial"/>
                <w:sz w:val="16"/>
                <w:szCs w:val="16"/>
              </w:rPr>
              <w:t>104,1</w:t>
            </w:r>
          </w:p>
        </w:tc>
        <w:tc>
          <w:tcPr>
            <w:tcW w:w="907" w:type="dxa"/>
            <w:tcBorders>
              <w:top w:val="nil"/>
              <w:left w:val="nil"/>
              <w:bottom w:val="nil"/>
              <w:right w:val="nil"/>
            </w:tcBorders>
            <w:shd w:val="clear" w:color="auto" w:fill="auto"/>
            <w:vAlign w:val="center"/>
            <w:hideMark/>
          </w:tcPr>
          <w:p w14:paraId="26EB1FE7" w14:textId="77777777" w:rsidR="00BA0B39" w:rsidRPr="00BA0B39" w:rsidRDefault="00BA0B39" w:rsidP="00BA0B39">
            <w:pPr>
              <w:spacing w:after="0" w:line="240" w:lineRule="auto"/>
              <w:jc w:val="right"/>
              <w:rPr>
                <w:rFonts w:cs="Arial"/>
                <w:sz w:val="16"/>
                <w:szCs w:val="16"/>
              </w:rPr>
            </w:pPr>
            <w:r w:rsidRPr="00BA0B39">
              <w:rPr>
                <w:rFonts w:cs="Arial"/>
                <w:sz w:val="16"/>
                <w:szCs w:val="16"/>
              </w:rPr>
              <w:t>65,8</w:t>
            </w:r>
          </w:p>
        </w:tc>
        <w:tc>
          <w:tcPr>
            <w:tcW w:w="907" w:type="dxa"/>
            <w:tcBorders>
              <w:top w:val="nil"/>
              <w:left w:val="nil"/>
              <w:bottom w:val="nil"/>
              <w:right w:val="nil"/>
            </w:tcBorders>
            <w:shd w:val="clear" w:color="auto" w:fill="auto"/>
            <w:noWrap/>
            <w:vAlign w:val="center"/>
            <w:hideMark/>
          </w:tcPr>
          <w:p w14:paraId="2533973E" w14:textId="77777777" w:rsidR="00BA0B39" w:rsidRPr="00BA0B39" w:rsidRDefault="00BA0B39" w:rsidP="00BA0B39">
            <w:pPr>
              <w:spacing w:after="0" w:line="240" w:lineRule="auto"/>
              <w:jc w:val="right"/>
              <w:rPr>
                <w:rFonts w:cs="Arial"/>
                <w:sz w:val="16"/>
                <w:szCs w:val="16"/>
              </w:rPr>
            </w:pPr>
            <w:r w:rsidRPr="00BA0B39">
              <w:rPr>
                <w:rFonts w:cs="Arial"/>
                <w:sz w:val="16"/>
                <w:szCs w:val="16"/>
              </w:rPr>
              <w:t>38,3</w:t>
            </w:r>
          </w:p>
        </w:tc>
      </w:tr>
      <w:tr w:rsidR="00BA0B39" w:rsidRPr="00BA0B39" w14:paraId="3CE1D441" w14:textId="77777777" w:rsidTr="00BA0B39">
        <w:trPr>
          <w:trHeight w:val="300"/>
        </w:trPr>
        <w:tc>
          <w:tcPr>
            <w:tcW w:w="1304" w:type="dxa"/>
            <w:tcBorders>
              <w:top w:val="nil"/>
              <w:left w:val="nil"/>
              <w:bottom w:val="nil"/>
              <w:right w:val="single" w:sz="4" w:space="0" w:color="auto"/>
            </w:tcBorders>
            <w:shd w:val="clear" w:color="auto" w:fill="auto"/>
            <w:vAlign w:val="center"/>
            <w:hideMark/>
          </w:tcPr>
          <w:p w14:paraId="2EB15905" w14:textId="77777777" w:rsidR="00BA0B39" w:rsidRPr="00BA0B39" w:rsidRDefault="00BA0B39" w:rsidP="00BA0B39">
            <w:pPr>
              <w:spacing w:after="0" w:line="240" w:lineRule="auto"/>
              <w:jc w:val="center"/>
              <w:rPr>
                <w:rFonts w:cs="Arial"/>
                <w:sz w:val="16"/>
                <w:szCs w:val="16"/>
              </w:rPr>
            </w:pPr>
            <w:r w:rsidRPr="00BA0B39">
              <w:rPr>
                <w:rFonts w:cs="Arial"/>
                <w:sz w:val="16"/>
                <w:szCs w:val="16"/>
              </w:rPr>
              <w:t>1. pol. 2014</w:t>
            </w:r>
          </w:p>
        </w:tc>
        <w:tc>
          <w:tcPr>
            <w:tcW w:w="896" w:type="dxa"/>
            <w:tcBorders>
              <w:top w:val="nil"/>
              <w:left w:val="single" w:sz="4" w:space="0" w:color="auto"/>
              <w:bottom w:val="nil"/>
              <w:right w:val="nil"/>
            </w:tcBorders>
            <w:shd w:val="clear" w:color="auto" w:fill="auto"/>
            <w:noWrap/>
            <w:vAlign w:val="center"/>
            <w:hideMark/>
          </w:tcPr>
          <w:p w14:paraId="64B0F147" w14:textId="77777777" w:rsidR="00BA0B39" w:rsidRPr="00BA0B39" w:rsidRDefault="00BA0B39" w:rsidP="00BA0B39">
            <w:pPr>
              <w:spacing w:after="0" w:line="240" w:lineRule="auto"/>
              <w:jc w:val="right"/>
              <w:rPr>
                <w:rFonts w:cs="Arial"/>
                <w:sz w:val="16"/>
                <w:szCs w:val="16"/>
              </w:rPr>
            </w:pPr>
            <w:r w:rsidRPr="00BA0B39">
              <w:rPr>
                <w:rFonts w:cs="Arial"/>
                <w:sz w:val="16"/>
                <w:szCs w:val="16"/>
              </w:rPr>
              <w:t>4 413,5</w:t>
            </w:r>
          </w:p>
        </w:tc>
        <w:tc>
          <w:tcPr>
            <w:tcW w:w="890" w:type="dxa"/>
            <w:tcBorders>
              <w:top w:val="nil"/>
              <w:left w:val="nil"/>
              <w:bottom w:val="nil"/>
              <w:right w:val="nil"/>
            </w:tcBorders>
            <w:shd w:val="clear" w:color="auto" w:fill="auto"/>
            <w:vAlign w:val="center"/>
            <w:hideMark/>
          </w:tcPr>
          <w:p w14:paraId="7325102D" w14:textId="77777777" w:rsidR="00BA0B39" w:rsidRPr="00BA0B39" w:rsidRDefault="00BA0B39" w:rsidP="00BA0B39">
            <w:pPr>
              <w:spacing w:after="0" w:line="240" w:lineRule="auto"/>
              <w:jc w:val="right"/>
              <w:rPr>
                <w:rFonts w:cs="Arial"/>
                <w:sz w:val="16"/>
                <w:szCs w:val="16"/>
              </w:rPr>
            </w:pPr>
            <w:r w:rsidRPr="00BA0B39">
              <w:rPr>
                <w:rFonts w:cs="Arial"/>
                <w:sz w:val="16"/>
                <w:szCs w:val="16"/>
              </w:rPr>
              <w:t>2 247,8</w:t>
            </w:r>
          </w:p>
        </w:tc>
        <w:tc>
          <w:tcPr>
            <w:tcW w:w="890" w:type="dxa"/>
            <w:tcBorders>
              <w:top w:val="nil"/>
              <w:left w:val="nil"/>
              <w:bottom w:val="nil"/>
              <w:right w:val="single" w:sz="4" w:space="0" w:color="auto"/>
            </w:tcBorders>
            <w:shd w:val="clear" w:color="auto" w:fill="auto"/>
            <w:noWrap/>
            <w:vAlign w:val="center"/>
            <w:hideMark/>
          </w:tcPr>
          <w:p w14:paraId="6FEA70F3" w14:textId="77777777" w:rsidR="00BA0B39" w:rsidRPr="00BA0B39" w:rsidRDefault="00BA0B39" w:rsidP="00BA0B39">
            <w:pPr>
              <w:spacing w:after="0" w:line="240" w:lineRule="auto"/>
              <w:jc w:val="right"/>
              <w:rPr>
                <w:rFonts w:cs="Arial"/>
                <w:sz w:val="16"/>
                <w:szCs w:val="16"/>
              </w:rPr>
            </w:pPr>
            <w:r w:rsidRPr="00BA0B39">
              <w:rPr>
                <w:rFonts w:cs="Arial"/>
                <w:sz w:val="16"/>
                <w:szCs w:val="16"/>
              </w:rPr>
              <w:t>2 165,7</w:t>
            </w:r>
          </w:p>
        </w:tc>
        <w:tc>
          <w:tcPr>
            <w:tcW w:w="1056" w:type="dxa"/>
            <w:tcBorders>
              <w:top w:val="nil"/>
              <w:left w:val="nil"/>
              <w:bottom w:val="nil"/>
              <w:right w:val="nil"/>
            </w:tcBorders>
            <w:shd w:val="clear" w:color="auto" w:fill="auto"/>
            <w:noWrap/>
            <w:vAlign w:val="center"/>
            <w:hideMark/>
          </w:tcPr>
          <w:p w14:paraId="0FFC1BFB" w14:textId="77777777" w:rsidR="00BA0B39" w:rsidRPr="00BA0B39" w:rsidRDefault="00BA0B39" w:rsidP="00BA0B39">
            <w:pPr>
              <w:spacing w:after="0" w:line="240" w:lineRule="auto"/>
              <w:jc w:val="right"/>
              <w:rPr>
                <w:rFonts w:cs="Arial"/>
                <w:sz w:val="16"/>
                <w:szCs w:val="16"/>
              </w:rPr>
            </w:pPr>
            <w:r w:rsidRPr="00BA0B39">
              <w:rPr>
                <w:rFonts w:cs="Arial"/>
                <w:sz w:val="16"/>
                <w:szCs w:val="16"/>
              </w:rPr>
              <w:t>4 314,2</w:t>
            </w:r>
          </w:p>
        </w:tc>
        <w:tc>
          <w:tcPr>
            <w:tcW w:w="907" w:type="dxa"/>
            <w:tcBorders>
              <w:top w:val="nil"/>
              <w:left w:val="nil"/>
              <w:bottom w:val="nil"/>
              <w:right w:val="nil"/>
            </w:tcBorders>
            <w:shd w:val="clear" w:color="auto" w:fill="auto"/>
            <w:vAlign w:val="center"/>
            <w:hideMark/>
          </w:tcPr>
          <w:p w14:paraId="55CA2FD8" w14:textId="77777777" w:rsidR="00BA0B39" w:rsidRPr="00BA0B39" w:rsidRDefault="00BA0B39" w:rsidP="00BA0B39">
            <w:pPr>
              <w:spacing w:after="0" w:line="240" w:lineRule="auto"/>
              <w:jc w:val="right"/>
              <w:rPr>
                <w:rFonts w:cs="Arial"/>
                <w:sz w:val="16"/>
                <w:szCs w:val="16"/>
              </w:rPr>
            </w:pPr>
            <w:r w:rsidRPr="00BA0B39">
              <w:rPr>
                <w:rFonts w:cs="Arial"/>
                <w:sz w:val="16"/>
                <w:szCs w:val="16"/>
              </w:rPr>
              <w:t>2 185,7</w:t>
            </w:r>
          </w:p>
        </w:tc>
        <w:tc>
          <w:tcPr>
            <w:tcW w:w="907" w:type="dxa"/>
            <w:tcBorders>
              <w:top w:val="nil"/>
              <w:left w:val="nil"/>
              <w:bottom w:val="nil"/>
              <w:right w:val="single" w:sz="4" w:space="0" w:color="auto"/>
            </w:tcBorders>
            <w:shd w:val="clear" w:color="auto" w:fill="auto"/>
            <w:vAlign w:val="center"/>
            <w:hideMark/>
          </w:tcPr>
          <w:p w14:paraId="489A4C22" w14:textId="77777777" w:rsidR="00BA0B39" w:rsidRPr="00BA0B39" w:rsidRDefault="00BA0B39" w:rsidP="00BA0B39">
            <w:pPr>
              <w:spacing w:after="0" w:line="240" w:lineRule="auto"/>
              <w:jc w:val="right"/>
              <w:rPr>
                <w:rFonts w:cs="Arial"/>
                <w:sz w:val="16"/>
                <w:szCs w:val="16"/>
              </w:rPr>
            </w:pPr>
            <w:r w:rsidRPr="00BA0B39">
              <w:rPr>
                <w:rFonts w:cs="Arial"/>
                <w:sz w:val="16"/>
                <w:szCs w:val="16"/>
              </w:rPr>
              <w:t>2 128,6</w:t>
            </w:r>
          </w:p>
        </w:tc>
        <w:tc>
          <w:tcPr>
            <w:tcW w:w="907" w:type="dxa"/>
            <w:tcBorders>
              <w:top w:val="nil"/>
              <w:left w:val="nil"/>
              <w:bottom w:val="nil"/>
              <w:right w:val="nil"/>
            </w:tcBorders>
            <w:shd w:val="clear" w:color="auto" w:fill="auto"/>
            <w:noWrap/>
            <w:vAlign w:val="center"/>
            <w:hideMark/>
          </w:tcPr>
          <w:p w14:paraId="626785F2" w14:textId="77777777" w:rsidR="00BA0B39" w:rsidRPr="00BA0B39" w:rsidRDefault="00BA0B39" w:rsidP="00BA0B39">
            <w:pPr>
              <w:spacing w:after="0" w:line="240" w:lineRule="auto"/>
              <w:jc w:val="right"/>
              <w:rPr>
                <w:rFonts w:cs="Arial"/>
                <w:sz w:val="16"/>
                <w:szCs w:val="16"/>
              </w:rPr>
            </w:pPr>
            <w:r w:rsidRPr="00BA0B39">
              <w:rPr>
                <w:rFonts w:cs="Arial"/>
                <w:sz w:val="16"/>
                <w:szCs w:val="16"/>
              </w:rPr>
              <w:t>99,3</w:t>
            </w:r>
          </w:p>
        </w:tc>
        <w:tc>
          <w:tcPr>
            <w:tcW w:w="907" w:type="dxa"/>
            <w:tcBorders>
              <w:top w:val="nil"/>
              <w:left w:val="nil"/>
              <w:bottom w:val="nil"/>
              <w:right w:val="nil"/>
            </w:tcBorders>
            <w:shd w:val="clear" w:color="auto" w:fill="auto"/>
            <w:vAlign w:val="center"/>
            <w:hideMark/>
          </w:tcPr>
          <w:p w14:paraId="388A8DB3" w14:textId="77777777" w:rsidR="00BA0B39" w:rsidRPr="00BA0B39" w:rsidRDefault="00BA0B39" w:rsidP="00BA0B39">
            <w:pPr>
              <w:spacing w:after="0" w:line="240" w:lineRule="auto"/>
              <w:jc w:val="right"/>
              <w:rPr>
                <w:rFonts w:cs="Arial"/>
                <w:sz w:val="16"/>
                <w:szCs w:val="16"/>
              </w:rPr>
            </w:pPr>
            <w:r w:rsidRPr="00BA0B39">
              <w:rPr>
                <w:rFonts w:cs="Arial"/>
                <w:sz w:val="16"/>
                <w:szCs w:val="16"/>
              </w:rPr>
              <w:t>62,1</w:t>
            </w:r>
          </w:p>
        </w:tc>
        <w:tc>
          <w:tcPr>
            <w:tcW w:w="907" w:type="dxa"/>
            <w:tcBorders>
              <w:top w:val="nil"/>
              <w:left w:val="nil"/>
              <w:bottom w:val="nil"/>
              <w:right w:val="nil"/>
            </w:tcBorders>
            <w:shd w:val="clear" w:color="auto" w:fill="auto"/>
            <w:vAlign w:val="center"/>
            <w:hideMark/>
          </w:tcPr>
          <w:p w14:paraId="366ADE60" w14:textId="77777777" w:rsidR="00BA0B39" w:rsidRPr="00BA0B39" w:rsidRDefault="00BA0B39" w:rsidP="00BA0B39">
            <w:pPr>
              <w:spacing w:after="0" w:line="240" w:lineRule="auto"/>
              <w:jc w:val="right"/>
              <w:rPr>
                <w:rFonts w:cs="Arial"/>
                <w:sz w:val="16"/>
                <w:szCs w:val="16"/>
              </w:rPr>
            </w:pPr>
            <w:r w:rsidRPr="00BA0B39">
              <w:rPr>
                <w:rFonts w:cs="Arial"/>
                <w:sz w:val="16"/>
                <w:szCs w:val="16"/>
              </w:rPr>
              <w:t>37,2</w:t>
            </w:r>
          </w:p>
        </w:tc>
      </w:tr>
      <w:tr w:rsidR="00BA0B39" w:rsidRPr="00BA0B39" w14:paraId="42237B84" w14:textId="77777777" w:rsidTr="00BA0B39">
        <w:trPr>
          <w:trHeight w:val="300"/>
        </w:trPr>
        <w:tc>
          <w:tcPr>
            <w:tcW w:w="1304" w:type="dxa"/>
            <w:tcBorders>
              <w:top w:val="nil"/>
              <w:left w:val="nil"/>
              <w:bottom w:val="nil"/>
              <w:right w:val="single" w:sz="4" w:space="0" w:color="auto"/>
            </w:tcBorders>
            <w:shd w:val="clear" w:color="auto" w:fill="auto"/>
            <w:vAlign w:val="center"/>
            <w:hideMark/>
          </w:tcPr>
          <w:p w14:paraId="3E98911D" w14:textId="77777777" w:rsidR="00BA0B39" w:rsidRPr="00BA0B39" w:rsidRDefault="00BA0B39" w:rsidP="00BA0B39">
            <w:pPr>
              <w:spacing w:after="0" w:line="240" w:lineRule="auto"/>
              <w:jc w:val="center"/>
              <w:rPr>
                <w:rFonts w:cs="Arial"/>
                <w:sz w:val="16"/>
                <w:szCs w:val="16"/>
              </w:rPr>
            </w:pPr>
            <w:r w:rsidRPr="00BA0B39">
              <w:rPr>
                <w:rFonts w:cs="Arial"/>
                <w:sz w:val="16"/>
                <w:szCs w:val="16"/>
              </w:rPr>
              <w:t>1. pol. 2015</w:t>
            </w:r>
          </w:p>
        </w:tc>
        <w:tc>
          <w:tcPr>
            <w:tcW w:w="896" w:type="dxa"/>
            <w:tcBorders>
              <w:top w:val="nil"/>
              <w:left w:val="single" w:sz="4" w:space="0" w:color="auto"/>
              <w:bottom w:val="nil"/>
              <w:right w:val="nil"/>
            </w:tcBorders>
            <w:shd w:val="clear" w:color="auto" w:fill="auto"/>
            <w:noWrap/>
            <w:vAlign w:val="center"/>
            <w:hideMark/>
          </w:tcPr>
          <w:p w14:paraId="7E03D4A8" w14:textId="77777777" w:rsidR="00BA0B39" w:rsidRPr="00BA0B39" w:rsidRDefault="00BA0B39" w:rsidP="00BA0B39">
            <w:pPr>
              <w:spacing w:after="0" w:line="240" w:lineRule="auto"/>
              <w:jc w:val="right"/>
              <w:rPr>
                <w:rFonts w:cs="Arial"/>
                <w:sz w:val="16"/>
                <w:szCs w:val="16"/>
              </w:rPr>
            </w:pPr>
            <w:r w:rsidRPr="00BA0B39">
              <w:rPr>
                <w:rFonts w:cs="Arial"/>
                <w:sz w:val="16"/>
                <w:szCs w:val="16"/>
              </w:rPr>
              <w:t>4 471,4</w:t>
            </w:r>
          </w:p>
        </w:tc>
        <w:tc>
          <w:tcPr>
            <w:tcW w:w="890" w:type="dxa"/>
            <w:tcBorders>
              <w:top w:val="nil"/>
              <w:left w:val="nil"/>
              <w:bottom w:val="nil"/>
              <w:right w:val="nil"/>
            </w:tcBorders>
            <w:shd w:val="clear" w:color="auto" w:fill="auto"/>
            <w:vAlign w:val="center"/>
            <w:hideMark/>
          </w:tcPr>
          <w:p w14:paraId="74022A0A" w14:textId="77777777" w:rsidR="00BA0B39" w:rsidRPr="00BA0B39" w:rsidRDefault="00BA0B39" w:rsidP="00BA0B39">
            <w:pPr>
              <w:spacing w:after="0" w:line="240" w:lineRule="auto"/>
              <w:jc w:val="right"/>
              <w:rPr>
                <w:rFonts w:cs="Arial"/>
                <w:sz w:val="16"/>
                <w:szCs w:val="16"/>
              </w:rPr>
            </w:pPr>
            <w:r w:rsidRPr="00BA0B39">
              <w:rPr>
                <w:rFonts w:cs="Arial"/>
                <w:sz w:val="16"/>
                <w:szCs w:val="16"/>
              </w:rPr>
              <w:t>2 280,3</w:t>
            </w:r>
          </w:p>
        </w:tc>
        <w:tc>
          <w:tcPr>
            <w:tcW w:w="890" w:type="dxa"/>
            <w:tcBorders>
              <w:top w:val="nil"/>
              <w:left w:val="nil"/>
              <w:bottom w:val="nil"/>
              <w:right w:val="single" w:sz="4" w:space="0" w:color="auto"/>
            </w:tcBorders>
            <w:shd w:val="clear" w:color="auto" w:fill="auto"/>
            <w:noWrap/>
            <w:vAlign w:val="center"/>
            <w:hideMark/>
          </w:tcPr>
          <w:p w14:paraId="1213A8F6" w14:textId="77777777" w:rsidR="00BA0B39" w:rsidRPr="00BA0B39" w:rsidRDefault="00BA0B39" w:rsidP="00BA0B39">
            <w:pPr>
              <w:spacing w:after="0" w:line="240" w:lineRule="auto"/>
              <w:jc w:val="right"/>
              <w:rPr>
                <w:rFonts w:cs="Arial"/>
                <w:sz w:val="16"/>
                <w:szCs w:val="16"/>
              </w:rPr>
            </w:pPr>
            <w:r w:rsidRPr="00BA0B39">
              <w:rPr>
                <w:rFonts w:cs="Arial"/>
                <w:sz w:val="16"/>
                <w:szCs w:val="16"/>
              </w:rPr>
              <w:t>2 191,1</w:t>
            </w:r>
          </w:p>
        </w:tc>
        <w:tc>
          <w:tcPr>
            <w:tcW w:w="1056" w:type="dxa"/>
            <w:tcBorders>
              <w:top w:val="nil"/>
              <w:left w:val="nil"/>
              <w:bottom w:val="nil"/>
              <w:right w:val="nil"/>
            </w:tcBorders>
            <w:shd w:val="clear" w:color="auto" w:fill="auto"/>
            <w:noWrap/>
            <w:vAlign w:val="center"/>
            <w:hideMark/>
          </w:tcPr>
          <w:p w14:paraId="1745AB6E" w14:textId="77777777" w:rsidR="00BA0B39" w:rsidRPr="00BA0B39" w:rsidRDefault="00BA0B39" w:rsidP="00BA0B39">
            <w:pPr>
              <w:spacing w:after="0" w:line="240" w:lineRule="auto"/>
              <w:jc w:val="right"/>
              <w:rPr>
                <w:rFonts w:cs="Arial"/>
                <w:sz w:val="16"/>
                <w:szCs w:val="16"/>
              </w:rPr>
            </w:pPr>
            <w:r w:rsidRPr="00BA0B39">
              <w:rPr>
                <w:rFonts w:cs="Arial"/>
                <w:sz w:val="16"/>
                <w:szCs w:val="16"/>
              </w:rPr>
              <w:t>4 382,9</w:t>
            </w:r>
          </w:p>
        </w:tc>
        <w:tc>
          <w:tcPr>
            <w:tcW w:w="907" w:type="dxa"/>
            <w:tcBorders>
              <w:top w:val="nil"/>
              <w:left w:val="nil"/>
              <w:bottom w:val="nil"/>
              <w:right w:val="nil"/>
            </w:tcBorders>
            <w:shd w:val="clear" w:color="auto" w:fill="auto"/>
            <w:vAlign w:val="center"/>
            <w:hideMark/>
          </w:tcPr>
          <w:p w14:paraId="66CE4811" w14:textId="77777777" w:rsidR="00BA0B39" w:rsidRPr="00BA0B39" w:rsidRDefault="00BA0B39" w:rsidP="00BA0B39">
            <w:pPr>
              <w:spacing w:after="0" w:line="240" w:lineRule="auto"/>
              <w:jc w:val="right"/>
              <w:rPr>
                <w:rFonts w:cs="Arial"/>
                <w:sz w:val="16"/>
                <w:szCs w:val="16"/>
              </w:rPr>
            </w:pPr>
            <w:r w:rsidRPr="00BA0B39">
              <w:rPr>
                <w:rFonts w:cs="Arial"/>
                <w:sz w:val="16"/>
                <w:szCs w:val="16"/>
              </w:rPr>
              <w:t>2 230,2</w:t>
            </w:r>
          </w:p>
        </w:tc>
        <w:tc>
          <w:tcPr>
            <w:tcW w:w="907" w:type="dxa"/>
            <w:tcBorders>
              <w:top w:val="nil"/>
              <w:left w:val="nil"/>
              <w:bottom w:val="nil"/>
              <w:right w:val="single" w:sz="4" w:space="0" w:color="auto"/>
            </w:tcBorders>
            <w:shd w:val="clear" w:color="auto" w:fill="auto"/>
            <w:vAlign w:val="center"/>
            <w:hideMark/>
          </w:tcPr>
          <w:p w14:paraId="12AF9B5B" w14:textId="77777777" w:rsidR="00BA0B39" w:rsidRPr="00BA0B39" w:rsidRDefault="00BA0B39" w:rsidP="00BA0B39">
            <w:pPr>
              <w:spacing w:after="0" w:line="240" w:lineRule="auto"/>
              <w:jc w:val="right"/>
              <w:rPr>
                <w:rFonts w:cs="Arial"/>
                <w:sz w:val="16"/>
                <w:szCs w:val="16"/>
              </w:rPr>
            </w:pPr>
            <w:r w:rsidRPr="00BA0B39">
              <w:rPr>
                <w:rFonts w:cs="Arial"/>
                <w:sz w:val="16"/>
                <w:szCs w:val="16"/>
              </w:rPr>
              <w:t>2 152,6</w:t>
            </w:r>
          </w:p>
        </w:tc>
        <w:tc>
          <w:tcPr>
            <w:tcW w:w="907" w:type="dxa"/>
            <w:tcBorders>
              <w:top w:val="nil"/>
              <w:left w:val="nil"/>
              <w:bottom w:val="nil"/>
              <w:right w:val="nil"/>
            </w:tcBorders>
            <w:shd w:val="clear" w:color="auto" w:fill="auto"/>
            <w:noWrap/>
            <w:vAlign w:val="center"/>
            <w:hideMark/>
          </w:tcPr>
          <w:p w14:paraId="75E7AA1A" w14:textId="77777777" w:rsidR="00BA0B39" w:rsidRPr="00BA0B39" w:rsidRDefault="00BA0B39" w:rsidP="00BA0B39">
            <w:pPr>
              <w:spacing w:after="0" w:line="240" w:lineRule="auto"/>
              <w:jc w:val="right"/>
              <w:rPr>
                <w:rFonts w:cs="Arial"/>
                <w:sz w:val="16"/>
                <w:szCs w:val="16"/>
              </w:rPr>
            </w:pPr>
            <w:r w:rsidRPr="00BA0B39">
              <w:rPr>
                <w:rFonts w:cs="Arial"/>
                <w:sz w:val="16"/>
                <w:szCs w:val="16"/>
              </w:rPr>
              <w:t>88,5</w:t>
            </w:r>
          </w:p>
        </w:tc>
        <w:tc>
          <w:tcPr>
            <w:tcW w:w="907" w:type="dxa"/>
            <w:tcBorders>
              <w:top w:val="nil"/>
              <w:left w:val="nil"/>
              <w:bottom w:val="nil"/>
              <w:right w:val="nil"/>
            </w:tcBorders>
            <w:shd w:val="clear" w:color="auto" w:fill="auto"/>
            <w:vAlign w:val="center"/>
            <w:hideMark/>
          </w:tcPr>
          <w:p w14:paraId="5375A28D" w14:textId="77777777" w:rsidR="00BA0B39" w:rsidRPr="00BA0B39" w:rsidRDefault="00BA0B39" w:rsidP="00BA0B39">
            <w:pPr>
              <w:spacing w:after="0" w:line="240" w:lineRule="auto"/>
              <w:jc w:val="right"/>
              <w:rPr>
                <w:rFonts w:cs="Arial"/>
                <w:sz w:val="16"/>
                <w:szCs w:val="16"/>
              </w:rPr>
            </w:pPr>
            <w:r w:rsidRPr="00BA0B39">
              <w:rPr>
                <w:rFonts w:cs="Arial"/>
                <w:sz w:val="16"/>
                <w:szCs w:val="16"/>
              </w:rPr>
              <w:t>50,0</w:t>
            </w:r>
          </w:p>
        </w:tc>
        <w:tc>
          <w:tcPr>
            <w:tcW w:w="907" w:type="dxa"/>
            <w:tcBorders>
              <w:top w:val="nil"/>
              <w:left w:val="nil"/>
              <w:bottom w:val="nil"/>
              <w:right w:val="nil"/>
            </w:tcBorders>
            <w:shd w:val="clear" w:color="auto" w:fill="auto"/>
            <w:noWrap/>
            <w:vAlign w:val="center"/>
            <w:hideMark/>
          </w:tcPr>
          <w:p w14:paraId="62E9E5D8" w14:textId="77777777" w:rsidR="00BA0B39" w:rsidRPr="00BA0B39" w:rsidRDefault="00BA0B39" w:rsidP="00BA0B39">
            <w:pPr>
              <w:spacing w:after="0" w:line="240" w:lineRule="auto"/>
              <w:jc w:val="right"/>
              <w:rPr>
                <w:rFonts w:cs="Arial"/>
                <w:sz w:val="16"/>
                <w:szCs w:val="16"/>
              </w:rPr>
            </w:pPr>
            <w:r w:rsidRPr="00BA0B39">
              <w:rPr>
                <w:rFonts w:cs="Arial"/>
                <w:sz w:val="16"/>
                <w:szCs w:val="16"/>
              </w:rPr>
              <w:t>38,4</w:t>
            </w:r>
          </w:p>
        </w:tc>
      </w:tr>
      <w:tr w:rsidR="00BA0B39" w:rsidRPr="00BA0B39" w14:paraId="557F17E9" w14:textId="77777777" w:rsidTr="00BA0B39">
        <w:trPr>
          <w:trHeight w:val="300"/>
        </w:trPr>
        <w:tc>
          <w:tcPr>
            <w:tcW w:w="1304" w:type="dxa"/>
            <w:tcBorders>
              <w:top w:val="nil"/>
              <w:left w:val="nil"/>
              <w:bottom w:val="nil"/>
              <w:right w:val="single" w:sz="4" w:space="0" w:color="auto"/>
            </w:tcBorders>
            <w:shd w:val="clear" w:color="auto" w:fill="auto"/>
            <w:vAlign w:val="center"/>
            <w:hideMark/>
          </w:tcPr>
          <w:p w14:paraId="66464DF1" w14:textId="77777777" w:rsidR="00BA0B39" w:rsidRPr="00BA0B39" w:rsidRDefault="00BA0B39" w:rsidP="00BA0B39">
            <w:pPr>
              <w:spacing w:after="0" w:line="240" w:lineRule="auto"/>
              <w:jc w:val="center"/>
              <w:rPr>
                <w:rFonts w:cs="Arial"/>
                <w:sz w:val="16"/>
                <w:szCs w:val="16"/>
              </w:rPr>
            </w:pPr>
            <w:r w:rsidRPr="00BA0B39">
              <w:rPr>
                <w:rFonts w:cs="Arial"/>
                <w:sz w:val="16"/>
                <w:szCs w:val="16"/>
              </w:rPr>
              <w:t>1. pol. 2016</w:t>
            </w:r>
          </w:p>
        </w:tc>
        <w:tc>
          <w:tcPr>
            <w:tcW w:w="896" w:type="dxa"/>
            <w:tcBorders>
              <w:top w:val="nil"/>
              <w:left w:val="single" w:sz="4" w:space="0" w:color="auto"/>
              <w:bottom w:val="nil"/>
              <w:right w:val="nil"/>
            </w:tcBorders>
            <w:shd w:val="clear" w:color="auto" w:fill="auto"/>
            <w:noWrap/>
            <w:vAlign w:val="center"/>
            <w:hideMark/>
          </w:tcPr>
          <w:p w14:paraId="32291255" w14:textId="77777777" w:rsidR="00BA0B39" w:rsidRPr="00BA0B39" w:rsidRDefault="00BA0B39" w:rsidP="00BA0B39">
            <w:pPr>
              <w:spacing w:after="0" w:line="240" w:lineRule="auto"/>
              <w:jc w:val="right"/>
              <w:rPr>
                <w:rFonts w:cs="Arial"/>
                <w:sz w:val="16"/>
                <w:szCs w:val="16"/>
              </w:rPr>
            </w:pPr>
            <w:r w:rsidRPr="00BA0B39">
              <w:rPr>
                <w:rFonts w:cs="Arial"/>
                <w:sz w:val="16"/>
                <w:szCs w:val="16"/>
              </w:rPr>
              <w:t>4 539,5</w:t>
            </w:r>
          </w:p>
        </w:tc>
        <w:tc>
          <w:tcPr>
            <w:tcW w:w="890" w:type="dxa"/>
            <w:tcBorders>
              <w:top w:val="nil"/>
              <w:left w:val="nil"/>
              <w:bottom w:val="nil"/>
              <w:right w:val="nil"/>
            </w:tcBorders>
            <w:shd w:val="clear" w:color="auto" w:fill="auto"/>
            <w:vAlign w:val="center"/>
            <w:hideMark/>
          </w:tcPr>
          <w:p w14:paraId="6CB1236A" w14:textId="77777777" w:rsidR="00BA0B39" w:rsidRPr="00BA0B39" w:rsidRDefault="00BA0B39" w:rsidP="00BA0B39">
            <w:pPr>
              <w:spacing w:after="0" w:line="240" w:lineRule="auto"/>
              <w:jc w:val="right"/>
              <w:rPr>
                <w:rFonts w:cs="Arial"/>
                <w:sz w:val="16"/>
                <w:szCs w:val="16"/>
              </w:rPr>
            </w:pPr>
            <w:r w:rsidRPr="00BA0B39">
              <w:rPr>
                <w:rFonts w:cs="Arial"/>
                <w:sz w:val="16"/>
                <w:szCs w:val="16"/>
              </w:rPr>
              <w:t>2 312,2</w:t>
            </w:r>
          </w:p>
        </w:tc>
        <w:tc>
          <w:tcPr>
            <w:tcW w:w="890" w:type="dxa"/>
            <w:tcBorders>
              <w:top w:val="nil"/>
              <w:left w:val="nil"/>
              <w:bottom w:val="nil"/>
              <w:right w:val="single" w:sz="4" w:space="0" w:color="auto"/>
            </w:tcBorders>
            <w:shd w:val="clear" w:color="auto" w:fill="auto"/>
            <w:noWrap/>
            <w:vAlign w:val="center"/>
            <w:hideMark/>
          </w:tcPr>
          <w:p w14:paraId="62A87FDC"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2 227,3</w:t>
            </w:r>
          </w:p>
        </w:tc>
        <w:tc>
          <w:tcPr>
            <w:tcW w:w="1056" w:type="dxa"/>
            <w:tcBorders>
              <w:top w:val="nil"/>
              <w:left w:val="nil"/>
              <w:bottom w:val="nil"/>
              <w:right w:val="nil"/>
            </w:tcBorders>
            <w:shd w:val="clear" w:color="auto" w:fill="auto"/>
            <w:noWrap/>
            <w:vAlign w:val="center"/>
            <w:hideMark/>
          </w:tcPr>
          <w:p w14:paraId="753DF98E" w14:textId="77777777" w:rsidR="00BA0B39" w:rsidRPr="00BA0B39" w:rsidRDefault="00BA0B39" w:rsidP="00BA0B39">
            <w:pPr>
              <w:spacing w:after="0" w:line="240" w:lineRule="auto"/>
              <w:jc w:val="right"/>
              <w:rPr>
                <w:rFonts w:cs="Arial"/>
                <w:sz w:val="16"/>
                <w:szCs w:val="16"/>
              </w:rPr>
            </w:pPr>
            <w:r w:rsidRPr="00BA0B39">
              <w:rPr>
                <w:rFonts w:cs="Arial"/>
                <w:sz w:val="16"/>
                <w:szCs w:val="16"/>
              </w:rPr>
              <w:t>4 451,0</w:t>
            </w:r>
          </w:p>
        </w:tc>
        <w:tc>
          <w:tcPr>
            <w:tcW w:w="907" w:type="dxa"/>
            <w:tcBorders>
              <w:top w:val="nil"/>
              <w:left w:val="nil"/>
              <w:bottom w:val="nil"/>
              <w:right w:val="nil"/>
            </w:tcBorders>
            <w:shd w:val="clear" w:color="auto" w:fill="auto"/>
            <w:vAlign w:val="center"/>
            <w:hideMark/>
          </w:tcPr>
          <w:p w14:paraId="659BA63C" w14:textId="77777777" w:rsidR="00BA0B39" w:rsidRPr="00BA0B39" w:rsidRDefault="00BA0B39" w:rsidP="00BA0B39">
            <w:pPr>
              <w:spacing w:after="0" w:line="240" w:lineRule="auto"/>
              <w:jc w:val="right"/>
              <w:rPr>
                <w:rFonts w:cs="Arial"/>
                <w:sz w:val="16"/>
                <w:szCs w:val="16"/>
              </w:rPr>
            </w:pPr>
            <w:r w:rsidRPr="00BA0B39">
              <w:rPr>
                <w:rFonts w:cs="Arial"/>
                <w:sz w:val="16"/>
                <w:szCs w:val="16"/>
              </w:rPr>
              <w:t>2 262,7</w:t>
            </w:r>
          </w:p>
        </w:tc>
        <w:tc>
          <w:tcPr>
            <w:tcW w:w="907" w:type="dxa"/>
            <w:tcBorders>
              <w:top w:val="nil"/>
              <w:left w:val="nil"/>
              <w:bottom w:val="nil"/>
              <w:right w:val="single" w:sz="4" w:space="0" w:color="auto"/>
            </w:tcBorders>
            <w:shd w:val="clear" w:color="auto" w:fill="auto"/>
            <w:vAlign w:val="center"/>
            <w:hideMark/>
          </w:tcPr>
          <w:p w14:paraId="1F452A22" w14:textId="77777777" w:rsidR="00BA0B39" w:rsidRPr="00BA0B39" w:rsidRDefault="00BA0B39" w:rsidP="00BA0B39">
            <w:pPr>
              <w:spacing w:after="0" w:line="240" w:lineRule="auto"/>
              <w:jc w:val="right"/>
              <w:rPr>
                <w:rFonts w:cs="Arial"/>
                <w:sz w:val="16"/>
                <w:szCs w:val="16"/>
              </w:rPr>
            </w:pPr>
            <w:r w:rsidRPr="00BA0B39">
              <w:rPr>
                <w:rFonts w:cs="Arial"/>
                <w:sz w:val="16"/>
                <w:szCs w:val="16"/>
              </w:rPr>
              <w:t>2 188,3</w:t>
            </w:r>
          </w:p>
        </w:tc>
        <w:tc>
          <w:tcPr>
            <w:tcW w:w="907" w:type="dxa"/>
            <w:tcBorders>
              <w:top w:val="nil"/>
              <w:left w:val="nil"/>
              <w:bottom w:val="nil"/>
              <w:right w:val="nil"/>
            </w:tcBorders>
            <w:shd w:val="clear" w:color="auto" w:fill="auto"/>
            <w:noWrap/>
            <w:vAlign w:val="center"/>
            <w:hideMark/>
          </w:tcPr>
          <w:p w14:paraId="3B6E2821"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88,6</w:t>
            </w:r>
          </w:p>
        </w:tc>
        <w:tc>
          <w:tcPr>
            <w:tcW w:w="907" w:type="dxa"/>
            <w:tcBorders>
              <w:top w:val="nil"/>
              <w:left w:val="nil"/>
              <w:bottom w:val="nil"/>
              <w:right w:val="nil"/>
            </w:tcBorders>
            <w:shd w:val="clear" w:color="auto" w:fill="auto"/>
            <w:vAlign w:val="center"/>
            <w:hideMark/>
          </w:tcPr>
          <w:p w14:paraId="0C06424C" w14:textId="77777777" w:rsidR="00BA0B39" w:rsidRPr="00BA0B39" w:rsidRDefault="00BA0B39" w:rsidP="00BA0B39">
            <w:pPr>
              <w:spacing w:after="0" w:line="240" w:lineRule="auto"/>
              <w:jc w:val="right"/>
              <w:rPr>
                <w:rFonts w:cs="Arial"/>
                <w:sz w:val="16"/>
                <w:szCs w:val="16"/>
              </w:rPr>
            </w:pPr>
            <w:r w:rsidRPr="00BA0B39">
              <w:rPr>
                <w:rFonts w:cs="Arial"/>
                <w:sz w:val="16"/>
                <w:szCs w:val="16"/>
              </w:rPr>
              <w:t>49,5</w:t>
            </w:r>
          </w:p>
        </w:tc>
        <w:tc>
          <w:tcPr>
            <w:tcW w:w="907" w:type="dxa"/>
            <w:tcBorders>
              <w:top w:val="nil"/>
              <w:left w:val="nil"/>
              <w:bottom w:val="nil"/>
              <w:right w:val="nil"/>
            </w:tcBorders>
            <w:shd w:val="clear" w:color="auto" w:fill="auto"/>
            <w:noWrap/>
            <w:vAlign w:val="center"/>
            <w:hideMark/>
          </w:tcPr>
          <w:p w14:paraId="672A1BF3"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39,0</w:t>
            </w:r>
          </w:p>
        </w:tc>
      </w:tr>
      <w:tr w:rsidR="00BA0B39" w:rsidRPr="00BA0B39" w14:paraId="5F1ECACE" w14:textId="77777777" w:rsidTr="00BA0B39">
        <w:trPr>
          <w:trHeight w:val="300"/>
        </w:trPr>
        <w:tc>
          <w:tcPr>
            <w:tcW w:w="1304" w:type="dxa"/>
            <w:tcBorders>
              <w:top w:val="nil"/>
              <w:left w:val="nil"/>
              <w:bottom w:val="nil"/>
              <w:right w:val="single" w:sz="4" w:space="0" w:color="auto"/>
            </w:tcBorders>
            <w:shd w:val="clear" w:color="auto" w:fill="auto"/>
            <w:vAlign w:val="center"/>
            <w:hideMark/>
          </w:tcPr>
          <w:p w14:paraId="07C52F4C" w14:textId="77777777" w:rsidR="00BA0B39" w:rsidRPr="00BA0B39" w:rsidRDefault="00BA0B39" w:rsidP="00BA0B39">
            <w:pPr>
              <w:spacing w:after="0" w:line="240" w:lineRule="auto"/>
              <w:jc w:val="center"/>
              <w:rPr>
                <w:rFonts w:cs="Arial"/>
                <w:sz w:val="16"/>
                <w:szCs w:val="16"/>
              </w:rPr>
            </w:pPr>
            <w:r w:rsidRPr="00BA0B39">
              <w:rPr>
                <w:rFonts w:cs="Arial"/>
                <w:sz w:val="16"/>
                <w:szCs w:val="16"/>
              </w:rPr>
              <w:t>1. pol. 2017</w:t>
            </w:r>
          </w:p>
        </w:tc>
        <w:tc>
          <w:tcPr>
            <w:tcW w:w="896" w:type="dxa"/>
            <w:tcBorders>
              <w:top w:val="nil"/>
              <w:left w:val="single" w:sz="4" w:space="0" w:color="auto"/>
              <w:bottom w:val="nil"/>
              <w:right w:val="nil"/>
            </w:tcBorders>
            <w:shd w:val="clear" w:color="auto" w:fill="auto"/>
            <w:noWrap/>
            <w:vAlign w:val="center"/>
            <w:hideMark/>
          </w:tcPr>
          <w:p w14:paraId="32B42E6F"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4 632,1</w:t>
            </w:r>
          </w:p>
        </w:tc>
        <w:tc>
          <w:tcPr>
            <w:tcW w:w="890" w:type="dxa"/>
            <w:tcBorders>
              <w:top w:val="nil"/>
              <w:left w:val="nil"/>
              <w:bottom w:val="nil"/>
              <w:right w:val="nil"/>
            </w:tcBorders>
            <w:shd w:val="clear" w:color="auto" w:fill="auto"/>
            <w:vAlign w:val="center"/>
            <w:hideMark/>
          </w:tcPr>
          <w:p w14:paraId="4566182A" w14:textId="77777777" w:rsidR="00BA0B39" w:rsidRPr="00BA0B39" w:rsidRDefault="00BA0B39" w:rsidP="00BA0B39">
            <w:pPr>
              <w:spacing w:after="0" w:line="240" w:lineRule="auto"/>
              <w:jc w:val="right"/>
              <w:rPr>
                <w:rFonts w:cs="Arial"/>
                <w:sz w:val="16"/>
                <w:szCs w:val="16"/>
              </w:rPr>
            </w:pPr>
            <w:r w:rsidRPr="00BA0B39">
              <w:rPr>
                <w:rFonts w:cs="Arial"/>
                <w:sz w:val="16"/>
                <w:szCs w:val="16"/>
              </w:rPr>
              <w:t>2 351,8</w:t>
            </w:r>
          </w:p>
        </w:tc>
        <w:tc>
          <w:tcPr>
            <w:tcW w:w="890" w:type="dxa"/>
            <w:tcBorders>
              <w:top w:val="nil"/>
              <w:left w:val="nil"/>
              <w:bottom w:val="nil"/>
              <w:right w:val="single" w:sz="4" w:space="0" w:color="auto"/>
            </w:tcBorders>
            <w:shd w:val="clear" w:color="auto" w:fill="auto"/>
            <w:noWrap/>
            <w:vAlign w:val="center"/>
            <w:hideMark/>
          </w:tcPr>
          <w:p w14:paraId="78B9D3CD"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2 280,3</w:t>
            </w:r>
          </w:p>
        </w:tc>
        <w:tc>
          <w:tcPr>
            <w:tcW w:w="1056" w:type="dxa"/>
            <w:tcBorders>
              <w:top w:val="nil"/>
              <w:left w:val="nil"/>
              <w:bottom w:val="nil"/>
              <w:right w:val="nil"/>
            </w:tcBorders>
            <w:shd w:val="clear" w:color="auto" w:fill="auto"/>
            <w:noWrap/>
            <w:vAlign w:val="center"/>
            <w:hideMark/>
          </w:tcPr>
          <w:p w14:paraId="0BFF69CB" w14:textId="77777777" w:rsidR="00BA0B39" w:rsidRPr="00BA0B39" w:rsidRDefault="00BA0B39" w:rsidP="00BA0B39">
            <w:pPr>
              <w:spacing w:after="0" w:line="240" w:lineRule="auto"/>
              <w:jc w:val="right"/>
              <w:rPr>
                <w:rFonts w:cs="Arial"/>
                <w:sz w:val="16"/>
                <w:szCs w:val="16"/>
              </w:rPr>
            </w:pPr>
            <w:r w:rsidRPr="00BA0B39">
              <w:rPr>
                <w:rFonts w:cs="Arial"/>
                <w:sz w:val="16"/>
                <w:szCs w:val="16"/>
              </w:rPr>
              <w:t>4 544,0</w:t>
            </w:r>
          </w:p>
        </w:tc>
        <w:tc>
          <w:tcPr>
            <w:tcW w:w="907" w:type="dxa"/>
            <w:tcBorders>
              <w:top w:val="nil"/>
              <w:left w:val="nil"/>
              <w:bottom w:val="nil"/>
              <w:right w:val="nil"/>
            </w:tcBorders>
            <w:shd w:val="clear" w:color="auto" w:fill="auto"/>
            <w:vAlign w:val="center"/>
            <w:hideMark/>
          </w:tcPr>
          <w:p w14:paraId="608A5035" w14:textId="77777777" w:rsidR="00BA0B39" w:rsidRPr="00BA0B39" w:rsidRDefault="00BA0B39" w:rsidP="00BA0B39">
            <w:pPr>
              <w:spacing w:after="0" w:line="240" w:lineRule="auto"/>
              <w:jc w:val="right"/>
              <w:rPr>
                <w:rFonts w:cs="Arial"/>
                <w:sz w:val="16"/>
                <w:szCs w:val="16"/>
              </w:rPr>
            </w:pPr>
            <w:r w:rsidRPr="00BA0B39">
              <w:rPr>
                <w:rFonts w:cs="Arial"/>
                <w:sz w:val="16"/>
                <w:szCs w:val="16"/>
              </w:rPr>
              <w:t>2 298,4</w:t>
            </w:r>
          </w:p>
        </w:tc>
        <w:tc>
          <w:tcPr>
            <w:tcW w:w="907" w:type="dxa"/>
            <w:tcBorders>
              <w:top w:val="nil"/>
              <w:left w:val="nil"/>
              <w:bottom w:val="nil"/>
              <w:right w:val="single" w:sz="4" w:space="0" w:color="auto"/>
            </w:tcBorders>
            <w:shd w:val="clear" w:color="auto" w:fill="auto"/>
            <w:vAlign w:val="center"/>
            <w:hideMark/>
          </w:tcPr>
          <w:p w14:paraId="3533FBB0" w14:textId="77777777" w:rsidR="00BA0B39" w:rsidRPr="00BA0B39" w:rsidRDefault="00BA0B39" w:rsidP="00BA0B39">
            <w:pPr>
              <w:spacing w:after="0" w:line="240" w:lineRule="auto"/>
              <w:jc w:val="right"/>
              <w:rPr>
                <w:rFonts w:cs="Arial"/>
                <w:sz w:val="16"/>
                <w:szCs w:val="16"/>
              </w:rPr>
            </w:pPr>
            <w:r w:rsidRPr="00BA0B39">
              <w:rPr>
                <w:rFonts w:cs="Arial"/>
                <w:sz w:val="16"/>
                <w:szCs w:val="16"/>
              </w:rPr>
              <w:t>2 245,6</w:t>
            </w:r>
          </w:p>
        </w:tc>
        <w:tc>
          <w:tcPr>
            <w:tcW w:w="907" w:type="dxa"/>
            <w:tcBorders>
              <w:top w:val="nil"/>
              <w:left w:val="nil"/>
              <w:bottom w:val="nil"/>
              <w:right w:val="nil"/>
            </w:tcBorders>
            <w:shd w:val="clear" w:color="auto" w:fill="auto"/>
            <w:noWrap/>
            <w:vAlign w:val="center"/>
            <w:hideMark/>
          </w:tcPr>
          <w:p w14:paraId="264B6123"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88,1</w:t>
            </w:r>
          </w:p>
        </w:tc>
        <w:tc>
          <w:tcPr>
            <w:tcW w:w="907" w:type="dxa"/>
            <w:tcBorders>
              <w:top w:val="nil"/>
              <w:left w:val="nil"/>
              <w:bottom w:val="nil"/>
              <w:right w:val="nil"/>
            </w:tcBorders>
            <w:shd w:val="clear" w:color="auto" w:fill="auto"/>
            <w:vAlign w:val="center"/>
            <w:hideMark/>
          </w:tcPr>
          <w:p w14:paraId="34DA3928" w14:textId="77777777" w:rsidR="00BA0B39" w:rsidRPr="00BA0B39" w:rsidRDefault="00BA0B39" w:rsidP="00BA0B39">
            <w:pPr>
              <w:spacing w:after="0" w:line="240" w:lineRule="auto"/>
              <w:jc w:val="right"/>
              <w:rPr>
                <w:rFonts w:cs="Arial"/>
                <w:sz w:val="16"/>
                <w:szCs w:val="16"/>
              </w:rPr>
            </w:pPr>
            <w:r w:rsidRPr="00BA0B39">
              <w:rPr>
                <w:rFonts w:cs="Arial"/>
                <w:sz w:val="16"/>
                <w:szCs w:val="16"/>
              </w:rPr>
              <w:t>53,4</w:t>
            </w:r>
          </w:p>
        </w:tc>
        <w:tc>
          <w:tcPr>
            <w:tcW w:w="907" w:type="dxa"/>
            <w:tcBorders>
              <w:top w:val="nil"/>
              <w:left w:val="nil"/>
              <w:bottom w:val="nil"/>
              <w:right w:val="nil"/>
            </w:tcBorders>
            <w:shd w:val="clear" w:color="auto" w:fill="auto"/>
            <w:noWrap/>
            <w:vAlign w:val="center"/>
            <w:hideMark/>
          </w:tcPr>
          <w:p w14:paraId="32CF8B46"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34,7</w:t>
            </w:r>
          </w:p>
        </w:tc>
      </w:tr>
      <w:tr w:rsidR="00BA0B39" w:rsidRPr="00BA0B39" w14:paraId="718D948F" w14:textId="77777777" w:rsidTr="00BA0B39">
        <w:trPr>
          <w:trHeight w:val="300"/>
        </w:trPr>
        <w:tc>
          <w:tcPr>
            <w:tcW w:w="1304" w:type="dxa"/>
            <w:tcBorders>
              <w:top w:val="nil"/>
              <w:left w:val="nil"/>
              <w:bottom w:val="nil"/>
              <w:right w:val="single" w:sz="4" w:space="0" w:color="auto"/>
            </w:tcBorders>
            <w:shd w:val="clear" w:color="auto" w:fill="auto"/>
            <w:vAlign w:val="center"/>
            <w:hideMark/>
          </w:tcPr>
          <w:p w14:paraId="3B571A87" w14:textId="77777777" w:rsidR="00BA0B39" w:rsidRPr="00BA0B39" w:rsidRDefault="00BA0B39" w:rsidP="00BA0B39">
            <w:pPr>
              <w:spacing w:after="0" w:line="240" w:lineRule="auto"/>
              <w:jc w:val="center"/>
              <w:rPr>
                <w:rFonts w:cs="Arial"/>
                <w:sz w:val="16"/>
                <w:szCs w:val="16"/>
              </w:rPr>
            </w:pPr>
            <w:r w:rsidRPr="00BA0B39">
              <w:rPr>
                <w:rFonts w:cs="Arial"/>
                <w:sz w:val="16"/>
                <w:szCs w:val="16"/>
              </w:rPr>
              <w:t>1. pol. 2018</w:t>
            </w:r>
          </w:p>
        </w:tc>
        <w:tc>
          <w:tcPr>
            <w:tcW w:w="896" w:type="dxa"/>
            <w:tcBorders>
              <w:top w:val="nil"/>
              <w:left w:val="single" w:sz="4" w:space="0" w:color="auto"/>
              <w:bottom w:val="nil"/>
              <w:right w:val="nil"/>
            </w:tcBorders>
            <w:shd w:val="clear" w:color="auto" w:fill="auto"/>
            <w:noWrap/>
            <w:vAlign w:val="center"/>
            <w:hideMark/>
          </w:tcPr>
          <w:p w14:paraId="17A170C8"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4 710,8</w:t>
            </w:r>
          </w:p>
        </w:tc>
        <w:tc>
          <w:tcPr>
            <w:tcW w:w="890" w:type="dxa"/>
            <w:tcBorders>
              <w:top w:val="nil"/>
              <w:left w:val="nil"/>
              <w:bottom w:val="nil"/>
              <w:right w:val="nil"/>
            </w:tcBorders>
            <w:shd w:val="clear" w:color="auto" w:fill="auto"/>
            <w:vAlign w:val="center"/>
            <w:hideMark/>
          </w:tcPr>
          <w:p w14:paraId="277063ED" w14:textId="77777777" w:rsidR="00BA0B39" w:rsidRPr="00BA0B39" w:rsidRDefault="00BA0B39" w:rsidP="00BA0B39">
            <w:pPr>
              <w:spacing w:after="0" w:line="240" w:lineRule="auto"/>
              <w:jc w:val="right"/>
              <w:rPr>
                <w:rFonts w:cs="Arial"/>
                <w:sz w:val="16"/>
                <w:szCs w:val="16"/>
              </w:rPr>
            </w:pPr>
            <w:r w:rsidRPr="00BA0B39">
              <w:rPr>
                <w:rFonts w:cs="Arial"/>
                <w:sz w:val="16"/>
                <w:szCs w:val="16"/>
              </w:rPr>
              <w:t>2 381,4</w:t>
            </w:r>
          </w:p>
        </w:tc>
        <w:tc>
          <w:tcPr>
            <w:tcW w:w="890" w:type="dxa"/>
            <w:tcBorders>
              <w:top w:val="nil"/>
              <w:left w:val="nil"/>
              <w:bottom w:val="nil"/>
              <w:right w:val="single" w:sz="4" w:space="0" w:color="auto"/>
            </w:tcBorders>
            <w:shd w:val="clear" w:color="auto" w:fill="auto"/>
            <w:noWrap/>
            <w:vAlign w:val="center"/>
            <w:hideMark/>
          </w:tcPr>
          <w:p w14:paraId="1DB64893"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2 329,4</w:t>
            </w:r>
          </w:p>
        </w:tc>
        <w:tc>
          <w:tcPr>
            <w:tcW w:w="1056" w:type="dxa"/>
            <w:tcBorders>
              <w:top w:val="nil"/>
              <w:left w:val="nil"/>
              <w:bottom w:val="nil"/>
              <w:right w:val="nil"/>
            </w:tcBorders>
            <w:shd w:val="clear" w:color="auto" w:fill="auto"/>
            <w:noWrap/>
            <w:vAlign w:val="center"/>
            <w:hideMark/>
          </w:tcPr>
          <w:p w14:paraId="750B0232" w14:textId="77777777" w:rsidR="00BA0B39" w:rsidRPr="00BA0B39" w:rsidRDefault="00BA0B39" w:rsidP="00BA0B39">
            <w:pPr>
              <w:spacing w:after="0" w:line="240" w:lineRule="auto"/>
              <w:jc w:val="right"/>
              <w:rPr>
                <w:rFonts w:cs="Arial"/>
                <w:sz w:val="16"/>
                <w:szCs w:val="16"/>
              </w:rPr>
            </w:pPr>
            <w:r w:rsidRPr="00BA0B39">
              <w:rPr>
                <w:rFonts w:cs="Arial"/>
                <w:sz w:val="16"/>
                <w:szCs w:val="16"/>
              </w:rPr>
              <w:t>4 620,7</w:t>
            </w:r>
          </w:p>
        </w:tc>
        <w:tc>
          <w:tcPr>
            <w:tcW w:w="907" w:type="dxa"/>
            <w:tcBorders>
              <w:top w:val="nil"/>
              <w:left w:val="nil"/>
              <w:bottom w:val="nil"/>
              <w:right w:val="nil"/>
            </w:tcBorders>
            <w:shd w:val="clear" w:color="auto" w:fill="auto"/>
            <w:vAlign w:val="center"/>
            <w:hideMark/>
          </w:tcPr>
          <w:p w14:paraId="42602D5A" w14:textId="77777777" w:rsidR="00BA0B39" w:rsidRPr="00BA0B39" w:rsidRDefault="00BA0B39" w:rsidP="00BA0B39">
            <w:pPr>
              <w:spacing w:after="0" w:line="240" w:lineRule="auto"/>
              <w:jc w:val="right"/>
              <w:rPr>
                <w:rFonts w:cs="Arial"/>
                <w:sz w:val="16"/>
                <w:szCs w:val="16"/>
              </w:rPr>
            </w:pPr>
            <w:r w:rsidRPr="00BA0B39">
              <w:rPr>
                <w:rFonts w:cs="Arial"/>
                <w:sz w:val="16"/>
                <w:szCs w:val="16"/>
              </w:rPr>
              <w:t>2 327,6</w:t>
            </w:r>
          </w:p>
        </w:tc>
        <w:tc>
          <w:tcPr>
            <w:tcW w:w="907" w:type="dxa"/>
            <w:tcBorders>
              <w:top w:val="nil"/>
              <w:left w:val="nil"/>
              <w:bottom w:val="nil"/>
              <w:right w:val="single" w:sz="4" w:space="0" w:color="auto"/>
            </w:tcBorders>
            <w:shd w:val="clear" w:color="auto" w:fill="auto"/>
            <w:vAlign w:val="center"/>
            <w:hideMark/>
          </w:tcPr>
          <w:p w14:paraId="7EB8B2D4" w14:textId="77777777" w:rsidR="00BA0B39" w:rsidRPr="00BA0B39" w:rsidRDefault="00BA0B39" w:rsidP="00BA0B39">
            <w:pPr>
              <w:spacing w:after="0" w:line="240" w:lineRule="auto"/>
              <w:jc w:val="right"/>
              <w:rPr>
                <w:rFonts w:cs="Arial"/>
                <w:sz w:val="16"/>
                <w:szCs w:val="16"/>
              </w:rPr>
            </w:pPr>
            <w:r w:rsidRPr="00BA0B39">
              <w:rPr>
                <w:rFonts w:cs="Arial"/>
                <w:sz w:val="16"/>
                <w:szCs w:val="16"/>
              </w:rPr>
              <w:t>2 293,1</w:t>
            </w:r>
          </w:p>
        </w:tc>
        <w:tc>
          <w:tcPr>
            <w:tcW w:w="907" w:type="dxa"/>
            <w:tcBorders>
              <w:top w:val="nil"/>
              <w:left w:val="nil"/>
              <w:bottom w:val="nil"/>
              <w:right w:val="nil"/>
            </w:tcBorders>
            <w:shd w:val="clear" w:color="auto" w:fill="auto"/>
            <w:noWrap/>
            <w:vAlign w:val="center"/>
            <w:hideMark/>
          </w:tcPr>
          <w:p w14:paraId="0EB166C1"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90,1</w:t>
            </w:r>
          </w:p>
        </w:tc>
        <w:tc>
          <w:tcPr>
            <w:tcW w:w="907" w:type="dxa"/>
            <w:tcBorders>
              <w:top w:val="nil"/>
              <w:left w:val="nil"/>
              <w:bottom w:val="nil"/>
              <w:right w:val="nil"/>
            </w:tcBorders>
            <w:shd w:val="clear" w:color="auto" w:fill="auto"/>
            <w:vAlign w:val="center"/>
            <w:hideMark/>
          </w:tcPr>
          <w:p w14:paraId="46BFB7C7" w14:textId="77777777" w:rsidR="00BA0B39" w:rsidRPr="00BA0B39" w:rsidRDefault="00BA0B39" w:rsidP="00BA0B39">
            <w:pPr>
              <w:spacing w:after="0" w:line="240" w:lineRule="auto"/>
              <w:jc w:val="right"/>
              <w:rPr>
                <w:rFonts w:cs="Arial"/>
                <w:sz w:val="16"/>
                <w:szCs w:val="16"/>
              </w:rPr>
            </w:pPr>
            <w:r w:rsidRPr="00BA0B39">
              <w:rPr>
                <w:rFonts w:cs="Arial"/>
                <w:sz w:val="16"/>
                <w:szCs w:val="16"/>
              </w:rPr>
              <w:t>53,8</w:t>
            </w:r>
          </w:p>
        </w:tc>
        <w:tc>
          <w:tcPr>
            <w:tcW w:w="907" w:type="dxa"/>
            <w:tcBorders>
              <w:top w:val="nil"/>
              <w:left w:val="nil"/>
              <w:bottom w:val="nil"/>
              <w:right w:val="nil"/>
            </w:tcBorders>
            <w:shd w:val="clear" w:color="auto" w:fill="auto"/>
            <w:noWrap/>
            <w:vAlign w:val="center"/>
            <w:hideMark/>
          </w:tcPr>
          <w:p w14:paraId="43FA39F0"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36,3</w:t>
            </w:r>
          </w:p>
        </w:tc>
      </w:tr>
      <w:tr w:rsidR="00BA0B39" w:rsidRPr="00BA0B39" w14:paraId="6C4766E9" w14:textId="77777777" w:rsidTr="00BA0B39">
        <w:trPr>
          <w:trHeight w:val="300"/>
        </w:trPr>
        <w:tc>
          <w:tcPr>
            <w:tcW w:w="1304" w:type="dxa"/>
            <w:tcBorders>
              <w:top w:val="nil"/>
              <w:left w:val="nil"/>
              <w:bottom w:val="nil"/>
              <w:right w:val="single" w:sz="4" w:space="0" w:color="auto"/>
            </w:tcBorders>
            <w:shd w:val="clear" w:color="auto" w:fill="auto"/>
            <w:vAlign w:val="center"/>
            <w:hideMark/>
          </w:tcPr>
          <w:p w14:paraId="5F893320" w14:textId="77777777" w:rsidR="00BA0B39" w:rsidRPr="00BA0B39" w:rsidRDefault="00BA0B39" w:rsidP="00BA0B39">
            <w:pPr>
              <w:spacing w:after="0" w:line="240" w:lineRule="auto"/>
              <w:jc w:val="center"/>
              <w:rPr>
                <w:rFonts w:cs="Arial"/>
                <w:sz w:val="16"/>
                <w:szCs w:val="16"/>
              </w:rPr>
            </w:pPr>
            <w:r w:rsidRPr="00BA0B39">
              <w:rPr>
                <w:rFonts w:cs="Arial"/>
                <w:sz w:val="16"/>
                <w:szCs w:val="16"/>
              </w:rPr>
              <w:t>1. pol. 2019</w:t>
            </w:r>
          </w:p>
        </w:tc>
        <w:tc>
          <w:tcPr>
            <w:tcW w:w="896" w:type="dxa"/>
            <w:tcBorders>
              <w:top w:val="nil"/>
              <w:left w:val="nil"/>
              <w:bottom w:val="nil"/>
              <w:right w:val="nil"/>
            </w:tcBorders>
            <w:shd w:val="clear" w:color="auto" w:fill="auto"/>
            <w:noWrap/>
            <w:vAlign w:val="center"/>
            <w:hideMark/>
          </w:tcPr>
          <w:p w14:paraId="2D7B3229"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4 736,9</w:t>
            </w:r>
          </w:p>
        </w:tc>
        <w:tc>
          <w:tcPr>
            <w:tcW w:w="890" w:type="dxa"/>
            <w:tcBorders>
              <w:top w:val="nil"/>
              <w:left w:val="nil"/>
              <w:bottom w:val="nil"/>
              <w:right w:val="nil"/>
            </w:tcBorders>
            <w:shd w:val="clear" w:color="auto" w:fill="auto"/>
            <w:noWrap/>
            <w:vAlign w:val="center"/>
            <w:hideMark/>
          </w:tcPr>
          <w:p w14:paraId="6A401912"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2 386,5</w:t>
            </w:r>
          </w:p>
        </w:tc>
        <w:tc>
          <w:tcPr>
            <w:tcW w:w="890" w:type="dxa"/>
            <w:tcBorders>
              <w:top w:val="nil"/>
              <w:left w:val="nil"/>
              <w:bottom w:val="nil"/>
              <w:right w:val="single" w:sz="4" w:space="0" w:color="auto"/>
            </w:tcBorders>
            <w:shd w:val="clear" w:color="auto" w:fill="auto"/>
            <w:noWrap/>
            <w:vAlign w:val="center"/>
            <w:hideMark/>
          </w:tcPr>
          <w:p w14:paraId="380EC100"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2 350,4</w:t>
            </w:r>
          </w:p>
        </w:tc>
        <w:tc>
          <w:tcPr>
            <w:tcW w:w="1056" w:type="dxa"/>
            <w:tcBorders>
              <w:top w:val="nil"/>
              <w:left w:val="nil"/>
              <w:bottom w:val="nil"/>
              <w:right w:val="nil"/>
            </w:tcBorders>
            <w:shd w:val="clear" w:color="auto" w:fill="auto"/>
            <w:noWrap/>
            <w:vAlign w:val="center"/>
            <w:hideMark/>
          </w:tcPr>
          <w:p w14:paraId="290EE156"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4 644,3</w:t>
            </w:r>
          </w:p>
        </w:tc>
        <w:tc>
          <w:tcPr>
            <w:tcW w:w="907" w:type="dxa"/>
            <w:tcBorders>
              <w:top w:val="nil"/>
              <w:left w:val="nil"/>
              <w:bottom w:val="nil"/>
              <w:right w:val="nil"/>
            </w:tcBorders>
            <w:shd w:val="clear" w:color="auto" w:fill="auto"/>
            <w:noWrap/>
            <w:vAlign w:val="center"/>
            <w:hideMark/>
          </w:tcPr>
          <w:p w14:paraId="3AE76CE5"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2 332,0</w:t>
            </w:r>
          </w:p>
        </w:tc>
        <w:tc>
          <w:tcPr>
            <w:tcW w:w="907" w:type="dxa"/>
            <w:tcBorders>
              <w:top w:val="nil"/>
              <w:left w:val="nil"/>
              <w:bottom w:val="nil"/>
              <w:right w:val="single" w:sz="4" w:space="0" w:color="auto"/>
            </w:tcBorders>
            <w:shd w:val="clear" w:color="auto" w:fill="auto"/>
            <w:noWrap/>
            <w:vAlign w:val="center"/>
            <w:hideMark/>
          </w:tcPr>
          <w:p w14:paraId="5B496010"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2 312,3</w:t>
            </w:r>
          </w:p>
        </w:tc>
        <w:tc>
          <w:tcPr>
            <w:tcW w:w="907" w:type="dxa"/>
            <w:tcBorders>
              <w:top w:val="nil"/>
              <w:left w:val="nil"/>
              <w:bottom w:val="nil"/>
              <w:right w:val="nil"/>
            </w:tcBorders>
            <w:shd w:val="clear" w:color="auto" w:fill="auto"/>
            <w:noWrap/>
            <w:vAlign w:val="center"/>
            <w:hideMark/>
          </w:tcPr>
          <w:p w14:paraId="28F71B9B"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92,6</w:t>
            </w:r>
          </w:p>
        </w:tc>
        <w:tc>
          <w:tcPr>
            <w:tcW w:w="907" w:type="dxa"/>
            <w:tcBorders>
              <w:top w:val="nil"/>
              <w:left w:val="nil"/>
              <w:bottom w:val="nil"/>
              <w:right w:val="nil"/>
            </w:tcBorders>
            <w:shd w:val="clear" w:color="auto" w:fill="auto"/>
            <w:noWrap/>
            <w:vAlign w:val="center"/>
            <w:hideMark/>
          </w:tcPr>
          <w:p w14:paraId="2AEAE253"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54,5</w:t>
            </w:r>
          </w:p>
        </w:tc>
        <w:tc>
          <w:tcPr>
            <w:tcW w:w="907" w:type="dxa"/>
            <w:tcBorders>
              <w:top w:val="nil"/>
              <w:left w:val="nil"/>
              <w:bottom w:val="nil"/>
              <w:right w:val="nil"/>
            </w:tcBorders>
            <w:shd w:val="clear" w:color="auto" w:fill="auto"/>
            <w:noWrap/>
            <w:vAlign w:val="center"/>
            <w:hideMark/>
          </w:tcPr>
          <w:p w14:paraId="0FF95BE7"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38,1</w:t>
            </w:r>
          </w:p>
        </w:tc>
      </w:tr>
      <w:tr w:rsidR="00BA0B39" w:rsidRPr="00BA0B39" w14:paraId="619589EA" w14:textId="77777777" w:rsidTr="00BA0B39">
        <w:trPr>
          <w:trHeight w:val="300"/>
        </w:trPr>
        <w:tc>
          <w:tcPr>
            <w:tcW w:w="1304" w:type="dxa"/>
            <w:tcBorders>
              <w:top w:val="nil"/>
              <w:left w:val="nil"/>
              <w:bottom w:val="nil"/>
              <w:right w:val="single" w:sz="4" w:space="0" w:color="auto"/>
            </w:tcBorders>
            <w:shd w:val="clear" w:color="auto" w:fill="auto"/>
            <w:vAlign w:val="center"/>
            <w:hideMark/>
          </w:tcPr>
          <w:p w14:paraId="0A43E91E" w14:textId="77777777" w:rsidR="00BA0B39" w:rsidRPr="00BA0B39" w:rsidRDefault="00BA0B39" w:rsidP="00BA0B39">
            <w:pPr>
              <w:spacing w:after="0" w:line="240" w:lineRule="auto"/>
              <w:jc w:val="center"/>
              <w:rPr>
                <w:rFonts w:cs="Arial"/>
                <w:sz w:val="16"/>
                <w:szCs w:val="16"/>
              </w:rPr>
            </w:pPr>
            <w:r w:rsidRPr="00BA0B39">
              <w:rPr>
                <w:rFonts w:cs="Arial"/>
                <w:sz w:val="16"/>
                <w:szCs w:val="16"/>
              </w:rPr>
              <w:t>1. pol. 2020</w:t>
            </w:r>
          </w:p>
        </w:tc>
        <w:tc>
          <w:tcPr>
            <w:tcW w:w="896" w:type="dxa"/>
            <w:tcBorders>
              <w:top w:val="nil"/>
              <w:left w:val="nil"/>
              <w:bottom w:val="nil"/>
              <w:right w:val="nil"/>
            </w:tcBorders>
            <w:shd w:val="clear" w:color="auto" w:fill="auto"/>
            <w:noWrap/>
            <w:vAlign w:val="center"/>
            <w:hideMark/>
          </w:tcPr>
          <w:p w14:paraId="6A52C9BC"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4 687,3</w:t>
            </w:r>
          </w:p>
        </w:tc>
        <w:tc>
          <w:tcPr>
            <w:tcW w:w="890" w:type="dxa"/>
            <w:tcBorders>
              <w:top w:val="nil"/>
              <w:left w:val="nil"/>
              <w:bottom w:val="nil"/>
              <w:right w:val="nil"/>
            </w:tcBorders>
            <w:shd w:val="clear" w:color="auto" w:fill="auto"/>
            <w:noWrap/>
            <w:vAlign w:val="center"/>
            <w:hideMark/>
          </w:tcPr>
          <w:p w14:paraId="05122717"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2 354,3</w:t>
            </w:r>
          </w:p>
        </w:tc>
        <w:tc>
          <w:tcPr>
            <w:tcW w:w="890" w:type="dxa"/>
            <w:tcBorders>
              <w:top w:val="nil"/>
              <w:left w:val="nil"/>
              <w:bottom w:val="nil"/>
              <w:right w:val="single" w:sz="4" w:space="0" w:color="auto"/>
            </w:tcBorders>
            <w:shd w:val="clear" w:color="auto" w:fill="auto"/>
            <w:noWrap/>
            <w:vAlign w:val="center"/>
            <w:hideMark/>
          </w:tcPr>
          <w:p w14:paraId="24723F26"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2 333,0</w:t>
            </w:r>
          </w:p>
        </w:tc>
        <w:tc>
          <w:tcPr>
            <w:tcW w:w="1056" w:type="dxa"/>
            <w:tcBorders>
              <w:top w:val="nil"/>
              <w:left w:val="nil"/>
              <w:bottom w:val="nil"/>
              <w:right w:val="nil"/>
            </w:tcBorders>
            <w:shd w:val="clear" w:color="auto" w:fill="auto"/>
            <w:noWrap/>
            <w:vAlign w:val="center"/>
            <w:hideMark/>
          </w:tcPr>
          <w:p w14:paraId="4DED6B92"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4 592,3</w:t>
            </w:r>
          </w:p>
        </w:tc>
        <w:tc>
          <w:tcPr>
            <w:tcW w:w="907" w:type="dxa"/>
            <w:tcBorders>
              <w:top w:val="nil"/>
              <w:left w:val="nil"/>
              <w:bottom w:val="nil"/>
              <w:right w:val="nil"/>
            </w:tcBorders>
            <w:shd w:val="clear" w:color="auto" w:fill="auto"/>
            <w:noWrap/>
            <w:vAlign w:val="center"/>
            <w:hideMark/>
          </w:tcPr>
          <w:p w14:paraId="2844A6EB"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2 299,1</w:t>
            </w:r>
          </w:p>
        </w:tc>
        <w:tc>
          <w:tcPr>
            <w:tcW w:w="907" w:type="dxa"/>
            <w:tcBorders>
              <w:top w:val="nil"/>
              <w:left w:val="nil"/>
              <w:bottom w:val="nil"/>
              <w:right w:val="single" w:sz="4" w:space="0" w:color="auto"/>
            </w:tcBorders>
            <w:shd w:val="clear" w:color="auto" w:fill="auto"/>
            <w:noWrap/>
            <w:vAlign w:val="center"/>
            <w:hideMark/>
          </w:tcPr>
          <w:p w14:paraId="6CC447E8"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2 293,2</w:t>
            </w:r>
          </w:p>
        </w:tc>
        <w:tc>
          <w:tcPr>
            <w:tcW w:w="907" w:type="dxa"/>
            <w:tcBorders>
              <w:top w:val="nil"/>
              <w:left w:val="nil"/>
              <w:bottom w:val="nil"/>
              <w:right w:val="nil"/>
            </w:tcBorders>
            <w:shd w:val="clear" w:color="auto" w:fill="auto"/>
            <w:noWrap/>
            <w:vAlign w:val="center"/>
            <w:hideMark/>
          </w:tcPr>
          <w:p w14:paraId="41077482"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95,0</w:t>
            </w:r>
          </w:p>
        </w:tc>
        <w:tc>
          <w:tcPr>
            <w:tcW w:w="907" w:type="dxa"/>
            <w:tcBorders>
              <w:top w:val="nil"/>
              <w:left w:val="nil"/>
              <w:bottom w:val="nil"/>
              <w:right w:val="nil"/>
            </w:tcBorders>
            <w:shd w:val="clear" w:color="auto" w:fill="auto"/>
            <w:noWrap/>
            <w:vAlign w:val="center"/>
            <w:hideMark/>
          </w:tcPr>
          <w:p w14:paraId="560D885A"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55,3</w:t>
            </w:r>
          </w:p>
        </w:tc>
        <w:tc>
          <w:tcPr>
            <w:tcW w:w="907" w:type="dxa"/>
            <w:tcBorders>
              <w:top w:val="nil"/>
              <w:left w:val="nil"/>
              <w:bottom w:val="nil"/>
              <w:right w:val="nil"/>
            </w:tcBorders>
            <w:shd w:val="clear" w:color="auto" w:fill="auto"/>
            <w:noWrap/>
            <w:vAlign w:val="center"/>
            <w:hideMark/>
          </w:tcPr>
          <w:p w14:paraId="6034B877"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39,8</w:t>
            </w:r>
          </w:p>
        </w:tc>
      </w:tr>
      <w:tr w:rsidR="00BA0B39" w:rsidRPr="00BA0B39" w14:paraId="40ACC16A" w14:textId="77777777" w:rsidTr="00BA0B39">
        <w:trPr>
          <w:trHeight w:val="300"/>
        </w:trPr>
        <w:tc>
          <w:tcPr>
            <w:tcW w:w="1304" w:type="dxa"/>
            <w:tcBorders>
              <w:top w:val="nil"/>
              <w:left w:val="nil"/>
              <w:bottom w:val="nil"/>
              <w:right w:val="single" w:sz="4" w:space="0" w:color="auto"/>
            </w:tcBorders>
            <w:shd w:val="clear" w:color="auto" w:fill="auto"/>
            <w:vAlign w:val="center"/>
            <w:hideMark/>
          </w:tcPr>
          <w:p w14:paraId="40D8CA4C" w14:textId="77777777" w:rsidR="00BA0B39" w:rsidRPr="00BA0B39" w:rsidRDefault="00BA0B39" w:rsidP="00BA0B39">
            <w:pPr>
              <w:spacing w:after="0" w:line="240" w:lineRule="auto"/>
              <w:jc w:val="center"/>
              <w:rPr>
                <w:rFonts w:cs="Arial"/>
                <w:sz w:val="16"/>
                <w:szCs w:val="16"/>
              </w:rPr>
            </w:pPr>
            <w:r w:rsidRPr="00BA0B39">
              <w:rPr>
                <w:rFonts w:cs="Arial"/>
                <w:sz w:val="16"/>
                <w:szCs w:val="16"/>
              </w:rPr>
              <w:t>1. pol. 2021</w:t>
            </w:r>
          </w:p>
        </w:tc>
        <w:tc>
          <w:tcPr>
            <w:tcW w:w="896" w:type="dxa"/>
            <w:tcBorders>
              <w:top w:val="nil"/>
              <w:left w:val="nil"/>
              <w:bottom w:val="nil"/>
              <w:right w:val="nil"/>
            </w:tcBorders>
            <w:shd w:val="clear" w:color="auto" w:fill="auto"/>
            <w:noWrap/>
            <w:vAlign w:val="center"/>
            <w:hideMark/>
          </w:tcPr>
          <w:p w14:paraId="57D59BDA"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4 688,6</w:t>
            </w:r>
          </w:p>
        </w:tc>
        <w:tc>
          <w:tcPr>
            <w:tcW w:w="890" w:type="dxa"/>
            <w:tcBorders>
              <w:top w:val="nil"/>
              <w:left w:val="nil"/>
              <w:bottom w:val="nil"/>
              <w:right w:val="nil"/>
            </w:tcBorders>
            <w:shd w:val="clear" w:color="auto" w:fill="auto"/>
            <w:noWrap/>
            <w:vAlign w:val="center"/>
            <w:hideMark/>
          </w:tcPr>
          <w:p w14:paraId="38C8D6A8"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2 347,5</w:t>
            </w:r>
          </w:p>
        </w:tc>
        <w:tc>
          <w:tcPr>
            <w:tcW w:w="890" w:type="dxa"/>
            <w:tcBorders>
              <w:top w:val="nil"/>
              <w:left w:val="nil"/>
              <w:bottom w:val="nil"/>
              <w:right w:val="single" w:sz="4" w:space="0" w:color="auto"/>
            </w:tcBorders>
            <w:shd w:val="clear" w:color="auto" w:fill="auto"/>
            <w:noWrap/>
            <w:vAlign w:val="center"/>
            <w:hideMark/>
          </w:tcPr>
          <w:p w14:paraId="0BDFCA6B"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2 341,1</w:t>
            </w:r>
          </w:p>
        </w:tc>
        <w:tc>
          <w:tcPr>
            <w:tcW w:w="1056" w:type="dxa"/>
            <w:tcBorders>
              <w:top w:val="nil"/>
              <w:left w:val="nil"/>
              <w:bottom w:val="nil"/>
              <w:right w:val="nil"/>
            </w:tcBorders>
            <w:shd w:val="clear" w:color="auto" w:fill="auto"/>
            <w:noWrap/>
            <w:vAlign w:val="center"/>
            <w:hideMark/>
          </w:tcPr>
          <w:p w14:paraId="2365271E"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4 591,3</w:t>
            </w:r>
          </w:p>
        </w:tc>
        <w:tc>
          <w:tcPr>
            <w:tcW w:w="907" w:type="dxa"/>
            <w:tcBorders>
              <w:top w:val="nil"/>
              <w:left w:val="nil"/>
              <w:bottom w:val="nil"/>
              <w:right w:val="nil"/>
            </w:tcBorders>
            <w:shd w:val="clear" w:color="auto" w:fill="auto"/>
            <w:noWrap/>
            <w:vAlign w:val="center"/>
            <w:hideMark/>
          </w:tcPr>
          <w:p w14:paraId="7A9A5EDF"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2 291,4</w:t>
            </w:r>
          </w:p>
        </w:tc>
        <w:tc>
          <w:tcPr>
            <w:tcW w:w="907" w:type="dxa"/>
            <w:tcBorders>
              <w:top w:val="nil"/>
              <w:left w:val="nil"/>
              <w:bottom w:val="nil"/>
              <w:right w:val="single" w:sz="4" w:space="0" w:color="auto"/>
            </w:tcBorders>
            <w:shd w:val="clear" w:color="auto" w:fill="auto"/>
            <w:noWrap/>
            <w:vAlign w:val="center"/>
            <w:hideMark/>
          </w:tcPr>
          <w:p w14:paraId="0F367AF7"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2 299,8</w:t>
            </w:r>
          </w:p>
        </w:tc>
        <w:tc>
          <w:tcPr>
            <w:tcW w:w="907" w:type="dxa"/>
            <w:tcBorders>
              <w:top w:val="nil"/>
              <w:left w:val="nil"/>
              <w:bottom w:val="nil"/>
              <w:right w:val="nil"/>
            </w:tcBorders>
            <w:shd w:val="clear" w:color="auto" w:fill="auto"/>
            <w:noWrap/>
            <w:vAlign w:val="center"/>
            <w:hideMark/>
          </w:tcPr>
          <w:p w14:paraId="38180336"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97,3</w:t>
            </w:r>
          </w:p>
        </w:tc>
        <w:tc>
          <w:tcPr>
            <w:tcW w:w="907" w:type="dxa"/>
            <w:tcBorders>
              <w:top w:val="nil"/>
              <w:left w:val="nil"/>
              <w:bottom w:val="nil"/>
              <w:right w:val="nil"/>
            </w:tcBorders>
            <w:shd w:val="clear" w:color="auto" w:fill="auto"/>
            <w:noWrap/>
            <w:vAlign w:val="center"/>
            <w:hideMark/>
          </w:tcPr>
          <w:p w14:paraId="0C401246"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56,0</w:t>
            </w:r>
          </w:p>
        </w:tc>
        <w:tc>
          <w:tcPr>
            <w:tcW w:w="907" w:type="dxa"/>
            <w:tcBorders>
              <w:top w:val="nil"/>
              <w:left w:val="nil"/>
              <w:bottom w:val="nil"/>
              <w:right w:val="nil"/>
            </w:tcBorders>
            <w:shd w:val="clear" w:color="auto" w:fill="auto"/>
            <w:noWrap/>
            <w:vAlign w:val="center"/>
            <w:hideMark/>
          </w:tcPr>
          <w:p w14:paraId="1109D13D"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41,3</w:t>
            </w:r>
          </w:p>
        </w:tc>
      </w:tr>
      <w:tr w:rsidR="00BA0B39" w:rsidRPr="00BA0B39" w14:paraId="6DA14E17" w14:textId="77777777" w:rsidTr="00BA0B39">
        <w:trPr>
          <w:trHeight w:val="300"/>
        </w:trPr>
        <w:tc>
          <w:tcPr>
            <w:tcW w:w="1304" w:type="dxa"/>
            <w:tcBorders>
              <w:top w:val="nil"/>
              <w:left w:val="nil"/>
              <w:bottom w:val="nil"/>
              <w:right w:val="single" w:sz="4" w:space="0" w:color="auto"/>
            </w:tcBorders>
            <w:shd w:val="clear" w:color="auto" w:fill="auto"/>
            <w:vAlign w:val="center"/>
            <w:hideMark/>
          </w:tcPr>
          <w:p w14:paraId="3E84D873" w14:textId="77777777" w:rsidR="00BA0B39" w:rsidRPr="00BA0B39" w:rsidRDefault="00BA0B39" w:rsidP="00BA0B39">
            <w:pPr>
              <w:spacing w:after="0" w:line="240" w:lineRule="auto"/>
              <w:jc w:val="center"/>
              <w:rPr>
                <w:rFonts w:cs="Arial"/>
                <w:sz w:val="16"/>
                <w:szCs w:val="16"/>
              </w:rPr>
            </w:pPr>
            <w:r w:rsidRPr="00BA0B39">
              <w:rPr>
                <w:rFonts w:cs="Arial"/>
                <w:sz w:val="16"/>
                <w:szCs w:val="16"/>
              </w:rPr>
              <w:t>1. pol. 2022</w:t>
            </w:r>
          </w:p>
        </w:tc>
        <w:tc>
          <w:tcPr>
            <w:tcW w:w="896" w:type="dxa"/>
            <w:tcBorders>
              <w:top w:val="nil"/>
              <w:left w:val="nil"/>
              <w:bottom w:val="nil"/>
              <w:right w:val="nil"/>
            </w:tcBorders>
            <w:shd w:val="clear" w:color="auto" w:fill="auto"/>
            <w:noWrap/>
            <w:vAlign w:val="center"/>
            <w:hideMark/>
          </w:tcPr>
          <w:p w14:paraId="09707E8F"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4 719,9</w:t>
            </w:r>
          </w:p>
        </w:tc>
        <w:tc>
          <w:tcPr>
            <w:tcW w:w="890" w:type="dxa"/>
            <w:tcBorders>
              <w:top w:val="nil"/>
              <w:left w:val="nil"/>
              <w:bottom w:val="nil"/>
              <w:right w:val="nil"/>
            </w:tcBorders>
            <w:shd w:val="clear" w:color="auto" w:fill="auto"/>
            <w:noWrap/>
            <w:vAlign w:val="center"/>
            <w:hideMark/>
          </w:tcPr>
          <w:p w14:paraId="3BB3F211"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2 350,7</w:t>
            </w:r>
          </w:p>
        </w:tc>
        <w:tc>
          <w:tcPr>
            <w:tcW w:w="890" w:type="dxa"/>
            <w:tcBorders>
              <w:top w:val="nil"/>
              <w:left w:val="nil"/>
              <w:bottom w:val="nil"/>
              <w:right w:val="single" w:sz="4" w:space="0" w:color="auto"/>
            </w:tcBorders>
            <w:shd w:val="clear" w:color="auto" w:fill="auto"/>
            <w:noWrap/>
            <w:vAlign w:val="center"/>
            <w:hideMark/>
          </w:tcPr>
          <w:p w14:paraId="015A3FE9"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2 369,1</w:t>
            </w:r>
          </w:p>
        </w:tc>
        <w:tc>
          <w:tcPr>
            <w:tcW w:w="1056" w:type="dxa"/>
            <w:tcBorders>
              <w:top w:val="nil"/>
              <w:left w:val="nil"/>
              <w:bottom w:val="nil"/>
              <w:right w:val="nil"/>
            </w:tcBorders>
            <w:shd w:val="clear" w:color="auto" w:fill="auto"/>
            <w:noWrap/>
            <w:vAlign w:val="center"/>
            <w:hideMark/>
          </w:tcPr>
          <w:p w14:paraId="7E5276ED"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4 619,5</w:t>
            </w:r>
          </w:p>
        </w:tc>
        <w:tc>
          <w:tcPr>
            <w:tcW w:w="907" w:type="dxa"/>
            <w:tcBorders>
              <w:top w:val="nil"/>
              <w:left w:val="nil"/>
              <w:bottom w:val="nil"/>
              <w:right w:val="nil"/>
            </w:tcBorders>
            <w:shd w:val="clear" w:color="auto" w:fill="auto"/>
            <w:noWrap/>
            <w:vAlign w:val="center"/>
            <w:hideMark/>
          </w:tcPr>
          <w:p w14:paraId="3CA96586"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2 293,3</w:t>
            </w:r>
          </w:p>
        </w:tc>
        <w:tc>
          <w:tcPr>
            <w:tcW w:w="907" w:type="dxa"/>
            <w:tcBorders>
              <w:top w:val="nil"/>
              <w:left w:val="nil"/>
              <w:bottom w:val="nil"/>
              <w:right w:val="single" w:sz="4" w:space="0" w:color="auto"/>
            </w:tcBorders>
            <w:shd w:val="clear" w:color="auto" w:fill="auto"/>
            <w:noWrap/>
            <w:vAlign w:val="center"/>
            <w:hideMark/>
          </w:tcPr>
          <w:p w14:paraId="49A89B9F"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2 326,2</w:t>
            </w:r>
          </w:p>
        </w:tc>
        <w:tc>
          <w:tcPr>
            <w:tcW w:w="907" w:type="dxa"/>
            <w:tcBorders>
              <w:top w:val="nil"/>
              <w:left w:val="nil"/>
              <w:bottom w:val="nil"/>
              <w:right w:val="nil"/>
            </w:tcBorders>
            <w:shd w:val="clear" w:color="auto" w:fill="auto"/>
            <w:noWrap/>
            <w:vAlign w:val="center"/>
            <w:hideMark/>
          </w:tcPr>
          <w:p w14:paraId="646709B6"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100,4</w:t>
            </w:r>
          </w:p>
        </w:tc>
        <w:tc>
          <w:tcPr>
            <w:tcW w:w="907" w:type="dxa"/>
            <w:tcBorders>
              <w:top w:val="nil"/>
              <w:left w:val="nil"/>
              <w:bottom w:val="nil"/>
              <w:right w:val="nil"/>
            </w:tcBorders>
            <w:shd w:val="clear" w:color="auto" w:fill="auto"/>
            <w:noWrap/>
            <w:vAlign w:val="center"/>
            <w:hideMark/>
          </w:tcPr>
          <w:p w14:paraId="5FEC7AFC"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57,4</w:t>
            </w:r>
          </w:p>
        </w:tc>
        <w:tc>
          <w:tcPr>
            <w:tcW w:w="907" w:type="dxa"/>
            <w:tcBorders>
              <w:top w:val="nil"/>
              <w:left w:val="nil"/>
              <w:bottom w:val="nil"/>
              <w:right w:val="nil"/>
            </w:tcBorders>
            <w:shd w:val="clear" w:color="auto" w:fill="auto"/>
            <w:noWrap/>
            <w:vAlign w:val="center"/>
            <w:hideMark/>
          </w:tcPr>
          <w:p w14:paraId="0E36F6A8" w14:textId="77777777" w:rsidR="00BA0B39" w:rsidRPr="00BA0B39" w:rsidRDefault="00BA0B39" w:rsidP="00BA0B39">
            <w:pPr>
              <w:spacing w:after="0" w:line="240" w:lineRule="auto"/>
              <w:jc w:val="right"/>
              <w:rPr>
                <w:rFonts w:cs="Arial"/>
                <w:color w:val="000000"/>
                <w:sz w:val="16"/>
                <w:szCs w:val="16"/>
              </w:rPr>
            </w:pPr>
            <w:r w:rsidRPr="00BA0B39">
              <w:rPr>
                <w:rFonts w:cs="Arial"/>
                <w:color w:val="000000"/>
                <w:sz w:val="16"/>
                <w:szCs w:val="16"/>
              </w:rPr>
              <w:t>43,0</w:t>
            </w:r>
          </w:p>
        </w:tc>
      </w:tr>
    </w:tbl>
    <w:p w14:paraId="61677C45" w14:textId="77777777" w:rsidR="00BA0B39" w:rsidRPr="00BA0B39" w:rsidRDefault="00BA0B39" w:rsidP="00BA0B39">
      <w:pPr>
        <w:spacing w:after="0" w:line="240" w:lineRule="auto"/>
        <w:rPr>
          <w:rFonts w:cs="Arial"/>
          <w:b/>
          <w:bCs/>
          <w:color w:val="000000"/>
          <w:szCs w:val="20"/>
        </w:rPr>
      </w:pPr>
    </w:p>
    <w:p w14:paraId="7B9F09BF" w14:textId="77777777" w:rsidR="00184B5C" w:rsidRPr="00D92E20" w:rsidRDefault="00184B5C" w:rsidP="00BA0B39">
      <w:pPr>
        <w:spacing w:after="120"/>
        <w:jc w:val="both"/>
        <w:rPr>
          <w:rFonts w:cs="Arial"/>
          <w:bCs/>
          <w:color w:val="000000"/>
          <w:sz w:val="16"/>
          <w:szCs w:val="20"/>
        </w:rPr>
      </w:pPr>
      <w:r w:rsidRPr="00D92E20">
        <w:rPr>
          <w:rFonts w:cs="Arial"/>
          <w:bCs/>
          <w:color w:val="000000"/>
          <w:sz w:val="16"/>
          <w:szCs w:val="20"/>
        </w:rPr>
        <w:t>Zdroj: ČSÚ</w:t>
      </w:r>
    </w:p>
    <w:p w14:paraId="7CDD3160" w14:textId="2E58BE4A" w:rsidR="00C05AB7" w:rsidRPr="008A3B50" w:rsidRDefault="005D14C3" w:rsidP="00155829">
      <w:pPr>
        <w:spacing w:after="120"/>
        <w:jc w:val="both"/>
      </w:pPr>
      <w:r w:rsidRPr="008A3B50">
        <w:t xml:space="preserve">Počet </w:t>
      </w:r>
      <w:r w:rsidRPr="008A3B50">
        <w:rPr>
          <w:b/>
        </w:rPr>
        <w:t>dobrovolně nemocensky pojištěných</w:t>
      </w:r>
      <w:r w:rsidRPr="008A3B50">
        <w:t xml:space="preserve"> – tedy</w:t>
      </w:r>
      <w:r w:rsidR="00AC7EEB" w:rsidRPr="008A3B50">
        <w:t xml:space="preserve"> </w:t>
      </w:r>
      <w:r w:rsidR="00AC7EEB" w:rsidRPr="008A3B50">
        <w:rPr>
          <w:b/>
        </w:rPr>
        <w:t>osob samostatně výdělečně činných</w:t>
      </w:r>
      <w:r w:rsidRPr="008A3B50">
        <w:t xml:space="preserve"> </w:t>
      </w:r>
      <w:r w:rsidR="00AC7EEB" w:rsidRPr="008A3B50">
        <w:rPr>
          <w:b/>
        </w:rPr>
        <w:t>(</w:t>
      </w:r>
      <w:r w:rsidRPr="008A3B50">
        <w:rPr>
          <w:b/>
        </w:rPr>
        <w:t>OSVČ</w:t>
      </w:r>
      <w:r w:rsidR="00AC7EEB" w:rsidRPr="008A3B50">
        <w:rPr>
          <w:b/>
        </w:rPr>
        <w:t>)</w:t>
      </w:r>
      <w:r w:rsidRPr="008A3B50">
        <w:t xml:space="preserve"> </w:t>
      </w:r>
      <w:r w:rsidR="00B74855" w:rsidRPr="008A3B50">
        <w:br/>
      </w:r>
      <w:r w:rsidRPr="008A3B50">
        <w:t>–</w:t>
      </w:r>
      <w:r w:rsidR="008A3B50" w:rsidRPr="008A3B50">
        <w:t xml:space="preserve"> </w:t>
      </w:r>
      <w:r w:rsidRPr="008A3B50">
        <w:t>pokračoval v rostoucím trendu nastoleném od roku 201</w:t>
      </w:r>
      <w:r w:rsidR="001706EA" w:rsidRPr="008A3B50">
        <w:t>8</w:t>
      </w:r>
      <w:r w:rsidRPr="008A3B50">
        <w:t>. Jejich počet v</w:t>
      </w:r>
      <w:r w:rsidR="001706EA" w:rsidRPr="008A3B50">
        <w:t> 1. pol.</w:t>
      </w:r>
      <w:r w:rsidRPr="008A3B50">
        <w:t xml:space="preserve"> 202</w:t>
      </w:r>
      <w:r w:rsidR="008A3B50" w:rsidRPr="008A3B50">
        <w:t>2</w:t>
      </w:r>
      <w:r w:rsidRPr="008A3B50">
        <w:t xml:space="preserve"> </w:t>
      </w:r>
      <w:r w:rsidR="00A101F1" w:rsidRPr="008A3B50">
        <w:t>překonal</w:t>
      </w:r>
      <w:r w:rsidR="001706EA" w:rsidRPr="008A3B50">
        <w:t xml:space="preserve"> </w:t>
      </w:r>
      <w:r w:rsidR="008A3B50" w:rsidRPr="008A3B50">
        <w:t>100</w:t>
      </w:r>
      <w:r w:rsidR="00361B7D" w:rsidRPr="008A3B50">
        <w:t> </w:t>
      </w:r>
      <w:r w:rsidRPr="008A3B50">
        <w:t xml:space="preserve">tis., </w:t>
      </w:r>
      <w:r w:rsidRPr="008A3B50">
        <w:lastRenderedPageBreak/>
        <w:t xml:space="preserve">meziročně o </w:t>
      </w:r>
      <w:r w:rsidR="008A3B50" w:rsidRPr="008A3B50">
        <w:t>3</w:t>
      </w:r>
      <w:r w:rsidRPr="008A3B50">
        <w:t xml:space="preserve"> % více. Přesto podíl pojištěných OSVČ na celkovém počtu </w:t>
      </w:r>
      <w:r w:rsidR="005A1638" w:rsidRPr="008A3B50">
        <w:t>OSVČ</w:t>
      </w:r>
      <w:r w:rsidRPr="008A3B50">
        <w:t xml:space="preserve"> </w:t>
      </w:r>
      <w:r w:rsidR="005A1638" w:rsidRPr="008A3B50">
        <w:t>vykonávajících</w:t>
      </w:r>
      <w:r w:rsidRPr="008A3B50">
        <w:t xml:space="preserve"> hlavní činnost dosáhl necelých 16 %. Muži se na počtu nemocensky pojištěných OSVČ podíleli z 5</w:t>
      </w:r>
      <w:r w:rsidR="008A3B50" w:rsidRPr="008A3B50">
        <w:t>7</w:t>
      </w:r>
      <w:r w:rsidRPr="008A3B50">
        <w:t xml:space="preserve"> %, žen bylo 4</w:t>
      </w:r>
      <w:r w:rsidR="008A3B50" w:rsidRPr="008A3B50">
        <w:t>3</w:t>
      </w:r>
      <w:r w:rsidRPr="008A3B50">
        <w:t xml:space="preserve"> %. </w:t>
      </w:r>
      <w:r w:rsidR="00C05AB7" w:rsidRPr="008A3B50">
        <w:t xml:space="preserve">Počet nemocensky pojištěných </w:t>
      </w:r>
      <w:r w:rsidR="007D333B">
        <w:t xml:space="preserve">samostatně výdělečně činných </w:t>
      </w:r>
      <w:r w:rsidR="00C05AB7" w:rsidRPr="008A3B50">
        <w:t>žen</w:t>
      </w:r>
      <w:r w:rsidR="00C37437">
        <w:t xml:space="preserve"> </w:t>
      </w:r>
      <w:r w:rsidR="008A3B50" w:rsidRPr="008A3B50">
        <w:t>je nejvyšší za 10 let</w:t>
      </w:r>
      <w:r w:rsidR="00C05AB7" w:rsidRPr="008A3B50">
        <w:t>. Může to být ovlivněno nárokem na</w:t>
      </w:r>
      <w:r w:rsidR="008C3456" w:rsidRPr="008A3B50">
        <w:t> </w:t>
      </w:r>
      <w:r w:rsidR="00C05AB7" w:rsidRPr="008A3B50">
        <w:t>peněžitou podporu v mateřství, ale i větší ochotou žen samostatně výdělečně činných si nemocenské platit.</w:t>
      </w:r>
    </w:p>
    <w:p w14:paraId="1F45F094" w14:textId="4CE66D16" w:rsidR="0018528F" w:rsidRPr="008A3B50" w:rsidRDefault="00C83A1D" w:rsidP="00155829">
      <w:pPr>
        <w:spacing w:after="120"/>
        <w:jc w:val="both"/>
      </w:pPr>
      <w:r>
        <w:t>I</w:t>
      </w:r>
      <w:r w:rsidR="005D14C3" w:rsidRPr="008A3B50">
        <w:t xml:space="preserve"> přes výše uvedený nárůst počet pojištěnců v rámci OSVČ stále nedosahuje hodnot z minulosti, kdy např. před deseti lety jich bylo </w:t>
      </w:r>
      <w:r w:rsidR="005A1638" w:rsidRPr="008A3B50">
        <w:t>nemocensky</w:t>
      </w:r>
      <w:r w:rsidR="005D14C3" w:rsidRPr="008A3B50">
        <w:t xml:space="preserve"> pojištěno o </w:t>
      </w:r>
      <w:r w:rsidR="008A3B50" w:rsidRPr="008A3B50">
        <w:t>14</w:t>
      </w:r>
      <w:r w:rsidR="005D14C3" w:rsidRPr="008A3B50">
        <w:t xml:space="preserve"> tis. více než v</w:t>
      </w:r>
      <w:r w:rsidR="00673DCF" w:rsidRPr="008A3B50">
        <w:t> 1. pol.</w:t>
      </w:r>
      <w:r w:rsidR="005D14C3" w:rsidRPr="008A3B50">
        <w:t xml:space="preserve"> 202</w:t>
      </w:r>
      <w:r w:rsidR="008A3B50" w:rsidRPr="008A3B50">
        <w:t>2</w:t>
      </w:r>
      <w:r w:rsidR="005D14C3" w:rsidRPr="008A3B50">
        <w:t xml:space="preserve">. </w:t>
      </w:r>
      <w:r w:rsidR="005A1638" w:rsidRPr="008A3B50">
        <w:t>Tehdy p</w:t>
      </w:r>
      <w:r w:rsidR="005D14C3" w:rsidRPr="008A3B50">
        <w:t>ředstavoval</w:t>
      </w:r>
      <w:r w:rsidR="00B02687">
        <w:t>y</w:t>
      </w:r>
      <w:r w:rsidR="005D14C3" w:rsidRPr="008A3B50">
        <w:t xml:space="preserve"> </w:t>
      </w:r>
      <w:r w:rsidR="008A3B50" w:rsidRPr="008A3B50">
        <w:t>18</w:t>
      </w:r>
      <w:r w:rsidR="005D14C3" w:rsidRPr="008A3B50">
        <w:t xml:space="preserve">% podíl ze všech OSVČ </w:t>
      </w:r>
      <w:r w:rsidR="005A1638" w:rsidRPr="008A3B50">
        <w:t xml:space="preserve">vykonávajících </w:t>
      </w:r>
      <w:r w:rsidR="005D14C3" w:rsidRPr="008A3B50">
        <w:t>hlavní činnost.</w:t>
      </w:r>
      <w:r w:rsidR="00C05AB7" w:rsidRPr="008A3B50">
        <w:t xml:space="preserve"> </w:t>
      </w:r>
    </w:p>
    <w:p w14:paraId="592B31E9" w14:textId="453C81B6" w:rsidR="001E0E41" w:rsidRPr="006E5778" w:rsidRDefault="001E0E41" w:rsidP="00155829">
      <w:pPr>
        <w:spacing w:after="120"/>
        <w:jc w:val="both"/>
      </w:pPr>
      <w:r w:rsidRPr="006E5778">
        <w:t xml:space="preserve">Pomineme-li </w:t>
      </w:r>
      <w:r w:rsidR="0018528F" w:rsidRPr="006E5778">
        <w:t xml:space="preserve">meziroční </w:t>
      </w:r>
      <w:r w:rsidRPr="006E5778">
        <w:t>pokles v</w:t>
      </w:r>
      <w:r w:rsidR="00322DC1" w:rsidRPr="006E5778">
        <w:t> 1. pol.</w:t>
      </w:r>
      <w:r w:rsidR="0018528F" w:rsidRPr="006E5778">
        <w:t xml:space="preserve"> 2020 a stagnaci </w:t>
      </w:r>
      <w:r w:rsidR="00322DC1" w:rsidRPr="006E5778">
        <w:t>v 1. pol. 2021</w:t>
      </w:r>
      <w:r w:rsidR="00C83A1D">
        <w:t xml:space="preserve"> (tj. v období pandemie</w:t>
      </w:r>
      <w:r w:rsidR="00315DF2">
        <w:t xml:space="preserve"> covid-19</w:t>
      </w:r>
      <w:r w:rsidR="00C83A1D">
        <w:t>)</w:t>
      </w:r>
      <w:r w:rsidRPr="006E5778">
        <w:t xml:space="preserve">, je patrné, že </w:t>
      </w:r>
      <w:r w:rsidR="00853033" w:rsidRPr="006E5778">
        <w:t xml:space="preserve">se vlivem rostoucího počtu </w:t>
      </w:r>
      <w:r w:rsidR="006E5778" w:rsidRPr="006E5778">
        <w:t>zaměstnaných</w:t>
      </w:r>
      <w:r w:rsidRPr="006E5778">
        <w:t xml:space="preserve"> od roku 201</w:t>
      </w:r>
      <w:r w:rsidR="00322DC1" w:rsidRPr="006E5778">
        <w:t>4</w:t>
      </w:r>
      <w:r w:rsidRPr="006E5778">
        <w:t xml:space="preserve"> kontinuálně zvyšoval i průměrn</w:t>
      </w:r>
      <w:r w:rsidR="00853033" w:rsidRPr="006E5778">
        <w:t xml:space="preserve">ý počet nemocensky pojištěných. </w:t>
      </w:r>
      <w:r w:rsidR="00CA23A5" w:rsidRPr="006E5778">
        <w:rPr>
          <w:rFonts w:cs="Arial"/>
          <w:bCs/>
          <w:color w:val="000000"/>
          <w:szCs w:val="20"/>
        </w:rPr>
        <w:t>Za</w:t>
      </w:r>
      <w:r w:rsidR="008C3456" w:rsidRPr="006E5778">
        <w:rPr>
          <w:rFonts w:cs="Arial"/>
          <w:bCs/>
          <w:color w:val="000000"/>
          <w:szCs w:val="20"/>
        </w:rPr>
        <w:t> </w:t>
      </w:r>
      <w:r w:rsidR="00CA23A5" w:rsidRPr="006E5778">
        <w:rPr>
          <w:rFonts w:cs="Arial"/>
          <w:bCs/>
          <w:color w:val="000000"/>
          <w:szCs w:val="20"/>
        </w:rPr>
        <w:t xml:space="preserve">uplynulých 10 let počet nemocensky pojištěných vzrostl o </w:t>
      </w:r>
      <w:r w:rsidR="008A3B50" w:rsidRPr="006E5778">
        <w:rPr>
          <w:rFonts w:cs="Arial"/>
          <w:bCs/>
          <w:color w:val="000000"/>
          <w:szCs w:val="20"/>
        </w:rPr>
        <w:t>261 tis. (6</w:t>
      </w:r>
      <w:r w:rsidR="00CA23A5" w:rsidRPr="006E5778">
        <w:rPr>
          <w:rFonts w:cs="Arial"/>
          <w:bCs/>
          <w:color w:val="000000"/>
          <w:szCs w:val="20"/>
        </w:rPr>
        <w:t xml:space="preserve"> %). </w:t>
      </w:r>
      <w:r w:rsidRPr="006E5778">
        <w:t>Na tomto nárůstu</w:t>
      </w:r>
      <w:r w:rsidR="006E5778" w:rsidRPr="006E5778">
        <w:t xml:space="preserve"> se podílely především ženy. V tomto období </w:t>
      </w:r>
      <w:r w:rsidRPr="006E5778">
        <w:t xml:space="preserve">vzrostl </w:t>
      </w:r>
      <w:r w:rsidRPr="006E5778">
        <w:rPr>
          <w:b/>
        </w:rPr>
        <w:t xml:space="preserve">počet nemocensky pojištěných </w:t>
      </w:r>
      <w:r w:rsidR="006E5778" w:rsidRPr="006E5778">
        <w:rPr>
          <w:b/>
        </w:rPr>
        <w:t>žen</w:t>
      </w:r>
      <w:r w:rsidR="00FF3D8E" w:rsidRPr="006E5778">
        <w:rPr>
          <w:b/>
        </w:rPr>
        <w:t xml:space="preserve"> </w:t>
      </w:r>
      <w:r w:rsidRPr="006E5778">
        <w:t xml:space="preserve">o </w:t>
      </w:r>
      <w:r w:rsidR="006E5778" w:rsidRPr="006E5778">
        <w:t>179 tis. (8</w:t>
      </w:r>
      <w:r w:rsidRPr="006E5778">
        <w:t xml:space="preserve"> %</w:t>
      </w:r>
      <w:r w:rsidR="006E5778" w:rsidRPr="006E5778">
        <w:t>).</w:t>
      </w:r>
      <w:r w:rsidRPr="006E5778">
        <w:t xml:space="preserve"> </w:t>
      </w:r>
      <w:r w:rsidR="006E5778">
        <w:t>P</w:t>
      </w:r>
      <w:r w:rsidR="006E5778" w:rsidRPr="006E5778">
        <w:t>ojištěných mužů přibylo 82 tis. (4 %).</w:t>
      </w:r>
    </w:p>
    <w:p w14:paraId="692690CF" w14:textId="1F6A9E3E" w:rsidR="00EA098E" w:rsidRPr="001F7DD3" w:rsidRDefault="00EA098E" w:rsidP="00155829">
      <w:pPr>
        <w:spacing w:after="120"/>
        <w:jc w:val="both"/>
      </w:pPr>
      <w:r w:rsidRPr="001F7DD3">
        <w:t>Z </w:t>
      </w:r>
      <w:r w:rsidRPr="001F7DD3">
        <w:rPr>
          <w:b/>
        </w:rPr>
        <w:t>regionálního pohledu</w:t>
      </w:r>
      <w:r w:rsidRPr="001F7DD3">
        <w:t xml:space="preserve"> je nejvyšší průměrný počet nemocensky pojištěných </w:t>
      </w:r>
      <w:r w:rsidR="006E5778" w:rsidRPr="001F7DD3">
        <w:t>v hlavním městě Praze, a to 1 274</w:t>
      </w:r>
      <w:r w:rsidRPr="001F7DD3">
        <w:t xml:space="preserve"> tis. (</w:t>
      </w:r>
      <w:r w:rsidR="00EB2AD1" w:rsidRPr="001F7DD3">
        <w:t xml:space="preserve">27 % všech pojištěnců v </w:t>
      </w:r>
      <w:r w:rsidRPr="001F7DD3">
        <w:t>republi</w:t>
      </w:r>
      <w:r w:rsidR="00EB2AD1" w:rsidRPr="001F7DD3">
        <w:t>ce</w:t>
      </w:r>
      <w:r w:rsidRPr="001F7DD3">
        <w:t>). Zásadní roli zde sehrává skutečnost, že data v krajském třídění jsou zpracována podle sídla zaměstnavatele, resp. jeho mzdové účtárny</w:t>
      </w:r>
      <w:r w:rsidR="00C05AB7" w:rsidRPr="001F7DD3">
        <w:t>,</w:t>
      </w:r>
      <w:r w:rsidRPr="001F7DD3">
        <w:t xml:space="preserve"> a není výjimkou, aby firma se sídlem v Praze působila v jiných regionech či dokonce celorepublikově. Druhé a třetí místo obsadily Jihomoravský kraj s 5</w:t>
      </w:r>
      <w:r w:rsidR="006E5778" w:rsidRPr="001F7DD3">
        <w:t>2</w:t>
      </w:r>
      <w:r w:rsidR="00EB2AD1" w:rsidRPr="001F7DD3">
        <w:t>0</w:t>
      </w:r>
      <w:r w:rsidRPr="001F7DD3">
        <w:t xml:space="preserve"> tis. pojištěnců a </w:t>
      </w:r>
      <w:r w:rsidR="006E5778" w:rsidRPr="001F7DD3">
        <w:t xml:space="preserve">Středočeský kraj s 466 tis. pojištěnců. Každý z těchto dvou krajů se na celkovém počtu nemocensky pojištěných v Česku podílí přibližně z jedné desetiny. Středočeský kraj </w:t>
      </w:r>
      <w:r w:rsidR="001F7DD3" w:rsidRPr="001F7DD3">
        <w:t xml:space="preserve">nově </w:t>
      </w:r>
      <w:r w:rsidR="006E5778" w:rsidRPr="001F7DD3">
        <w:t xml:space="preserve">předběhl </w:t>
      </w:r>
      <w:r w:rsidRPr="001F7DD3">
        <w:t>Moravskoslezský kraj s 46</w:t>
      </w:r>
      <w:r w:rsidR="006E5778" w:rsidRPr="001F7DD3">
        <w:t>3</w:t>
      </w:r>
      <w:r w:rsidRPr="001F7DD3">
        <w:t xml:space="preserve"> tis. pojištěnc</w:t>
      </w:r>
      <w:r w:rsidR="001F7DD3" w:rsidRPr="001F7DD3">
        <w:t>ů</w:t>
      </w:r>
      <w:r w:rsidRPr="001F7DD3">
        <w:t xml:space="preserve">. </w:t>
      </w:r>
      <w:r w:rsidR="006E5778" w:rsidRPr="001F7DD3">
        <w:t xml:space="preserve">Nutno doplnit, že ačkoliv je </w:t>
      </w:r>
      <w:r w:rsidR="001F7DD3" w:rsidRPr="001F7DD3">
        <w:t>S</w:t>
      </w:r>
      <w:r w:rsidR="006E5778" w:rsidRPr="001F7DD3">
        <w:t xml:space="preserve">tředočeský kraj v České republice nejlidnatější, mnoho </w:t>
      </w:r>
      <w:r w:rsidRPr="001F7DD3">
        <w:t xml:space="preserve">Středočechů </w:t>
      </w:r>
      <w:r w:rsidR="006E5778" w:rsidRPr="001F7DD3">
        <w:t xml:space="preserve">dojíždí </w:t>
      </w:r>
      <w:r w:rsidRPr="001F7DD3">
        <w:t>za zaměstnáním do Prahy.</w:t>
      </w:r>
    </w:p>
    <w:p w14:paraId="078E34E3" w14:textId="1796C4F8" w:rsidR="00E03972" w:rsidRPr="00D92E20" w:rsidRDefault="004066CC" w:rsidP="00155829">
      <w:pPr>
        <w:spacing w:after="120"/>
        <w:jc w:val="both"/>
      </w:pPr>
      <w:r w:rsidRPr="001F7DD3">
        <w:t xml:space="preserve">Co se týče </w:t>
      </w:r>
      <w:r w:rsidRPr="001F7DD3">
        <w:rPr>
          <w:b/>
        </w:rPr>
        <w:t xml:space="preserve">velikosti </w:t>
      </w:r>
      <w:r w:rsidR="005A1638" w:rsidRPr="001F7DD3">
        <w:rPr>
          <w:b/>
        </w:rPr>
        <w:t>podniku</w:t>
      </w:r>
      <w:r w:rsidRPr="001F7DD3">
        <w:t>, třetina ne</w:t>
      </w:r>
      <w:r w:rsidR="00D529DD" w:rsidRPr="001F7DD3">
        <w:t>mocensky pojištěných osob (1 53</w:t>
      </w:r>
      <w:r w:rsidR="001F7DD3" w:rsidRPr="001F7DD3">
        <w:t>1</w:t>
      </w:r>
      <w:r w:rsidRPr="001F7DD3">
        <w:t xml:space="preserve"> tis.) pracuje ve velkých firmách s 500 a více zaměstnanci</w:t>
      </w:r>
      <w:r w:rsidR="00E03972" w:rsidRPr="001F7DD3">
        <w:t>.</w:t>
      </w:r>
      <w:r w:rsidRPr="001F7DD3">
        <w:t xml:space="preserve"> </w:t>
      </w:r>
      <w:r w:rsidR="00E03972" w:rsidRPr="001F7DD3">
        <w:t xml:space="preserve">Za posledních deset let jejich počet </w:t>
      </w:r>
      <w:r w:rsidR="00174F62" w:rsidRPr="001F7DD3">
        <w:t xml:space="preserve">vzrostl </w:t>
      </w:r>
      <w:r w:rsidR="00D529DD" w:rsidRPr="001F7DD3">
        <w:t xml:space="preserve">o </w:t>
      </w:r>
      <w:r w:rsidR="001F7DD3" w:rsidRPr="001F7DD3">
        <w:t>128</w:t>
      </w:r>
      <w:r w:rsidR="00E03972" w:rsidRPr="001F7DD3">
        <w:t xml:space="preserve"> tis. osob. Další třetina</w:t>
      </w:r>
      <w:r w:rsidRPr="001F7DD3">
        <w:t xml:space="preserve"> připadá na </w:t>
      </w:r>
      <w:r w:rsidR="00174F62" w:rsidRPr="001F7DD3">
        <w:t>podniky mající</w:t>
      </w:r>
      <w:r w:rsidRPr="001F7DD3">
        <w:t xml:space="preserve"> do 50 zaměstnanců, kde v</w:t>
      </w:r>
      <w:r w:rsidR="00D529DD" w:rsidRPr="001F7DD3">
        <w:t> 1. pol.</w:t>
      </w:r>
      <w:r w:rsidRPr="001F7DD3">
        <w:t xml:space="preserve"> 202</w:t>
      </w:r>
      <w:r w:rsidR="001F7DD3" w:rsidRPr="001F7DD3">
        <w:t>2</w:t>
      </w:r>
      <w:r w:rsidRPr="001F7DD3">
        <w:t xml:space="preserve"> pracovalo </w:t>
      </w:r>
      <w:r w:rsidR="00E03972" w:rsidRPr="001F7DD3">
        <w:t xml:space="preserve">téměř </w:t>
      </w:r>
      <w:r w:rsidRPr="001F7DD3">
        <w:t>1</w:t>
      </w:r>
      <w:r w:rsidR="007D333B">
        <w:t xml:space="preserve"> </w:t>
      </w:r>
      <w:r w:rsidRPr="001F7DD3">
        <w:t>5</w:t>
      </w:r>
      <w:r w:rsidR="007D333B">
        <w:t>00 tis.</w:t>
      </w:r>
      <w:r w:rsidRPr="001F7DD3">
        <w:t xml:space="preserve"> nemocensky pojištěných osob. Nejnižší podíl mezi nemocensky pojištěnými osobami představují </w:t>
      </w:r>
      <w:r w:rsidRPr="001F7DD3">
        <w:rPr>
          <w:b/>
        </w:rPr>
        <w:t>OSVČ</w:t>
      </w:r>
      <w:r w:rsidRPr="001F7DD3">
        <w:t>, které jsou</w:t>
      </w:r>
      <w:r w:rsidR="00E03972" w:rsidRPr="001F7DD3">
        <w:t xml:space="preserve">, jak </w:t>
      </w:r>
      <w:r w:rsidR="00D529DD" w:rsidRPr="001F7DD3">
        <w:t>již</w:t>
      </w:r>
      <w:r w:rsidR="00E03972" w:rsidRPr="001F7DD3">
        <w:t xml:space="preserve"> bylo zmíněno,</w:t>
      </w:r>
      <w:r w:rsidRPr="001F7DD3">
        <w:t xml:space="preserve"> pojištěny dobrovolně. V</w:t>
      </w:r>
      <w:r w:rsidR="00D529DD" w:rsidRPr="001F7DD3">
        <w:t> 1. pol. 202</w:t>
      </w:r>
      <w:r w:rsidR="001F7DD3" w:rsidRPr="001F7DD3">
        <w:t>2</w:t>
      </w:r>
      <w:r w:rsidR="00D529DD" w:rsidRPr="001F7DD3">
        <w:t xml:space="preserve"> </w:t>
      </w:r>
      <w:r w:rsidR="00E03972" w:rsidRPr="001F7DD3">
        <w:t>tvořily</w:t>
      </w:r>
      <w:r w:rsidRPr="001F7DD3">
        <w:t xml:space="preserve"> </w:t>
      </w:r>
      <w:r w:rsidR="00E03972" w:rsidRPr="001F7DD3">
        <w:t>pouhá</w:t>
      </w:r>
      <w:r w:rsidRPr="001F7DD3">
        <w:t xml:space="preserve"> 2 % z celkového počtu pojištěnců v ČR. Před deseti lety </w:t>
      </w:r>
      <w:r w:rsidR="00D529DD" w:rsidRPr="001F7DD3">
        <w:t>zaujímaly</w:t>
      </w:r>
      <w:r w:rsidRPr="001F7DD3">
        <w:t xml:space="preserve"> </w:t>
      </w:r>
      <w:r w:rsidR="001F7DD3" w:rsidRPr="001F7DD3">
        <w:t>2,6</w:t>
      </w:r>
      <w:r w:rsidR="00D529DD" w:rsidRPr="001F7DD3">
        <w:t xml:space="preserve"> %</w:t>
      </w:r>
      <w:r w:rsidRPr="001F7DD3">
        <w:t>.</w:t>
      </w:r>
      <w:r w:rsidR="00E03972" w:rsidRPr="00D92E20">
        <w:t xml:space="preserve"> </w:t>
      </w:r>
    </w:p>
    <w:p w14:paraId="211C2133" w14:textId="233BE8D3" w:rsidR="00E03972" w:rsidRPr="00D92E20" w:rsidRDefault="00E03972" w:rsidP="00C35DBB">
      <w:pPr>
        <w:spacing w:after="0"/>
        <w:jc w:val="both"/>
        <w:rPr>
          <w:sz w:val="16"/>
        </w:rPr>
      </w:pPr>
      <w:r w:rsidRPr="00D92E20">
        <w:rPr>
          <w:b/>
        </w:rPr>
        <w:t>Graf 1.1: P</w:t>
      </w:r>
      <w:r w:rsidR="00684AA4" w:rsidRPr="00D92E20">
        <w:rPr>
          <w:b/>
        </w:rPr>
        <w:t>růměrný</w:t>
      </w:r>
      <w:r w:rsidRPr="00D92E20">
        <w:rPr>
          <w:b/>
        </w:rPr>
        <w:t xml:space="preserve"> počet nemocensky pojištěných osob podle velikosti</w:t>
      </w:r>
      <w:r w:rsidRPr="00D92E20">
        <w:t xml:space="preserve"> </w:t>
      </w:r>
      <w:r w:rsidRPr="00D92E20">
        <w:rPr>
          <w:b/>
        </w:rPr>
        <w:t xml:space="preserve">podniku, </w:t>
      </w:r>
      <w:r w:rsidR="00C35DBB">
        <w:rPr>
          <w:b/>
        </w:rPr>
        <w:t>1. pol. 2012, 2017</w:t>
      </w:r>
      <w:r w:rsidR="00EB2AD1" w:rsidRPr="00EB2AD1">
        <w:rPr>
          <w:b/>
        </w:rPr>
        <w:t>, 202</w:t>
      </w:r>
      <w:r w:rsidR="00C35DBB">
        <w:rPr>
          <w:b/>
        </w:rPr>
        <w:t>2</w:t>
      </w:r>
      <w:r w:rsidR="00EB2AD1" w:rsidRPr="00EB2AD1">
        <w:rPr>
          <w:b/>
        </w:rPr>
        <w:t xml:space="preserve"> </w:t>
      </w:r>
      <w:r w:rsidRPr="00D92E20">
        <w:rPr>
          <w:b/>
        </w:rPr>
        <w:t>(v</w:t>
      </w:r>
      <w:r w:rsidR="00174F62" w:rsidRPr="00D92E20">
        <w:rPr>
          <w:b/>
        </w:rPr>
        <w:t> </w:t>
      </w:r>
      <w:r w:rsidRPr="00D92E20">
        <w:rPr>
          <w:b/>
        </w:rPr>
        <w:t>tis. a v %)</w:t>
      </w:r>
      <w:r w:rsidRPr="00D92E20">
        <w:t xml:space="preserve"> </w:t>
      </w:r>
      <w:r w:rsidR="00C35DBB">
        <w:rPr>
          <w:noProof/>
        </w:rPr>
        <w:drawing>
          <wp:anchor distT="0" distB="0" distL="114300" distR="114300" simplePos="0" relativeHeight="251664896" behindDoc="1" locked="0" layoutInCell="1" allowOverlap="1" wp14:anchorId="0670B0A8" wp14:editId="1294900A">
            <wp:simplePos x="0" y="0"/>
            <wp:positionH relativeFrom="column">
              <wp:posOffset>2689860</wp:posOffset>
            </wp:positionH>
            <wp:positionV relativeFrom="paragraph">
              <wp:posOffset>324485</wp:posOffset>
            </wp:positionV>
            <wp:extent cx="3476625" cy="2590800"/>
            <wp:effectExtent l="0" t="0" r="9525" b="0"/>
            <wp:wrapTight wrapText="bothSides">
              <wp:wrapPolygon edited="0">
                <wp:start x="0" y="0"/>
                <wp:lineTo x="0" y="21441"/>
                <wp:lineTo x="21541" y="21441"/>
                <wp:lineTo x="21541" y="0"/>
                <wp:lineTo x="0" y="0"/>
              </wp:wrapPolygon>
            </wp:wrapTight>
            <wp:docPr id="28" name="Graf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14:sizeRelH relativeFrom="page">
              <wp14:pctWidth>0</wp14:pctWidth>
            </wp14:sizeRelH>
            <wp14:sizeRelV relativeFrom="page">
              <wp14:pctHeight>0</wp14:pctHeight>
            </wp14:sizeRelV>
          </wp:anchor>
        </w:drawing>
      </w:r>
      <w:r w:rsidR="00C35DBB">
        <w:rPr>
          <w:noProof/>
        </w:rPr>
        <w:drawing>
          <wp:anchor distT="0" distB="0" distL="114300" distR="114300" simplePos="0" relativeHeight="251665920" behindDoc="1" locked="0" layoutInCell="1" allowOverlap="1" wp14:anchorId="13B6777B" wp14:editId="425C60D4">
            <wp:simplePos x="0" y="0"/>
            <wp:positionH relativeFrom="column">
              <wp:posOffset>3810</wp:posOffset>
            </wp:positionH>
            <wp:positionV relativeFrom="paragraph">
              <wp:posOffset>324485</wp:posOffset>
            </wp:positionV>
            <wp:extent cx="2686050" cy="2590800"/>
            <wp:effectExtent l="0" t="0" r="0" b="0"/>
            <wp:wrapTight wrapText="bothSides">
              <wp:wrapPolygon edited="0">
                <wp:start x="0" y="0"/>
                <wp:lineTo x="0" y="21441"/>
                <wp:lineTo x="21447" y="21441"/>
                <wp:lineTo x="21447" y="0"/>
                <wp:lineTo x="0" y="0"/>
              </wp:wrapPolygon>
            </wp:wrapTight>
            <wp:docPr id="26" name="Graf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page">
              <wp14:pctWidth>0</wp14:pctWidth>
            </wp14:sizeRelH>
            <wp14:sizeRelV relativeFrom="page">
              <wp14:pctHeight>0</wp14:pctHeight>
            </wp14:sizeRelV>
          </wp:anchor>
        </w:drawing>
      </w:r>
    </w:p>
    <w:p w14:paraId="4F3266B0" w14:textId="77777777" w:rsidR="00E03972" w:rsidRPr="00D92E20" w:rsidRDefault="00E03972" w:rsidP="00E03972">
      <w:pPr>
        <w:spacing w:before="60" w:after="120"/>
        <w:jc w:val="both"/>
        <w:rPr>
          <w:sz w:val="16"/>
        </w:rPr>
      </w:pPr>
      <w:r w:rsidRPr="00D92E20">
        <w:rPr>
          <w:sz w:val="16"/>
        </w:rPr>
        <w:t>Zdroj: ČSÚ</w:t>
      </w:r>
    </w:p>
    <w:p w14:paraId="5B9A3A83" w14:textId="266D240E" w:rsidR="00E03972" w:rsidRPr="001F7DD3" w:rsidRDefault="00E03972" w:rsidP="00155829">
      <w:pPr>
        <w:spacing w:after="120"/>
        <w:jc w:val="both"/>
      </w:pPr>
      <w:r w:rsidRPr="001F7DD3">
        <w:t xml:space="preserve">Nejvíce zastoupenými </w:t>
      </w:r>
      <w:r w:rsidRPr="001F7DD3">
        <w:rPr>
          <w:b/>
        </w:rPr>
        <w:t>odvětvími</w:t>
      </w:r>
      <w:r w:rsidRPr="001F7DD3">
        <w:t>, co do počtu nemocensky pojištěných, jsou sekce Zpracovatelský průmysl a Velkoobchod a maloobchod, opravy a údržba motorových vozidel, což odráží strukturu české ekonomiky. Tato dvě odvětví dohromady zaměstnávají téměř 40 % všech nemocensky pojištěných, přičemž na podniky s převažující ekonomickou činností ve zpr</w:t>
      </w:r>
      <w:r w:rsidR="00D529DD" w:rsidRPr="001F7DD3">
        <w:t>acovatelském průmyslu připadá 25</w:t>
      </w:r>
      <w:r w:rsidRPr="001F7DD3">
        <w:t xml:space="preserve"> %. V rámci zpracovatelského </w:t>
      </w:r>
      <w:r w:rsidRPr="001F7DD3">
        <w:lastRenderedPageBreak/>
        <w:t>průmyslu působilo nejvíce nemocensky pojištěných osob v automobilovém průmyslu (CZ-NACE oddíl 29), kde v</w:t>
      </w:r>
      <w:r w:rsidR="00D529DD" w:rsidRPr="001F7DD3">
        <w:t> 1. pol. 202</w:t>
      </w:r>
      <w:r w:rsidR="001F7DD3" w:rsidRPr="001F7DD3">
        <w:t>2</w:t>
      </w:r>
      <w:r w:rsidRPr="001F7DD3">
        <w:t xml:space="preserve"> pracovalo 1</w:t>
      </w:r>
      <w:r w:rsidR="001F7DD3" w:rsidRPr="001F7DD3">
        <w:t>5</w:t>
      </w:r>
      <w:r w:rsidRPr="001F7DD3">
        <w:t xml:space="preserve"> % všech nemocensky pojištěných osob </w:t>
      </w:r>
      <w:r w:rsidR="00684AA4" w:rsidRPr="001F7DD3">
        <w:t>ze zpracovatelského průmyslu</w:t>
      </w:r>
      <w:r w:rsidRPr="001F7DD3">
        <w:t>. S menším odstupem následovaly kovozpracující (oddíl 25) a strojírenský (oddíl 28)</w:t>
      </w:r>
      <w:r w:rsidR="00FF3D8E" w:rsidRPr="001F7DD3">
        <w:t xml:space="preserve"> průmysl</w:t>
      </w:r>
      <w:r w:rsidRPr="001F7DD3">
        <w:t>, na které připadalo 1</w:t>
      </w:r>
      <w:r w:rsidR="00F35E90" w:rsidRPr="001F7DD3">
        <w:t>3</w:t>
      </w:r>
      <w:r w:rsidR="00684AA4" w:rsidRPr="001F7DD3">
        <w:t xml:space="preserve"> %, resp. 10</w:t>
      </w:r>
      <w:r w:rsidRPr="001F7DD3">
        <w:t xml:space="preserve"> % ze všech nemocensky pojištěných osob ve zpracovatelském průmyslu.</w:t>
      </w:r>
      <w:r w:rsidR="00EF2129" w:rsidRPr="001F7DD3">
        <w:t xml:space="preserve"> Vzhledem k velkému </w:t>
      </w:r>
      <w:r w:rsidR="001F7DD3">
        <w:t>významu</w:t>
      </w:r>
      <w:r w:rsidR="00EF2129" w:rsidRPr="001F7DD3">
        <w:t xml:space="preserve"> Zpracovatelského průmyslu </w:t>
      </w:r>
      <w:r w:rsidR="001F7DD3">
        <w:t>v českém hospodářství</w:t>
      </w:r>
      <w:r w:rsidR="00EF2129" w:rsidRPr="001F7DD3">
        <w:t xml:space="preserve"> je této sekci věnována samostatná část </w:t>
      </w:r>
      <w:r w:rsidR="00335F6A" w:rsidRPr="001F7DD3">
        <w:t>8</w:t>
      </w:r>
      <w:r w:rsidR="001F7DD3">
        <w:t> </w:t>
      </w:r>
      <w:r w:rsidR="00335F6A" w:rsidRPr="001F7DD3">
        <w:t>tabulkové přílohy</w:t>
      </w:r>
      <w:r w:rsidR="00EF2129" w:rsidRPr="001F7DD3">
        <w:t>.</w:t>
      </w:r>
    </w:p>
    <w:p w14:paraId="46C3A5DB" w14:textId="380F4888" w:rsidR="00E03972" w:rsidRPr="00D92E20" w:rsidRDefault="00E03972" w:rsidP="00155829">
      <w:pPr>
        <w:spacing w:after="120"/>
        <w:jc w:val="both"/>
      </w:pPr>
      <w:r w:rsidRPr="001F7DD3">
        <w:t>V odvětvových sekcích Veřejná správa</w:t>
      </w:r>
      <w:r w:rsidR="00F35E90" w:rsidRPr="001F7DD3">
        <w:rPr>
          <w:rStyle w:val="Znakapoznpodarou"/>
        </w:rPr>
        <w:footnoteReference w:id="7"/>
      </w:r>
      <w:r w:rsidRPr="001F7DD3">
        <w:t xml:space="preserve">, Vzdělávání a Zdravotní a sociální péče byla </w:t>
      </w:r>
      <w:r w:rsidR="00684AA4" w:rsidRPr="001F7DD3">
        <w:t>v</w:t>
      </w:r>
      <w:r w:rsidR="00D529DD" w:rsidRPr="001F7DD3">
        <w:t> 1. pol. 202</w:t>
      </w:r>
      <w:r w:rsidR="001F7DD3" w:rsidRPr="001F7DD3">
        <w:t>2</w:t>
      </w:r>
      <w:r w:rsidRPr="001F7DD3">
        <w:t xml:space="preserve"> dohromady zaměstnána </w:t>
      </w:r>
      <w:r w:rsidR="001F7DD3" w:rsidRPr="001F7DD3">
        <w:t>více než pětina</w:t>
      </w:r>
      <w:r w:rsidRPr="001F7DD3">
        <w:t xml:space="preserve"> (2</w:t>
      </w:r>
      <w:r w:rsidR="00D529DD" w:rsidRPr="001F7DD3">
        <w:t>3</w:t>
      </w:r>
      <w:r w:rsidRPr="001F7DD3">
        <w:t xml:space="preserve"> %) ze všech nemocensky pojištěných. </w:t>
      </w:r>
      <w:r w:rsidR="00913648" w:rsidRPr="001F7DD3">
        <w:t>V</w:t>
      </w:r>
      <w:r w:rsidR="00CA23A5" w:rsidRPr="001F7DD3">
        <w:t xml:space="preserve">íce než tři čtvrtiny </w:t>
      </w:r>
      <w:r w:rsidR="001F7DD3" w:rsidRPr="001F7DD3">
        <w:t xml:space="preserve">(76 %) </w:t>
      </w:r>
      <w:r w:rsidR="00CA23A5" w:rsidRPr="001F7DD3">
        <w:t>z</w:t>
      </w:r>
      <w:r w:rsidR="00F35E90" w:rsidRPr="001F7DD3">
        <w:t xml:space="preserve"> celkového počtu </w:t>
      </w:r>
      <w:r w:rsidR="00CA23A5" w:rsidRPr="001F7DD3">
        <w:t xml:space="preserve">nemocensky pojištěných osob v těchto třech odvětvových sekcích </w:t>
      </w:r>
      <w:r w:rsidR="00FF3D8E" w:rsidRPr="001F7DD3">
        <w:t>tvořily ženy.</w:t>
      </w:r>
    </w:p>
    <w:p w14:paraId="5D85A699" w14:textId="170FB91C" w:rsidR="00E03972" w:rsidRDefault="00CA23A5" w:rsidP="00CA23A5">
      <w:pPr>
        <w:spacing w:before="60" w:after="120"/>
        <w:rPr>
          <w:noProof/>
        </w:rPr>
      </w:pPr>
      <w:r w:rsidRPr="00CA23A5">
        <w:rPr>
          <w:b/>
        </w:rPr>
        <w:t>Graf 1.2: Průměrný počet nemocensky pojištěných osob podle odvět</w:t>
      </w:r>
      <w:r w:rsidR="00C35DBB">
        <w:rPr>
          <w:b/>
        </w:rPr>
        <w:t>ví (sekce CZ-NACE), 1. pol. 2012 a 2022</w:t>
      </w:r>
      <w:r w:rsidRPr="00CA23A5">
        <w:rPr>
          <w:b/>
        </w:rPr>
        <w:t xml:space="preserve"> (v tis.)</w:t>
      </w:r>
    </w:p>
    <w:p w14:paraId="33EA8C22" w14:textId="104D32B7" w:rsidR="00CA23A5" w:rsidRPr="00D92E20" w:rsidRDefault="00C35DBB" w:rsidP="00CA23A5">
      <w:pPr>
        <w:spacing w:before="60" w:after="120"/>
        <w:rPr>
          <w:sz w:val="16"/>
        </w:rPr>
      </w:pPr>
      <w:r w:rsidRPr="00C35DBB">
        <w:rPr>
          <w:noProof/>
        </w:rPr>
        <mc:AlternateContent>
          <mc:Choice Requires="wps">
            <w:drawing>
              <wp:anchor distT="0" distB="0" distL="114300" distR="114300" simplePos="0" relativeHeight="251667968" behindDoc="0" locked="0" layoutInCell="1" allowOverlap="1" wp14:anchorId="3FC5DF14" wp14:editId="6524F1E9">
                <wp:simplePos x="0" y="0"/>
                <wp:positionH relativeFrom="column">
                  <wp:posOffset>5728335</wp:posOffset>
                </wp:positionH>
                <wp:positionV relativeFrom="paragraph">
                  <wp:posOffset>116205</wp:posOffset>
                </wp:positionV>
                <wp:extent cx="381000" cy="409575"/>
                <wp:effectExtent l="0" t="0" r="0" b="0"/>
                <wp:wrapNone/>
                <wp:docPr id="36" name="TextovéPole 2"/>
                <wp:cNvGraphicFramePr/>
                <a:graphic xmlns:a="http://schemas.openxmlformats.org/drawingml/2006/main">
                  <a:graphicData uri="http://schemas.microsoft.com/office/word/2010/wordprocessingShape">
                    <wps:wsp>
                      <wps:cNvSpPr txBox="1"/>
                      <wps:spPr>
                        <a:xfrm>
                          <a:off x="0" y="0"/>
                          <a:ext cx="381000" cy="409575"/>
                        </a:xfrm>
                        <a:prstGeom prst="rect">
                          <a:avLst/>
                        </a:prstGeom>
                        <a:noFill/>
                        <a:ln w="9525" cmpd="sng">
                          <a:noFill/>
                        </a:ln>
                      </wps:spPr>
                      <wps:style>
                        <a:lnRef idx="0">
                          <a:scrgbClr r="0" g="0" b="0"/>
                        </a:lnRef>
                        <a:fillRef idx="0">
                          <a:scrgbClr r="0" g="0" b="0"/>
                        </a:fillRef>
                        <a:effectRef idx="0">
                          <a:scrgbClr r="0" g="0" b="0"/>
                        </a:effectRef>
                        <a:fontRef idx="minor">
                          <a:schemeClr val="dk1"/>
                        </a:fontRef>
                      </wps:style>
                      <wps:txbx>
                        <w:txbxContent>
                          <w:p w14:paraId="1573205D" w14:textId="77777777" w:rsidR="00790B93" w:rsidRDefault="00790B93" w:rsidP="00C35DBB">
                            <w:pPr>
                              <w:pStyle w:val="Normlnweb"/>
                              <w:spacing w:before="0" w:beforeAutospacing="0" w:after="0" w:afterAutospacing="0"/>
                            </w:pPr>
                            <w:r>
                              <w:rPr>
                                <w:rFonts w:asciiTheme="minorHAnsi" w:hAnsi="Cambria" w:cstheme="minorBidi"/>
                                <w:b/>
                                <w:bCs/>
                                <w:color w:val="FFFFFF" w:themeColor="background1"/>
                                <w:sz w:val="28"/>
                                <w:szCs w:val="28"/>
                              </w:rPr>
                              <w:t>//</w:t>
                            </w:r>
                          </w:p>
                        </w:txbxContent>
                      </wps:txbx>
                      <wps:bodyPr vertOverflow="clip" horzOverflow="clip" wrap="square" rtlCol="0" anchor="t"/>
                    </wps:wsp>
                  </a:graphicData>
                </a:graphic>
              </wp:anchor>
            </w:drawing>
          </mc:Choice>
          <mc:Fallback>
            <w:pict>
              <v:shape w14:anchorId="3FC5DF14" id="TextovéPole 2" o:spid="_x0000_s1033" type="#_x0000_t202" style="position:absolute;margin-left:451.05pt;margin-top:9.15pt;width:30pt;height:32.25pt;z-index:251667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" filled="f" stroked="f">
                <v:textbox>
                  <w:txbxContent>
                    <w:p w14:paraId="1573205D" w14:textId="77777777" w:rsidR="00790B93" w:rsidRDefault="00790B93" w:rsidP="00C35DBB">
                      <w:pPr>
                        <w:pStyle w:val="Normlnweb"/>
                        <w:spacing w:before="0" w:beforeAutospacing="0" w:after="0" w:afterAutospacing="0"/>
                      </w:pPr>
                      <w:r>
                        <w:rPr>
                          <w:rFonts w:asciiTheme="minorHAnsi" w:hAnsi="Cambria" w:cstheme="minorBidi"/>
                          <w:b/>
                          <w:bCs/>
                          <w:color w:val="FFFFFF" w:themeColor="background1"/>
                          <w:sz w:val="28"/>
                          <w:szCs w:val="28"/>
                        </w:rPr>
                        <w:t>//</w:t>
                      </w:r>
                    </w:p>
                  </w:txbxContent>
                </v:textbox>
              </v:shape>
            </w:pict>
          </mc:Fallback>
        </mc:AlternateContent>
      </w:r>
      <w:r>
        <w:rPr>
          <w:noProof/>
        </w:rPr>
        <w:drawing>
          <wp:inline distT="0" distB="0" distL="0" distR="0" wp14:anchorId="3870E907" wp14:editId="6CD8C45B">
            <wp:extent cx="6120130" cy="5573395"/>
            <wp:effectExtent l="0" t="0" r="13970" b="8255"/>
            <wp:docPr id="35" name="Graf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r w:rsidRPr="00C35DBB">
        <w:rPr>
          <w:noProof/>
        </w:rPr>
        <w:t xml:space="preserve"> </w:t>
      </w:r>
    </w:p>
    <w:p w14:paraId="6B5510D9" w14:textId="77777777" w:rsidR="004066CC" w:rsidRPr="00D92E20" w:rsidRDefault="00684AA4" w:rsidP="00684AA4">
      <w:pPr>
        <w:spacing w:before="120" w:after="120"/>
        <w:jc w:val="both"/>
        <w:rPr>
          <w:sz w:val="16"/>
        </w:rPr>
      </w:pPr>
      <w:r w:rsidRPr="00D92E20">
        <w:rPr>
          <w:sz w:val="16"/>
        </w:rPr>
        <w:t>Zdroj: ČSÚ</w:t>
      </w:r>
    </w:p>
    <w:p w14:paraId="6E71F4BD" w14:textId="4EDDF755" w:rsidR="00A10BE6" w:rsidRPr="001869B8" w:rsidRDefault="00684AA4" w:rsidP="00155829">
      <w:pPr>
        <w:pStyle w:val="Seznam"/>
        <w:spacing w:after="120"/>
        <w:contextualSpacing w:val="0"/>
        <w:jc w:val="both"/>
      </w:pPr>
      <w:r w:rsidRPr="001869B8">
        <w:rPr>
          <w:b/>
        </w:rPr>
        <w:lastRenderedPageBreak/>
        <w:t xml:space="preserve">Mezi </w:t>
      </w:r>
      <w:r w:rsidR="00CA23A5" w:rsidRPr="001869B8">
        <w:rPr>
          <w:b/>
        </w:rPr>
        <w:t>1. pol. 201</w:t>
      </w:r>
      <w:r w:rsidR="00DA558F" w:rsidRPr="001869B8">
        <w:rPr>
          <w:b/>
        </w:rPr>
        <w:t>2</w:t>
      </w:r>
      <w:r w:rsidRPr="001869B8">
        <w:rPr>
          <w:b/>
        </w:rPr>
        <w:t xml:space="preserve"> a 202</w:t>
      </w:r>
      <w:r w:rsidR="00DA558F" w:rsidRPr="001869B8">
        <w:rPr>
          <w:b/>
        </w:rPr>
        <w:t>2</w:t>
      </w:r>
      <w:r w:rsidRPr="001869B8">
        <w:t xml:space="preserve"> došlo k nárůstu počtu nemocensky pojištěných téměř o </w:t>
      </w:r>
      <w:r w:rsidR="00CA23A5" w:rsidRPr="001869B8">
        <w:t xml:space="preserve">již zmíněných </w:t>
      </w:r>
      <w:r w:rsidR="00DA558F" w:rsidRPr="001869B8">
        <w:t xml:space="preserve">261 </w:t>
      </w:r>
      <w:r w:rsidR="00CA23A5" w:rsidRPr="001869B8">
        <w:t>tis</w:t>
      </w:r>
      <w:r w:rsidRPr="001869B8">
        <w:t xml:space="preserve">. osob (tj. o </w:t>
      </w:r>
      <w:r w:rsidR="00DA558F" w:rsidRPr="001869B8">
        <w:t>6</w:t>
      </w:r>
      <w:r w:rsidR="00CA23A5" w:rsidRPr="001869B8">
        <w:t xml:space="preserve"> </w:t>
      </w:r>
      <w:r w:rsidRPr="001869B8">
        <w:t xml:space="preserve">%). Nejvíce pojištěnců, </w:t>
      </w:r>
      <w:r w:rsidR="00E404AC" w:rsidRPr="001869B8">
        <w:t>8</w:t>
      </w:r>
      <w:r w:rsidR="00DA558F" w:rsidRPr="001869B8">
        <w:t>1</w:t>
      </w:r>
      <w:r w:rsidRPr="001869B8">
        <w:t xml:space="preserve"> tis. (tedy </w:t>
      </w:r>
      <w:r w:rsidR="00DA558F" w:rsidRPr="001869B8">
        <w:t>25</w:t>
      </w:r>
      <w:r w:rsidRPr="001869B8">
        <w:t xml:space="preserve"> %), přibylo v</w:t>
      </w:r>
      <w:r w:rsidR="00C05AB7" w:rsidRPr="001869B8">
        <w:t xml:space="preserve"> odvětví</w:t>
      </w:r>
      <w:r w:rsidRPr="001869B8">
        <w:t xml:space="preserve"> </w:t>
      </w:r>
      <w:r w:rsidR="009967C9" w:rsidRPr="001869B8">
        <w:t>Zdravotní a sociální péč</w:t>
      </w:r>
      <w:r w:rsidR="00C05AB7" w:rsidRPr="001869B8">
        <w:t>e</w:t>
      </w:r>
      <w:r w:rsidR="009967C9" w:rsidRPr="001869B8">
        <w:t>, což</w:t>
      </w:r>
      <w:r w:rsidR="00F35E90" w:rsidRPr="001869B8">
        <w:t xml:space="preserve"> patrně </w:t>
      </w:r>
      <w:r w:rsidR="009967C9" w:rsidRPr="001869B8">
        <w:t>souvisí s tématem stárnutí populace.</w:t>
      </w:r>
      <w:r w:rsidRPr="001869B8">
        <w:t xml:space="preserve"> Odvětvovou sekcí s druhým nejvyšším absolutním přírůstkem byl</w:t>
      </w:r>
      <w:r w:rsidR="001869B8" w:rsidRPr="001869B8">
        <w:t>o Vzdělávání</w:t>
      </w:r>
      <w:r w:rsidRPr="001869B8">
        <w:t xml:space="preserve">. Zde vzrostl počet pojištěnců o </w:t>
      </w:r>
      <w:r w:rsidR="001869B8" w:rsidRPr="001869B8">
        <w:t>67</w:t>
      </w:r>
      <w:r w:rsidRPr="001869B8">
        <w:t xml:space="preserve"> tis</w:t>
      </w:r>
      <w:r w:rsidR="00E404AC" w:rsidRPr="001869B8">
        <w:t xml:space="preserve">, což představovalo </w:t>
      </w:r>
      <w:r w:rsidR="001869B8" w:rsidRPr="001869B8">
        <w:t>20</w:t>
      </w:r>
      <w:r w:rsidRPr="001869B8">
        <w:t xml:space="preserve">% nárůst. </w:t>
      </w:r>
      <w:r w:rsidR="00A10BE6" w:rsidRPr="001869B8">
        <w:t xml:space="preserve">Třetí nejvyšší nárůst náleží </w:t>
      </w:r>
      <w:r w:rsidR="00C05AB7" w:rsidRPr="001869B8">
        <w:t xml:space="preserve">odvětví </w:t>
      </w:r>
      <w:r w:rsidR="001869B8" w:rsidRPr="001869B8">
        <w:t>Informační a komunikační činnosti</w:t>
      </w:r>
      <w:r w:rsidR="00A10BE6" w:rsidRPr="001869B8">
        <w:t xml:space="preserve">. Počet pojištěnců se </w:t>
      </w:r>
      <w:r w:rsidR="00C05AB7" w:rsidRPr="001869B8">
        <w:t xml:space="preserve">zde </w:t>
      </w:r>
      <w:r w:rsidR="00A10BE6" w:rsidRPr="001869B8">
        <w:t xml:space="preserve">za poslední dekádu zvýšil o </w:t>
      </w:r>
      <w:r w:rsidR="001869B8" w:rsidRPr="001869B8">
        <w:t>42 tis., tedy o</w:t>
      </w:r>
      <w:r w:rsidR="001869B8">
        <w:t> </w:t>
      </w:r>
      <w:r w:rsidR="001869B8" w:rsidRPr="001869B8">
        <w:t>37 %</w:t>
      </w:r>
      <w:r w:rsidR="00A10BE6" w:rsidRPr="001869B8">
        <w:t xml:space="preserve">. </w:t>
      </w:r>
      <w:r w:rsidR="00D56D90" w:rsidRPr="00D56D90">
        <w:t>Tato odvětvová sekce zahrnuje řadu ekonomických činností od vydavatelských, audiovizuálních a</w:t>
      </w:r>
      <w:r w:rsidR="00713D1B">
        <w:t> </w:t>
      </w:r>
      <w:r w:rsidR="00D56D90" w:rsidRPr="00D56D90">
        <w:t xml:space="preserve">mediálních činností přes telekomunikace až po činnosti v oblasti informačních a komunikačních technologií. Tam spadá např. programování či IT poradenství a zpracování dat. </w:t>
      </w:r>
      <w:r w:rsidR="00D56D90" w:rsidRPr="00713D1B">
        <w:t xml:space="preserve">Největší nárůst počtu nemocensky pojištěných osob byl v této sekci zaznamenán v oddílu Činnosti v oblasti informačních technologií (CZ-NACE 62), kde se počet pojištěnců </w:t>
      </w:r>
      <w:r w:rsidR="00713D1B">
        <w:t>za uplynulou dekádu</w:t>
      </w:r>
      <w:r w:rsidR="00713D1B" w:rsidRPr="00713D1B">
        <w:t xml:space="preserve"> zvýšil o 69 %</w:t>
      </w:r>
      <w:r w:rsidR="00D56D90" w:rsidRPr="00713D1B">
        <w:t xml:space="preserve"> (tj. o </w:t>
      </w:r>
      <w:r w:rsidR="00713D1B" w:rsidRPr="00713D1B">
        <w:t>37</w:t>
      </w:r>
      <w:r w:rsidR="00D56D90" w:rsidRPr="00713D1B">
        <w:t xml:space="preserve"> tis.).</w:t>
      </w:r>
    </w:p>
    <w:p w14:paraId="3D3FDF6A" w14:textId="0680CD18" w:rsidR="00155829" w:rsidRPr="001869B8" w:rsidRDefault="00E404AC" w:rsidP="00155829">
      <w:pPr>
        <w:pStyle w:val="Seznam"/>
        <w:spacing w:after="120"/>
        <w:contextualSpacing w:val="0"/>
        <w:jc w:val="both"/>
      </w:pPr>
      <w:r w:rsidRPr="001869B8">
        <w:t>Naopak odvětvími, která měla v</w:t>
      </w:r>
      <w:r w:rsidR="00A10BE6" w:rsidRPr="001869B8">
        <w:t> 1. pol. 202</w:t>
      </w:r>
      <w:r w:rsidR="001869B8" w:rsidRPr="001869B8">
        <w:t>2</w:t>
      </w:r>
      <w:r w:rsidR="00A10BE6" w:rsidRPr="001869B8">
        <w:t xml:space="preserve"> méně pojištěnců než v 1. pol.</w:t>
      </w:r>
      <w:r w:rsidRPr="001869B8">
        <w:t xml:space="preserve"> 201</w:t>
      </w:r>
      <w:r w:rsidR="001869B8" w:rsidRPr="001869B8">
        <w:t>2</w:t>
      </w:r>
      <w:r w:rsidRPr="001869B8">
        <w:t>, byl</w:t>
      </w:r>
      <w:r w:rsidR="003609B8" w:rsidRPr="001869B8">
        <w:t>a</w:t>
      </w:r>
      <w:r w:rsidRPr="001869B8">
        <w:t xml:space="preserve"> Stavebnictví</w:t>
      </w:r>
      <w:r w:rsidR="001869B8" w:rsidRPr="001869B8">
        <w:t xml:space="preserve"> a Těžba a</w:t>
      </w:r>
      <w:r w:rsidR="001869B8">
        <w:t> </w:t>
      </w:r>
      <w:r w:rsidR="001869B8" w:rsidRPr="001869B8">
        <w:t>dobývání</w:t>
      </w:r>
      <w:r w:rsidRPr="001869B8">
        <w:t xml:space="preserve"> (</w:t>
      </w:r>
      <w:r w:rsidR="001869B8" w:rsidRPr="001869B8">
        <w:t>obě shodně −17</w:t>
      </w:r>
      <w:r w:rsidRPr="001869B8">
        <w:t xml:space="preserve"> tis.)</w:t>
      </w:r>
      <w:r w:rsidR="001869B8" w:rsidRPr="001869B8">
        <w:t>.</w:t>
      </w:r>
      <w:r w:rsidR="00BE4399" w:rsidRPr="001869B8">
        <w:t xml:space="preserve"> </w:t>
      </w:r>
      <w:r w:rsidR="001869B8" w:rsidRPr="001869B8">
        <w:t xml:space="preserve">U Stavebnictví to představovalo relativní pokles o 7 %, zatímco u Těžby téměř o polovinu (−48 %). </w:t>
      </w:r>
      <w:r w:rsidR="004A6AC9">
        <w:t xml:space="preserve">Další významnější poklesy se odehrály v sekcích </w:t>
      </w:r>
      <w:r w:rsidR="00BE4399" w:rsidRPr="001869B8">
        <w:t>Ubytová</w:t>
      </w:r>
      <w:r w:rsidR="001869B8" w:rsidRPr="001869B8">
        <w:t>ní, stravování a</w:t>
      </w:r>
      <w:r w:rsidR="00923F2E">
        <w:t> </w:t>
      </w:r>
      <w:r w:rsidR="001869B8" w:rsidRPr="001869B8">
        <w:t>pohostinství (−</w:t>
      </w:r>
      <w:r w:rsidR="00A808DE">
        <w:t>4,4</w:t>
      </w:r>
      <w:r w:rsidR="00BE4399" w:rsidRPr="001869B8">
        <w:t xml:space="preserve"> tis.)</w:t>
      </w:r>
      <w:r w:rsidRPr="001869B8">
        <w:t xml:space="preserve"> a Zemědělství, lesnictví a rybářství (</w:t>
      </w:r>
      <w:r w:rsidR="001869B8" w:rsidRPr="001869B8">
        <w:t>−</w:t>
      </w:r>
      <w:r w:rsidR="00A808DE">
        <w:t>5,6</w:t>
      </w:r>
      <w:r w:rsidR="00A808DE" w:rsidRPr="001869B8">
        <w:t xml:space="preserve"> </w:t>
      </w:r>
      <w:r w:rsidRPr="001869B8">
        <w:t xml:space="preserve">tis.). </w:t>
      </w:r>
    </w:p>
    <w:p w14:paraId="566ACA36" w14:textId="6936FED5" w:rsidR="0064464A" w:rsidRPr="0039463A" w:rsidRDefault="00A81B9F" w:rsidP="00155829">
      <w:pPr>
        <w:pStyle w:val="Seznam"/>
        <w:spacing w:after="120"/>
        <w:contextualSpacing w:val="0"/>
        <w:jc w:val="both"/>
      </w:pPr>
      <w:r w:rsidRPr="0039463A">
        <w:t xml:space="preserve">Co se týče </w:t>
      </w:r>
      <w:r w:rsidRPr="0039463A">
        <w:rPr>
          <w:b/>
        </w:rPr>
        <w:t>meziročních rozdílů</w:t>
      </w:r>
      <w:r w:rsidRPr="0039463A">
        <w:t>, největší pokles</w:t>
      </w:r>
      <w:r w:rsidR="00FF3D8E" w:rsidRPr="0039463A">
        <w:t xml:space="preserve"> </w:t>
      </w:r>
      <w:r w:rsidR="006145A9" w:rsidRPr="0039463A">
        <w:t xml:space="preserve">byl </w:t>
      </w:r>
      <w:r w:rsidR="00FF3D8E" w:rsidRPr="0039463A">
        <w:t>v abs</w:t>
      </w:r>
      <w:r w:rsidR="001869B8" w:rsidRPr="0039463A">
        <w:t>olutním vyjádření zaznamenán v sekci Veřejná správa a obrana; povinné sociální zabezpečení, kte</w:t>
      </w:r>
      <w:r w:rsidRPr="0039463A">
        <w:t>r</w:t>
      </w:r>
      <w:r w:rsidR="001869B8" w:rsidRPr="0039463A">
        <w:t>á</w:t>
      </w:r>
      <w:r w:rsidR="00FF3D8E" w:rsidRPr="0039463A">
        <w:t xml:space="preserve"> </w:t>
      </w:r>
      <w:r w:rsidR="00BE4399" w:rsidRPr="0039463A">
        <w:t>měl</w:t>
      </w:r>
      <w:r w:rsidR="001869B8" w:rsidRPr="0039463A">
        <w:t>a</w:t>
      </w:r>
      <w:r w:rsidR="00BE4399" w:rsidRPr="0039463A">
        <w:t xml:space="preserve"> </w:t>
      </w:r>
      <w:r w:rsidR="0038725E" w:rsidRPr="0039463A">
        <w:t>v</w:t>
      </w:r>
      <w:r w:rsidR="00251D95" w:rsidRPr="0039463A">
        <w:t> 1. pol.</w:t>
      </w:r>
      <w:r w:rsidR="0038725E" w:rsidRPr="0039463A">
        <w:t xml:space="preserve"> 202</w:t>
      </w:r>
      <w:r w:rsidR="001869B8" w:rsidRPr="0039463A">
        <w:t>2</w:t>
      </w:r>
      <w:r w:rsidR="0038725E" w:rsidRPr="0039463A">
        <w:t xml:space="preserve"> </w:t>
      </w:r>
      <w:r w:rsidR="00251D95" w:rsidRPr="0039463A">
        <w:t>o 1</w:t>
      </w:r>
      <w:r w:rsidR="001869B8" w:rsidRPr="0039463A">
        <w:t>2</w:t>
      </w:r>
      <w:r w:rsidRPr="0039463A">
        <w:t xml:space="preserve"> tis. pojištěnců</w:t>
      </w:r>
      <w:r w:rsidR="00BE4399" w:rsidRPr="0039463A">
        <w:t xml:space="preserve"> méně</w:t>
      </w:r>
      <w:r w:rsidR="00AD0A47">
        <w:t xml:space="preserve">. </w:t>
      </w:r>
      <w:r w:rsidR="006145A9" w:rsidRPr="0039463A">
        <w:t>Relativně</w:t>
      </w:r>
      <w:r w:rsidR="00FF3D8E" w:rsidRPr="0039463A">
        <w:t xml:space="preserve"> to představuje </w:t>
      </w:r>
      <w:r w:rsidR="004C36AF" w:rsidRPr="0039463A">
        <w:t xml:space="preserve">meziroční </w:t>
      </w:r>
      <w:r w:rsidR="00FF3D8E" w:rsidRPr="0039463A">
        <w:t>pokles o</w:t>
      </w:r>
      <w:r w:rsidR="008C3456" w:rsidRPr="0039463A">
        <w:t> </w:t>
      </w:r>
      <w:r w:rsidR="001869B8" w:rsidRPr="0039463A">
        <w:t>4</w:t>
      </w:r>
      <w:r w:rsidR="004C36AF" w:rsidRPr="0039463A">
        <w:t> %</w:t>
      </w:r>
      <w:r w:rsidR="00FF3D8E" w:rsidRPr="0039463A">
        <w:t>.</w:t>
      </w:r>
      <w:r w:rsidR="0038725E" w:rsidRPr="0039463A">
        <w:t xml:space="preserve"> </w:t>
      </w:r>
      <w:r w:rsidR="00AD0A47">
        <w:t xml:space="preserve">Bližší vysvětlení v poznámce pod čarou </w:t>
      </w:r>
      <w:r w:rsidR="00550835">
        <w:t xml:space="preserve">na str. 36. </w:t>
      </w:r>
      <w:r w:rsidR="004C36AF" w:rsidRPr="0039463A">
        <w:t>K výr</w:t>
      </w:r>
      <w:r w:rsidR="001869B8" w:rsidRPr="0039463A">
        <w:t>aznému snížení počtu pojištěnců</w:t>
      </w:r>
      <w:r w:rsidR="004C36AF" w:rsidRPr="0039463A">
        <w:t xml:space="preserve"> </w:t>
      </w:r>
      <w:r w:rsidR="001869B8" w:rsidRPr="0039463A">
        <w:t>(o 7 tis., o 3</w:t>
      </w:r>
      <w:r w:rsidR="00251D95" w:rsidRPr="0039463A">
        <w:t xml:space="preserve"> %) </w:t>
      </w:r>
      <w:r w:rsidR="004C36AF" w:rsidRPr="0039463A">
        <w:t>došlo i</w:t>
      </w:r>
      <w:r w:rsidR="0039463A" w:rsidRPr="0039463A">
        <w:t> </w:t>
      </w:r>
      <w:r w:rsidR="004C36AF" w:rsidRPr="0039463A">
        <w:t xml:space="preserve">v odvětvové sekci </w:t>
      </w:r>
      <w:r w:rsidR="0039463A" w:rsidRPr="0039463A">
        <w:t>Administrativní a podpůrné činnosti</w:t>
      </w:r>
      <w:r w:rsidR="00251D95" w:rsidRPr="0039463A">
        <w:t xml:space="preserve">. </w:t>
      </w:r>
      <w:r w:rsidR="0039463A">
        <w:t xml:space="preserve">V této sekci jsou zařazeny i subjekty, které poskytují tzv. agenturní pracovníky jiným firmám často působícím </w:t>
      </w:r>
      <w:r w:rsidR="00F73A3B">
        <w:t xml:space="preserve">ve </w:t>
      </w:r>
      <w:r w:rsidR="0039463A">
        <w:t>zpracovatelském průmyslu. Dále tato sekce zahrnuje bezpečnostní a úklidové činnosti.</w:t>
      </w:r>
    </w:p>
    <w:p w14:paraId="1E72476F" w14:textId="26551AC1" w:rsidR="00251D95" w:rsidRDefault="00404BB0" w:rsidP="00155829">
      <w:pPr>
        <w:pStyle w:val="Seznam"/>
        <w:spacing w:after="120"/>
        <w:contextualSpacing w:val="0"/>
        <w:jc w:val="both"/>
      </w:pPr>
      <w:r>
        <w:t>Naproti tomu</w:t>
      </w:r>
      <w:r w:rsidR="0064464A" w:rsidRPr="0039463A">
        <w:t xml:space="preserve"> odvětví, která co do počtu nemocensky pojištěných </w:t>
      </w:r>
      <w:r w:rsidR="0039463A" w:rsidRPr="0039463A">
        <w:t xml:space="preserve">meziročně </w:t>
      </w:r>
      <w:r w:rsidR="00251D95" w:rsidRPr="0039463A">
        <w:t xml:space="preserve">nejvíce </w:t>
      </w:r>
      <w:r w:rsidR="0064464A" w:rsidRPr="0039463A">
        <w:t>rostla, byl</w:t>
      </w:r>
      <w:r w:rsidR="0039463A" w:rsidRPr="0039463A">
        <w:t>o Vzdělávání</w:t>
      </w:r>
      <w:r w:rsidR="00251D95" w:rsidRPr="0039463A">
        <w:t xml:space="preserve"> (+1</w:t>
      </w:r>
      <w:r w:rsidR="0039463A" w:rsidRPr="0039463A">
        <w:t>3</w:t>
      </w:r>
      <w:r w:rsidR="00251D95" w:rsidRPr="0039463A">
        <w:t xml:space="preserve"> tis.; </w:t>
      </w:r>
      <w:r w:rsidR="0039463A" w:rsidRPr="0039463A">
        <w:t>3</w:t>
      </w:r>
      <w:r w:rsidR="00251D95" w:rsidRPr="0039463A">
        <w:t xml:space="preserve"> %)</w:t>
      </w:r>
      <w:r w:rsidR="00BE4399" w:rsidRPr="0039463A">
        <w:t xml:space="preserve">, </w:t>
      </w:r>
      <w:r w:rsidR="0039463A" w:rsidRPr="0039463A">
        <w:t>Velkoobchod a maloobchod; opravy a údržba motorových vozidel (+7 tis.; 1 %) či Informační a</w:t>
      </w:r>
      <w:r w:rsidR="0039463A">
        <w:t> </w:t>
      </w:r>
      <w:r w:rsidR="0039463A" w:rsidRPr="0039463A">
        <w:t>komunikační činnosti (+6 tis.; 4 %).</w:t>
      </w:r>
    </w:p>
    <w:p w14:paraId="753278E5" w14:textId="77777777" w:rsidR="00E404AC" w:rsidRPr="00D92E20" w:rsidRDefault="00E404AC" w:rsidP="00155829">
      <w:pPr>
        <w:pStyle w:val="Box1"/>
        <w:spacing w:before="120" w:after="120"/>
        <w:ind w:left="0"/>
        <w:contextualSpacing w:val="0"/>
        <w:jc w:val="both"/>
        <w:rPr>
          <w:i/>
        </w:rPr>
      </w:pPr>
      <w:r w:rsidRPr="00D92E20">
        <w:rPr>
          <w:b/>
          <w:i/>
        </w:rPr>
        <w:t xml:space="preserve">Průměrný počet nemocensky pojištěných mladistvých </w:t>
      </w:r>
      <w:r w:rsidRPr="00D92E20">
        <w:rPr>
          <w:i/>
        </w:rPr>
        <w:t>– ukazatel udává průměrný počet nemocensky pojištěných osob mladších 18 let (viz § 350 odst. 2 zákona č. 262/2006 Sb., zákoník práce, ve znění pozdějších předpisů).</w:t>
      </w:r>
    </w:p>
    <w:p w14:paraId="2C54EDBE" w14:textId="77777777" w:rsidR="00E404AC" w:rsidRPr="00D92E20" w:rsidRDefault="00E404AC" w:rsidP="00E404AC">
      <w:pPr>
        <w:pStyle w:val="Box1"/>
        <w:ind w:left="0"/>
        <w:jc w:val="both"/>
        <w:rPr>
          <w:i/>
          <w:u w:val="single"/>
        </w:rPr>
      </w:pPr>
      <w:r w:rsidRPr="00D92E20">
        <w:rPr>
          <w:i/>
          <w:u w:val="single"/>
        </w:rPr>
        <w:t>Způsob výpočtu:</w:t>
      </w:r>
    </w:p>
    <w:p w14:paraId="513151F0" w14:textId="77777777" w:rsidR="00E404AC" w:rsidRPr="00D92E20" w:rsidRDefault="00E404AC" w:rsidP="00BA6B4E">
      <w:pPr>
        <w:pStyle w:val="Box1"/>
        <w:spacing w:before="120" w:after="120"/>
        <w:ind w:left="0"/>
        <w:contextualSpacing w:val="0"/>
        <w:jc w:val="both"/>
        <w:rPr>
          <w:i/>
        </w:rPr>
      </w:pPr>
      <w:r w:rsidRPr="00D92E20">
        <w:rPr>
          <w:i/>
        </w:rPr>
        <w:t>Průměrný počet nemocensky pojištěných mladistvých = počet dnů nemocenského pojištění jednotlivých pojištěných mladistvých ve vykazovaném období / počet kalendářních dnů ve vykazovaném období.</w:t>
      </w:r>
    </w:p>
    <w:p w14:paraId="6C213BB4" w14:textId="78FE45A6" w:rsidR="00ED103E" w:rsidRPr="00713D1B" w:rsidRDefault="00E404AC" w:rsidP="00BA6B4E">
      <w:pPr>
        <w:pStyle w:val="Seznam"/>
        <w:spacing w:after="120"/>
        <w:contextualSpacing w:val="0"/>
        <w:jc w:val="both"/>
        <w:rPr>
          <w:spacing w:val="-2"/>
        </w:rPr>
      </w:pPr>
      <w:r w:rsidRPr="00713D1B">
        <w:rPr>
          <w:spacing w:val="-2"/>
        </w:rPr>
        <w:t>V</w:t>
      </w:r>
      <w:r w:rsidR="0039463A" w:rsidRPr="00713D1B">
        <w:rPr>
          <w:spacing w:val="-2"/>
        </w:rPr>
        <w:t> 1. pol. 2022</w:t>
      </w:r>
      <w:r w:rsidRPr="00713D1B">
        <w:rPr>
          <w:spacing w:val="-2"/>
        </w:rPr>
        <w:t xml:space="preserve"> bylo evidováno </w:t>
      </w:r>
      <w:r w:rsidR="0039463A" w:rsidRPr="00713D1B">
        <w:rPr>
          <w:spacing w:val="-2"/>
        </w:rPr>
        <w:t>5,4</w:t>
      </w:r>
      <w:r w:rsidRPr="00713D1B">
        <w:rPr>
          <w:spacing w:val="-2"/>
        </w:rPr>
        <w:t xml:space="preserve"> tis. nemocensky pojištěných mladistvých, tedy osob mladších 18 let. Na</w:t>
      </w:r>
      <w:r w:rsidR="008C3456" w:rsidRPr="00713D1B">
        <w:rPr>
          <w:spacing w:val="-2"/>
        </w:rPr>
        <w:t> </w:t>
      </w:r>
      <w:r w:rsidRPr="00713D1B">
        <w:rPr>
          <w:spacing w:val="-2"/>
        </w:rPr>
        <w:t>celkové</w:t>
      </w:r>
      <w:r w:rsidR="00E9284B" w:rsidRPr="00713D1B">
        <w:rPr>
          <w:spacing w:val="-2"/>
        </w:rPr>
        <w:t>m</w:t>
      </w:r>
      <w:r w:rsidRPr="00713D1B">
        <w:rPr>
          <w:spacing w:val="-2"/>
        </w:rPr>
        <w:t xml:space="preserve"> počtu pojištěnců se podíleli 0,</w:t>
      </w:r>
      <w:r w:rsidR="004A6AC9">
        <w:rPr>
          <w:spacing w:val="-2"/>
        </w:rPr>
        <w:t>11</w:t>
      </w:r>
      <w:r w:rsidRPr="00713D1B">
        <w:rPr>
          <w:spacing w:val="-2"/>
        </w:rPr>
        <w:t xml:space="preserve"> %. Jejich počet meziročně </w:t>
      </w:r>
      <w:r w:rsidR="0039463A" w:rsidRPr="00713D1B">
        <w:rPr>
          <w:spacing w:val="-2"/>
        </w:rPr>
        <w:t>vzrostl</w:t>
      </w:r>
      <w:r w:rsidRPr="00713D1B">
        <w:rPr>
          <w:spacing w:val="-2"/>
        </w:rPr>
        <w:t xml:space="preserve"> z </w:t>
      </w:r>
      <w:r w:rsidR="00251D95" w:rsidRPr="00713D1B">
        <w:rPr>
          <w:spacing w:val="-2"/>
        </w:rPr>
        <w:t>5</w:t>
      </w:r>
      <w:r w:rsidR="0039463A" w:rsidRPr="00713D1B">
        <w:rPr>
          <w:spacing w:val="-2"/>
        </w:rPr>
        <w:t>,2</w:t>
      </w:r>
      <w:r w:rsidRPr="00713D1B">
        <w:rPr>
          <w:spacing w:val="-2"/>
        </w:rPr>
        <w:t xml:space="preserve"> tis. o</w:t>
      </w:r>
      <w:r w:rsidR="0039463A" w:rsidRPr="00713D1B">
        <w:rPr>
          <w:spacing w:val="-2"/>
        </w:rPr>
        <w:t xml:space="preserve"> 187</w:t>
      </w:r>
      <w:r w:rsidR="00251D95" w:rsidRPr="00713D1B">
        <w:rPr>
          <w:spacing w:val="-2"/>
        </w:rPr>
        <w:t xml:space="preserve"> osob</w:t>
      </w:r>
      <w:r w:rsidRPr="00713D1B">
        <w:rPr>
          <w:spacing w:val="-2"/>
        </w:rPr>
        <w:t xml:space="preserve">, tj. o </w:t>
      </w:r>
      <w:r w:rsidR="0039463A" w:rsidRPr="00713D1B">
        <w:rPr>
          <w:spacing w:val="-2"/>
        </w:rPr>
        <w:t>4</w:t>
      </w:r>
      <w:r w:rsidR="00713D1B" w:rsidRPr="00713D1B">
        <w:rPr>
          <w:spacing w:val="-2"/>
        </w:rPr>
        <w:t> </w:t>
      </w:r>
      <w:r w:rsidRPr="00713D1B">
        <w:rPr>
          <w:spacing w:val="-2"/>
        </w:rPr>
        <w:t>%.</w:t>
      </w:r>
    </w:p>
    <w:p w14:paraId="51FC4839" w14:textId="77777777" w:rsidR="00ED103E" w:rsidRPr="00D92E20" w:rsidRDefault="00ED103E" w:rsidP="005A63A4">
      <w:pPr>
        <w:pStyle w:val="Nadpis3"/>
        <w:numPr>
          <w:ilvl w:val="1"/>
          <w:numId w:val="19"/>
        </w:numPr>
        <w:spacing w:after="120"/>
        <w:ind w:left="425" w:hanging="425"/>
      </w:pPr>
      <w:bookmarkStart w:id="21" w:name="_Toc54262799"/>
      <w:bookmarkStart w:id="22" w:name="_Toc117774427"/>
      <w:r w:rsidRPr="00D92E20">
        <w:t>Nově hlášené případy dočasné pracovní neschopnosti</w:t>
      </w:r>
      <w:bookmarkEnd w:id="21"/>
      <w:bookmarkEnd w:id="22"/>
    </w:p>
    <w:p w14:paraId="566B98D5" w14:textId="10C7592C" w:rsidR="00ED103E" w:rsidRPr="00D92E20" w:rsidRDefault="00ED103E" w:rsidP="00BA6B4E">
      <w:pPr>
        <w:spacing w:after="120"/>
        <w:jc w:val="both"/>
      </w:pPr>
      <w:r w:rsidRPr="00D92E20">
        <w:t xml:space="preserve">Vstupním zdrojem a podkladem pro zpracování dat této kapitoly jsou údaje o dočasné pracovní neschopnosti pro nemoc a úraz nahlášené České správě sociálního zabezpečení prostřednictvím </w:t>
      </w:r>
      <w:r w:rsidRPr="00D92E20">
        <w:rPr>
          <w:i/>
        </w:rPr>
        <w:t>„Rozhodnutí o dočasné pracovní neschopnosti“</w:t>
      </w:r>
      <w:r w:rsidR="00BE4399">
        <w:t xml:space="preserve"> (tzv. eNeschopenky</w:t>
      </w:r>
      <w:r w:rsidRPr="00D92E20">
        <w:t>), které vyplňuje ošetřující lékař.</w:t>
      </w:r>
    </w:p>
    <w:p w14:paraId="78D31352" w14:textId="77777777" w:rsidR="00ED103E" w:rsidRPr="00D92E20" w:rsidRDefault="00ED103E" w:rsidP="00BA6B4E">
      <w:pPr>
        <w:pStyle w:val="Nadpis3"/>
        <w:numPr>
          <w:ilvl w:val="2"/>
          <w:numId w:val="18"/>
        </w:numPr>
        <w:spacing w:after="120"/>
        <w:ind w:left="709"/>
        <w:jc w:val="both"/>
      </w:pPr>
      <w:bookmarkStart w:id="23" w:name="_Toc54262800"/>
      <w:bookmarkStart w:id="24" w:name="_Toc117774428"/>
      <w:r w:rsidRPr="00D92E20">
        <w:t>Počet případů dočasné pracovní neschopnosti</w:t>
      </w:r>
      <w:bookmarkEnd w:id="23"/>
      <w:bookmarkEnd w:id="24"/>
    </w:p>
    <w:p w14:paraId="549918DD" w14:textId="41DD094F" w:rsidR="00ED103E" w:rsidRPr="00D92E20" w:rsidRDefault="00ED103E" w:rsidP="00BA6B4E">
      <w:pPr>
        <w:spacing w:after="120"/>
        <w:jc w:val="both"/>
        <w:rPr>
          <w:bCs/>
        </w:rPr>
      </w:pPr>
      <w:r w:rsidRPr="00D92E20">
        <w:rPr>
          <w:b/>
          <w:bCs/>
        </w:rPr>
        <w:t>Četnost výskytu dočasné pracovní neschopnosti</w:t>
      </w:r>
      <w:r w:rsidRPr="00D92E20">
        <w:rPr>
          <w:bCs/>
        </w:rPr>
        <w:t xml:space="preserve"> </w:t>
      </w:r>
      <w:r w:rsidRPr="00D92E20">
        <w:rPr>
          <w:b/>
          <w:bCs/>
        </w:rPr>
        <w:t>(DPN)</w:t>
      </w:r>
      <w:r w:rsidRPr="00D92E20">
        <w:rPr>
          <w:bCs/>
        </w:rPr>
        <w:t xml:space="preserve"> odráží ukazatel </w:t>
      </w:r>
      <w:r w:rsidR="004C36AF" w:rsidRPr="00D92E20">
        <w:rPr>
          <w:bCs/>
        </w:rPr>
        <w:t xml:space="preserve">o počtu </w:t>
      </w:r>
      <w:r w:rsidRPr="00D92E20">
        <w:rPr>
          <w:bCs/>
        </w:rPr>
        <w:t>nově hlášených případů pracovní neschopnosti. Tento absolutní ukazatel je rovněž vhodný pro posouzení trendů vývoje pracovní neschopnosti</w:t>
      </w:r>
      <w:r w:rsidR="004C36AF" w:rsidRPr="00D92E20">
        <w:rPr>
          <w:bCs/>
        </w:rPr>
        <w:t xml:space="preserve"> v čase</w:t>
      </w:r>
      <w:r w:rsidRPr="00D92E20">
        <w:rPr>
          <w:bCs/>
        </w:rPr>
        <w:t xml:space="preserve">. Avšak z pohledu porovnání regionů, jednotlivých odvětví ekonomických činností či velikosti podniku má vyšší vypovídací schopnost </w:t>
      </w:r>
      <w:r w:rsidRPr="00D92E20">
        <w:rPr>
          <w:b/>
          <w:bCs/>
        </w:rPr>
        <w:t>ukazatel relativní</w:t>
      </w:r>
      <w:r w:rsidRPr="00D92E20">
        <w:rPr>
          <w:bCs/>
        </w:rPr>
        <w:t xml:space="preserve"> – </w:t>
      </w:r>
      <w:r w:rsidRPr="00D92E20">
        <w:rPr>
          <w:b/>
          <w:bCs/>
        </w:rPr>
        <w:t>počet</w:t>
      </w:r>
      <w:r w:rsidRPr="00D92E20">
        <w:rPr>
          <w:bCs/>
        </w:rPr>
        <w:t xml:space="preserve"> nově hlášených případů pracovní neschopnosti </w:t>
      </w:r>
      <w:r w:rsidRPr="00D92E20">
        <w:rPr>
          <w:b/>
          <w:bCs/>
        </w:rPr>
        <w:t>na 100 pojištěnců</w:t>
      </w:r>
      <w:r w:rsidRPr="00D92E20">
        <w:rPr>
          <w:bCs/>
        </w:rPr>
        <w:t xml:space="preserve"> v dané kategorii, např. ve zpracovatelském průmyslu, v malých podnicích či konkrétním kraji.</w:t>
      </w:r>
    </w:p>
    <w:p w14:paraId="105BBBAB" w14:textId="28A72FAD" w:rsidR="00ED103E" w:rsidRPr="00D92E20" w:rsidRDefault="00ED103E" w:rsidP="00BA6B4E">
      <w:pPr>
        <w:pStyle w:val="Box1"/>
        <w:spacing w:before="120" w:after="120"/>
        <w:ind w:left="0"/>
        <w:contextualSpacing w:val="0"/>
        <w:jc w:val="both"/>
        <w:rPr>
          <w:i/>
        </w:rPr>
      </w:pPr>
      <w:r w:rsidRPr="00D92E20">
        <w:rPr>
          <w:b/>
          <w:i/>
        </w:rPr>
        <w:t xml:space="preserve">Počet nově hlášených případů pracovní neschopnosti </w:t>
      </w:r>
      <w:r w:rsidRPr="00D92E20">
        <w:rPr>
          <w:i/>
        </w:rPr>
        <w:t xml:space="preserve">– ukazatel zahrnuje nově hlášené případy pracovní neschopnosti </w:t>
      </w:r>
      <w:r w:rsidR="007C6359">
        <w:rPr>
          <w:i/>
        </w:rPr>
        <w:t xml:space="preserve">vzniklé </w:t>
      </w:r>
      <w:r w:rsidRPr="00D92E20">
        <w:rPr>
          <w:i/>
        </w:rPr>
        <w:t xml:space="preserve">ve sledovaném období </w:t>
      </w:r>
      <w:r w:rsidR="00153C97">
        <w:rPr>
          <w:i/>
        </w:rPr>
        <w:t xml:space="preserve">(1. pololetí) </w:t>
      </w:r>
      <w:r w:rsidRPr="00D92E20">
        <w:rPr>
          <w:i/>
        </w:rPr>
        <w:t>na základě hlášení o vzniku pracovní neschopnosti nemocensky pojištěných osob.</w:t>
      </w:r>
    </w:p>
    <w:p w14:paraId="2A3B3962" w14:textId="77777777" w:rsidR="00ED103E" w:rsidRPr="00D92E20" w:rsidRDefault="00ED103E" w:rsidP="00BA6B4E">
      <w:pPr>
        <w:pStyle w:val="Box1"/>
        <w:spacing w:before="120" w:after="120"/>
        <w:ind w:left="0"/>
        <w:contextualSpacing w:val="0"/>
        <w:jc w:val="both"/>
        <w:rPr>
          <w:i/>
        </w:rPr>
      </w:pPr>
      <w:r w:rsidRPr="00D92E20">
        <w:rPr>
          <w:b/>
          <w:i/>
        </w:rPr>
        <w:lastRenderedPageBreak/>
        <w:t xml:space="preserve">Počet případů pracovní neschopnosti na 100 pojištěnců </w:t>
      </w:r>
      <w:r w:rsidRPr="00D92E20">
        <w:rPr>
          <w:i/>
        </w:rPr>
        <w:t xml:space="preserve">– ukazatel vyjadřuje počet nově hlášených případů pracovní neschopnosti, které připadají v průměru na 100 nemocensky pojištěných osob. </w:t>
      </w:r>
    </w:p>
    <w:p w14:paraId="3D152929" w14:textId="2F195149" w:rsidR="00700CEF" w:rsidRPr="00D92E20" w:rsidRDefault="00F71B6A" w:rsidP="00BA6B4E">
      <w:pPr>
        <w:spacing w:before="120" w:after="120"/>
        <w:jc w:val="both"/>
        <w:rPr>
          <w:bCs/>
        </w:rPr>
      </w:pPr>
      <w:r w:rsidRPr="00D92E20">
        <w:rPr>
          <w:bCs/>
        </w:rPr>
        <w:t>V</w:t>
      </w:r>
      <w:r w:rsidR="00153C97">
        <w:rPr>
          <w:bCs/>
        </w:rPr>
        <w:t> 1. pol. 202</w:t>
      </w:r>
      <w:r w:rsidR="00956085">
        <w:rPr>
          <w:bCs/>
        </w:rPr>
        <w:t>2</w:t>
      </w:r>
      <w:r w:rsidRPr="00D92E20">
        <w:rPr>
          <w:bCs/>
        </w:rPr>
        <w:t xml:space="preserve"> bylo </w:t>
      </w:r>
      <w:r w:rsidR="004C36AF" w:rsidRPr="00D92E20">
        <w:rPr>
          <w:bCs/>
        </w:rPr>
        <w:t xml:space="preserve">v Česku </w:t>
      </w:r>
      <w:r w:rsidRPr="00D92E20">
        <w:rPr>
          <w:bCs/>
        </w:rPr>
        <w:t>nahlášeno</w:t>
      </w:r>
      <w:r w:rsidR="004C36AF" w:rsidRPr="00D92E20">
        <w:rPr>
          <w:bCs/>
        </w:rPr>
        <w:t xml:space="preserve"> </w:t>
      </w:r>
      <w:r w:rsidR="004C36AF" w:rsidRPr="00D92E20">
        <w:rPr>
          <w:b/>
          <w:bCs/>
        </w:rPr>
        <w:t>celkem</w:t>
      </w:r>
      <w:r w:rsidRPr="00D92E20">
        <w:rPr>
          <w:bCs/>
        </w:rPr>
        <w:t xml:space="preserve"> </w:t>
      </w:r>
      <w:r w:rsidR="00956085">
        <w:rPr>
          <w:b/>
          <w:bCs/>
        </w:rPr>
        <w:t>2 054</w:t>
      </w:r>
      <w:r w:rsidRPr="00D92E20">
        <w:rPr>
          <w:b/>
          <w:bCs/>
        </w:rPr>
        <w:t xml:space="preserve"> tis. případů pracovní neschopnosti.</w:t>
      </w:r>
      <w:r w:rsidRPr="00D92E20">
        <w:rPr>
          <w:bCs/>
        </w:rPr>
        <w:t xml:space="preserve"> To je </w:t>
      </w:r>
      <w:r w:rsidR="0035708E">
        <w:rPr>
          <w:bCs/>
        </w:rPr>
        <w:t>o více než 46</w:t>
      </w:r>
      <w:r w:rsidR="00AD62A2">
        <w:rPr>
          <w:bCs/>
        </w:rPr>
        <w:t xml:space="preserve"> %</w:t>
      </w:r>
      <w:r w:rsidRPr="00D92E20">
        <w:rPr>
          <w:bCs/>
        </w:rPr>
        <w:t xml:space="preserve"> (</w:t>
      </w:r>
      <w:r w:rsidR="00AD62A2">
        <w:rPr>
          <w:bCs/>
        </w:rPr>
        <w:t>655</w:t>
      </w:r>
      <w:r w:rsidRPr="00D92E20">
        <w:rPr>
          <w:bCs/>
        </w:rPr>
        <w:t xml:space="preserve"> tis.</w:t>
      </w:r>
      <w:r w:rsidR="002D1B28" w:rsidRPr="00D92E20">
        <w:rPr>
          <w:bCs/>
        </w:rPr>
        <w:t>)</w:t>
      </w:r>
      <w:r w:rsidRPr="00D92E20">
        <w:rPr>
          <w:bCs/>
        </w:rPr>
        <w:t xml:space="preserve"> případů více než před ro</w:t>
      </w:r>
      <w:r w:rsidR="00153C97">
        <w:rPr>
          <w:bCs/>
        </w:rPr>
        <w:t>kem</w:t>
      </w:r>
      <w:r w:rsidRPr="00D92E20">
        <w:rPr>
          <w:bCs/>
        </w:rPr>
        <w:t>. Rostoucí trend byl nastolen již v</w:t>
      </w:r>
      <w:r w:rsidR="00153C97">
        <w:rPr>
          <w:bCs/>
        </w:rPr>
        <w:t xml:space="preserve"> roce </w:t>
      </w:r>
      <w:r w:rsidRPr="00D92E20">
        <w:rPr>
          <w:bCs/>
        </w:rPr>
        <w:t>201</w:t>
      </w:r>
      <w:r w:rsidR="002A1CEC" w:rsidRPr="00D92E20">
        <w:rPr>
          <w:bCs/>
        </w:rPr>
        <w:t>5</w:t>
      </w:r>
      <w:r w:rsidRPr="00D92E20">
        <w:rPr>
          <w:bCs/>
        </w:rPr>
        <w:t xml:space="preserve">. </w:t>
      </w:r>
      <w:r w:rsidR="00700CEF" w:rsidRPr="00D92E20">
        <w:rPr>
          <w:bCs/>
        </w:rPr>
        <w:t xml:space="preserve">V té době však bylo během </w:t>
      </w:r>
      <w:r w:rsidR="00153C97">
        <w:rPr>
          <w:bCs/>
        </w:rPr>
        <w:t>1. pol.</w:t>
      </w:r>
      <w:r w:rsidR="00700CEF" w:rsidRPr="00D92E20">
        <w:rPr>
          <w:bCs/>
        </w:rPr>
        <w:t xml:space="preserve"> nahlášeno o </w:t>
      </w:r>
      <w:r w:rsidR="00AD62A2">
        <w:rPr>
          <w:bCs/>
        </w:rPr>
        <w:t>1 180</w:t>
      </w:r>
      <w:r w:rsidR="002A1CEC" w:rsidRPr="00D92E20">
        <w:rPr>
          <w:bCs/>
        </w:rPr>
        <w:t xml:space="preserve"> tis.</w:t>
      </w:r>
      <w:r w:rsidR="00700CEF" w:rsidRPr="00D92E20">
        <w:rPr>
          <w:bCs/>
        </w:rPr>
        <w:t xml:space="preserve"> případů méně</w:t>
      </w:r>
      <w:r w:rsidR="009F305A">
        <w:rPr>
          <w:bCs/>
        </w:rPr>
        <w:t xml:space="preserve"> než </w:t>
      </w:r>
      <w:r w:rsidR="00153C97">
        <w:rPr>
          <w:bCs/>
        </w:rPr>
        <w:t>za 1. polovinu roku 202</w:t>
      </w:r>
      <w:r w:rsidR="00AD62A2">
        <w:rPr>
          <w:bCs/>
        </w:rPr>
        <w:t>2</w:t>
      </w:r>
      <w:r w:rsidR="00700CEF" w:rsidRPr="00D92E20">
        <w:rPr>
          <w:bCs/>
        </w:rPr>
        <w:t>.</w:t>
      </w:r>
      <w:r w:rsidR="00471D3F" w:rsidRPr="00D92E20">
        <w:rPr>
          <w:bCs/>
        </w:rPr>
        <w:t xml:space="preserve"> </w:t>
      </w:r>
    </w:p>
    <w:p w14:paraId="45168F8D" w14:textId="370C9E79" w:rsidR="00315DF2" w:rsidRDefault="00991A19" w:rsidP="00315DF2">
      <w:pPr>
        <w:spacing w:before="120" w:after="120"/>
        <w:jc w:val="both"/>
        <w:rPr>
          <w:bCs/>
        </w:rPr>
      </w:pPr>
      <w:r w:rsidRPr="00D92E20">
        <w:rPr>
          <w:bCs/>
        </w:rPr>
        <w:t>Významným</w:t>
      </w:r>
      <w:r w:rsidR="00471D3F" w:rsidRPr="00D92E20">
        <w:rPr>
          <w:bCs/>
        </w:rPr>
        <w:t xml:space="preserve"> faktorem</w:t>
      </w:r>
      <w:r w:rsidR="00F71B6A" w:rsidRPr="00D92E20">
        <w:rPr>
          <w:bCs/>
        </w:rPr>
        <w:t xml:space="preserve">, který </w:t>
      </w:r>
      <w:r w:rsidR="004071F1">
        <w:rPr>
          <w:bCs/>
        </w:rPr>
        <w:t>stojí</w:t>
      </w:r>
      <w:r w:rsidR="00700CEF" w:rsidRPr="00D92E20">
        <w:rPr>
          <w:bCs/>
        </w:rPr>
        <w:t xml:space="preserve"> za </w:t>
      </w:r>
      <w:r w:rsidR="00153C97">
        <w:rPr>
          <w:bCs/>
        </w:rPr>
        <w:t xml:space="preserve">meziročním extrémním </w:t>
      </w:r>
      <w:r w:rsidR="00F71B6A" w:rsidRPr="00D92E20">
        <w:rPr>
          <w:bCs/>
        </w:rPr>
        <w:t>nárůstem</w:t>
      </w:r>
      <w:r w:rsidR="00471D3F" w:rsidRPr="00D92E20">
        <w:rPr>
          <w:bCs/>
        </w:rPr>
        <w:t xml:space="preserve"> počtu nových případů,</w:t>
      </w:r>
      <w:r w:rsidR="00F71B6A" w:rsidRPr="00D92E20">
        <w:rPr>
          <w:bCs/>
        </w:rPr>
        <w:t xml:space="preserve"> </w:t>
      </w:r>
      <w:r w:rsidR="004071F1">
        <w:rPr>
          <w:bCs/>
        </w:rPr>
        <w:t xml:space="preserve">byla </w:t>
      </w:r>
      <w:r w:rsidR="00F71B6A" w:rsidRPr="00D92E20">
        <w:rPr>
          <w:bCs/>
        </w:rPr>
        <w:t xml:space="preserve">bezesporu </w:t>
      </w:r>
      <w:r w:rsidR="004071F1">
        <w:rPr>
          <w:bCs/>
        </w:rPr>
        <w:t>pokračující</w:t>
      </w:r>
      <w:r w:rsidR="004071F1" w:rsidRPr="00D92E20">
        <w:rPr>
          <w:bCs/>
        </w:rPr>
        <w:t xml:space="preserve"> </w:t>
      </w:r>
      <w:r w:rsidR="00F71B6A" w:rsidRPr="00D92E20">
        <w:rPr>
          <w:b/>
          <w:bCs/>
        </w:rPr>
        <w:t xml:space="preserve">pandemie nemoci </w:t>
      </w:r>
      <w:r w:rsidR="000221A2">
        <w:rPr>
          <w:b/>
          <w:bCs/>
        </w:rPr>
        <w:t>c</w:t>
      </w:r>
      <w:r w:rsidR="00F71B6A" w:rsidRPr="00D92E20">
        <w:rPr>
          <w:b/>
          <w:bCs/>
        </w:rPr>
        <w:t>ovid-19</w:t>
      </w:r>
      <w:r w:rsidR="007872B7">
        <w:rPr>
          <w:b/>
          <w:bCs/>
        </w:rPr>
        <w:t xml:space="preserve"> </w:t>
      </w:r>
      <w:r w:rsidR="007872B7">
        <w:t>a rozšíření velmi nakažlivé varianty omikron</w:t>
      </w:r>
      <w:r w:rsidR="00F71B6A" w:rsidRPr="00D92E20">
        <w:rPr>
          <w:bCs/>
        </w:rPr>
        <w:t xml:space="preserve">. </w:t>
      </w:r>
      <w:r w:rsidR="00315DF2">
        <w:rPr>
          <w:bCs/>
        </w:rPr>
        <w:t xml:space="preserve">Kromě nemoci byl ovšem nárůst částečně způsoben i metodologicky. </w:t>
      </w:r>
      <w:r w:rsidR="00315DF2" w:rsidRPr="00231C42">
        <w:rPr>
          <w:b/>
          <w:bCs/>
        </w:rPr>
        <w:t>V</w:t>
      </w:r>
      <w:r w:rsidR="00315DF2" w:rsidRPr="00231C42">
        <w:rPr>
          <w:b/>
        </w:rPr>
        <w:t> lednu</w:t>
      </w:r>
      <w:r w:rsidR="00315DF2" w:rsidRPr="004D3AD6">
        <w:t xml:space="preserve"> </w:t>
      </w:r>
      <w:r w:rsidR="00315DF2">
        <w:t xml:space="preserve">(od 17. 1.) </w:t>
      </w:r>
      <w:r w:rsidR="00315DF2" w:rsidRPr="00231C42">
        <w:rPr>
          <w:b/>
        </w:rPr>
        <w:t>a únoru 2022</w:t>
      </w:r>
      <w:r w:rsidR="00315DF2">
        <w:t xml:space="preserve"> </w:t>
      </w:r>
      <w:r w:rsidR="00315DF2" w:rsidRPr="004D3AD6">
        <w:t xml:space="preserve">při testování zaměstnanců byly </w:t>
      </w:r>
      <w:r w:rsidR="00315DF2" w:rsidRPr="00231C42">
        <w:rPr>
          <w:b/>
        </w:rPr>
        <w:t>některým pracujícím</w:t>
      </w:r>
      <w:r w:rsidR="00315DF2" w:rsidRPr="004D3AD6">
        <w:t xml:space="preserve"> vydány neschopenky </w:t>
      </w:r>
      <w:r w:rsidR="00315DF2">
        <w:t xml:space="preserve">pro karanténu či izolaci </w:t>
      </w:r>
      <w:r w:rsidR="00315DF2" w:rsidRPr="00231C42">
        <w:rPr>
          <w:b/>
        </w:rPr>
        <w:t>duplicitně</w:t>
      </w:r>
      <w:r w:rsidR="00315DF2" w:rsidRPr="004D3AD6">
        <w:t xml:space="preserve">. V zájmu operativního jednání při </w:t>
      </w:r>
      <w:r w:rsidR="00315DF2">
        <w:t xml:space="preserve">jejich </w:t>
      </w:r>
      <w:r w:rsidR="00315DF2" w:rsidRPr="004D3AD6">
        <w:t>vyřiz</w:t>
      </w:r>
      <w:r w:rsidR="00315DF2">
        <w:t xml:space="preserve">ování </w:t>
      </w:r>
      <w:r w:rsidR="00315DF2" w:rsidRPr="004D3AD6">
        <w:t xml:space="preserve">vydávali neschopenky jak praktičtí lékaři, tak krajské hygienické stanice. </w:t>
      </w:r>
      <w:r w:rsidR="00315DF2" w:rsidRPr="00EA05C7">
        <w:t xml:space="preserve">Z dostupných zdrojových databází </w:t>
      </w:r>
      <w:r w:rsidR="00231C42">
        <w:t xml:space="preserve">však </w:t>
      </w:r>
      <w:r w:rsidR="00315DF2" w:rsidRPr="00EA05C7">
        <w:t>není možné duplicitní případy identifikovat.</w:t>
      </w:r>
      <w:r w:rsidR="001D4AB5">
        <w:t xml:space="preserve"> </w:t>
      </w:r>
      <w:r w:rsidR="00C36BB1">
        <w:t>Tato skutečnost má vliv na další prezentované a z nich odvozené ukazatele (počet kalendářních dnů v pracovní neschopnosti, průměrné procento dočasné pracovní neschopnosti, průměrný denní stav dočasně práce neschopných).</w:t>
      </w:r>
    </w:p>
    <w:p w14:paraId="6FD8EB73" w14:textId="70BDA7DA" w:rsidR="00471D3F" w:rsidRDefault="00471D3F" w:rsidP="00BA6B4E">
      <w:pPr>
        <w:spacing w:before="120" w:after="120"/>
        <w:jc w:val="both"/>
        <w:rPr>
          <w:bCs/>
        </w:rPr>
      </w:pPr>
      <w:r w:rsidRPr="00D92E20">
        <w:rPr>
          <w:bCs/>
        </w:rPr>
        <w:t xml:space="preserve">Případů </w:t>
      </w:r>
      <w:r w:rsidR="000675AD" w:rsidRPr="00D92E20">
        <w:rPr>
          <w:bCs/>
        </w:rPr>
        <w:t xml:space="preserve">pracovní neschopnosti </w:t>
      </w:r>
      <w:r w:rsidRPr="00D92E20">
        <w:rPr>
          <w:b/>
          <w:bCs/>
        </w:rPr>
        <w:t>pro nemoc</w:t>
      </w:r>
      <w:r w:rsidRPr="00D92E20">
        <w:rPr>
          <w:bCs/>
        </w:rPr>
        <w:t xml:space="preserve"> bylo </w:t>
      </w:r>
      <w:r w:rsidR="00676201" w:rsidRPr="00D92E20">
        <w:rPr>
          <w:bCs/>
        </w:rPr>
        <w:t>v</w:t>
      </w:r>
      <w:r w:rsidR="004071F1">
        <w:rPr>
          <w:bCs/>
        </w:rPr>
        <w:t> 1. pol. 2022</w:t>
      </w:r>
      <w:r w:rsidR="00676201" w:rsidRPr="00D92E20">
        <w:rPr>
          <w:bCs/>
        </w:rPr>
        <w:t xml:space="preserve"> </w:t>
      </w:r>
      <w:r w:rsidRPr="00D92E20">
        <w:rPr>
          <w:bCs/>
        </w:rPr>
        <w:t xml:space="preserve">nahlášeno </w:t>
      </w:r>
      <w:r w:rsidR="00153C97">
        <w:rPr>
          <w:bCs/>
        </w:rPr>
        <w:t>1,</w:t>
      </w:r>
      <w:r w:rsidR="004071F1">
        <w:rPr>
          <w:bCs/>
        </w:rPr>
        <w:t>9</w:t>
      </w:r>
      <w:r w:rsidR="008C3456">
        <w:rPr>
          <w:bCs/>
        </w:rPr>
        <w:t> </w:t>
      </w:r>
      <w:r w:rsidRPr="00D92E20">
        <w:rPr>
          <w:bCs/>
        </w:rPr>
        <w:t>mili</w:t>
      </w:r>
      <w:r w:rsidR="00384289" w:rsidRPr="00D92E20">
        <w:rPr>
          <w:bCs/>
        </w:rPr>
        <w:t>o</w:t>
      </w:r>
      <w:r w:rsidRPr="00D92E20">
        <w:rPr>
          <w:bCs/>
        </w:rPr>
        <w:t>nu, tedy o</w:t>
      </w:r>
      <w:r w:rsidR="00CE1E85" w:rsidRPr="00D92E20">
        <w:rPr>
          <w:bCs/>
        </w:rPr>
        <w:t> </w:t>
      </w:r>
      <w:r w:rsidR="004071F1">
        <w:rPr>
          <w:bCs/>
        </w:rPr>
        <w:t>642</w:t>
      </w:r>
      <w:r w:rsidR="00CE1E85" w:rsidRPr="00D92E20">
        <w:rPr>
          <w:bCs/>
        </w:rPr>
        <w:t> </w:t>
      </w:r>
      <w:r w:rsidRPr="00D92E20">
        <w:rPr>
          <w:bCs/>
        </w:rPr>
        <w:t xml:space="preserve">tis. více než </w:t>
      </w:r>
      <w:r w:rsidR="00153C97">
        <w:rPr>
          <w:bCs/>
        </w:rPr>
        <w:t>před rokem</w:t>
      </w:r>
      <w:r w:rsidRPr="00D92E20">
        <w:rPr>
          <w:bCs/>
        </w:rPr>
        <w:t xml:space="preserve">. V relativním vyjádření došlo k nárůstu </w:t>
      </w:r>
      <w:r w:rsidR="004071F1">
        <w:rPr>
          <w:bCs/>
        </w:rPr>
        <w:t xml:space="preserve">téměř </w:t>
      </w:r>
      <w:r w:rsidRPr="00D92E20">
        <w:rPr>
          <w:bCs/>
        </w:rPr>
        <w:t xml:space="preserve">o </w:t>
      </w:r>
      <w:r w:rsidR="004071F1">
        <w:rPr>
          <w:bCs/>
        </w:rPr>
        <w:t>polovinu</w:t>
      </w:r>
      <w:r w:rsidRPr="00D92E20">
        <w:rPr>
          <w:bCs/>
        </w:rPr>
        <w:t>.</w:t>
      </w:r>
      <w:r w:rsidR="00E44890" w:rsidRPr="00D92E20">
        <w:rPr>
          <w:bCs/>
        </w:rPr>
        <w:t xml:space="preserve"> Do počtu případů pro nemoc jsou </w:t>
      </w:r>
      <w:r w:rsidR="00CE1E85" w:rsidRPr="00D92E20">
        <w:rPr>
          <w:bCs/>
        </w:rPr>
        <w:t xml:space="preserve">kromě nemocí jako takových </w:t>
      </w:r>
      <w:r w:rsidR="00E44890" w:rsidRPr="00D92E20">
        <w:rPr>
          <w:bCs/>
        </w:rPr>
        <w:t xml:space="preserve">započteny </w:t>
      </w:r>
      <w:r w:rsidR="00CE1E85" w:rsidRPr="00D92E20">
        <w:rPr>
          <w:bCs/>
        </w:rPr>
        <w:t>i</w:t>
      </w:r>
      <w:r w:rsidR="00384289" w:rsidRPr="00D92E20">
        <w:rPr>
          <w:bCs/>
        </w:rPr>
        <w:t xml:space="preserve"> </w:t>
      </w:r>
      <w:r w:rsidR="00E44890" w:rsidRPr="00D92E20">
        <w:rPr>
          <w:bCs/>
        </w:rPr>
        <w:t>karantény</w:t>
      </w:r>
      <w:r w:rsidR="009F305A">
        <w:rPr>
          <w:rStyle w:val="Znakapoznpodarou"/>
          <w:bCs/>
        </w:rPr>
        <w:footnoteReference w:id="8"/>
      </w:r>
      <w:r w:rsidR="00CE1E85" w:rsidRPr="00D92E20">
        <w:rPr>
          <w:bCs/>
        </w:rPr>
        <w:t xml:space="preserve">. A sice karantény </w:t>
      </w:r>
      <w:r w:rsidR="00E44890" w:rsidRPr="00D92E20">
        <w:rPr>
          <w:bCs/>
        </w:rPr>
        <w:t>osob</w:t>
      </w:r>
      <w:r w:rsidR="00CE1E85" w:rsidRPr="00D92E20">
        <w:rPr>
          <w:bCs/>
        </w:rPr>
        <w:t>y</w:t>
      </w:r>
      <w:r w:rsidR="00E44890" w:rsidRPr="00D92E20">
        <w:rPr>
          <w:bCs/>
        </w:rPr>
        <w:t>, která splňuje nárok na</w:t>
      </w:r>
      <w:r w:rsidR="00384289" w:rsidRPr="00D92E20">
        <w:rPr>
          <w:bCs/>
        </w:rPr>
        <w:t xml:space="preserve"> dávku nemocenské, podá žádost a ta </w:t>
      </w:r>
      <w:r w:rsidR="00E44890" w:rsidRPr="00D92E20">
        <w:rPr>
          <w:bCs/>
        </w:rPr>
        <w:t>je ze strany ošetřujícího lékař</w:t>
      </w:r>
      <w:r w:rsidR="00775419">
        <w:rPr>
          <w:bCs/>
        </w:rPr>
        <w:t>e či hygienické stanice uznána.</w:t>
      </w:r>
    </w:p>
    <w:p w14:paraId="47AED6B6" w14:textId="3C863C6E" w:rsidR="00153C97" w:rsidRPr="00D92E20" w:rsidRDefault="00775419" w:rsidP="00BA6B4E">
      <w:pPr>
        <w:spacing w:before="120" w:after="120"/>
        <w:jc w:val="both"/>
        <w:rPr>
          <w:bCs/>
        </w:rPr>
      </w:pPr>
      <w:r>
        <w:rPr>
          <w:bCs/>
        </w:rPr>
        <w:t xml:space="preserve">Vedle pandemie mělo na nárůst počtu případů pracovní neschopnosti v posledních </w:t>
      </w:r>
      <w:r w:rsidR="004071F1">
        <w:rPr>
          <w:bCs/>
        </w:rPr>
        <w:t>3</w:t>
      </w:r>
      <w:r>
        <w:rPr>
          <w:bCs/>
        </w:rPr>
        <w:t xml:space="preserve"> letech </w:t>
      </w:r>
      <w:r w:rsidR="009F305A">
        <w:rPr>
          <w:bCs/>
        </w:rPr>
        <w:t xml:space="preserve">vliv </w:t>
      </w:r>
      <w:r>
        <w:rPr>
          <w:bCs/>
        </w:rPr>
        <w:t>i</w:t>
      </w:r>
      <w:r w:rsidR="00153C97" w:rsidRPr="00D92E20">
        <w:rPr>
          <w:bCs/>
        </w:rPr>
        <w:t xml:space="preserve"> </w:t>
      </w:r>
      <w:r w:rsidR="00153C97" w:rsidRPr="00D92E20">
        <w:rPr>
          <w:b/>
          <w:bCs/>
        </w:rPr>
        <w:t>zrušení karenční doby od 1. července 2019</w:t>
      </w:r>
      <w:r w:rsidR="00153C97" w:rsidRPr="00D92E20">
        <w:rPr>
          <w:bCs/>
        </w:rPr>
        <w:t>, kdy zaměstnanec dostává náhradu mzdy již od prvního dne, a nikoliv až od čtvrtého, jako tomu bylo od roku 2009 až do té doby.</w:t>
      </w:r>
    </w:p>
    <w:p w14:paraId="52F2071F" w14:textId="5C1E2509" w:rsidR="00775419" w:rsidRDefault="00775419" w:rsidP="00BA6B4E">
      <w:pPr>
        <w:spacing w:before="120" w:after="120"/>
        <w:jc w:val="both"/>
      </w:pPr>
      <w:r>
        <w:t>V 1. pol. 202</w:t>
      </w:r>
      <w:r w:rsidR="004071F1">
        <w:t>2</w:t>
      </w:r>
      <w:r>
        <w:t xml:space="preserve"> bylo </w:t>
      </w:r>
      <w:r w:rsidR="004071F1">
        <w:t xml:space="preserve">stejně jako před rokem </w:t>
      </w:r>
      <w:r>
        <w:t xml:space="preserve">vystaveno 23 tis. neschopenek pro </w:t>
      </w:r>
      <w:r w:rsidRPr="00DF284E">
        <w:rPr>
          <w:b/>
        </w:rPr>
        <w:t>pracovní úraz</w:t>
      </w:r>
      <w:r>
        <w:t>. Po poklesu v 1.</w:t>
      </w:r>
      <w:r w:rsidR="00923F2E">
        <w:t> </w:t>
      </w:r>
      <w:r>
        <w:t xml:space="preserve">pol. 2020, </w:t>
      </w:r>
      <w:r w:rsidR="009F305A">
        <w:t>kdy došlo ke</w:t>
      </w:r>
      <w:r w:rsidR="00CD63E8">
        <w:t> </w:t>
      </w:r>
      <w:r w:rsidR="009F305A">
        <w:t>20,5 tis. pracovních</w:t>
      </w:r>
      <w:r>
        <w:t xml:space="preserve"> úrazů vyžadující</w:t>
      </w:r>
      <w:r w:rsidR="009F305A">
        <w:t>ch</w:t>
      </w:r>
      <w:r>
        <w:t xml:space="preserve"> pracovní neschopnost, se čísla vrátila zhruba na hodnotu </w:t>
      </w:r>
      <w:r w:rsidR="003609B8">
        <w:t>z</w:t>
      </w:r>
      <w:r>
        <w:t xml:space="preserve"> 1. pol. 2019.</w:t>
      </w:r>
      <w:r w:rsidR="00DF284E">
        <w:t xml:space="preserve"> Meziročně vzrostl </w:t>
      </w:r>
      <w:r w:rsidR="00DF284E" w:rsidRPr="00DF284E">
        <w:rPr>
          <w:b/>
        </w:rPr>
        <w:t>počet mimopracovních úrazů</w:t>
      </w:r>
      <w:r w:rsidR="000221A2" w:rsidRPr="000221A2">
        <w:t>,</w:t>
      </w:r>
      <w:r w:rsidR="000221A2">
        <w:rPr>
          <w:b/>
        </w:rPr>
        <w:t xml:space="preserve"> </w:t>
      </w:r>
      <w:r w:rsidR="000221A2" w:rsidRPr="000221A2">
        <w:t>kvůli nimž byla vydána neschopenka</w:t>
      </w:r>
      <w:r w:rsidR="00DF284E">
        <w:t>. Ze 7</w:t>
      </w:r>
      <w:r w:rsidR="004071F1">
        <w:t>6</w:t>
      </w:r>
      <w:r w:rsidR="00DF284E">
        <w:t xml:space="preserve"> tis. na</w:t>
      </w:r>
      <w:r w:rsidR="00CD63E8">
        <w:t> </w:t>
      </w:r>
      <w:r w:rsidR="004071F1">
        <w:t>88</w:t>
      </w:r>
      <w:r w:rsidR="00DF284E">
        <w:t xml:space="preserve"> tis. </w:t>
      </w:r>
    </w:p>
    <w:p w14:paraId="3AD9C24C" w14:textId="28804B6D" w:rsidR="00C44482" w:rsidRPr="00DF284E" w:rsidRDefault="00C44482" w:rsidP="00C44482">
      <w:pPr>
        <w:spacing w:after="60"/>
        <w:jc w:val="both"/>
        <w:rPr>
          <w:b/>
          <w:bCs/>
        </w:rPr>
      </w:pPr>
      <w:r w:rsidRPr="00DF284E">
        <w:rPr>
          <w:b/>
          <w:bCs/>
        </w:rPr>
        <w:t xml:space="preserve">Tab. 2.1: Nově hlášené případy dočasné pracovní neschopnosti podle příčiny a pohlaví, </w:t>
      </w:r>
      <w:r w:rsidR="00DF284E">
        <w:rPr>
          <w:b/>
          <w:bCs/>
        </w:rPr>
        <w:br/>
      </w:r>
      <w:r w:rsidR="009F34CD" w:rsidRPr="0050059C">
        <w:rPr>
          <w:b/>
          <w:spacing w:val="-2"/>
        </w:rPr>
        <w:t>1. pol. 201</w:t>
      </w:r>
      <w:r w:rsidR="009F34CD">
        <w:rPr>
          <w:b/>
          <w:spacing w:val="-2"/>
        </w:rPr>
        <w:t>2</w:t>
      </w:r>
      <w:r w:rsidR="009F34CD" w:rsidRPr="0050059C">
        <w:rPr>
          <w:b/>
          <w:spacing w:val="-2"/>
        </w:rPr>
        <w:t xml:space="preserve"> až 1. pol. 202</w:t>
      </w:r>
      <w:r w:rsidR="009F34CD">
        <w:rPr>
          <w:b/>
          <w:spacing w:val="-2"/>
        </w:rPr>
        <w:t>2</w:t>
      </w:r>
      <w:r w:rsidR="009F34CD" w:rsidRPr="00DF284E">
        <w:rPr>
          <w:b/>
          <w:bCs/>
        </w:rPr>
        <w:t xml:space="preserve"> </w:t>
      </w:r>
      <w:r w:rsidRPr="00DF284E">
        <w:rPr>
          <w:b/>
          <w:bCs/>
        </w:rPr>
        <w:t>(v tis.)</w:t>
      </w:r>
    </w:p>
    <w:tbl>
      <w:tblPr>
        <w:tblW w:w="9552" w:type="dxa"/>
        <w:tblCellMar>
          <w:left w:w="70" w:type="dxa"/>
          <w:right w:w="70" w:type="dxa"/>
        </w:tblCellMar>
        <w:tblLook w:val="04A0" w:firstRow="1" w:lastRow="0" w:firstColumn="1" w:lastColumn="0" w:noHBand="0" w:noVBand="1"/>
      </w:tblPr>
      <w:tblGrid>
        <w:gridCol w:w="1020"/>
        <w:gridCol w:w="710"/>
        <w:gridCol w:w="704"/>
        <w:gridCol w:w="704"/>
        <w:gridCol w:w="707"/>
        <w:gridCol w:w="704"/>
        <w:gridCol w:w="704"/>
        <w:gridCol w:w="754"/>
        <w:gridCol w:w="709"/>
        <w:gridCol w:w="709"/>
        <w:gridCol w:w="709"/>
        <w:gridCol w:w="709"/>
        <w:gridCol w:w="709"/>
      </w:tblGrid>
      <w:tr w:rsidR="00DF284E" w:rsidRPr="00D92E20" w14:paraId="05341B7C" w14:textId="77777777" w:rsidTr="00DF284E">
        <w:trPr>
          <w:trHeight w:val="300"/>
        </w:trPr>
        <w:tc>
          <w:tcPr>
            <w:tcW w:w="1020" w:type="dxa"/>
            <w:vMerge w:val="restart"/>
            <w:tcBorders>
              <w:top w:val="single" w:sz="4" w:space="0" w:color="auto"/>
              <w:left w:val="nil"/>
              <w:bottom w:val="nil"/>
              <w:right w:val="nil"/>
            </w:tcBorders>
            <w:shd w:val="clear" w:color="000000" w:fill="F5DADD"/>
            <w:vAlign w:val="center"/>
            <w:hideMark/>
          </w:tcPr>
          <w:p w14:paraId="4EFFB31A" w14:textId="68C97ECD" w:rsidR="00DF284E" w:rsidRPr="00D92E20" w:rsidRDefault="00DF284E" w:rsidP="00C44482">
            <w:pPr>
              <w:spacing w:after="0" w:line="240" w:lineRule="auto"/>
              <w:jc w:val="center"/>
              <w:rPr>
                <w:rFonts w:cs="Arial"/>
                <w:color w:val="000000"/>
                <w:sz w:val="16"/>
                <w:szCs w:val="16"/>
              </w:rPr>
            </w:pPr>
            <w:r w:rsidRPr="00DF284E">
              <w:rPr>
                <w:rFonts w:cs="Arial"/>
                <w:color w:val="000000"/>
                <w:sz w:val="16"/>
                <w:szCs w:val="16"/>
              </w:rPr>
              <w:t>Období</w:t>
            </w:r>
          </w:p>
        </w:tc>
        <w:tc>
          <w:tcPr>
            <w:tcW w:w="710" w:type="dxa"/>
            <w:vMerge w:val="restart"/>
            <w:tcBorders>
              <w:top w:val="single" w:sz="4" w:space="0" w:color="auto"/>
              <w:left w:val="single" w:sz="4" w:space="0" w:color="auto"/>
              <w:bottom w:val="nil"/>
              <w:right w:val="nil"/>
            </w:tcBorders>
            <w:shd w:val="clear" w:color="000000" w:fill="F2DBDB"/>
            <w:vAlign w:val="center"/>
            <w:hideMark/>
          </w:tcPr>
          <w:p w14:paraId="4286CFF3" w14:textId="77777777" w:rsidR="00DF284E" w:rsidRPr="00D92E20" w:rsidRDefault="00DF284E" w:rsidP="00C44482">
            <w:pPr>
              <w:spacing w:after="0" w:line="240" w:lineRule="auto"/>
              <w:jc w:val="center"/>
              <w:rPr>
                <w:rFonts w:cs="Arial"/>
                <w:b/>
                <w:bCs/>
                <w:color w:val="000000"/>
                <w:sz w:val="16"/>
                <w:szCs w:val="16"/>
              </w:rPr>
            </w:pPr>
            <w:r w:rsidRPr="00D92E20">
              <w:rPr>
                <w:rFonts w:cs="Arial"/>
                <w:b/>
                <w:bCs/>
                <w:color w:val="000000"/>
                <w:sz w:val="16"/>
                <w:szCs w:val="16"/>
              </w:rPr>
              <w:t>Celkem</w:t>
            </w:r>
          </w:p>
        </w:tc>
        <w:tc>
          <w:tcPr>
            <w:tcW w:w="1408"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48E47F82"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podle pohlaví</w:t>
            </w:r>
          </w:p>
        </w:tc>
        <w:tc>
          <w:tcPr>
            <w:tcW w:w="707" w:type="dxa"/>
            <w:vMerge w:val="restart"/>
            <w:tcBorders>
              <w:top w:val="single" w:sz="4" w:space="0" w:color="auto"/>
              <w:left w:val="nil"/>
              <w:right w:val="nil"/>
            </w:tcBorders>
            <w:shd w:val="clear" w:color="000000" w:fill="F2DBDB"/>
            <w:vAlign w:val="center"/>
            <w:hideMark/>
          </w:tcPr>
          <w:p w14:paraId="00FC7D17"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Pro nemoc</w:t>
            </w:r>
          </w:p>
        </w:tc>
        <w:tc>
          <w:tcPr>
            <w:tcW w:w="1408"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71578D2E"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podle pohlaví</w:t>
            </w:r>
          </w:p>
        </w:tc>
        <w:tc>
          <w:tcPr>
            <w:tcW w:w="754" w:type="dxa"/>
            <w:vMerge w:val="restart"/>
            <w:tcBorders>
              <w:top w:val="single" w:sz="4" w:space="0" w:color="auto"/>
              <w:left w:val="single" w:sz="4" w:space="0" w:color="auto"/>
              <w:right w:val="nil"/>
            </w:tcBorders>
            <w:shd w:val="clear" w:color="000000" w:fill="F2DBDB"/>
            <w:vAlign w:val="center"/>
            <w:hideMark/>
          </w:tcPr>
          <w:p w14:paraId="46D015E6"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Pro pracovní úrazy</w:t>
            </w:r>
          </w:p>
        </w:tc>
        <w:tc>
          <w:tcPr>
            <w:tcW w:w="1418"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37E4E50F"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podle pohlaví</w:t>
            </w:r>
          </w:p>
        </w:tc>
        <w:tc>
          <w:tcPr>
            <w:tcW w:w="709" w:type="dxa"/>
            <w:vMerge w:val="restart"/>
            <w:tcBorders>
              <w:top w:val="single" w:sz="4" w:space="0" w:color="auto"/>
              <w:left w:val="nil"/>
              <w:right w:val="nil"/>
            </w:tcBorders>
            <w:shd w:val="clear" w:color="000000" w:fill="F2DBDB"/>
            <w:vAlign w:val="center"/>
            <w:hideMark/>
          </w:tcPr>
          <w:p w14:paraId="63343562"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Pro ostatní úrazy</w:t>
            </w:r>
          </w:p>
        </w:tc>
        <w:tc>
          <w:tcPr>
            <w:tcW w:w="1418" w:type="dxa"/>
            <w:gridSpan w:val="2"/>
            <w:tcBorders>
              <w:top w:val="single" w:sz="4" w:space="0" w:color="auto"/>
              <w:left w:val="single" w:sz="4" w:space="0" w:color="auto"/>
              <w:bottom w:val="single" w:sz="4" w:space="0" w:color="auto"/>
              <w:right w:val="nil"/>
            </w:tcBorders>
            <w:shd w:val="clear" w:color="000000" w:fill="F2DBDB"/>
            <w:vAlign w:val="center"/>
            <w:hideMark/>
          </w:tcPr>
          <w:p w14:paraId="64F0CEA2"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podle pohlaví</w:t>
            </w:r>
          </w:p>
        </w:tc>
      </w:tr>
      <w:tr w:rsidR="00DF284E" w:rsidRPr="00D92E20" w14:paraId="3698B7BD" w14:textId="77777777" w:rsidTr="00DF284E">
        <w:trPr>
          <w:trHeight w:val="405"/>
        </w:trPr>
        <w:tc>
          <w:tcPr>
            <w:tcW w:w="1020" w:type="dxa"/>
            <w:vMerge/>
            <w:tcBorders>
              <w:top w:val="single" w:sz="4" w:space="0" w:color="auto"/>
              <w:left w:val="nil"/>
              <w:bottom w:val="nil"/>
              <w:right w:val="nil"/>
            </w:tcBorders>
            <w:vAlign w:val="center"/>
            <w:hideMark/>
          </w:tcPr>
          <w:p w14:paraId="3B0F1679" w14:textId="77777777" w:rsidR="00DF284E" w:rsidRPr="00D92E20" w:rsidRDefault="00DF284E" w:rsidP="00C44482">
            <w:pPr>
              <w:spacing w:after="0" w:line="240" w:lineRule="auto"/>
              <w:rPr>
                <w:rFonts w:cs="Arial"/>
                <w:color w:val="000000"/>
                <w:sz w:val="16"/>
                <w:szCs w:val="16"/>
              </w:rPr>
            </w:pPr>
          </w:p>
        </w:tc>
        <w:tc>
          <w:tcPr>
            <w:tcW w:w="710" w:type="dxa"/>
            <w:vMerge/>
            <w:tcBorders>
              <w:top w:val="single" w:sz="4" w:space="0" w:color="auto"/>
              <w:left w:val="single" w:sz="4" w:space="0" w:color="auto"/>
              <w:bottom w:val="nil"/>
              <w:right w:val="nil"/>
            </w:tcBorders>
            <w:vAlign w:val="center"/>
            <w:hideMark/>
          </w:tcPr>
          <w:p w14:paraId="4CDE0329" w14:textId="77777777" w:rsidR="00DF284E" w:rsidRPr="00D92E20" w:rsidRDefault="00DF284E" w:rsidP="00C44482">
            <w:pPr>
              <w:spacing w:after="0" w:line="240" w:lineRule="auto"/>
              <w:rPr>
                <w:rFonts w:cs="Arial"/>
                <w:b/>
                <w:bCs/>
                <w:color w:val="000000"/>
                <w:sz w:val="16"/>
                <w:szCs w:val="16"/>
              </w:rPr>
            </w:pPr>
          </w:p>
        </w:tc>
        <w:tc>
          <w:tcPr>
            <w:tcW w:w="704" w:type="dxa"/>
            <w:tcBorders>
              <w:top w:val="nil"/>
              <w:left w:val="single" w:sz="4" w:space="0" w:color="auto"/>
              <w:bottom w:val="single" w:sz="4" w:space="0" w:color="auto"/>
              <w:right w:val="single" w:sz="4" w:space="0" w:color="auto"/>
            </w:tcBorders>
            <w:shd w:val="clear" w:color="000000" w:fill="F2DBDB"/>
            <w:vAlign w:val="center"/>
            <w:hideMark/>
          </w:tcPr>
          <w:p w14:paraId="7C2C289D"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muži</w:t>
            </w:r>
          </w:p>
        </w:tc>
        <w:tc>
          <w:tcPr>
            <w:tcW w:w="704" w:type="dxa"/>
            <w:tcBorders>
              <w:top w:val="nil"/>
              <w:left w:val="nil"/>
              <w:bottom w:val="single" w:sz="4" w:space="0" w:color="auto"/>
              <w:right w:val="single" w:sz="4" w:space="0" w:color="auto"/>
            </w:tcBorders>
            <w:shd w:val="clear" w:color="000000" w:fill="F2DBDB"/>
            <w:vAlign w:val="center"/>
            <w:hideMark/>
          </w:tcPr>
          <w:p w14:paraId="451EFE61"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ženy</w:t>
            </w:r>
          </w:p>
        </w:tc>
        <w:tc>
          <w:tcPr>
            <w:tcW w:w="707" w:type="dxa"/>
            <w:vMerge/>
            <w:tcBorders>
              <w:left w:val="nil"/>
              <w:bottom w:val="nil"/>
              <w:right w:val="nil"/>
            </w:tcBorders>
            <w:vAlign w:val="center"/>
            <w:hideMark/>
          </w:tcPr>
          <w:p w14:paraId="5111A614" w14:textId="77777777" w:rsidR="00DF284E" w:rsidRPr="00D92E20" w:rsidRDefault="00DF284E" w:rsidP="00C44482">
            <w:pPr>
              <w:spacing w:after="0" w:line="240" w:lineRule="auto"/>
              <w:rPr>
                <w:rFonts w:cs="Arial"/>
                <w:color w:val="000000"/>
                <w:sz w:val="16"/>
                <w:szCs w:val="16"/>
              </w:rPr>
            </w:pPr>
          </w:p>
        </w:tc>
        <w:tc>
          <w:tcPr>
            <w:tcW w:w="704" w:type="dxa"/>
            <w:tcBorders>
              <w:top w:val="nil"/>
              <w:left w:val="single" w:sz="4" w:space="0" w:color="auto"/>
              <w:bottom w:val="single" w:sz="4" w:space="0" w:color="auto"/>
              <w:right w:val="single" w:sz="4" w:space="0" w:color="auto"/>
            </w:tcBorders>
            <w:shd w:val="clear" w:color="000000" w:fill="F2DBDB"/>
            <w:vAlign w:val="center"/>
            <w:hideMark/>
          </w:tcPr>
          <w:p w14:paraId="2D1D3B1D"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muži</w:t>
            </w:r>
          </w:p>
        </w:tc>
        <w:tc>
          <w:tcPr>
            <w:tcW w:w="704" w:type="dxa"/>
            <w:tcBorders>
              <w:top w:val="nil"/>
              <w:left w:val="nil"/>
              <w:bottom w:val="single" w:sz="4" w:space="0" w:color="auto"/>
              <w:right w:val="single" w:sz="4" w:space="0" w:color="auto"/>
            </w:tcBorders>
            <w:shd w:val="clear" w:color="000000" w:fill="F2DBDB"/>
            <w:vAlign w:val="center"/>
            <w:hideMark/>
          </w:tcPr>
          <w:p w14:paraId="557185F3"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ženy</w:t>
            </w:r>
          </w:p>
        </w:tc>
        <w:tc>
          <w:tcPr>
            <w:tcW w:w="754" w:type="dxa"/>
            <w:vMerge/>
            <w:tcBorders>
              <w:left w:val="single" w:sz="4" w:space="0" w:color="auto"/>
              <w:bottom w:val="nil"/>
              <w:right w:val="nil"/>
            </w:tcBorders>
            <w:vAlign w:val="center"/>
            <w:hideMark/>
          </w:tcPr>
          <w:p w14:paraId="7F2CA0E0" w14:textId="77777777" w:rsidR="00DF284E" w:rsidRPr="00D92E20" w:rsidRDefault="00DF284E" w:rsidP="00C44482">
            <w:pPr>
              <w:spacing w:after="0" w:line="240" w:lineRule="auto"/>
              <w:rPr>
                <w:rFonts w:cs="Arial"/>
                <w:color w:val="000000"/>
                <w:sz w:val="16"/>
                <w:szCs w:val="16"/>
              </w:rPr>
            </w:pPr>
          </w:p>
        </w:tc>
        <w:tc>
          <w:tcPr>
            <w:tcW w:w="709" w:type="dxa"/>
            <w:tcBorders>
              <w:top w:val="nil"/>
              <w:left w:val="single" w:sz="4" w:space="0" w:color="auto"/>
              <w:bottom w:val="single" w:sz="4" w:space="0" w:color="auto"/>
              <w:right w:val="single" w:sz="4" w:space="0" w:color="auto"/>
            </w:tcBorders>
            <w:shd w:val="clear" w:color="000000" w:fill="F2DBDB"/>
            <w:vAlign w:val="center"/>
            <w:hideMark/>
          </w:tcPr>
          <w:p w14:paraId="6E24BD43"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muži</w:t>
            </w:r>
          </w:p>
        </w:tc>
        <w:tc>
          <w:tcPr>
            <w:tcW w:w="709" w:type="dxa"/>
            <w:tcBorders>
              <w:top w:val="nil"/>
              <w:left w:val="nil"/>
              <w:bottom w:val="single" w:sz="4" w:space="0" w:color="auto"/>
              <w:right w:val="single" w:sz="4" w:space="0" w:color="auto"/>
            </w:tcBorders>
            <w:shd w:val="clear" w:color="000000" w:fill="F2DBDB"/>
            <w:vAlign w:val="center"/>
            <w:hideMark/>
          </w:tcPr>
          <w:p w14:paraId="127DB857"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ženy</w:t>
            </w:r>
          </w:p>
        </w:tc>
        <w:tc>
          <w:tcPr>
            <w:tcW w:w="709" w:type="dxa"/>
            <w:vMerge/>
            <w:tcBorders>
              <w:left w:val="nil"/>
              <w:bottom w:val="nil"/>
              <w:right w:val="nil"/>
            </w:tcBorders>
            <w:vAlign w:val="center"/>
            <w:hideMark/>
          </w:tcPr>
          <w:p w14:paraId="7C15A4F6" w14:textId="77777777" w:rsidR="00DF284E" w:rsidRPr="00D92E20" w:rsidRDefault="00DF284E" w:rsidP="00C44482">
            <w:pPr>
              <w:spacing w:after="0" w:line="240" w:lineRule="auto"/>
              <w:rPr>
                <w:rFonts w:cs="Arial"/>
                <w:color w:val="000000"/>
                <w:sz w:val="16"/>
                <w:szCs w:val="16"/>
              </w:rPr>
            </w:pPr>
          </w:p>
        </w:tc>
        <w:tc>
          <w:tcPr>
            <w:tcW w:w="709" w:type="dxa"/>
            <w:tcBorders>
              <w:top w:val="nil"/>
              <w:left w:val="single" w:sz="4" w:space="0" w:color="auto"/>
              <w:bottom w:val="single" w:sz="4" w:space="0" w:color="auto"/>
              <w:right w:val="single" w:sz="4" w:space="0" w:color="auto"/>
            </w:tcBorders>
            <w:shd w:val="clear" w:color="000000" w:fill="F2DBDB"/>
            <w:vAlign w:val="center"/>
            <w:hideMark/>
          </w:tcPr>
          <w:p w14:paraId="65667CE2"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muži</w:t>
            </w:r>
          </w:p>
        </w:tc>
        <w:tc>
          <w:tcPr>
            <w:tcW w:w="709" w:type="dxa"/>
            <w:tcBorders>
              <w:top w:val="nil"/>
              <w:left w:val="nil"/>
              <w:bottom w:val="single" w:sz="4" w:space="0" w:color="auto"/>
              <w:right w:val="nil"/>
            </w:tcBorders>
            <w:shd w:val="clear" w:color="000000" w:fill="F2DBDB"/>
            <w:vAlign w:val="center"/>
            <w:hideMark/>
          </w:tcPr>
          <w:p w14:paraId="27D1CC56" w14:textId="77777777" w:rsidR="00DF284E" w:rsidRPr="00D92E20" w:rsidRDefault="00DF284E" w:rsidP="00C44482">
            <w:pPr>
              <w:spacing w:after="0" w:line="240" w:lineRule="auto"/>
              <w:jc w:val="center"/>
              <w:rPr>
                <w:rFonts w:cs="Arial"/>
                <w:color w:val="000000"/>
                <w:sz w:val="16"/>
                <w:szCs w:val="16"/>
              </w:rPr>
            </w:pPr>
            <w:r w:rsidRPr="00D92E20">
              <w:rPr>
                <w:rFonts w:cs="Arial"/>
                <w:color w:val="000000"/>
                <w:sz w:val="16"/>
                <w:szCs w:val="16"/>
              </w:rPr>
              <w:t>ženy</w:t>
            </w:r>
          </w:p>
        </w:tc>
      </w:tr>
      <w:tr w:rsidR="004071F1" w:rsidRPr="00D92E20" w14:paraId="0E3B899F" w14:textId="77777777" w:rsidTr="00DF284E">
        <w:trPr>
          <w:trHeight w:val="300"/>
        </w:trPr>
        <w:tc>
          <w:tcPr>
            <w:tcW w:w="1020" w:type="dxa"/>
            <w:tcBorders>
              <w:top w:val="single" w:sz="4" w:space="0" w:color="auto"/>
              <w:left w:val="nil"/>
              <w:bottom w:val="nil"/>
              <w:right w:val="nil"/>
            </w:tcBorders>
            <w:shd w:val="clear" w:color="auto" w:fill="auto"/>
            <w:vAlign w:val="center"/>
            <w:hideMark/>
          </w:tcPr>
          <w:p w14:paraId="1BCDA5DA" w14:textId="767DB72C" w:rsidR="004071F1" w:rsidRPr="00D92E20" w:rsidRDefault="004071F1" w:rsidP="004071F1">
            <w:pPr>
              <w:spacing w:after="0" w:line="240" w:lineRule="auto"/>
              <w:jc w:val="center"/>
              <w:rPr>
                <w:rFonts w:cs="Arial"/>
                <w:color w:val="000000"/>
                <w:sz w:val="16"/>
                <w:szCs w:val="16"/>
              </w:rPr>
            </w:pPr>
            <w:r>
              <w:rPr>
                <w:rFonts w:cs="Arial"/>
                <w:sz w:val="16"/>
                <w:szCs w:val="16"/>
              </w:rPr>
              <w:t>1. pol. 2012</w:t>
            </w:r>
          </w:p>
        </w:tc>
        <w:tc>
          <w:tcPr>
            <w:tcW w:w="710" w:type="dxa"/>
            <w:tcBorders>
              <w:top w:val="single" w:sz="4" w:space="0" w:color="auto"/>
              <w:left w:val="single" w:sz="4" w:space="0" w:color="auto"/>
              <w:bottom w:val="nil"/>
              <w:right w:val="nil"/>
            </w:tcBorders>
            <w:shd w:val="clear" w:color="auto" w:fill="auto"/>
            <w:vAlign w:val="center"/>
            <w:hideMark/>
          </w:tcPr>
          <w:p w14:paraId="3B606E05" w14:textId="3A8C55E1" w:rsidR="004071F1" w:rsidRPr="00D92E20" w:rsidRDefault="004071F1" w:rsidP="004071F1">
            <w:pPr>
              <w:spacing w:after="0" w:line="240" w:lineRule="auto"/>
              <w:jc w:val="right"/>
              <w:rPr>
                <w:rFonts w:cs="Arial"/>
                <w:color w:val="000000"/>
                <w:sz w:val="16"/>
                <w:szCs w:val="16"/>
              </w:rPr>
            </w:pPr>
            <w:r>
              <w:rPr>
                <w:rFonts w:cs="Arial"/>
                <w:sz w:val="16"/>
                <w:szCs w:val="16"/>
              </w:rPr>
              <w:t>607,4</w:t>
            </w:r>
          </w:p>
        </w:tc>
        <w:tc>
          <w:tcPr>
            <w:tcW w:w="704" w:type="dxa"/>
            <w:tcBorders>
              <w:top w:val="nil"/>
              <w:left w:val="nil"/>
              <w:bottom w:val="nil"/>
              <w:right w:val="nil"/>
            </w:tcBorders>
            <w:shd w:val="clear" w:color="auto" w:fill="auto"/>
            <w:vAlign w:val="center"/>
            <w:hideMark/>
          </w:tcPr>
          <w:p w14:paraId="7D6976C7" w14:textId="61279916" w:rsidR="004071F1" w:rsidRPr="00D92E20" w:rsidRDefault="004071F1" w:rsidP="004071F1">
            <w:pPr>
              <w:spacing w:after="0" w:line="240" w:lineRule="auto"/>
              <w:jc w:val="right"/>
              <w:rPr>
                <w:rFonts w:cs="Arial"/>
                <w:color w:val="000000"/>
                <w:sz w:val="16"/>
                <w:szCs w:val="16"/>
              </w:rPr>
            </w:pPr>
            <w:r>
              <w:rPr>
                <w:rFonts w:cs="Arial"/>
                <w:sz w:val="16"/>
                <w:szCs w:val="16"/>
              </w:rPr>
              <w:t>289,6</w:t>
            </w:r>
          </w:p>
        </w:tc>
        <w:tc>
          <w:tcPr>
            <w:tcW w:w="704" w:type="dxa"/>
            <w:tcBorders>
              <w:top w:val="nil"/>
              <w:left w:val="nil"/>
              <w:bottom w:val="nil"/>
              <w:right w:val="single" w:sz="4" w:space="0" w:color="auto"/>
            </w:tcBorders>
            <w:shd w:val="clear" w:color="auto" w:fill="auto"/>
            <w:vAlign w:val="center"/>
            <w:hideMark/>
          </w:tcPr>
          <w:p w14:paraId="51FE9CA3" w14:textId="00802FF6" w:rsidR="004071F1" w:rsidRPr="00D92E20" w:rsidRDefault="004071F1" w:rsidP="004071F1">
            <w:pPr>
              <w:spacing w:after="0" w:line="240" w:lineRule="auto"/>
              <w:jc w:val="right"/>
              <w:rPr>
                <w:rFonts w:cs="Arial"/>
                <w:color w:val="000000"/>
                <w:sz w:val="16"/>
                <w:szCs w:val="16"/>
              </w:rPr>
            </w:pPr>
            <w:r>
              <w:rPr>
                <w:rFonts w:cs="Arial"/>
                <w:sz w:val="16"/>
                <w:szCs w:val="16"/>
              </w:rPr>
              <w:t>317,8</w:t>
            </w:r>
          </w:p>
        </w:tc>
        <w:tc>
          <w:tcPr>
            <w:tcW w:w="707" w:type="dxa"/>
            <w:tcBorders>
              <w:top w:val="single" w:sz="4" w:space="0" w:color="auto"/>
              <w:left w:val="nil"/>
              <w:bottom w:val="nil"/>
              <w:right w:val="nil"/>
            </w:tcBorders>
            <w:shd w:val="clear" w:color="auto" w:fill="auto"/>
            <w:vAlign w:val="center"/>
            <w:hideMark/>
          </w:tcPr>
          <w:p w14:paraId="2FCC0C3B" w14:textId="6E681857" w:rsidR="004071F1" w:rsidRPr="00D92E20" w:rsidRDefault="004071F1" w:rsidP="004071F1">
            <w:pPr>
              <w:spacing w:after="0" w:line="240" w:lineRule="auto"/>
              <w:jc w:val="right"/>
              <w:rPr>
                <w:rFonts w:cs="Arial"/>
                <w:color w:val="000000"/>
                <w:sz w:val="16"/>
                <w:szCs w:val="16"/>
              </w:rPr>
            </w:pPr>
            <w:r>
              <w:rPr>
                <w:rFonts w:cs="Arial"/>
                <w:sz w:val="16"/>
                <w:szCs w:val="16"/>
              </w:rPr>
              <w:t>532,1</w:t>
            </w:r>
          </w:p>
        </w:tc>
        <w:tc>
          <w:tcPr>
            <w:tcW w:w="704" w:type="dxa"/>
            <w:tcBorders>
              <w:top w:val="nil"/>
              <w:left w:val="nil"/>
              <w:bottom w:val="nil"/>
              <w:right w:val="nil"/>
            </w:tcBorders>
            <w:shd w:val="clear" w:color="auto" w:fill="auto"/>
            <w:vAlign w:val="center"/>
            <w:hideMark/>
          </w:tcPr>
          <w:p w14:paraId="41FE064E" w14:textId="3FF75024" w:rsidR="004071F1" w:rsidRPr="00D92E20" w:rsidRDefault="004071F1" w:rsidP="004071F1">
            <w:pPr>
              <w:spacing w:after="0" w:line="240" w:lineRule="auto"/>
              <w:jc w:val="right"/>
              <w:rPr>
                <w:rFonts w:cs="Arial"/>
                <w:color w:val="000000"/>
                <w:sz w:val="16"/>
                <w:szCs w:val="16"/>
              </w:rPr>
            </w:pPr>
            <w:r>
              <w:rPr>
                <w:rFonts w:cs="Arial"/>
                <w:sz w:val="16"/>
                <w:szCs w:val="16"/>
              </w:rPr>
              <w:t>239,3</w:t>
            </w:r>
          </w:p>
        </w:tc>
        <w:tc>
          <w:tcPr>
            <w:tcW w:w="704" w:type="dxa"/>
            <w:tcBorders>
              <w:top w:val="nil"/>
              <w:left w:val="nil"/>
              <w:bottom w:val="nil"/>
              <w:right w:val="nil"/>
            </w:tcBorders>
            <w:shd w:val="clear" w:color="auto" w:fill="auto"/>
            <w:vAlign w:val="center"/>
            <w:hideMark/>
          </w:tcPr>
          <w:p w14:paraId="4944B421" w14:textId="22E3DA55" w:rsidR="004071F1" w:rsidRPr="00D92E20" w:rsidRDefault="004071F1" w:rsidP="004071F1">
            <w:pPr>
              <w:spacing w:after="0" w:line="240" w:lineRule="auto"/>
              <w:jc w:val="right"/>
              <w:rPr>
                <w:rFonts w:cs="Arial"/>
                <w:color w:val="000000"/>
                <w:sz w:val="16"/>
                <w:szCs w:val="16"/>
              </w:rPr>
            </w:pPr>
            <w:r>
              <w:rPr>
                <w:rFonts w:cs="Arial"/>
                <w:sz w:val="16"/>
                <w:szCs w:val="16"/>
              </w:rPr>
              <w:t>292,8</w:t>
            </w:r>
          </w:p>
        </w:tc>
        <w:tc>
          <w:tcPr>
            <w:tcW w:w="754" w:type="dxa"/>
            <w:tcBorders>
              <w:top w:val="single" w:sz="4" w:space="0" w:color="auto"/>
              <w:left w:val="single" w:sz="4" w:space="0" w:color="auto"/>
              <w:bottom w:val="nil"/>
              <w:right w:val="nil"/>
            </w:tcBorders>
            <w:shd w:val="clear" w:color="auto" w:fill="auto"/>
            <w:vAlign w:val="center"/>
            <w:hideMark/>
          </w:tcPr>
          <w:p w14:paraId="6BBF2F00" w14:textId="00934369" w:rsidR="004071F1" w:rsidRPr="00D92E20" w:rsidRDefault="004071F1" w:rsidP="004071F1">
            <w:pPr>
              <w:spacing w:after="0" w:line="240" w:lineRule="auto"/>
              <w:jc w:val="right"/>
              <w:rPr>
                <w:rFonts w:cs="Arial"/>
                <w:color w:val="000000"/>
                <w:sz w:val="16"/>
                <w:szCs w:val="16"/>
              </w:rPr>
            </w:pPr>
            <w:r>
              <w:rPr>
                <w:rFonts w:cs="Arial"/>
                <w:sz w:val="16"/>
                <w:szCs w:val="16"/>
              </w:rPr>
              <w:t>21,8</w:t>
            </w:r>
          </w:p>
        </w:tc>
        <w:tc>
          <w:tcPr>
            <w:tcW w:w="709" w:type="dxa"/>
            <w:tcBorders>
              <w:top w:val="nil"/>
              <w:left w:val="nil"/>
              <w:bottom w:val="nil"/>
              <w:right w:val="nil"/>
            </w:tcBorders>
            <w:shd w:val="clear" w:color="auto" w:fill="auto"/>
            <w:vAlign w:val="center"/>
            <w:hideMark/>
          </w:tcPr>
          <w:p w14:paraId="207B0B1D" w14:textId="560C734E" w:rsidR="004071F1" w:rsidRPr="00D92E20" w:rsidRDefault="004071F1" w:rsidP="004071F1">
            <w:pPr>
              <w:spacing w:after="0" w:line="240" w:lineRule="auto"/>
              <w:jc w:val="right"/>
              <w:rPr>
                <w:rFonts w:cs="Arial"/>
                <w:color w:val="000000"/>
                <w:sz w:val="16"/>
                <w:szCs w:val="16"/>
              </w:rPr>
            </w:pPr>
            <w:r>
              <w:rPr>
                <w:rFonts w:cs="Arial"/>
                <w:sz w:val="16"/>
                <w:szCs w:val="16"/>
              </w:rPr>
              <w:t>15,5</w:t>
            </w:r>
          </w:p>
        </w:tc>
        <w:tc>
          <w:tcPr>
            <w:tcW w:w="709" w:type="dxa"/>
            <w:tcBorders>
              <w:top w:val="nil"/>
              <w:left w:val="nil"/>
              <w:bottom w:val="nil"/>
              <w:right w:val="single" w:sz="4" w:space="0" w:color="auto"/>
            </w:tcBorders>
            <w:shd w:val="clear" w:color="auto" w:fill="auto"/>
            <w:vAlign w:val="center"/>
            <w:hideMark/>
          </w:tcPr>
          <w:p w14:paraId="2B66119B" w14:textId="2630E105" w:rsidR="004071F1" w:rsidRPr="00D92E20" w:rsidRDefault="004071F1" w:rsidP="004071F1">
            <w:pPr>
              <w:spacing w:after="0" w:line="240" w:lineRule="auto"/>
              <w:jc w:val="right"/>
              <w:rPr>
                <w:rFonts w:cs="Arial"/>
                <w:color w:val="000000"/>
                <w:sz w:val="16"/>
                <w:szCs w:val="16"/>
              </w:rPr>
            </w:pPr>
            <w:r>
              <w:rPr>
                <w:rFonts w:cs="Arial"/>
                <w:sz w:val="16"/>
                <w:szCs w:val="16"/>
              </w:rPr>
              <w:t>6,3</w:t>
            </w:r>
          </w:p>
        </w:tc>
        <w:tc>
          <w:tcPr>
            <w:tcW w:w="709" w:type="dxa"/>
            <w:tcBorders>
              <w:top w:val="single" w:sz="4" w:space="0" w:color="auto"/>
              <w:left w:val="nil"/>
              <w:bottom w:val="nil"/>
              <w:right w:val="nil"/>
            </w:tcBorders>
            <w:shd w:val="clear" w:color="auto" w:fill="auto"/>
            <w:vAlign w:val="center"/>
            <w:hideMark/>
          </w:tcPr>
          <w:p w14:paraId="05BE3863" w14:textId="6510BF4A" w:rsidR="004071F1" w:rsidRPr="00D92E20" w:rsidRDefault="004071F1" w:rsidP="004071F1">
            <w:pPr>
              <w:spacing w:after="0" w:line="240" w:lineRule="auto"/>
              <w:jc w:val="right"/>
              <w:rPr>
                <w:rFonts w:cs="Arial"/>
                <w:color w:val="000000"/>
                <w:sz w:val="16"/>
                <w:szCs w:val="16"/>
              </w:rPr>
            </w:pPr>
            <w:r>
              <w:rPr>
                <w:rFonts w:cs="Arial"/>
                <w:sz w:val="16"/>
                <w:szCs w:val="16"/>
              </w:rPr>
              <w:t>53,4</w:t>
            </w:r>
          </w:p>
        </w:tc>
        <w:tc>
          <w:tcPr>
            <w:tcW w:w="709" w:type="dxa"/>
            <w:tcBorders>
              <w:top w:val="nil"/>
              <w:left w:val="nil"/>
              <w:bottom w:val="nil"/>
              <w:right w:val="nil"/>
            </w:tcBorders>
            <w:shd w:val="clear" w:color="auto" w:fill="auto"/>
            <w:vAlign w:val="center"/>
            <w:hideMark/>
          </w:tcPr>
          <w:p w14:paraId="6D85CF9B" w14:textId="396CE8D4" w:rsidR="004071F1" w:rsidRPr="00D92E20" w:rsidRDefault="004071F1" w:rsidP="004071F1">
            <w:pPr>
              <w:spacing w:after="0" w:line="240" w:lineRule="auto"/>
              <w:jc w:val="right"/>
              <w:rPr>
                <w:rFonts w:cs="Arial"/>
                <w:color w:val="000000"/>
                <w:sz w:val="16"/>
                <w:szCs w:val="16"/>
              </w:rPr>
            </w:pPr>
            <w:r>
              <w:rPr>
                <w:rFonts w:cs="Arial"/>
                <w:sz w:val="16"/>
                <w:szCs w:val="16"/>
              </w:rPr>
              <w:t>34,8</w:t>
            </w:r>
          </w:p>
        </w:tc>
        <w:tc>
          <w:tcPr>
            <w:tcW w:w="709" w:type="dxa"/>
            <w:tcBorders>
              <w:top w:val="nil"/>
              <w:left w:val="nil"/>
              <w:bottom w:val="nil"/>
              <w:right w:val="nil"/>
            </w:tcBorders>
            <w:shd w:val="clear" w:color="auto" w:fill="auto"/>
            <w:vAlign w:val="center"/>
            <w:hideMark/>
          </w:tcPr>
          <w:p w14:paraId="417A5C81" w14:textId="2C935469" w:rsidR="004071F1" w:rsidRPr="00D92E20" w:rsidRDefault="004071F1" w:rsidP="004071F1">
            <w:pPr>
              <w:spacing w:after="0" w:line="240" w:lineRule="auto"/>
              <w:jc w:val="right"/>
              <w:rPr>
                <w:rFonts w:cs="Arial"/>
                <w:color w:val="000000"/>
                <w:sz w:val="16"/>
                <w:szCs w:val="16"/>
              </w:rPr>
            </w:pPr>
            <w:r>
              <w:rPr>
                <w:rFonts w:cs="Arial"/>
                <w:sz w:val="16"/>
                <w:szCs w:val="16"/>
              </w:rPr>
              <w:t>18,6</w:t>
            </w:r>
          </w:p>
        </w:tc>
      </w:tr>
      <w:tr w:rsidR="004071F1" w:rsidRPr="00D92E20" w14:paraId="06A11B75" w14:textId="77777777" w:rsidTr="00DF284E">
        <w:trPr>
          <w:trHeight w:val="300"/>
        </w:trPr>
        <w:tc>
          <w:tcPr>
            <w:tcW w:w="1020" w:type="dxa"/>
            <w:tcBorders>
              <w:top w:val="nil"/>
              <w:left w:val="nil"/>
              <w:bottom w:val="nil"/>
              <w:right w:val="nil"/>
            </w:tcBorders>
            <w:shd w:val="clear" w:color="auto" w:fill="auto"/>
            <w:vAlign w:val="center"/>
            <w:hideMark/>
          </w:tcPr>
          <w:p w14:paraId="1D1B5A8D" w14:textId="1ED49EBA" w:rsidR="004071F1" w:rsidRPr="00D92E20" w:rsidRDefault="004071F1" w:rsidP="004071F1">
            <w:pPr>
              <w:spacing w:after="0" w:line="240" w:lineRule="auto"/>
              <w:jc w:val="center"/>
              <w:rPr>
                <w:rFonts w:cs="Arial"/>
                <w:color w:val="000000"/>
                <w:sz w:val="16"/>
                <w:szCs w:val="16"/>
              </w:rPr>
            </w:pPr>
            <w:r>
              <w:rPr>
                <w:rFonts w:cs="Arial"/>
                <w:sz w:val="16"/>
                <w:szCs w:val="16"/>
              </w:rPr>
              <w:t>1. pol. 2013</w:t>
            </w:r>
          </w:p>
        </w:tc>
        <w:tc>
          <w:tcPr>
            <w:tcW w:w="710" w:type="dxa"/>
            <w:tcBorders>
              <w:top w:val="nil"/>
              <w:left w:val="single" w:sz="4" w:space="0" w:color="auto"/>
              <w:bottom w:val="nil"/>
              <w:right w:val="nil"/>
            </w:tcBorders>
            <w:shd w:val="clear" w:color="auto" w:fill="auto"/>
            <w:vAlign w:val="center"/>
            <w:hideMark/>
          </w:tcPr>
          <w:p w14:paraId="3D6D9922" w14:textId="11A96B34" w:rsidR="004071F1" w:rsidRPr="00D92E20" w:rsidRDefault="004071F1" w:rsidP="004071F1">
            <w:pPr>
              <w:spacing w:after="0" w:line="240" w:lineRule="auto"/>
              <w:jc w:val="right"/>
              <w:rPr>
                <w:rFonts w:cs="Arial"/>
                <w:color w:val="000000"/>
                <w:sz w:val="16"/>
                <w:szCs w:val="16"/>
              </w:rPr>
            </w:pPr>
            <w:r>
              <w:rPr>
                <w:rFonts w:cs="Arial"/>
                <w:sz w:val="16"/>
                <w:szCs w:val="16"/>
              </w:rPr>
              <w:t>754,6</w:t>
            </w:r>
          </w:p>
        </w:tc>
        <w:tc>
          <w:tcPr>
            <w:tcW w:w="704" w:type="dxa"/>
            <w:tcBorders>
              <w:top w:val="nil"/>
              <w:left w:val="nil"/>
              <w:bottom w:val="nil"/>
              <w:right w:val="nil"/>
            </w:tcBorders>
            <w:shd w:val="clear" w:color="auto" w:fill="auto"/>
            <w:vAlign w:val="center"/>
            <w:hideMark/>
          </w:tcPr>
          <w:p w14:paraId="309872E3" w14:textId="42B4F749" w:rsidR="004071F1" w:rsidRPr="00D92E20" w:rsidRDefault="004071F1" w:rsidP="004071F1">
            <w:pPr>
              <w:spacing w:after="0" w:line="240" w:lineRule="auto"/>
              <w:jc w:val="right"/>
              <w:rPr>
                <w:rFonts w:cs="Arial"/>
                <w:color w:val="000000"/>
                <w:sz w:val="16"/>
                <w:szCs w:val="16"/>
              </w:rPr>
            </w:pPr>
            <w:r>
              <w:rPr>
                <w:rFonts w:cs="Arial"/>
                <w:sz w:val="16"/>
                <w:szCs w:val="16"/>
              </w:rPr>
              <w:t>354,7</w:t>
            </w:r>
          </w:p>
        </w:tc>
        <w:tc>
          <w:tcPr>
            <w:tcW w:w="704" w:type="dxa"/>
            <w:tcBorders>
              <w:top w:val="nil"/>
              <w:left w:val="nil"/>
              <w:bottom w:val="nil"/>
              <w:right w:val="single" w:sz="4" w:space="0" w:color="auto"/>
            </w:tcBorders>
            <w:shd w:val="clear" w:color="auto" w:fill="auto"/>
            <w:vAlign w:val="center"/>
            <w:hideMark/>
          </w:tcPr>
          <w:p w14:paraId="637C3785" w14:textId="403CD44C" w:rsidR="004071F1" w:rsidRPr="00D92E20" w:rsidRDefault="004071F1" w:rsidP="004071F1">
            <w:pPr>
              <w:spacing w:after="0" w:line="240" w:lineRule="auto"/>
              <w:jc w:val="right"/>
              <w:rPr>
                <w:rFonts w:cs="Arial"/>
                <w:color w:val="000000"/>
                <w:sz w:val="16"/>
                <w:szCs w:val="16"/>
              </w:rPr>
            </w:pPr>
            <w:r>
              <w:rPr>
                <w:rFonts w:cs="Arial"/>
                <w:sz w:val="16"/>
                <w:szCs w:val="16"/>
              </w:rPr>
              <w:t>399,9</w:t>
            </w:r>
          </w:p>
        </w:tc>
        <w:tc>
          <w:tcPr>
            <w:tcW w:w="707" w:type="dxa"/>
            <w:tcBorders>
              <w:top w:val="nil"/>
              <w:left w:val="nil"/>
              <w:bottom w:val="nil"/>
              <w:right w:val="nil"/>
            </w:tcBorders>
            <w:shd w:val="clear" w:color="auto" w:fill="auto"/>
            <w:vAlign w:val="center"/>
            <w:hideMark/>
          </w:tcPr>
          <w:p w14:paraId="2F6AC6FA" w14:textId="11885BB6" w:rsidR="004071F1" w:rsidRPr="00D92E20" w:rsidRDefault="004071F1" w:rsidP="004071F1">
            <w:pPr>
              <w:spacing w:after="0" w:line="240" w:lineRule="auto"/>
              <w:jc w:val="right"/>
              <w:rPr>
                <w:rFonts w:cs="Arial"/>
                <w:color w:val="000000"/>
                <w:sz w:val="16"/>
                <w:szCs w:val="16"/>
              </w:rPr>
            </w:pPr>
            <w:r>
              <w:rPr>
                <w:rFonts w:cs="Arial"/>
                <w:sz w:val="16"/>
                <w:szCs w:val="16"/>
              </w:rPr>
              <w:t>672,2</w:t>
            </w:r>
          </w:p>
        </w:tc>
        <w:tc>
          <w:tcPr>
            <w:tcW w:w="704" w:type="dxa"/>
            <w:tcBorders>
              <w:top w:val="nil"/>
              <w:left w:val="nil"/>
              <w:bottom w:val="nil"/>
              <w:right w:val="nil"/>
            </w:tcBorders>
            <w:shd w:val="clear" w:color="auto" w:fill="auto"/>
            <w:vAlign w:val="center"/>
            <w:hideMark/>
          </w:tcPr>
          <w:p w14:paraId="2E60409C" w14:textId="3A6211F6" w:rsidR="004071F1" w:rsidRPr="00D92E20" w:rsidRDefault="004071F1" w:rsidP="004071F1">
            <w:pPr>
              <w:spacing w:after="0" w:line="240" w:lineRule="auto"/>
              <w:jc w:val="right"/>
              <w:rPr>
                <w:rFonts w:cs="Arial"/>
                <w:color w:val="000000"/>
                <w:sz w:val="16"/>
                <w:szCs w:val="16"/>
              </w:rPr>
            </w:pPr>
            <w:r>
              <w:rPr>
                <w:rFonts w:cs="Arial"/>
                <w:sz w:val="16"/>
                <w:szCs w:val="16"/>
              </w:rPr>
              <w:t>300,7</w:t>
            </w:r>
          </w:p>
        </w:tc>
        <w:tc>
          <w:tcPr>
            <w:tcW w:w="704" w:type="dxa"/>
            <w:tcBorders>
              <w:top w:val="nil"/>
              <w:left w:val="nil"/>
              <w:bottom w:val="nil"/>
              <w:right w:val="nil"/>
            </w:tcBorders>
            <w:shd w:val="clear" w:color="auto" w:fill="auto"/>
            <w:vAlign w:val="center"/>
            <w:hideMark/>
          </w:tcPr>
          <w:p w14:paraId="3D9B67B4" w14:textId="4AD1CBCE" w:rsidR="004071F1" w:rsidRPr="00D92E20" w:rsidRDefault="004071F1" w:rsidP="004071F1">
            <w:pPr>
              <w:spacing w:after="0" w:line="240" w:lineRule="auto"/>
              <w:jc w:val="right"/>
              <w:rPr>
                <w:rFonts w:cs="Arial"/>
                <w:color w:val="000000"/>
                <w:sz w:val="16"/>
                <w:szCs w:val="16"/>
              </w:rPr>
            </w:pPr>
            <w:r>
              <w:rPr>
                <w:rFonts w:cs="Arial"/>
                <w:sz w:val="16"/>
                <w:szCs w:val="16"/>
              </w:rPr>
              <w:t>371,5</w:t>
            </w:r>
          </w:p>
        </w:tc>
        <w:tc>
          <w:tcPr>
            <w:tcW w:w="754" w:type="dxa"/>
            <w:tcBorders>
              <w:top w:val="nil"/>
              <w:left w:val="single" w:sz="4" w:space="0" w:color="auto"/>
              <w:bottom w:val="nil"/>
              <w:right w:val="nil"/>
            </w:tcBorders>
            <w:shd w:val="clear" w:color="auto" w:fill="auto"/>
            <w:vAlign w:val="center"/>
            <w:hideMark/>
          </w:tcPr>
          <w:p w14:paraId="0DE645BA" w14:textId="0C800A14" w:rsidR="004071F1" w:rsidRPr="00D92E20" w:rsidRDefault="004071F1" w:rsidP="004071F1">
            <w:pPr>
              <w:spacing w:after="0" w:line="240" w:lineRule="auto"/>
              <w:jc w:val="right"/>
              <w:rPr>
                <w:rFonts w:cs="Arial"/>
                <w:color w:val="000000"/>
                <w:sz w:val="16"/>
                <w:szCs w:val="16"/>
              </w:rPr>
            </w:pPr>
            <w:r>
              <w:rPr>
                <w:rFonts w:cs="Arial"/>
                <w:sz w:val="16"/>
                <w:szCs w:val="16"/>
              </w:rPr>
              <w:t>21,9</w:t>
            </w:r>
          </w:p>
        </w:tc>
        <w:tc>
          <w:tcPr>
            <w:tcW w:w="709" w:type="dxa"/>
            <w:tcBorders>
              <w:top w:val="nil"/>
              <w:left w:val="nil"/>
              <w:bottom w:val="nil"/>
              <w:right w:val="nil"/>
            </w:tcBorders>
            <w:shd w:val="clear" w:color="auto" w:fill="auto"/>
            <w:vAlign w:val="center"/>
            <w:hideMark/>
          </w:tcPr>
          <w:p w14:paraId="560DA22C" w14:textId="10B75FC5" w:rsidR="004071F1" w:rsidRPr="00D92E20" w:rsidRDefault="004071F1" w:rsidP="004071F1">
            <w:pPr>
              <w:spacing w:after="0" w:line="240" w:lineRule="auto"/>
              <w:jc w:val="right"/>
              <w:rPr>
                <w:rFonts w:cs="Arial"/>
                <w:color w:val="000000"/>
                <w:sz w:val="16"/>
                <w:szCs w:val="16"/>
              </w:rPr>
            </w:pPr>
            <w:r>
              <w:rPr>
                <w:rFonts w:cs="Arial"/>
                <w:sz w:val="16"/>
                <w:szCs w:val="16"/>
              </w:rPr>
              <w:t>15,3</w:t>
            </w:r>
          </w:p>
        </w:tc>
        <w:tc>
          <w:tcPr>
            <w:tcW w:w="709" w:type="dxa"/>
            <w:tcBorders>
              <w:top w:val="nil"/>
              <w:left w:val="nil"/>
              <w:bottom w:val="nil"/>
              <w:right w:val="single" w:sz="4" w:space="0" w:color="auto"/>
            </w:tcBorders>
            <w:shd w:val="clear" w:color="auto" w:fill="auto"/>
            <w:vAlign w:val="center"/>
            <w:hideMark/>
          </w:tcPr>
          <w:p w14:paraId="64135543" w14:textId="20EEF88C" w:rsidR="004071F1" w:rsidRPr="00D92E20" w:rsidRDefault="004071F1" w:rsidP="004071F1">
            <w:pPr>
              <w:spacing w:after="0" w:line="240" w:lineRule="auto"/>
              <w:jc w:val="right"/>
              <w:rPr>
                <w:rFonts w:cs="Arial"/>
                <w:color w:val="000000"/>
                <w:sz w:val="16"/>
                <w:szCs w:val="16"/>
              </w:rPr>
            </w:pPr>
            <w:r>
              <w:rPr>
                <w:rFonts w:cs="Arial"/>
                <w:sz w:val="16"/>
                <w:szCs w:val="16"/>
              </w:rPr>
              <w:t>6,6</w:t>
            </w:r>
          </w:p>
        </w:tc>
        <w:tc>
          <w:tcPr>
            <w:tcW w:w="709" w:type="dxa"/>
            <w:tcBorders>
              <w:top w:val="nil"/>
              <w:left w:val="nil"/>
              <w:bottom w:val="nil"/>
              <w:right w:val="nil"/>
            </w:tcBorders>
            <w:shd w:val="clear" w:color="auto" w:fill="auto"/>
            <w:vAlign w:val="center"/>
            <w:hideMark/>
          </w:tcPr>
          <w:p w14:paraId="54BADF07" w14:textId="4B327141" w:rsidR="004071F1" w:rsidRPr="00D92E20" w:rsidRDefault="004071F1" w:rsidP="004071F1">
            <w:pPr>
              <w:spacing w:after="0" w:line="240" w:lineRule="auto"/>
              <w:jc w:val="right"/>
              <w:rPr>
                <w:rFonts w:cs="Arial"/>
                <w:color w:val="000000"/>
                <w:sz w:val="16"/>
                <w:szCs w:val="16"/>
              </w:rPr>
            </w:pPr>
            <w:r>
              <w:rPr>
                <w:rFonts w:cs="Arial"/>
                <w:sz w:val="16"/>
                <w:szCs w:val="16"/>
              </w:rPr>
              <w:t>60,5</w:t>
            </w:r>
          </w:p>
        </w:tc>
        <w:tc>
          <w:tcPr>
            <w:tcW w:w="709" w:type="dxa"/>
            <w:tcBorders>
              <w:top w:val="nil"/>
              <w:left w:val="nil"/>
              <w:bottom w:val="nil"/>
              <w:right w:val="nil"/>
            </w:tcBorders>
            <w:shd w:val="clear" w:color="auto" w:fill="auto"/>
            <w:vAlign w:val="center"/>
            <w:hideMark/>
          </w:tcPr>
          <w:p w14:paraId="200AFAC5" w14:textId="62439924" w:rsidR="004071F1" w:rsidRPr="00D92E20" w:rsidRDefault="004071F1" w:rsidP="004071F1">
            <w:pPr>
              <w:spacing w:after="0" w:line="240" w:lineRule="auto"/>
              <w:jc w:val="right"/>
              <w:rPr>
                <w:rFonts w:cs="Arial"/>
                <w:color w:val="000000"/>
                <w:sz w:val="16"/>
                <w:szCs w:val="16"/>
              </w:rPr>
            </w:pPr>
            <w:r>
              <w:rPr>
                <w:rFonts w:cs="Arial"/>
                <w:sz w:val="16"/>
                <w:szCs w:val="16"/>
              </w:rPr>
              <w:t>38,8</w:t>
            </w:r>
          </w:p>
        </w:tc>
        <w:tc>
          <w:tcPr>
            <w:tcW w:w="709" w:type="dxa"/>
            <w:tcBorders>
              <w:top w:val="nil"/>
              <w:left w:val="nil"/>
              <w:bottom w:val="nil"/>
              <w:right w:val="nil"/>
            </w:tcBorders>
            <w:shd w:val="clear" w:color="auto" w:fill="auto"/>
            <w:vAlign w:val="center"/>
            <w:hideMark/>
          </w:tcPr>
          <w:p w14:paraId="60430845" w14:textId="5E4016B2" w:rsidR="004071F1" w:rsidRPr="00D92E20" w:rsidRDefault="004071F1" w:rsidP="004071F1">
            <w:pPr>
              <w:spacing w:after="0" w:line="240" w:lineRule="auto"/>
              <w:jc w:val="right"/>
              <w:rPr>
                <w:rFonts w:cs="Arial"/>
                <w:color w:val="000000"/>
                <w:sz w:val="16"/>
                <w:szCs w:val="16"/>
              </w:rPr>
            </w:pPr>
            <w:r>
              <w:rPr>
                <w:rFonts w:cs="Arial"/>
                <w:sz w:val="16"/>
                <w:szCs w:val="16"/>
              </w:rPr>
              <w:t>21,7</w:t>
            </w:r>
          </w:p>
        </w:tc>
      </w:tr>
      <w:tr w:rsidR="004071F1" w:rsidRPr="00D92E20" w14:paraId="20CC6FD1" w14:textId="77777777" w:rsidTr="00DF284E">
        <w:trPr>
          <w:trHeight w:val="300"/>
        </w:trPr>
        <w:tc>
          <w:tcPr>
            <w:tcW w:w="1020" w:type="dxa"/>
            <w:tcBorders>
              <w:top w:val="nil"/>
              <w:left w:val="nil"/>
              <w:bottom w:val="nil"/>
              <w:right w:val="nil"/>
            </w:tcBorders>
            <w:shd w:val="clear" w:color="auto" w:fill="auto"/>
            <w:vAlign w:val="center"/>
            <w:hideMark/>
          </w:tcPr>
          <w:p w14:paraId="6DA7098E" w14:textId="108D5EEF" w:rsidR="004071F1" w:rsidRPr="00D92E20" w:rsidRDefault="004071F1" w:rsidP="004071F1">
            <w:pPr>
              <w:spacing w:after="0" w:line="240" w:lineRule="auto"/>
              <w:jc w:val="center"/>
              <w:rPr>
                <w:rFonts w:cs="Arial"/>
                <w:color w:val="000000"/>
                <w:sz w:val="16"/>
                <w:szCs w:val="16"/>
              </w:rPr>
            </w:pPr>
            <w:r>
              <w:rPr>
                <w:rFonts w:cs="Arial"/>
                <w:sz w:val="16"/>
                <w:szCs w:val="16"/>
              </w:rPr>
              <w:t>1. pol. 2014</w:t>
            </w:r>
          </w:p>
        </w:tc>
        <w:tc>
          <w:tcPr>
            <w:tcW w:w="710" w:type="dxa"/>
            <w:tcBorders>
              <w:top w:val="nil"/>
              <w:left w:val="single" w:sz="4" w:space="0" w:color="auto"/>
              <w:bottom w:val="nil"/>
              <w:right w:val="nil"/>
            </w:tcBorders>
            <w:shd w:val="clear" w:color="auto" w:fill="auto"/>
            <w:vAlign w:val="center"/>
            <w:hideMark/>
          </w:tcPr>
          <w:p w14:paraId="3C267350" w14:textId="3263F33A" w:rsidR="004071F1" w:rsidRPr="00D92E20" w:rsidRDefault="004071F1" w:rsidP="004071F1">
            <w:pPr>
              <w:spacing w:after="0" w:line="240" w:lineRule="auto"/>
              <w:jc w:val="right"/>
              <w:rPr>
                <w:rFonts w:cs="Arial"/>
                <w:color w:val="000000"/>
                <w:sz w:val="16"/>
                <w:szCs w:val="16"/>
              </w:rPr>
            </w:pPr>
            <w:r>
              <w:rPr>
                <w:rFonts w:cs="Arial"/>
                <w:sz w:val="16"/>
                <w:szCs w:val="16"/>
              </w:rPr>
              <w:t>664,1</w:t>
            </w:r>
          </w:p>
        </w:tc>
        <w:tc>
          <w:tcPr>
            <w:tcW w:w="704" w:type="dxa"/>
            <w:tcBorders>
              <w:top w:val="nil"/>
              <w:left w:val="nil"/>
              <w:bottom w:val="nil"/>
              <w:right w:val="nil"/>
            </w:tcBorders>
            <w:shd w:val="clear" w:color="auto" w:fill="auto"/>
            <w:vAlign w:val="center"/>
            <w:hideMark/>
          </w:tcPr>
          <w:p w14:paraId="2A229F1A" w14:textId="4AF5799C" w:rsidR="004071F1" w:rsidRPr="00D92E20" w:rsidRDefault="004071F1" w:rsidP="004071F1">
            <w:pPr>
              <w:spacing w:after="0" w:line="240" w:lineRule="auto"/>
              <w:jc w:val="right"/>
              <w:rPr>
                <w:rFonts w:cs="Arial"/>
                <w:color w:val="000000"/>
                <w:sz w:val="16"/>
                <w:szCs w:val="16"/>
              </w:rPr>
            </w:pPr>
            <w:r>
              <w:rPr>
                <w:rFonts w:cs="Arial"/>
                <w:sz w:val="16"/>
                <w:szCs w:val="16"/>
              </w:rPr>
              <w:t>313,5</w:t>
            </w:r>
          </w:p>
        </w:tc>
        <w:tc>
          <w:tcPr>
            <w:tcW w:w="704" w:type="dxa"/>
            <w:tcBorders>
              <w:top w:val="nil"/>
              <w:left w:val="nil"/>
              <w:bottom w:val="nil"/>
              <w:right w:val="single" w:sz="4" w:space="0" w:color="auto"/>
            </w:tcBorders>
            <w:shd w:val="clear" w:color="auto" w:fill="auto"/>
            <w:vAlign w:val="center"/>
            <w:hideMark/>
          </w:tcPr>
          <w:p w14:paraId="0D3E7686" w14:textId="36F8E39A" w:rsidR="004071F1" w:rsidRPr="00D92E20" w:rsidRDefault="004071F1" w:rsidP="004071F1">
            <w:pPr>
              <w:spacing w:after="0" w:line="240" w:lineRule="auto"/>
              <w:jc w:val="right"/>
              <w:rPr>
                <w:rFonts w:cs="Arial"/>
                <w:color w:val="000000"/>
                <w:sz w:val="16"/>
                <w:szCs w:val="16"/>
              </w:rPr>
            </w:pPr>
            <w:r>
              <w:rPr>
                <w:rFonts w:cs="Arial"/>
                <w:sz w:val="16"/>
                <w:szCs w:val="16"/>
              </w:rPr>
              <w:t>350,6</w:t>
            </w:r>
          </w:p>
        </w:tc>
        <w:tc>
          <w:tcPr>
            <w:tcW w:w="707" w:type="dxa"/>
            <w:tcBorders>
              <w:top w:val="nil"/>
              <w:left w:val="nil"/>
              <w:bottom w:val="nil"/>
              <w:right w:val="nil"/>
            </w:tcBorders>
            <w:shd w:val="clear" w:color="auto" w:fill="auto"/>
            <w:vAlign w:val="center"/>
            <w:hideMark/>
          </w:tcPr>
          <w:p w14:paraId="3055B07F" w14:textId="138C7781" w:rsidR="004071F1" w:rsidRPr="00D92E20" w:rsidRDefault="004071F1" w:rsidP="004071F1">
            <w:pPr>
              <w:spacing w:after="0" w:line="240" w:lineRule="auto"/>
              <w:jc w:val="right"/>
              <w:rPr>
                <w:rFonts w:cs="Arial"/>
                <w:color w:val="000000"/>
                <w:sz w:val="16"/>
                <w:szCs w:val="16"/>
              </w:rPr>
            </w:pPr>
            <w:r>
              <w:rPr>
                <w:rFonts w:cs="Arial"/>
                <w:sz w:val="16"/>
                <w:szCs w:val="16"/>
              </w:rPr>
              <w:t>579,3</w:t>
            </w:r>
          </w:p>
        </w:tc>
        <w:tc>
          <w:tcPr>
            <w:tcW w:w="704" w:type="dxa"/>
            <w:tcBorders>
              <w:top w:val="nil"/>
              <w:left w:val="nil"/>
              <w:bottom w:val="nil"/>
              <w:right w:val="nil"/>
            </w:tcBorders>
            <w:shd w:val="clear" w:color="auto" w:fill="auto"/>
            <w:vAlign w:val="center"/>
            <w:hideMark/>
          </w:tcPr>
          <w:p w14:paraId="6260CC5B" w14:textId="0D3F3036" w:rsidR="004071F1" w:rsidRPr="00D92E20" w:rsidRDefault="004071F1" w:rsidP="004071F1">
            <w:pPr>
              <w:spacing w:after="0" w:line="240" w:lineRule="auto"/>
              <w:jc w:val="right"/>
              <w:rPr>
                <w:rFonts w:cs="Arial"/>
                <w:color w:val="000000"/>
                <w:sz w:val="16"/>
                <w:szCs w:val="16"/>
              </w:rPr>
            </w:pPr>
            <w:r>
              <w:rPr>
                <w:rFonts w:cs="Arial"/>
                <w:sz w:val="16"/>
                <w:szCs w:val="16"/>
              </w:rPr>
              <w:t>256,8</w:t>
            </w:r>
          </w:p>
        </w:tc>
        <w:tc>
          <w:tcPr>
            <w:tcW w:w="704" w:type="dxa"/>
            <w:tcBorders>
              <w:top w:val="nil"/>
              <w:left w:val="nil"/>
              <w:bottom w:val="nil"/>
              <w:right w:val="nil"/>
            </w:tcBorders>
            <w:shd w:val="clear" w:color="auto" w:fill="auto"/>
            <w:vAlign w:val="center"/>
            <w:hideMark/>
          </w:tcPr>
          <w:p w14:paraId="368C9F31" w14:textId="6659878B" w:rsidR="004071F1" w:rsidRPr="00D92E20" w:rsidRDefault="004071F1" w:rsidP="004071F1">
            <w:pPr>
              <w:spacing w:after="0" w:line="240" w:lineRule="auto"/>
              <w:jc w:val="right"/>
              <w:rPr>
                <w:rFonts w:cs="Arial"/>
                <w:color w:val="000000"/>
                <w:sz w:val="16"/>
                <w:szCs w:val="16"/>
              </w:rPr>
            </w:pPr>
            <w:r>
              <w:rPr>
                <w:rFonts w:cs="Arial"/>
                <w:sz w:val="16"/>
                <w:szCs w:val="16"/>
              </w:rPr>
              <w:t>322,4</w:t>
            </w:r>
          </w:p>
        </w:tc>
        <w:tc>
          <w:tcPr>
            <w:tcW w:w="754" w:type="dxa"/>
            <w:tcBorders>
              <w:top w:val="nil"/>
              <w:left w:val="single" w:sz="4" w:space="0" w:color="auto"/>
              <w:bottom w:val="nil"/>
              <w:right w:val="nil"/>
            </w:tcBorders>
            <w:shd w:val="clear" w:color="auto" w:fill="auto"/>
            <w:vAlign w:val="center"/>
            <w:hideMark/>
          </w:tcPr>
          <w:p w14:paraId="4BC3F65D" w14:textId="25115F0D" w:rsidR="004071F1" w:rsidRPr="00D92E20" w:rsidRDefault="004071F1" w:rsidP="004071F1">
            <w:pPr>
              <w:spacing w:after="0" w:line="240" w:lineRule="auto"/>
              <w:jc w:val="right"/>
              <w:rPr>
                <w:rFonts w:cs="Arial"/>
                <w:color w:val="000000"/>
                <w:sz w:val="16"/>
                <w:szCs w:val="16"/>
              </w:rPr>
            </w:pPr>
            <w:r>
              <w:rPr>
                <w:rFonts w:cs="Arial"/>
                <w:sz w:val="16"/>
                <w:szCs w:val="16"/>
              </w:rPr>
              <w:t>22,2</w:t>
            </w:r>
          </w:p>
        </w:tc>
        <w:tc>
          <w:tcPr>
            <w:tcW w:w="709" w:type="dxa"/>
            <w:tcBorders>
              <w:top w:val="nil"/>
              <w:left w:val="nil"/>
              <w:bottom w:val="nil"/>
              <w:right w:val="nil"/>
            </w:tcBorders>
            <w:shd w:val="clear" w:color="auto" w:fill="auto"/>
            <w:vAlign w:val="center"/>
            <w:hideMark/>
          </w:tcPr>
          <w:p w14:paraId="37CF2647" w14:textId="705D5B4F" w:rsidR="004071F1" w:rsidRPr="00D92E20" w:rsidRDefault="004071F1" w:rsidP="004071F1">
            <w:pPr>
              <w:spacing w:after="0" w:line="240" w:lineRule="auto"/>
              <w:jc w:val="right"/>
              <w:rPr>
                <w:rFonts w:cs="Arial"/>
                <w:color w:val="000000"/>
                <w:sz w:val="16"/>
                <w:szCs w:val="16"/>
              </w:rPr>
            </w:pPr>
            <w:r>
              <w:rPr>
                <w:rFonts w:cs="Arial"/>
                <w:sz w:val="16"/>
                <w:szCs w:val="16"/>
              </w:rPr>
              <w:t>15,6</w:t>
            </w:r>
          </w:p>
        </w:tc>
        <w:tc>
          <w:tcPr>
            <w:tcW w:w="709" w:type="dxa"/>
            <w:tcBorders>
              <w:top w:val="nil"/>
              <w:left w:val="nil"/>
              <w:bottom w:val="nil"/>
              <w:right w:val="single" w:sz="4" w:space="0" w:color="auto"/>
            </w:tcBorders>
            <w:shd w:val="clear" w:color="auto" w:fill="auto"/>
            <w:vAlign w:val="center"/>
            <w:hideMark/>
          </w:tcPr>
          <w:p w14:paraId="20FC3920" w14:textId="2D01A5D7" w:rsidR="004071F1" w:rsidRPr="00D92E20" w:rsidRDefault="004071F1" w:rsidP="004071F1">
            <w:pPr>
              <w:spacing w:after="0" w:line="240" w:lineRule="auto"/>
              <w:jc w:val="right"/>
              <w:rPr>
                <w:rFonts w:cs="Arial"/>
                <w:color w:val="000000"/>
                <w:sz w:val="16"/>
                <w:szCs w:val="16"/>
              </w:rPr>
            </w:pPr>
            <w:r>
              <w:rPr>
                <w:rFonts w:cs="Arial"/>
                <w:sz w:val="16"/>
                <w:szCs w:val="16"/>
              </w:rPr>
              <w:t>6,6</w:t>
            </w:r>
          </w:p>
        </w:tc>
        <w:tc>
          <w:tcPr>
            <w:tcW w:w="709" w:type="dxa"/>
            <w:tcBorders>
              <w:top w:val="nil"/>
              <w:left w:val="nil"/>
              <w:bottom w:val="nil"/>
              <w:right w:val="nil"/>
            </w:tcBorders>
            <w:shd w:val="clear" w:color="auto" w:fill="auto"/>
            <w:vAlign w:val="center"/>
            <w:hideMark/>
          </w:tcPr>
          <w:p w14:paraId="07285778" w14:textId="502112E4" w:rsidR="004071F1" w:rsidRPr="00D92E20" w:rsidRDefault="004071F1" w:rsidP="004071F1">
            <w:pPr>
              <w:spacing w:after="0" w:line="240" w:lineRule="auto"/>
              <w:jc w:val="right"/>
              <w:rPr>
                <w:rFonts w:cs="Arial"/>
                <w:color w:val="000000"/>
                <w:sz w:val="16"/>
                <w:szCs w:val="16"/>
              </w:rPr>
            </w:pPr>
            <w:r>
              <w:rPr>
                <w:rFonts w:cs="Arial"/>
                <w:sz w:val="16"/>
                <w:szCs w:val="16"/>
              </w:rPr>
              <w:t>62,6</w:t>
            </w:r>
          </w:p>
        </w:tc>
        <w:tc>
          <w:tcPr>
            <w:tcW w:w="709" w:type="dxa"/>
            <w:tcBorders>
              <w:top w:val="nil"/>
              <w:left w:val="nil"/>
              <w:bottom w:val="nil"/>
              <w:right w:val="nil"/>
            </w:tcBorders>
            <w:shd w:val="clear" w:color="auto" w:fill="auto"/>
            <w:vAlign w:val="center"/>
            <w:hideMark/>
          </w:tcPr>
          <w:p w14:paraId="31B05E14" w14:textId="39E2D2F9" w:rsidR="004071F1" w:rsidRPr="00D92E20" w:rsidRDefault="004071F1" w:rsidP="004071F1">
            <w:pPr>
              <w:spacing w:after="0" w:line="240" w:lineRule="auto"/>
              <w:jc w:val="right"/>
              <w:rPr>
                <w:rFonts w:cs="Arial"/>
                <w:color w:val="000000"/>
                <w:sz w:val="16"/>
                <w:szCs w:val="16"/>
              </w:rPr>
            </w:pPr>
            <w:r>
              <w:rPr>
                <w:rFonts w:cs="Arial"/>
                <w:sz w:val="16"/>
                <w:szCs w:val="16"/>
              </w:rPr>
              <w:t>41,1</w:t>
            </w:r>
          </w:p>
        </w:tc>
        <w:tc>
          <w:tcPr>
            <w:tcW w:w="709" w:type="dxa"/>
            <w:tcBorders>
              <w:top w:val="nil"/>
              <w:left w:val="nil"/>
              <w:bottom w:val="nil"/>
              <w:right w:val="nil"/>
            </w:tcBorders>
            <w:shd w:val="clear" w:color="auto" w:fill="auto"/>
            <w:vAlign w:val="center"/>
            <w:hideMark/>
          </w:tcPr>
          <w:p w14:paraId="5615E3AE" w14:textId="02EB0D97" w:rsidR="004071F1" w:rsidRPr="00D92E20" w:rsidRDefault="004071F1" w:rsidP="004071F1">
            <w:pPr>
              <w:spacing w:after="0" w:line="240" w:lineRule="auto"/>
              <w:jc w:val="right"/>
              <w:rPr>
                <w:rFonts w:cs="Arial"/>
                <w:color w:val="000000"/>
                <w:sz w:val="16"/>
                <w:szCs w:val="16"/>
              </w:rPr>
            </w:pPr>
            <w:r>
              <w:rPr>
                <w:rFonts w:cs="Arial"/>
                <w:sz w:val="16"/>
                <w:szCs w:val="16"/>
              </w:rPr>
              <w:t>21,6</w:t>
            </w:r>
          </w:p>
        </w:tc>
      </w:tr>
      <w:tr w:rsidR="004071F1" w:rsidRPr="00D92E20" w14:paraId="7AC694F2" w14:textId="77777777" w:rsidTr="00DF284E">
        <w:trPr>
          <w:trHeight w:val="300"/>
        </w:trPr>
        <w:tc>
          <w:tcPr>
            <w:tcW w:w="1020" w:type="dxa"/>
            <w:tcBorders>
              <w:top w:val="nil"/>
              <w:left w:val="nil"/>
              <w:bottom w:val="nil"/>
              <w:right w:val="nil"/>
            </w:tcBorders>
            <w:shd w:val="clear" w:color="auto" w:fill="auto"/>
            <w:vAlign w:val="center"/>
            <w:hideMark/>
          </w:tcPr>
          <w:p w14:paraId="5DEA6417" w14:textId="3AB5B141" w:rsidR="004071F1" w:rsidRPr="00D92E20" w:rsidRDefault="004071F1" w:rsidP="004071F1">
            <w:pPr>
              <w:spacing w:after="0" w:line="240" w:lineRule="auto"/>
              <w:jc w:val="center"/>
              <w:rPr>
                <w:rFonts w:cs="Arial"/>
                <w:color w:val="000000"/>
                <w:sz w:val="16"/>
                <w:szCs w:val="16"/>
              </w:rPr>
            </w:pPr>
            <w:r>
              <w:rPr>
                <w:rFonts w:cs="Arial"/>
                <w:sz w:val="16"/>
                <w:szCs w:val="16"/>
              </w:rPr>
              <w:t>1. pol. 2015</w:t>
            </w:r>
          </w:p>
        </w:tc>
        <w:tc>
          <w:tcPr>
            <w:tcW w:w="710" w:type="dxa"/>
            <w:tcBorders>
              <w:top w:val="nil"/>
              <w:left w:val="single" w:sz="4" w:space="0" w:color="auto"/>
              <w:bottom w:val="nil"/>
              <w:right w:val="nil"/>
            </w:tcBorders>
            <w:shd w:val="clear" w:color="auto" w:fill="auto"/>
            <w:vAlign w:val="center"/>
            <w:hideMark/>
          </w:tcPr>
          <w:p w14:paraId="040EA4EB" w14:textId="1606DF5A" w:rsidR="004071F1" w:rsidRPr="00D92E20" w:rsidRDefault="004071F1" w:rsidP="004071F1">
            <w:pPr>
              <w:spacing w:after="0" w:line="240" w:lineRule="auto"/>
              <w:jc w:val="right"/>
              <w:rPr>
                <w:rFonts w:cs="Arial"/>
                <w:color w:val="000000"/>
                <w:sz w:val="16"/>
                <w:szCs w:val="16"/>
              </w:rPr>
            </w:pPr>
            <w:r>
              <w:rPr>
                <w:rFonts w:cs="Arial"/>
                <w:sz w:val="16"/>
                <w:szCs w:val="16"/>
              </w:rPr>
              <w:t>873,9</w:t>
            </w:r>
          </w:p>
        </w:tc>
        <w:tc>
          <w:tcPr>
            <w:tcW w:w="704" w:type="dxa"/>
            <w:tcBorders>
              <w:top w:val="nil"/>
              <w:left w:val="nil"/>
              <w:bottom w:val="nil"/>
              <w:right w:val="nil"/>
            </w:tcBorders>
            <w:shd w:val="clear" w:color="auto" w:fill="auto"/>
            <w:vAlign w:val="center"/>
            <w:hideMark/>
          </w:tcPr>
          <w:p w14:paraId="40D987B0" w14:textId="18D84CF7" w:rsidR="004071F1" w:rsidRPr="00D92E20" w:rsidRDefault="004071F1" w:rsidP="004071F1">
            <w:pPr>
              <w:spacing w:after="0" w:line="240" w:lineRule="auto"/>
              <w:jc w:val="right"/>
              <w:rPr>
                <w:rFonts w:cs="Arial"/>
                <w:color w:val="000000"/>
                <w:sz w:val="16"/>
                <w:szCs w:val="16"/>
              </w:rPr>
            </w:pPr>
            <w:r>
              <w:rPr>
                <w:rFonts w:cs="Arial"/>
                <w:sz w:val="16"/>
                <w:szCs w:val="16"/>
              </w:rPr>
              <w:t>412,5</w:t>
            </w:r>
          </w:p>
        </w:tc>
        <w:tc>
          <w:tcPr>
            <w:tcW w:w="704" w:type="dxa"/>
            <w:tcBorders>
              <w:top w:val="nil"/>
              <w:left w:val="nil"/>
              <w:bottom w:val="nil"/>
              <w:right w:val="single" w:sz="4" w:space="0" w:color="auto"/>
            </w:tcBorders>
            <w:shd w:val="clear" w:color="auto" w:fill="auto"/>
            <w:vAlign w:val="center"/>
            <w:hideMark/>
          </w:tcPr>
          <w:p w14:paraId="74374D3E" w14:textId="4532136C" w:rsidR="004071F1" w:rsidRPr="00D92E20" w:rsidRDefault="004071F1" w:rsidP="004071F1">
            <w:pPr>
              <w:spacing w:after="0" w:line="240" w:lineRule="auto"/>
              <w:jc w:val="right"/>
              <w:rPr>
                <w:rFonts w:cs="Arial"/>
                <w:color w:val="000000"/>
                <w:sz w:val="16"/>
                <w:szCs w:val="16"/>
              </w:rPr>
            </w:pPr>
            <w:r>
              <w:rPr>
                <w:rFonts w:cs="Arial"/>
                <w:sz w:val="16"/>
                <w:szCs w:val="16"/>
              </w:rPr>
              <w:t>461,4</w:t>
            </w:r>
          </w:p>
        </w:tc>
        <w:tc>
          <w:tcPr>
            <w:tcW w:w="707" w:type="dxa"/>
            <w:tcBorders>
              <w:top w:val="nil"/>
              <w:left w:val="nil"/>
              <w:bottom w:val="nil"/>
              <w:right w:val="nil"/>
            </w:tcBorders>
            <w:shd w:val="clear" w:color="auto" w:fill="auto"/>
            <w:vAlign w:val="center"/>
            <w:hideMark/>
          </w:tcPr>
          <w:p w14:paraId="089B295B" w14:textId="3EFEC6EB" w:rsidR="004071F1" w:rsidRPr="00D92E20" w:rsidRDefault="004071F1" w:rsidP="004071F1">
            <w:pPr>
              <w:spacing w:after="0" w:line="240" w:lineRule="auto"/>
              <w:jc w:val="right"/>
              <w:rPr>
                <w:rFonts w:cs="Arial"/>
                <w:color w:val="000000"/>
                <w:sz w:val="16"/>
                <w:szCs w:val="16"/>
              </w:rPr>
            </w:pPr>
            <w:r>
              <w:rPr>
                <w:rFonts w:cs="Arial"/>
                <w:sz w:val="16"/>
                <w:szCs w:val="16"/>
              </w:rPr>
              <w:t>783,8</w:t>
            </w:r>
          </w:p>
        </w:tc>
        <w:tc>
          <w:tcPr>
            <w:tcW w:w="704" w:type="dxa"/>
            <w:tcBorders>
              <w:top w:val="nil"/>
              <w:left w:val="nil"/>
              <w:bottom w:val="nil"/>
              <w:right w:val="nil"/>
            </w:tcBorders>
            <w:shd w:val="clear" w:color="auto" w:fill="auto"/>
            <w:vAlign w:val="center"/>
            <w:hideMark/>
          </w:tcPr>
          <w:p w14:paraId="438E35D7" w14:textId="645462CA" w:rsidR="004071F1" w:rsidRPr="00D92E20" w:rsidRDefault="004071F1" w:rsidP="004071F1">
            <w:pPr>
              <w:spacing w:after="0" w:line="240" w:lineRule="auto"/>
              <w:jc w:val="right"/>
              <w:rPr>
                <w:rFonts w:cs="Arial"/>
                <w:color w:val="000000"/>
                <w:sz w:val="16"/>
                <w:szCs w:val="16"/>
              </w:rPr>
            </w:pPr>
            <w:r>
              <w:rPr>
                <w:rFonts w:cs="Arial"/>
                <w:sz w:val="16"/>
                <w:szCs w:val="16"/>
              </w:rPr>
              <w:t>353,4</w:t>
            </w:r>
          </w:p>
        </w:tc>
        <w:tc>
          <w:tcPr>
            <w:tcW w:w="704" w:type="dxa"/>
            <w:tcBorders>
              <w:top w:val="nil"/>
              <w:left w:val="nil"/>
              <w:bottom w:val="nil"/>
              <w:right w:val="nil"/>
            </w:tcBorders>
            <w:shd w:val="clear" w:color="auto" w:fill="auto"/>
            <w:vAlign w:val="center"/>
            <w:hideMark/>
          </w:tcPr>
          <w:p w14:paraId="41B45245" w14:textId="14DCE460" w:rsidR="004071F1" w:rsidRPr="00D92E20" w:rsidRDefault="004071F1" w:rsidP="004071F1">
            <w:pPr>
              <w:spacing w:after="0" w:line="240" w:lineRule="auto"/>
              <w:jc w:val="right"/>
              <w:rPr>
                <w:rFonts w:cs="Arial"/>
                <w:color w:val="000000"/>
                <w:sz w:val="16"/>
                <w:szCs w:val="16"/>
              </w:rPr>
            </w:pPr>
            <w:r>
              <w:rPr>
                <w:rFonts w:cs="Arial"/>
                <w:sz w:val="16"/>
                <w:szCs w:val="16"/>
              </w:rPr>
              <w:t>430,4</w:t>
            </w:r>
          </w:p>
        </w:tc>
        <w:tc>
          <w:tcPr>
            <w:tcW w:w="754" w:type="dxa"/>
            <w:tcBorders>
              <w:top w:val="nil"/>
              <w:left w:val="single" w:sz="4" w:space="0" w:color="auto"/>
              <w:bottom w:val="nil"/>
              <w:right w:val="nil"/>
            </w:tcBorders>
            <w:shd w:val="clear" w:color="auto" w:fill="auto"/>
            <w:vAlign w:val="center"/>
            <w:hideMark/>
          </w:tcPr>
          <w:p w14:paraId="3DC500C0" w14:textId="0E736848" w:rsidR="004071F1" w:rsidRPr="00D92E20" w:rsidRDefault="004071F1" w:rsidP="004071F1">
            <w:pPr>
              <w:spacing w:after="0" w:line="240" w:lineRule="auto"/>
              <w:jc w:val="right"/>
              <w:rPr>
                <w:rFonts w:cs="Arial"/>
                <w:color w:val="000000"/>
                <w:sz w:val="16"/>
                <w:szCs w:val="16"/>
              </w:rPr>
            </w:pPr>
            <w:r>
              <w:rPr>
                <w:rFonts w:cs="Arial"/>
                <w:sz w:val="16"/>
                <w:szCs w:val="16"/>
              </w:rPr>
              <w:t>23,5</w:t>
            </w:r>
          </w:p>
        </w:tc>
        <w:tc>
          <w:tcPr>
            <w:tcW w:w="709" w:type="dxa"/>
            <w:tcBorders>
              <w:top w:val="nil"/>
              <w:left w:val="nil"/>
              <w:bottom w:val="nil"/>
              <w:right w:val="nil"/>
            </w:tcBorders>
            <w:shd w:val="clear" w:color="auto" w:fill="auto"/>
            <w:vAlign w:val="center"/>
            <w:hideMark/>
          </w:tcPr>
          <w:p w14:paraId="49BA9DDE" w14:textId="11D43E38" w:rsidR="004071F1" w:rsidRPr="00D92E20" w:rsidRDefault="004071F1" w:rsidP="004071F1">
            <w:pPr>
              <w:spacing w:after="0" w:line="240" w:lineRule="auto"/>
              <w:jc w:val="right"/>
              <w:rPr>
                <w:rFonts w:cs="Arial"/>
                <w:color w:val="000000"/>
                <w:sz w:val="16"/>
                <w:szCs w:val="16"/>
              </w:rPr>
            </w:pPr>
            <w:r>
              <w:rPr>
                <w:rFonts w:cs="Arial"/>
                <w:sz w:val="16"/>
                <w:szCs w:val="16"/>
              </w:rPr>
              <w:t>16,1</w:t>
            </w:r>
          </w:p>
        </w:tc>
        <w:tc>
          <w:tcPr>
            <w:tcW w:w="709" w:type="dxa"/>
            <w:tcBorders>
              <w:top w:val="nil"/>
              <w:left w:val="nil"/>
              <w:bottom w:val="nil"/>
              <w:right w:val="single" w:sz="4" w:space="0" w:color="auto"/>
            </w:tcBorders>
            <w:shd w:val="clear" w:color="auto" w:fill="auto"/>
            <w:vAlign w:val="center"/>
            <w:hideMark/>
          </w:tcPr>
          <w:p w14:paraId="17471881" w14:textId="07B2C711" w:rsidR="004071F1" w:rsidRPr="00D92E20" w:rsidRDefault="004071F1" w:rsidP="004071F1">
            <w:pPr>
              <w:spacing w:after="0" w:line="240" w:lineRule="auto"/>
              <w:jc w:val="right"/>
              <w:rPr>
                <w:rFonts w:cs="Arial"/>
                <w:color w:val="000000"/>
                <w:sz w:val="16"/>
                <w:szCs w:val="16"/>
              </w:rPr>
            </w:pPr>
            <w:r>
              <w:rPr>
                <w:rFonts w:cs="Arial"/>
                <w:sz w:val="16"/>
                <w:szCs w:val="16"/>
              </w:rPr>
              <w:t>7,3</w:t>
            </w:r>
          </w:p>
        </w:tc>
        <w:tc>
          <w:tcPr>
            <w:tcW w:w="709" w:type="dxa"/>
            <w:tcBorders>
              <w:top w:val="nil"/>
              <w:left w:val="nil"/>
              <w:bottom w:val="nil"/>
              <w:right w:val="nil"/>
            </w:tcBorders>
            <w:shd w:val="clear" w:color="auto" w:fill="auto"/>
            <w:vAlign w:val="center"/>
            <w:hideMark/>
          </w:tcPr>
          <w:p w14:paraId="1D83D1F3" w14:textId="34EE335B" w:rsidR="004071F1" w:rsidRPr="00D92E20" w:rsidRDefault="004071F1" w:rsidP="004071F1">
            <w:pPr>
              <w:spacing w:after="0" w:line="240" w:lineRule="auto"/>
              <w:jc w:val="right"/>
              <w:rPr>
                <w:rFonts w:cs="Arial"/>
                <w:color w:val="000000"/>
                <w:sz w:val="16"/>
                <w:szCs w:val="16"/>
              </w:rPr>
            </w:pPr>
            <w:r>
              <w:rPr>
                <w:rFonts w:cs="Arial"/>
                <w:sz w:val="16"/>
                <w:szCs w:val="16"/>
              </w:rPr>
              <w:t>66,6</w:t>
            </w:r>
          </w:p>
        </w:tc>
        <w:tc>
          <w:tcPr>
            <w:tcW w:w="709" w:type="dxa"/>
            <w:tcBorders>
              <w:top w:val="nil"/>
              <w:left w:val="nil"/>
              <w:bottom w:val="nil"/>
              <w:right w:val="nil"/>
            </w:tcBorders>
            <w:shd w:val="clear" w:color="auto" w:fill="auto"/>
            <w:vAlign w:val="center"/>
            <w:hideMark/>
          </w:tcPr>
          <w:p w14:paraId="651A1CE2" w14:textId="5AF753CF" w:rsidR="004071F1" w:rsidRPr="00D92E20" w:rsidRDefault="004071F1" w:rsidP="004071F1">
            <w:pPr>
              <w:spacing w:after="0" w:line="240" w:lineRule="auto"/>
              <w:jc w:val="right"/>
              <w:rPr>
                <w:rFonts w:cs="Arial"/>
                <w:color w:val="000000"/>
                <w:sz w:val="16"/>
                <w:szCs w:val="16"/>
              </w:rPr>
            </w:pPr>
            <w:r>
              <w:rPr>
                <w:rFonts w:cs="Arial"/>
                <w:sz w:val="16"/>
                <w:szCs w:val="16"/>
              </w:rPr>
              <w:t>42,9</w:t>
            </w:r>
          </w:p>
        </w:tc>
        <w:tc>
          <w:tcPr>
            <w:tcW w:w="709" w:type="dxa"/>
            <w:tcBorders>
              <w:top w:val="nil"/>
              <w:left w:val="nil"/>
              <w:bottom w:val="nil"/>
              <w:right w:val="nil"/>
            </w:tcBorders>
            <w:shd w:val="clear" w:color="auto" w:fill="auto"/>
            <w:vAlign w:val="center"/>
            <w:hideMark/>
          </w:tcPr>
          <w:p w14:paraId="35D3007D" w14:textId="7272128E" w:rsidR="004071F1" w:rsidRPr="00D92E20" w:rsidRDefault="004071F1" w:rsidP="004071F1">
            <w:pPr>
              <w:spacing w:after="0" w:line="240" w:lineRule="auto"/>
              <w:jc w:val="right"/>
              <w:rPr>
                <w:rFonts w:cs="Arial"/>
                <w:color w:val="000000"/>
                <w:sz w:val="16"/>
                <w:szCs w:val="16"/>
              </w:rPr>
            </w:pPr>
            <w:r>
              <w:rPr>
                <w:rFonts w:cs="Arial"/>
                <w:sz w:val="16"/>
                <w:szCs w:val="16"/>
              </w:rPr>
              <w:t>23,7</w:t>
            </w:r>
          </w:p>
        </w:tc>
      </w:tr>
      <w:tr w:rsidR="004071F1" w:rsidRPr="00D92E20" w14:paraId="4F86AD5B" w14:textId="77777777" w:rsidTr="00DF284E">
        <w:trPr>
          <w:trHeight w:val="300"/>
        </w:trPr>
        <w:tc>
          <w:tcPr>
            <w:tcW w:w="1020" w:type="dxa"/>
            <w:tcBorders>
              <w:top w:val="nil"/>
              <w:left w:val="nil"/>
              <w:bottom w:val="nil"/>
              <w:right w:val="nil"/>
            </w:tcBorders>
            <w:shd w:val="clear" w:color="auto" w:fill="auto"/>
            <w:vAlign w:val="center"/>
            <w:hideMark/>
          </w:tcPr>
          <w:p w14:paraId="2F4D0A71" w14:textId="0CFA9008" w:rsidR="004071F1" w:rsidRPr="00D92E20" w:rsidRDefault="004071F1" w:rsidP="004071F1">
            <w:pPr>
              <w:spacing w:after="0" w:line="240" w:lineRule="auto"/>
              <w:jc w:val="center"/>
              <w:rPr>
                <w:rFonts w:cs="Arial"/>
                <w:color w:val="000000"/>
                <w:sz w:val="16"/>
                <w:szCs w:val="16"/>
              </w:rPr>
            </w:pPr>
            <w:r>
              <w:rPr>
                <w:rFonts w:cs="Arial"/>
                <w:sz w:val="16"/>
                <w:szCs w:val="16"/>
              </w:rPr>
              <w:t>1. pol. 2016</w:t>
            </w:r>
          </w:p>
        </w:tc>
        <w:tc>
          <w:tcPr>
            <w:tcW w:w="710" w:type="dxa"/>
            <w:tcBorders>
              <w:top w:val="nil"/>
              <w:left w:val="single" w:sz="4" w:space="0" w:color="auto"/>
              <w:bottom w:val="nil"/>
              <w:right w:val="nil"/>
            </w:tcBorders>
            <w:shd w:val="clear" w:color="auto" w:fill="auto"/>
            <w:vAlign w:val="center"/>
            <w:hideMark/>
          </w:tcPr>
          <w:p w14:paraId="399654B6" w14:textId="1CA4BBC9" w:rsidR="004071F1" w:rsidRPr="00D92E20" w:rsidRDefault="004071F1" w:rsidP="004071F1">
            <w:pPr>
              <w:spacing w:after="0" w:line="240" w:lineRule="auto"/>
              <w:jc w:val="right"/>
              <w:rPr>
                <w:rFonts w:cs="Arial"/>
                <w:color w:val="000000"/>
                <w:sz w:val="16"/>
                <w:szCs w:val="16"/>
              </w:rPr>
            </w:pPr>
            <w:r>
              <w:rPr>
                <w:rFonts w:cs="Arial"/>
                <w:sz w:val="16"/>
                <w:szCs w:val="16"/>
              </w:rPr>
              <w:t>876,5</w:t>
            </w:r>
          </w:p>
        </w:tc>
        <w:tc>
          <w:tcPr>
            <w:tcW w:w="704" w:type="dxa"/>
            <w:tcBorders>
              <w:top w:val="nil"/>
              <w:left w:val="nil"/>
              <w:bottom w:val="nil"/>
              <w:right w:val="nil"/>
            </w:tcBorders>
            <w:shd w:val="clear" w:color="auto" w:fill="auto"/>
            <w:vAlign w:val="center"/>
            <w:hideMark/>
          </w:tcPr>
          <w:p w14:paraId="573CA4C8" w14:textId="75C150FC" w:rsidR="004071F1" w:rsidRPr="00D92E20" w:rsidRDefault="004071F1" w:rsidP="004071F1">
            <w:pPr>
              <w:spacing w:after="0" w:line="240" w:lineRule="auto"/>
              <w:jc w:val="right"/>
              <w:rPr>
                <w:rFonts w:cs="Arial"/>
                <w:color w:val="000000"/>
                <w:sz w:val="16"/>
                <w:szCs w:val="16"/>
              </w:rPr>
            </w:pPr>
            <w:r>
              <w:rPr>
                <w:rFonts w:cs="Arial"/>
                <w:sz w:val="16"/>
                <w:szCs w:val="16"/>
              </w:rPr>
              <w:t>414,3</w:t>
            </w:r>
          </w:p>
        </w:tc>
        <w:tc>
          <w:tcPr>
            <w:tcW w:w="704" w:type="dxa"/>
            <w:tcBorders>
              <w:top w:val="nil"/>
              <w:left w:val="nil"/>
              <w:bottom w:val="nil"/>
              <w:right w:val="single" w:sz="4" w:space="0" w:color="auto"/>
            </w:tcBorders>
            <w:shd w:val="clear" w:color="auto" w:fill="auto"/>
            <w:vAlign w:val="center"/>
            <w:hideMark/>
          </w:tcPr>
          <w:p w14:paraId="4C8A5E41" w14:textId="634A3426" w:rsidR="004071F1" w:rsidRPr="00D92E20" w:rsidRDefault="004071F1" w:rsidP="004071F1">
            <w:pPr>
              <w:spacing w:after="0" w:line="240" w:lineRule="auto"/>
              <w:jc w:val="right"/>
              <w:rPr>
                <w:rFonts w:cs="Arial"/>
                <w:color w:val="000000"/>
                <w:sz w:val="16"/>
                <w:szCs w:val="16"/>
              </w:rPr>
            </w:pPr>
            <w:r>
              <w:rPr>
                <w:rFonts w:cs="Arial"/>
                <w:sz w:val="16"/>
                <w:szCs w:val="16"/>
              </w:rPr>
              <w:t>462,1</w:t>
            </w:r>
          </w:p>
        </w:tc>
        <w:tc>
          <w:tcPr>
            <w:tcW w:w="707" w:type="dxa"/>
            <w:tcBorders>
              <w:top w:val="nil"/>
              <w:left w:val="nil"/>
              <w:bottom w:val="nil"/>
              <w:right w:val="nil"/>
            </w:tcBorders>
            <w:shd w:val="clear" w:color="auto" w:fill="auto"/>
            <w:vAlign w:val="center"/>
            <w:hideMark/>
          </w:tcPr>
          <w:p w14:paraId="734EB608" w14:textId="3E7AD876" w:rsidR="004071F1" w:rsidRPr="00D92E20" w:rsidRDefault="004071F1" w:rsidP="004071F1">
            <w:pPr>
              <w:spacing w:after="0" w:line="240" w:lineRule="auto"/>
              <w:jc w:val="right"/>
              <w:rPr>
                <w:rFonts w:cs="Arial"/>
                <w:color w:val="000000"/>
                <w:sz w:val="16"/>
                <w:szCs w:val="16"/>
              </w:rPr>
            </w:pPr>
            <w:r>
              <w:rPr>
                <w:rFonts w:cs="Arial"/>
                <w:sz w:val="16"/>
                <w:szCs w:val="16"/>
              </w:rPr>
              <w:t>777,1</w:t>
            </w:r>
          </w:p>
        </w:tc>
        <w:tc>
          <w:tcPr>
            <w:tcW w:w="704" w:type="dxa"/>
            <w:tcBorders>
              <w:top w:val="nil"/>
              <w:left w:val="nil"/>
              <w:bottom w:val="nil"/>
              <w:right w:val="nil"/>
            </w:tcBorders>
            <w:shd w:val="clear" w:color="auto" w:fill="auto"/>
            <w:vAlign w:val="center"/>
            <w:hideMark/>
          </w:tcPr>
          <w:p w14:paraId="2DAA499E" w14:textId="6712BDA3" w:rsidR="004071F1" w:rsidRPr="00D92E20" w:rsidRDefault="004071F1" w:rsidP="004071F1">
            <w:pPr>
              <w:spacing w:after="0" w:line="240" w:lineRule="auto"/>
              <w:jc w:val="right"/>
              <w:rPr>
                <w:rFonts w:cs="Arial"/>
                <w:color w:val="000000"/>
                <w:sz w:val="16"/>
                <w:szCs w:val="16"/>
              </w:rPr>
            </w:pPr>
            <w:r>
              <w:rPr>
                <w:rFonts w:cs="Arial"/>
                <w:sz w:val="16"/>
                <w:szCs w:val="16"/>
              </w:rPr>
              <w:t>349,5</w:t>
            </w:r>
          </w:p>
        </w:tc>
        <w:tc>
          <w:tcPr>
            <w:tcW w:w="704" w:type="dxa"/>
            <w:tcBorders>
              <w:top w:val="nil"/>
              <w:left w:val="nil"/>
              <w:bottom w:val="nil"/>
              <w:right w:val="nil"/>
            </w:tcBorders>
            <w:shd w:val="clear" w:color="auto" w:fill="auto"/>
            <w:vAlign w:val="center"/>
            <w:hideMark/>
          </w:tcPr>
          <w:p w14:paraId="78D6FDD9" w14:textId="49909629" w:rsidR="004071F1" w:rsidRPr="00D92E20" w:rsidRDefault="004071F1" w:rsidP="004071F1">
            <w:pPr>
              <w:spacing w:after="0" w:line="240" w:lineRule="auto"/>
              <w:jc w:val="right"/>
              <w:rPr>
                <w:rFonts w:cs="Arial"/>
                <w:color w:val="000000"/>
                <w:sz w:val="16"/>
                <w:szCs w:val="16"/>
              </w:rPr>
            </w:pPr>
            <w:r>
              <w:rPr>
                <w:rFonts w:cs="Arial"/>
                <w:sz w:val="16"/>
                <w:szCs w:val="16"/>
              </w:rPr>
              <w:t>427,5</w:t>
            </w:r>
          </w:p>
        </w:tc>
        <w:tc>
          <w:tcPr>
            <w:tcW w:w="754" w:type="dxa"/>
            <w:tcBorders>
              <w:top w:val="nil"/>
              <w:left w:val="single" w:sz="4" w:space="0" w:color="auto"/>
              <w:bottom w:val="nil"/>
              <w:right w:val="nil"/>
            </w:tcBorders>
            <w:shd w:val="clear" w:color="auto" w:fill="auto"/>
            <w:vAlign w:val="center"/>
            <w:hideMark/>
          </w:tcPr>
          <w:p w14:paraId="6AD56AA9" w14:textId="2BA88542" w:rsidR="004071F1" w:rsidRPr="00D92E20" w:rsidRDefault="004071F1" w:rsidP="004071F1">
            <w:pPr>
              <w:spacing w:after="0" w:line="240" w:lineRule="auto"/>
              <w:jc w:val="right"/>
              <w:rPr>
                <w:rFonts w:cs="Arial"/>
                <w:color w:val="000000"/>
                <w:sz w:val="16"/>
                <w:szCs w:val="16"/>
              </w:rPr>
            </w:pPr>
            <w:r>
              <w:rPr>
                <w:rFonts w:cs="Arial"/>
                <w:sz w:val="16"/>
                <w:szCs w:val="16"/>
              </w:rPr>
              <w:t>24,9</w:t>
            </w:r>
          </w:p>
        </w:tc>
        <w:tc>
          <w:tcPr>
            <w:tcW w:w="709" w:type="dxa"/>
            <w:tcBorders>
              <w:top w:val="nil"/>
              <w:left w:val="nil"/>
              <w:bottom w:val="nil"/>
              <w:right w:val="nil"/>
            </w:tcBorders>
            <w:shd w:val="clear" w:color="auto" w:fill="auto"/>
            <w:vAlign w:val="center"/>
            <w:hideMark/>
          </w:tcPr>
          <w:p w14:paraId="1869C6EA" w14:textId="3D01707D" w:rsidR="004071F1" w:rsidRPr="00D92E20" w:rsidRDefault="004071F1" w:rsidP="004071F1">
            <w:pPr>
              <w:spacing w:after="0" w:line="240" w:lineRule="auto"/>
              <w:jc w:val="right"/>
              <w:rPr>
                <w:rFonts w:cs="Arial"/>
                <w:color w:val="000000"/>
                <w:sz w:val="16"/>
                <w:szCs w:val="16"/>
              </w:rPr>
            </w:pPr>
            <w:r>
              <w:rPr>
                <w:rFonts w:cs="Arial"/>
                <w:sz w:val="16"/>
                <w:szCs w:val="16"/>
              </w:rPr>
              <w:t>17,1</w:t>
            </w:r>
          </w:p>
        </w:tc>
        <w:tc>
          <w:tcPr>
            <w:tcW w:w="709" w:type="dxa"/>
            <w:tcBorders>
              <w:top w:val="nil"/>
              <w:left w:val="nil"/>
              <w:bottom w:val="nil"/>
              <w:right w:val="single" w:sz="4" w:space="0" w:color="auto"/>
            </w:tcBorders>
            <w:shd w:val="clear" w:color="auto" w:fill="auto"/>
            <w:vAlign w:val="center"/>
            <w:hideMark/>
          </w:tcPr>
          <w:p w14:paraId="2D00B9AE" w14:textId="2B8439AA" w:rsidR="004071F1" w:rsidRPr="00D92E20" w:rsidRDefault="004071F1" w:rsidP="004071F1">
            <w:pPr>
              <w:spacing w:after="0" w:line="240" w:lineRule="auto"/>
              <w:jc w:val="right"/>
              <w:rPr>
                <w:rFonts w:cs="Arial"/>
                <w:color w:val="000000"/>
                <w:sz w:val="16"/>
                <w:szCs w:val="16"/>
              </w:rPr>
            </w:pPr>
            <w:r>
              <w:rPr>
                <w:rFonts w:cs="Arial"/>
                <w:sz w:val="16"/>
                <w:szCs w:val="16"/>
              </w:rPr>
              <w:t>7,8</w:t>
            </w:r>
          </w:p>
        </w:tc>
        <w:tc>
          <w:tcPr>
            <w:tcW w:w="709" w:type="dxa"/>
            <w:tcBorders>
              <w:top w:val="nil"/>
              <w:left w:val="nil"/>
              <w:bottom w:val="nil"/>
              <w:right w:val="nil"/>
            </w:tcBorders>
            <w:shd w:val="clear" w:color="auto" w:fill="auto"/>
            <w:vAlign w:val="center"/>
            <w:hideMark/>
          </w:tcPr>
          <w:p w14:paraId="0FE0044F" w14:textId="76FA3641" w:rsidR="004071F1" w:rsidRPr="00D92E20" w:rsidRDefault="004071F1" w:rsidP="004071F1">
            <w:pPr>
              <w:spacing w:after="0" w:line="240" w:lineRule="auto"/>
              <w:jc w:val="right"/>
              <w:rPr>
                <w:rFonts w:cs="Arial"/>
                <w:color w:val="000000"/>
                <w:sz w:val="16"/>
                <w:szCs w:val="16"/>
              </w:rPr>
            </w:pPr>
            <w:r>
              <w:rPr>
                <w:rFonts w:cs="Arial"/>
                <w:sz w:val="16"/>
                <w:szCs w:val="16"/>
              </w:rPr>
              <w:t>74,5</w:t>
            </w:r>
          </w:p>
        </w:tc>
        <w:tc>
          <w:tcPr>
            <w:tcW w:w="709" w:type="dxa"/>
            <w:tcBorders>
              <w:top w:val="nil"/>
              <w:left w:val="nil"/>
              <w:bottom w:val="nil"/>
              <w:right w:val="nil"/>
            </w:tcBorders>
            <w:shd w:val="clear" w:color="auto" w:fill="auto"/>
            <w:vAlign w:val="center"/>
            <w:hideMark/>
          </w:tcPr>
          <w:p w14:paraId="2011F1BD" w14:textId="3DA49725" w:rsidR="004071F1" w:rsidRPr="00D92E20" w:rsidRDefault="004071F1" w:rsidP="004071F1">
            <w:pPr>
              <w:spacing w:after="0" w:line="240" w:lineRule="auto"/>
              <w:jc w:val="right"/>
              <w:rPr>
                <w:rFonts w:cs="Arial"/>
                <w:color w:val="000000"/>
                <w:sz w:val="16"/>
                <w:szCs w:val="16"/>
              </w:rPr>
            </w:pPr>
            <w:r>
              <w:rPr>
                <w:rFonts w:cs="Arial"/>
                <w:sz w:val="16"/>
                <w:szCs w:val="16"/>
              </w:rPr>
              <w:t>47,7</w:t>
            </w:r>
          </w:p>
        </w:tc>
        <w:tc>
          <w:tcPr>
            <w:tcW w:w="709" w:type="dxa"/>
            <w:tcBorders>
              <w:top w:val="nil"/>
              <w:left w:val="nil"/>
              <w:bottom w:val="nil"/>
              <w:right w:val="nil"/>
            </w:tcBorders>
            <w:shd w:val="clear" w:color="auto" w:fill="auto"/>
            <w:vAlign w:val="center"/>
            <w:hideMark/>
          </w:tcPr>
          <w:p w14:paraId="6B73AB7C" w14:textId="3B663F44" w:rsidR="004071F1" w:rsidRPr="00D92E20" w:rsidRDefault="004071F1" w:rsidP="004071F1">
            <w:pPr>
              <w:spacing w:after="0" w:line="240" w:lineRule="auto"/>
              <w:jc w:val="right"/>
              <w:rPr>
                <w:rFonts w:cs="Arial"/>
                <w:color w:val="000000"/>
                <w:sz w:val="16"/>
                <w:szCs w:val="16"/>
              </w:rPr>
            </w:pPr>
            <w:r>
              <w:rPr>
                <w:rFonts w:cs="Arial"/>
                <w:sz w:val="16"/>
                <w:szCs w:val="16"/>
              </w:rPr>
              <w:t>26,8</w:t>
            </w:r>
          </w:p>
        </w:tc>
      </w:tr>
      <w:tr w:rsidR="004071F1" w:rsidRPr="00D92E20" w14:paraId="00941711" w14:textId="77777777" w:rsidTr="00DF284E">
        <w:trPr>
          <w:trHeight w:val="300"/>
        </w:trPr>
        <w:tc>
          <w:tcPr>
            <w:tcW w:w="1020" w:type="dxa"/>
            <w:tcBorders>
              <w:top w:val="nil"/>
              <w:left w:val="nil"/>
              <w:bottom w:val="nil"/>
              <w:right w:val="nil"/>
            </w:tcBorders>
            <w:shd w:val="clear" w:color="auto" w:fill="auto"/>
            <w:vAlign w:val="center"/>
            <w:hideMark/>
          </w:tcPr>
          <w:p w14:paraId="7CB558E4" w14:textId="7B73E572" w:rsidR="004071F1" w:rsidRPr="00D92E20" w:rsidRDefault="004071F1" w:rsidP="004071F1">
            <w:pPr>
              <w:spacing w:after="0" w:line="240" w:lineRule="auto"/>
              <w:jc w:val="center"/>
              <w:rPr>
                <w:rFonts w:cs="Arial"/>
                <w:color w:val="000000"/>
                <w:sz w:val="16"/>
                <w:szCs w:val="16"/>
              </w:rPr>
            </w:pPr>
            <w:r>
              <w:rPr>
                <w:rFonts w:cs="Arial"/>
                <w:sz w:val="16"/>
                <w:szCs w:val="16"/>
              </w:rPr>
              <w:t>1. pol. 2017</w:t>
            </w:r>
          </w:p>
        </w:tc>
        <w:tc>
          <w:tcPr>
            <w:tcW w:w="710" w:type="dxa"/>
            <w:tcBorders>
              <w:top w:val="nil"/>
              <w:left w:val="single" w:sz="4" w:space="0" w:color="auto"/>
              <w:bottom w:val="nil"/>
              <w:right w:val="nil"/>
            </w:tcBorders>
            <w:shd w:val="clear" w:color="auto" w:fill="auto"/>
            <w:vAlign w:val="center"/>
            <w:hideMark/>
          </w:tcPr>
          <w:p w14:paraId="5420250D" w14:textId="4403BB5F" w:rsidR="004071F1" w:rsidRPr="00D92E20" w:rsidRDefault="004071F1" w:rsidP="004071F1">
            <w:pPr>
              <w:spacing w:after="0" w:line="240" w:lineRule="auto"/>
              <w:jc w:val="right"/>
              <w:rPr>
                <w:rFonts w:cs="Arial"/>
                <w:color w:val="000000"/>
                <w:sz w:val="16"/>
                <w:szCs w:val="16"/>
              </w:rPr>
            </w:pPr>
            <w:r>
              <w:rPr>
                <w:rFonts w:cs="Arial"/>
                <w:sz w:val="16"/>
                <w:szCs w:val="16"/>
              </w:rPr>
              <w:t>944,7</w:t>
            </w:r>
          </w:p>
        </w:tc>
        <w:tc>
          <w:tcPr>
            <w:tcW w:w="704" w:type="dxa"/>
            <w:tcBorders>
              <w:top w:val="nil"/>
              <w:left w:val="nil"/>
              <w:bottom w:val="nil"/>
              <w:right w:val="nil"/>
            </w:tcBorders>
            <w:shd w:val="clear" w:color="auto" w:fill="auto"/>
            <w:vAlign w:val="center"/>
            <w:hideMark/>
          </w:tcPr>
          <w:p w14:paraId="703A583C" w14:textId="261E0046" w:rsidR="004071F1" w:rsidRPr="00D92E20" w:rsidRDefault="004071F1" w:rsidP="004071F1">
            <w:pPr>
              <w:spacing w:after="0" w:line="240" w:lineRule="auto"/>
              <w:jc w:val="right"/>
              <w:rPr>
                <w:rFonts w:cs="Arial"/>
                <w:color w:val="000000"/>
                <w:sz w:val="16"/>
                <w:szCs w:val="16"/>
              </w:rPr>
            </w:pPr>
            <w:r>
              <w:rPr>
                <w:rFonts w:cs="Arial"/>
                <w:sz w:val="16"/>
                <w:szCs w:val="16"/>
              </w:rPr>
              <w:t>444,1</w:t>
            </w:r>
          </w:p>
        </w:tc>
        <w:tc>
          <w:tcPr>
            <w:tcW w:w="704" w:type="dxa"/>
            <w:tcBorders>
              <w:top w:val="nil"/>
              <w:left w:val="nil"/>
              <w:bottom w:val="nil"/>
              <w:right w:val="single" w:sz="4" w:space="0" w:color="auto"/>
            </w:tcBorders>
            <w:shd w:val="clear" w:color="auto" w:fill="auto"/>
            <w:vAlign w:val="center"/>
            <w:hideMark/>
          </w:tcPr>
          <w:p w14:paraId="0957E0F3" w14:textId="7B8B74EF" w:rsidR="004071F1" w:rsidRPr="00D92E20" w:rsidRDefault="004071F1" w:rsidP="004071F1">
            <w:pPr>
              <w:spacing w:after="0" w:line="240" w:lineRule="auto"/>
              <w:jc w:val="right"/>
              <w:rPr>
                <w:rFonts w:cs="Arial"/>
                <w:color w:val="000000"/>
                <w:sz w:val="16"/>
                <w:szCs w:val="16"/>
              </w:rPr>
            </w:pPr>
            <w:r>
              <w:rPr>
                <w:rFonts w:cs="Arial"/>
                <w:sz w:val="16"/>
                <w:szCs w:val="16"/>
              </w:rPr>
              <w:t>500,6</w:t>
            </w:r>
          </w:p>
        </w:tc>
        <w:tc>
          <w:tcPr>
            <w:tcW w:w="707" w:type="dxa"/>
            <w:tcBorders>
              <w:top w:val="nil"/>
              <w:left w:val="nil"/>
              <w:bottom w:val="nil"/>
              <w:right w:val="nil"/>
            </w:tcBorders>
            <w:shd w:val="clear" w:color="auto" w:fill="auto"/>
            <w:vAlign w:val="center"/>
            <w:hideMark/>
          </w:tcPr>
          <w:p w14:paraId="0B5D742A" w14:textId="3D872CFB" w:rsidR="004071F1" w:rsidRPr="00D92E20" w:rsidRDefault="004071F1" w:rsidP="004071F1">
            <w:pPr>
              <w:spacing w:after="0" w:line="240" w:lineRule="auto"/>
              <w:jc w:val="right"/>
              <w:rPr>
                <w:rFonts w:cs="Arial"/>
                <w:color w:val="000000"/>
                <w:sz w:val="16"/>
                <w:szCs w:val="16"/>
              </w:rPr>
            </w:pPr>
            <w:r>
              <w:rPr>
                <w:rFonts w:cs="Arial"/>
                <w:sz w:val="16"/>
                <w:szCs w:val="16"/>
              </w:rPr>
              <w:t>841,6</w:t>
            </w:r>
          </w:p>
        </w:tc>
        <w:tc>
          <w:tcPr>
            <w:tcW w:w="704" w:type="dxa"/>
            <w:tcBorders>
              <w:top w:val="nil"/>
              <w:left w:val="nil"/>
              <w:bottom w:val="nil"/>
              <w:right w:val="nil"/>
            </w:tcBorders>
            <w:shd w:val="clear" w:color="auto" w:fill="auto"/>
            <w:vAlign w:val="center"/>
            <w:hideMark/>
          </w:tcPr>
          <w:p w14:paraId="1B3E3757" w14:textId="67C1A953" w:rsidR="004071F1" w:rsidRPr="00D92E20" w:rsidRDefault="004071F1" w:rsidP="004071F1">
            <w:pPr>
              <w:spacing w:after="0" w:line="240" w:lineRule="auto"/>
              <w:jc w:val="right"/>
              <w:rPr>
                <w:rFonts w:cs="Arial"/>
                <w:color w:val="000000"/>
                <w:sz w:val="16"/>
                <w:szCs w:val="16"/>
              </w:rPr>
            </w:pPr>
            <w:r>
              <w:rPr>
                <w:rFonts w:cs="Arial"/>
                <w:sz w:val="16"/>
                <w:szCs w:val="16"/>
              </w:rPr>
              <w:t>378,5</w:t>
            </w:r>
          </w:p>
        </w:tc>
        <w:tc>
          <w:tcPr>
            <w:tcW w:w="704" w:type="dxa"/>
            <w:tcBorders>
              <w:top w:val="nil"/>
              <w:left w:val="nil"/>
              <w:bottom w:val="nil"/>
              <w:right w:val="nil"/>
            </w:tcBorders>
            <w:shd w:val="clear" w:color="auto" w:fill="auto"/>
            <w:vAlign w:val="center"/>
            <w:hideMark/>
          </w:tcPr>
          <w:p w14:paraId="3CDDD468" w14:textId="4001CA4B" w:rsidR="004071F1" w:rsidRPr="00D92E20" w:rsidRDefault="004071F1" w:rsidP="004071F1">
            <w:pPr>
              <w:spacing w:after="0" w:line="240" w:lineRule="auto"/>
              <w:jc w:val="right"/>
              <w:rPr>
                <w:rFonts w:cs="Arial"/>
                <w:color w:val="000000"/>
                <w:sz w:val="16"/>
                <w:szCs w:val="16"/>
              </w:rPr>
            </w:pPr>
            <w:r>
              <w:rPr>
                <w:rFonts w:cs="Arial"/>
                <w:sz w:val="16"/>
                <w:szCs w:val="16"/>
              </w:rPr>
              <w:t>463,1</w:t>
            </w:r>
          </w:p>
        </w:tc>
        <w:tc>
          <w:tcPr>
            <w:tcW w:w="754" w:type="dxa"/>
            <w:tcBorders>
              <w:top w:val="nil"/>
              <w:left w:val="single" w:sz="4" w:space="0" w:color="auto"/>
              <w:bottom w:val="nil"/>
              <w:right w:val="nil"/>
            </w:tcBorders>
            <w:shd w:val="clear" w:color="auto" w:fill="auto"/>
            <w:vAlign w:val="center"/>
            <w:hideMark/>
          </w:tcPr>
          <w:p w14:paraId="252A5E6B" w14:textId="5028AE23" w:rsidR="004071F1" w:rsidRPr="00D92E20" w:rsidRDefault="004071F1" w:rsidP="004071F1">
            <w:pPr>
              <w:spacing w:after="0" w:line="240" w:lineRule="auto"/>
              <w:jc w:val="right"/>
              <w:rPr>
                <w:rFonts w:cs="Arial"/>
                <w:color w:val="000000"/>
                <w:sz w:val="16"/>
                <w:szCs w:val="16"/>
              </w:rPr>
            </w:pPr>
            <w:r>
              <w:rPr>
                <w:rFonts w:cs="Arial"/>
                <w:sz w:val="16"/>
                <w:szCs w:val="16"/>
              </w:rPr>
              <w:t>24,7</w:t>
            </w:r>
          </w:p>
        </w:tc>
        <w:tc>
          <w:tcPr>
            <w:tcW w:w="709" w:type="dxa"/>
            <w:tcBorders>
              <w:top w:val="nil"/>
              <w:left w:val="nil"/>
              <w:bottom w:val="nil"/>
              <w:right w:val="nil"/>
            </w:tcBorders>
            <w:shd w:val="clear" w:color="auto" w:fill="auto"/>
            <w:vAlign w:val="center"/>
            <w:hideMark/>
          </w:tcPr>
          <w:p w14:paraId="6574F108" w14:textId="6BFBC020" w:rsidR="004071F1" w:rsidRPr="00D92E20" w:rsidRDefault="004071F1" w:rsidP="004071F1">
            <w:pPr>
              <w:spacing w:after="0" w:line="240" w:lineRule="auto"/>
              <w:jc w:val="right"/>
              <w:rPr>
                <w:rFonts w:cs="Arial"/>
                <w:color w:val="000000"/>
                <w:sz w:val="16"/>
                <w:szCs w:val="16"/>
              </w:rPr>
            </w:pPr>
            <w:r>
              <w:rPr>
                <w:rFonts w:cs="Arial"/>
                <w:sz w:val="16"/>
                <w:szCs w:val="16"/>
              </w:rPr>
              <w:t>16,9</w:t>
            </w:r>
          </w:p>
        </w:tc>
        <w:tc>
          <w:tcPr>
            <w:tcW w:w="709" w:type="dxa"/>
            <w:tcBorders>
              <w:top w:val="nil"/>
              <w:left w:val="nil"/>
              <w:bottom w:val="nil"/>
              <w:right w:val="single" w:sz="4" w:space="0" w:color="auto"/>
            </w:tcBorders>
            <w:shd w:val="clear" w:color="auto" w:fill="auto"/>
            <w:vAlign w:val="center"/>
            <w:hideMark/>
          </w:tcPr>
          <w:p w14:paraId="524FA8A8" w14:textId="76D95C3E" w:rsidR="004071F1" w:rsidRPr="00D92E20" w:rsidRDefault="004071F1" w:rsidP="004071F1">
            <w:pPr>
              <w:spacing w:after="0" w:line="240" w:lineRule="auto"/>
              <w:jc w:val="right"/>
              <w:rPr>
                <w:rFonts w:cs="Arial"/>
                <w:color w:val="000000"/>
                <w:sz w:val="16"/>
                <w:szCs w:val="16"/>
              </w:rPr>
            </w:pPr>
            <w:r>
              <w:rPr>
                <w:rFonts w:cs="Arial"/>
                <w:sz w:val="16"/>
                <w:szCs w:val="16"/>
              </w:rPr>
              <w:t>7,8</w:t>
            </w:r>
          </w:p>
        </w:tc>
        <w:tc>
          <w:tcPr>
            <w:tcW w:w="709" w:type="dxa"/>
            <w:tcBorders>
              <w:top w:val="nil"/>
              <w:left w:val="nil"/>
              <w:bottom w:val="nil"/>
              <w:right w:val="nil"/>
            </w:tcBorders>
            <w:shd w:val="clear" w:color="auto" w:fill="auto"/>
            <w:vAlign w:val="center"/>
            <w:hideMark/>
          </w:tcPr>
          <w:p w14:paraId="55060C52" w14:textId="304B5E74" w:rsidR="004071F1" w:rsidRPr="00D92E20" w:rsidRDefault="004071F1" w:rsidP="004071F1">
            <w:pPr>
              <w:spacing w:after="0" w:line="240" w:lineRule="auto"/>
              <w:jc w:val="right"/>
              <w:rPr>
                <w:rFonts w:cs="Arial"/>
                <w:color w:val="000000"/>
                <w:sz w:val="16"/>
                <w:szCs w:val="16"/>
              </w:rPr>
            </w:pPr>
            <w:r>
              <w:rPr>
                <w:rFonts w:cs="Arial"/>
                <w:sz w:val="16"/>
                <w:szCs w:val="16"/>
              </w:rPr>
              <w:t>78,4</w:t>
            </w:r>
          </w:p>
        </w:tc>
        <w:tc>
          <w:tcPr>
            <w:tcW w:w="709" w:type="dxa"/>
            <w:tcBorders>
              <w:top w:val="nil"/>
              <w:left w:val="nil"/>
              <w:bottom w:val="nil"/>
              <w:right w:val="nil"/>
            </w:tcBorders>
            <w:shd w:val="clear" w:color="auto" w:fill="auto"/>
            <w:vAlign w:val="center"/>
            <w:hideMark/>
          </w:tcPr>
          <w:p w14:paraId="64139714" w14:textId="1F5DFB94" w:rsidR="004071F1" w:rsidRPr="00D92E20" w:rsidRDefault="004071F1" w:rsidP="004071F1">
            <w:pPr>
              <w:spacing w:after="0" w:line="240" w:lineRule="auto"/>
              <w:jc w:val="right"/>
              <w:rPr>
                <w:rFonts w:cs="Arial"/>
                <w:color w:val="000000"/>
                <w:sz w:val="16"/>
                <w:szCs w:val="16"/>
              </w:rPr>
            </w:pPr>
            <w:r>
              <w:rPr>
                <w:rFonts w:cs="Arial"/>
                <w:sz w:val="16"/>
                <w:szCs w:val="16"/>
              </w:rPr>
              <w:t>48,7</w:t>
            </w:r>
          </w:p>
        </w:tc>
        <w:tc>
          <w:tcPr>
            <w:tcW w:w="709" w:type="dxa"/>
            <w:tcBorders>
              <w:top w:val="nil"/>
              <w:left w:val="nil"/>
              <w:bottom w:val="nil"/>
              <w:right w:val="nil"/>
            </w:tcBorders>
            <w:shd w:val="clear" w:color="auto" w:fill="auto"/>
            <w:vAlign w:val="center"/>
            <w:hideMark/>
          </w:tcPr>
          <w:p w14:paraId="5E97CCAE" w14:textId="6FDBA2AE" w:rsidR="004071F1" w:rsidRPr="00D92E20" w:rsidRDefault="004071F1" w:rsidP="004071F1">
            <w:pPr>
              <w:spacing w:after="0" w:line="240" w:lineRule="auto"/>
              <w:jc w:val="right"/>
              <w:rPr>
                <w:rFonts w:cs="Arial"/>
                <w:color w:val="000000"/>
                <w:sz w:val="16"/>
                <w:szCs w:val="16"/>
              </w:rPr>
            </w:pPr>
            <w:r>
              <w:rPr>
                <w:rFonts w:cs="Arial"/>
                <w:sz w:val="16"/>
                <w:szCs w:val="16"/>
              </w:rPr>
              <w:t>29,7</w:t>
            </w:r>
          </w:p>
        </w:tc>
      </w:tr>
      <w:tr w:rsidR="004071F1" w:rsidRPr="00D92E20" w14:paraId="3BC1F510" w14:textId="77777777" w:rsidTr="00DF284E">
        <w:trPr>
          <w:trHeight w:val="300"/>
        </w:trPr>
        <w:tc>
          <w:tcPr>
            <w:tcW w:w="1020" w:type="dxa"/>
            <w:tcBorders>
              <w:top w:val="nil"/>
              <w:left w:val="nil"/>
              <w:bottom w:val="nil"/>
              <w:right w:val="nil"/>
            </w:tcBorders>
            <w:shd w:val="clear" w:color="auto" w:fill="auto"/>
            <w:vAlign w:val="center"/>
            <w:hideMark/>
          </w:tcPr>
          <w:p w14:paraId="4C459136" w14:textId="1A586DD9" w:rsidR="004071F1" w:rsidRPr="00D92E20" w:rsidRDefault="004071F1" w:rsidP="004071F1">
            <w:pPr>
              <w:spacing w:after="0" w:line="240" w:lineRule="auto"/>
              <w:jc w:val="center"/>
              <w:rPr>
                <w:rFonts w:cs="Arial"/>
                <w:color w:val="000000"/>
                <w:sz w:val="16"/>
                <w:szCs w:val="16"/>
              </w:rPr>
            </w:pPr>
            <w:r>
              <w:rPr>
                <w:rFonts w:cs="Arial"/>
                <w:sz w:val="16"/>
                <w:szCs w:val="16"/>
              </w:rPr>
              <w:t>1. pol. 2018</w:t>
            </w:r>
          </w:p>
        </w:tc>
        <w:tc>
          <w:tcPr>
            <w:tcW w:w="710" w:type="dxa"/>
            <w:tcBorders>
              <w:top w:val="nil"/>
              <w:left w:val="single" w:sz="4" w:space="0" w:color="auto"/>
              <w:bottom w:val="nil"/>
              <w:right w:val="nil"/>
            </w:tcBorders>
            <w:shd w:val="clear" w:color="auto" w:fill="auto"/>
            <w:vAlign w:val="center"/>
            <w:hideMark/>
          </w:tcPr>
          <w:p w14:paraId="23E09AA3" w14:textId="7D1E2576" w:rsidR="004071F1" w:rsidRPr="00D92E20" w:rsidRDefault="004071F1" w:rsidP="004071F1">
            <w:pPr>
              <w:spacing w:after="0" w:line="240" w:lineRule="auto"/>
              <w:jc w:val="right"/>
              <w:rPr>
                <w:rFonts w:cs="Arial"/>
                <w:color w:val="000000"/>
                <w:sz w:val="16"/>
                <w:szCs w:val="16"/>
              </w:rPr>
            </w:pPr>
            <w:r>
              <w:rPr>
                <w:rFonts w:cs="Arial"/>
                <w:sz w:val="16"/>
                <w:szCs w:val="16"/>
              </w:rPr>
              <w:t>1 040,2</w:t>
            </w:r>
          </w:p>
        </w:tc>
        <w:tc>
          <w:tcPr>
            <w:tcW w:w="704" w:type="dxa"/>
            <w:tcBorders>
              <w:top w:val="nil"/>
              <w:left w:val="nil"/>
              <w:bottom w:val="nil"/>
              <w:right w:val="nil"/>
            </w:tcBorders>
            <w:shd w:val="clear" w:color="auto" w:fill="auto"/>
            <w:vAlign w:val="center"/>
            <w:hideMark/>
          </w:tcPr>
          <w:p w14:paraId="7A99323B" w14:textId="1AE09316" w:rsidR="004071F1" w:rsidRPr="00D92E20" w:rsidRDefault="004071F1" w:rsidP="004071F1">
            <w:pPr>
              <w:spacing w:after="0" w:line="240" w:lineRule="auto"/>
              <w:jc w:val="right"/>
              <w:rPr>
                <w:rFonts w:cs="Arial"/>
                <w:color w:val="000000"/>
                <w:sz w:val="16"/>
                <w:szCs w:val="16"/>
              </w:rPr>
            </w:pPr>
            <w:r>
              <w:rPr>
                <w:rFonts w:cs="Arial"/>
                <w:sz w:val="16"/>
                <w:szCs w:val="16"/>
              </w:rPr>
              <w:t>484,2</w:t>
            </w:r>
          </w:p>
        </w:tc>
        <w:tc>
          <w:tcPr>
            <w:tcW w:w="704" w:type="dxa"/>
            <w:tcBorders>
              <w:top w:val="nil"/>
              <w:left w:val="nil"/>
              <w:bottom w:val="nil"/>
              <w:right w:val="single" w:sz="4" w:space="0" w:color="auto"/>
            </w:tcBorders>
            <w:shd w:val="clear" w:color="auto" w:fill="auto"/>
            <w:vAlign w:val="center"/>
            <w:hideMark/>
          </w:tcPr>
          <w:p w14:paraId="62290B86" w14:textId="6599E4A2" w:rsidR="004071F1" w:rsidRPr="00D92E20" w:rsidRDefault="004071F1" w:rsidP="004071F1">
            <w:pPr>
              <w:spacing w:after="0" w:line="240" w:lineRule="auto"/>
              <w:jc w:val="right"/>
              <w:rPr>
                <w:rFonts w:cs="Arial"/>
                <w:color w:val="000000"/>
                <w:sz w:val="16"/>
                <w:szCs w:val="16"/>
              </w:rPr>
            </w:pPr>
            <w:r>
              <w:rPr>
                <w:rFonts w:cs="Arial"/>
                <w:sz w:val="16"/>
                <w:szCs w:val="16"/>
              </w:rPr>
              <w:t>556,1</w:t>
            </w:r>
          </w:p>
        </w:tc>
        <w:tc>
          <w:tcPr>
            <w:tcW w:w="707" w:type="dxa"/>
            <w:tcBorders>
              <w:top w:val="nil"/>
              <w:left w:val="nil"/>
              <w:bottom w:val="nil"/>
              <w:right w:val="nil"/>
            </w:tcBorders>
            <w:shd w:val="clear" w:color="auto" w:fill="auto"/>
            <w:vAlign w:val="center"/>
            <w:hideMark/>
          </w:tcPr>
          <w:p w14:paraId="5BAC0AE4" w14:textId="7AA2CF6D" w:rsidR="004071F1" w:rsidRPr="00D92E20" w:rsidRDefault="004071F1" w:rsidP="004071F1">
            <w:pPr>
              <w:spacing w:after="0" w:line="240" w:lineRule="auto"/>
              <w:jc w:val="right"/>
              <w:rPr>
                <w:rFonts w:cs="Arial"/>
                <w:color w:val="000000"/>
                <w:sz w:val="16"/>
                <w:szCs w:val="16"/>
              </w:rPr>
            </w:pPr>
            <w:r>
              <w:rPr>
                <w:rFonts w:cs="Arial"/>
                <w:sz w:val="16"/>
                <w:szCs w:val="16"/>
              </w:rPr>
              <w:t>937,8</w:t>
            </w:r>
          </w:p>
        </w:tc>
        <w:tc>
          <w:tcPr>
            <w:tcW w:w="704" w:type="dxa"/>
            <w:tcBorders>
              <w:top w:val="nil"/>
              <w:left w:val="nil"/>
              <w:bottom w:val="nil"/>
              <w:right w:val="nil"/>
            </w:tcBorders>
            <w:shd w:val="clear" w:color="auto" w:fill="auto"/>
            <w:vAlign w:val="center"/>
            <w:hideMark/>
          </w:tcPr>
          <w:p w14:paraId="722AA64A" w14:textId="3A9DAEE0" w:rsidR="004071F1" w:rsidRPr="00D92E20" w:rsidRDefault="004071F1" w:rsidP="004071F1">
            <w:pPr>
              <w:spacing w:after="0" w:line="240" w:lineRule="auto"/>
              <w:jc w:val="right"/>
              <w:rPr>
                <w:rFonts w:cs="Arial"/>
                <w:color w:val="000000"/>
                <w:sz w:val="16"/>
                <w:szCs w:val="16"/>
              </w:rPr>
            </w:pPr>
            <w:r>
              <w:rPr>
                <w:rFonts w:cs="Arial"/>
                <w:sz w:val="16"/>
                <w:szCs w:val="16"/>
              </w:rPr>
              <w:t>419,5</w:t>
            </w:r>
          </w:p>
        </w:tc>
        <w:tc>
          <w:tcPr>
            <w:tcW w:w="704" w:type="dxa"/>
            <w:tcBorders>
              <w:top w:val="nil"/>
              <w:left w:val="nil"/>
              <w:bottom w:val="nil"/>
              <w:right w:val="nil"/>
            </w:tcBorders>
            <w:shd w:val="clear" w:color="auto" w:fill="auto"/>
            <w:vAlign w:val="center"/>
            <w:hideMark/>
          </w:tcPr>
          <w:p w14:paraId="693A6070" w14:textId="209EA694" w:rsidR="004071F1" w:rsidRPr="00D92E20" w:rsidRDefault="004071F1" w:rsidP="004071F1">
            <w:pPr>
              <w:spacing w:after="0" w:line="240" w:lineRule="auto"/>
              <w:jc w:val="right"/>
              <w:rPr>
                <w:rFonts w:cs="Arial"/>
                <w:color w:val="000000"/>
                <w:sz w:val="16"/>
                <w:szCs w:val="16"/>
              </w:rPr>
            </w:pPr>
            <w:r>
              <w:rPr>
                <w:rFonts w:cs="Arial"/>
                <w:sz w:val="16"/>
                <w:szCs w:val="16"/>
              </w:rPr>
              <w:t>518,3</w:t>
            </w:r>
          </w:p>
        </w:tc>
        <w:tc>
          <w:tcPr>
            <w:tcW w:w="754" w:type="dxa"/>
            <w:tcBorders>
              <w:top w:val="nil"/>
              <w:left w:val="single" w:sz="4" w:space="0" w:color="auto"/>
              <w:bottom w:val="nil"/>
              <w:right w:val="nil"/>
            </w:tcBorders>
            <w:shd w:val="clear" w:color="auto" w:fill="auto"/>
            <w:vAlign w:val="center"/>
            <w:hideMark/>
          </w:tcPr>
          <w:p w14:paraId="7F9296C1" w14:textId="3AED1334" w:rsidR="004071F1" w:rsidRPr="00D92E20" w:rsidRDefault="004071F1" w:rsidP="004071F1">
            <w:pPr>
              <w:spacing w:after="0" w:line="240" w:lineRule="auto"/>
              <w:jc w:val="right"/>
              <w:rPr>
                <w:rFonts w:cs="Arial"/>
                <w:color w:val="000000"/>
                <w:sz w:val="16"/>
                <w:szCs w:val="16"/>
              </w:rPr>
            </w:pPr>
            <w:r>
              <w:rPr>
                <w:rFonts w:cs="Arial"/>
                <w:sz w:val="16"/>
                <w:szCs w:val="16"/>
              </w:rPr>
              <w:t>24,1</w:t>
            </w:r>
          </w:p>
        </w:tc>
        <w:tc>
          <w:tcPr>
            <w:tcW w:w="709" w:type="dxa"/>
            <w:tcBorders>
              <w:top w:val="nil"/>
              <w:left w:val="nil"/>
              <w:bottom w:val="nil"/>
              <w:right w:val="nil"/>
            </w:tcBorders>
            <w:shd w:val="clear" w:color="auto" w:fill="auto"/>
            <w:vAlign w:val="center"/>
            <w:hideMark/>
          </w:tcPr>
          <w:p w14:paraId="35AE63CC" w14:textId="7BFFECFC" w:rsidR="004071F1" w:rsidRPr="00D92E20" w:rsidRDefault="004071F1" w:rsidP="004071F1">
            <w:pPr>
              <w:spacing w:after="0" w:line="240" w:lineRule="auto"/>
              <w:jc w:val="right"/>
              <w:rPr>
                <w:rFonts w:cs="Arial"/>
                <w:color w:val="000000"/>
                <w:sz w:val="16"/>
                <w:szCs w:val="16"/>
              </w:rPr>
            </w:pPr>
            <w:r>
              <w:rPr>
                <w:rFonts w:cs="Arial"/>
                <w:sz w:val="16"/>
                <w:szCs w:val="16"/>
              </w:rPr>
              <w:t>16,2</w:t>
            </w:r>
          </w:p>
        </w:tc>
        <w:tc>
          <w:tcPr>
            <w:tcW w:w="709" w:type="dxa"/>
            <w:tcBorders>
              <w:top w:val="nil"/>
              <w:left w:val="nil"/>
              <w:bottom w:val="nil"/>
              <w:right w:val="single" w:sz="4" w:space="0" w:color="auto"/>
            </w:tcBorders>
            <w:shd w:val="clear" w:color="auto" w:fill="auto"/>
            <w:vAlign w:val="center"/>
            <w:hideMark/>
          </w:tcPr>
          <w:p w14:paraId="7E376258" w14:textId="684568A6" w:rsidR="004071F1" w:rsidRPr="00D92E20" w:rsidRDefault="004071F1" w:rsidP="004071F1">
            <w:pPr>
              <w:spacing w:after="0" w:line="240" w:lineRule="auto"/>
              <w:jc w:val="right"/>
              <w:rPr>
                <w:rFonts w:cs="Arial"/>
                <w:color w:val="000000"/>
                <w:sz w:val="16"/>
                <w:szCs w:val="16"/>
              </w:rPr>
            </w:pPr>
            <w:r>
              <w:rPr>
                <w:rFonts w:cs="Arial"/>
                <w:sz w:val="16"/>
                <w:szCs w:val="16"/>
              </w:rPr>
              <w:t>7,9</w:t>
            </w:r>
          </w:p>
        </w:tc>
        <w:tc>
          <w:tcPr>
            <w:tcW w:w="709" w:type="dxa"/>
            <w:tcBorders>
              <w:top w:val="nil"/>
              <w:left w:val="nil"/>
              <w:bottom w:val="nil"/>
              <w:right w:val="nil"/>
            </w:tcBorders>
            <w:shd w:val="clear" w:color="auto" w:fill="auto"/>
            <w:vAlign w:val="center"/>
            <w:hideMark/>
          </w:tcPr>
          <w:p w14:paraId="2DC4D6FC" w14:textId="47A66039" w:rsidR="004071F1" w:rsidRPr="00D92E20" w:rsidRDefault="004071F1" w:rsidP="004071F1">
            <w:pPr>
              <w:spacing w:after="0" w:line="240" w:lineRule="auto"/>
              <w:jc w:val="right"/>
              <w:rPr>
                <w:rFonts w:cs="Arial"/>
                <w:color w:val="000000"/>
                <w:sz w:val="16"/>
                <w:szCs w:val="16"/>
              </w:rPr>
            </w:pPr>
            <w:r>
              <w:rPr>
                <w:rFonts w:cs="Arial"/>
                <w:sz w:val="16"/>
                <w:szCs w:val="16"/>
              </w:rPr>
              <w:t>78,4</w:t>
            </w:r>
          </w:p>
        </w:tc>
        <w:tc>
          <w:tcPr>
            <w:tcW w:w="709" w:type="dxa"/>
            <w:tcBorders>
              <w:top w:val="nil"/>
              <w:left w:val="nil"/>
              <w:bottom w:val="nil"/>
              <w:right w:val="nil"/>
            </w:tcBorders>
            <w:shd w:val="clear" w:color="auto" w:fill="auto"/>
            <w:vAlign w:val="center"/>
            <w:hideMark/>
          </w:tcPr>
          <w:p w14:paraId="737855B0" w14:textId="551B2236" w:rsidR="004071F1" w:rsidRPr="00D92E20" w:rsidRDefault="004071F1" w:rsidP="004071F1">
            <w:pPr>
              <w:spacing w:after="0" w:line="240" w:lineRule="auto"/>
              <w:jc w:val="right"/>
              <w:rPr>
                <w:rFonts w:cs="Arial"/>
                <w:color w:val="000000"/>
                <w:sz w:val="16"/>
                <w:szCs w:val="16"/>
              </w:rPr>
            </w:pPr>
            <w:r>
              <w:rPr>
                <w:rFonts w:cs="Arial"/>
                <w:sz w:val="16"/>
                <w:szCs w:val="16"/>
              </w:rPr>
              <w:t>48,5</w:t>
            </w:r>
          </w:p>
        </w:tc>
        <w:tc>
          <w:tcPr>
            <w:tcW w:w="709" w:type="dxa"/>
            <w:tcBorders>
              <w:top w:val="nil"/>
              <w:left w:val="nil"/>
              <w:bottom w:val="nil"/>
              <w:right w:val="nil"/>
            </w:tcBorders>
            <w:shd w:val="clear" w:color="auto" w:fill="auto"/>
            <w:vAlign w:val="center"/>
            <w:hideMark/>
          </w:tcPr>
          <w:p w14:paraId="6A7C4077" w14:textId="481DDFB3" w:rsidR="004071F1" w:rsidRPr="00D92E20" w:rsidRDefault="004071F1" w:rsidP="004071F1">
            <w:pPr>
              <w:spacing w:after="0" w:line="240" w:lineRule="auto"/>
              <w:jc w:val="right"/>
              <w:rPr>
                <w:rFonts w:cs="Arial"/>
                <w:color w:val="000000"/>
                <w:sz w:val="16"/>
                <w:szCs w:val="16"/>
              </w:rPr>
            </w:pPr>
            <w:r>
              <w:rPr>
                <w:rFonts w:cs="Arial"/>
                <w:sz w:val="16"/>
                <w:szCs w:val="16"/>
              </w:rPr>
              <w:t>29,9</w:t>
            </w:r>
          </w:p>
        </w:tc>
      </w:tr>
      <w:tr w:rsidR="004071F1" w:rsidRPr="00D92E20" w14:paraId="612D87D6" w14:textId="77777777" w:rsidTr="00DF284E">
        <w:trPr>
          <w:trHeight w:val="300"/>
        </w:trPr>
        <w:tc>
          <w:tcPr>
            <w:tcW w:w="1020" w:type="dxa"/>
            <w:tcBorders>
              <w:top w:val="nil"/>
              <w:left w:val="nil"/>
              <w:bottom w:val="nil"/>
              <w:right w:val="nil"/>
            </w:tcBorders>
            <w:shd w:val="clear" w:color="auto" w:fill="auto"/>
            <w:vAlign w:val="center"/>
            <w:hideMark/>
          </w:tcPr>
          <w:p w14:paraId="1AE34CDE" w14:textId="6936D4D4" w:rsidR="004071F1" w:rsidRPr="00D92E20" w:rsidRDefault="004071F1" w:rsidP="004071F1">
            <w:pPr>
              <w:spacing w:after="0" w:line="240" w:lineRule="auto"/>
              <w:jc w:val="center"/>
              <w:rPr>
                <w:rFonts w:cs="Arial"/>
                <w:color w:val="000000"/>
                <w:sz w:val="16"/>
                <w:szCs w:val="16"/>
              </w:rPr>
            </w:pPr>
            <w:r>
              <w:rPr>
                <w:rFonts w:cs="Arial"/>
                <w:sz w:val="16"/>
                <w:szCs w:val="16"/>
              </w:rPr>
              <w:t>1. pol. 2019</w:t>
            </w:r>
          </w:p>
        </w:tc>
        <w:tc>
          <w:tcPr>
            <w:tcW w:w="710" w:type="dxa"/>
            <w:tcBorders>
              <w:top w:val="nil"/>
              <w:left w:val="single" w:sz="4" w:space="0" w:color="auto"/>
              <w:bottom w:val="nil"/>
              <w:right w:val="nil"/>
            </w:tcBorders>
            <w:shd w:val="clear" w:color="auto" w:fill="auto"/>
            <w:vAlign w:val="center"/>
            <w:hideMark/>
          </w:tcPr>
          <w:p w14:paraId="1D08A343" w14:textId="5F8F38E3" w:rsidR="004071F1" w:rsidRPr="00D92E20" w:rsidRDefault="004071F1" w:rsidP="004071F1">
            <w:pPr>
              <w:spacing w:after="0" w:line="240" w:lineRule="auto"/>
              <w:jc w:val="right"/>
              <w:rPr>
                <w:rFonts w:cs="Arial"/>
                <w:color w:val="000000"/>
                <w:sz w:val="16"/>
                <w:szCs w:val="16"/>
              </w:rPr>
            </w:pPr>
            <w:r>
              <w:rPr>
                <w:rFonts w:cs="Arial"/>
                <w:color w:val="000000"/>
                <w:sz w:val="16"/>
                <w:szCs w:val="16"/>
              </w:rPr>
              <w:t>975,0</w:t>
            </w:r>
          </w:p>
        </w:tc>
        <w:tc>
          <w:tcPr>
            <w:tcW w:w="704" w:type="dxa"/>
            <w:tcBorders>
              <w:top w:val="nil"/>
              <w:left w:val="nil"/>
              <w:bottom w:val="nil"/>
              <w:right w:val="nil"/>
            </w:tcBorders>
            <w:shd w:val="clear" w:color="auto" w:fill="auto"/>
            <w:vAlign w:val="center"/>
            <w:hideMark/>
          </w:tcPr>
          <w:p w14:paraId="6F6C072C" w14:textId="007E6ABB" w:rsidR="004071F1" w:rsidRPr="00D92E20" w:rsidRDefault="004071F1" w:rsidP="004071F1">
            <w:pPr>
              <w:spacing w:after="0" w:line="240" w:lineRule="auto"/>
              <w:jc w:val="right"/>
              <w:rPr>
                <w:rFonts w:cs="Arial"/>
                <w:color w:val="000000"/>
                <w:sz w:val="16"/>
                <w:szCs w:val="16"/>
              </w:rPr>
            </w:pPr>
            <w:r>
              <w:rPr>
                <w:rFonts w:cs="Arial"/>
                <w:color w:val="000000"/>
                <w:sz w:val="16"/>
                <w:szCs w:val="16"/>
              </w:rPr>
              <w:t>453,9</w:t>
            </w:r>
          </w:p>
        </w:tc>
        <w:tc>
          <w:tcPr>
            <w:tcW w:w="704" w:type="dxa"/>
            <w:tcBorders>
              <w:top w:val="nil"/>
              <w:left w:val="nil"/>
              <w:bottom w:val="nil"/>
              <w:right w:val="single" w:sz="4" w:space="0" w:color="auto"/>
            </w:tcBorders>
            <w:shd w:val="clear" w:color="auto" w:fill="auto"/>
            <w:vAlign w:val="center"/>
            <w:hideMark/>
          </w:tcPr>
          <w:p w14:paraId="1E5C07EA" w14:textId="50544EAA" w:rsidR="004071F1" w:rsidRPr="00D92E20" w:rsidRDefault="004071F1" w:rsidP="004071F1">
            <w:pPr>
              <w:spacing w:after="0" w:line="240" w:lineRule="auto"/>
              <w:jc w:val="right"/>
              <w:rPr>
                <w:rFonts w:cs="Arial"/>
                <w:color w:val="000000"/>
                <w:sz w:val="16"/>
                <w:szCs w:val="16"/>
              </w:rPr>
            </w:pPr>
            <w:r>
              <w:rPr>
                <w:rFonts w:cs="Arial"/>
                <w:color w:val="000000"/>
                <w:sz w:val="16"/>
                <w:szCs w:val="16"/>
              </w:rPr>
              <w:t>521,0</w:t>
            </w:r>
          </w:p>
        </w:tc>
        <w:tc>
          <w:tcPr>
            <w:tcW w:w="707" w:type="dxa"/>
            <w:tcBorders>
              <w:top w:val="nil"/>
              <w:left w:val="nil"/>
              <w:bottom w:val="nil"/>
              <w:right w:val="nil"/>
            </w:tcBorders>
            <w:shd w:val="clear" w:color="auto" w:fill="auto"/>
            <w:vAlign w:val="center"/>
            <w:hideMark/>
          </w:tcPr>
          <w:p w14:paraId="4BA86942" w14:textId="2ACE6CDB" w:rsidR="004071F1" w:rsidRPr="00D92E20" w:rsidRDefault="004071F1" w:rsidP="004071F1">
            <w:pPr>
              <w:spacing w:after="0" w:line="240" w:lineRule="auto"/>
              <w:jc w:val="right"/>
              <w:rPr>
                <w:rFonts w:cs="Arial"/>
                <w:color w:val="000000"/>
                <w:sz w:val="16"/>
                <w:szCs w:val="16"/>
              </w:rPr>
            </w:pPr>
            <w:r>
              <w:rPr>
                <w:rFonts w:cs="Arial"/>
                <w:color w:val="000000"/>
                <w:sz w:val="16"/>
                <w:szCs w:val="16"/>
              </w:rPr>
              <w:t>872,7</w:t>
            </w:r>
          </w:p>
        </w:tc>
        <w:tc>
          <w:tcPr>
            <w:tcW w:w="704" w:type="dxa"/>
            <w:tcBorders>
              <w:top w:val="nil"/>
              <w:left w:val="nil"/>
              <w:bottom w:val="nil"/>
              <w:right w:val="nil"/>
            </w:tcBorders>
            <w:shd w:val="clear" w:color="auto" w:fill="auto"/>
            <w:vAlign w:val="center"/>
            <w:hideMark/>
          </w:tcPr>
          <w:p w14:paraId="16DAED3C" w14:textId="57544C31" w:rsidR="004071F1" w:rsidRPr="00D92E20" w:rsidRDefault="004071F1" w:rsidP="004071F1">
            <w:pPr>
              <w:spacing w:after="0" w:line="240" w:lineRule="auto"/>
              <w:jc w:val="right"/>
              <w:rPr>
                <w:rFonts w:cs="Arial"/>
                <w:color w:val="000000"/>
                <w:sz w:val="16"/>
                <w:szCs w:val="16"/>
              </w:rPr>
            </w:pPr>
            <w:r>
              <w:rPr>
                <w:rFonts w:cs="Arial"/>
                <w:color w:val="000000"/>
                <w:sz w:val="16"/>
                <w:szCs w:val="16"/>
              </w:rPr>
              <w:t>389,8</w:t>
            </w:r>
          </w:p>
        </w:tc>
        <w:tc>
          <w:tcPr>
            <w:tcW w:w="704" w:type="dxa"/>
            <w:tcBorders>
              <w:top w:val="nil"/>
              <w:left w:val="nil"/>
              <w:bottom w:val="nil"/>
              <w:right w:val="nil"/>
            </w:tcBorders>
            <w:shd w:val="clear" w:color="auto" w:fill="auto"/>
            <w:vAlign w:val="center"/>
            <w:hideMark/>
          </w:tcPr>
          <w:p w14:paraId="67CBCB9F" w14:textId="741DC673" w:rsidR="004071F1" w:rsidRPr="00D92E20" w:rsidRDefault="004071F1" w:rsidP="004071F1">
            <w:pPr>
              <w:spacing w:after="0" w:line="240" w:lineRule="auto"/>
              <w:jc w:val="right"/>
              <w:rPr>
                <w:rFonts w:cs="Arial"/>
                <w:color w:val="000000"/>
                <w:sz w:val="16"/>
                <w:szCs w:val="16"/>
              </w:rPr>
            </w:pPr>
            <w:r>
              <w:rPr>
                <w:rFonts w:cs="Arial"/>
                <w:color w:val="000000"/>
                <w:sz w:val="16"/>
                <w:szCs w:val="16"/>
              </w:rPr>
              <w:t>483,0</w:t>
            </w:r>
          </w:p>
        </w:tc>
        <w:tc>
          <w:tcPr>
            <w:tcW w:w="754" w:type="dxa"/>
            <w:tcBorders>
              <w:top w:val="nil"/>
              <w:left w:val="single" w:sz="4" w:space="0" w:color="auto"/>
              <w:bottom w:val="nil"/>
              <w:right w:val="nil"/>
            </w:tcBorders>
            <w:shd w:val="clear" w:color="auto" w:fill="auto"/>
            <w:vAlign w:val="center"/>
            <w:hideMark/>
          </w:tcPr>
          <w:p w14:paraId="104F6EC7" w14:textId="53C60530" w:rsidR="004071F1" w:rsidRPr="00D92E20" w:rsidRDefault="004071F1" w:rsidP="004071F1">
            <w:pPr>
              <w:spacing w:after="0" w:line="240" w:lineRule="auto"/>
              <w:jc w:val="right"/>
              <w:rPr>
                <w:rFonts w:cs="Arial"/>
                <w:color w:val="000000"/>
                <w:sz w:val="16"/>
                <w:szCs w:val="16"/>
              </w:rPr>
            </w:pPr>
            <w:r>
              <w:rPr>
                <w:rFonts w:cs="Arial"/>
                <w:color w:val="000000"/>
                <w:sz w:val="16"/>
                <w:szCs w:val="16"/>
              </w:rPr>
              <w:t>23,2</w:t>
            </w:r>
          </w:p>
        </w:tc>
        <w:tc>
          <w:tcPr>
            <w:tcW w:w="709" w:type="dxa"/>
            <w:tcBorders>
              <w:top w:val="nil"/>
              <w:left w:val="nil"/>
              <w:bottom w:val="nil"/>
              <w:right w:val="nil"/>
            </w:tcBorders>
            <w:shd w:val="clear" w:color="auto" w:fill="auto"/>
            <w:vAlign w:val="center"/>
            <w:hideMark/>
          </w:tcPr>
          <w:p w14:paraId="52597DDE" w14:textId="1DBC4683" w:rsidR="004071F1" w:rsidRPr="00D92E20" w:rsidRDefault="004071F1" w:rsidP="004071F1">
            <w:pPr>
              <w:spacing w:after="0" w:line="240" w:lineRule="auto"/>
              <w:jc w:val="right"/>
              <w:rPr>
                <w:rFonts w:cs="Arial"/>
                <w:color w:val="000000"/>
                <w:sz w:val="16"/>
                <w:szCs w:val="16"/>
              </w:rPr>
            </w:pPr>
            <w:r>
              <w:rPr>
                <w:rFonts w:cs="Arial"/>
                <w:color w:val="000000"/>
                <w:sz w:val="16"/>
                <w:szCs w:val="16"/>
              </w:rPr>
              <w:t>15,6</w:t>
            </w:r>
          </w:p>
        </w:tc>
        <w:tc>
          <w:tcPr>
            <w:tcW w:w="709" w:type="dxa"/>
            <w:tcBorders>
              <w:top w:val="nil"/>
              <w:left w:val="nil"/>
              <w:bottom w:val="nil"/>
              <w:right w:val="single" w:sz="4" w:space="0" w:color="auto"/>
            </w:tcBorders>
            <w:shd w:val="clear" w:color="auto" w:fill="auto"/>
            <w:vAlign w:val="center"/>
            <w:hideMark/>
          </w:tcPr>
          <w:p w14:paraId="4E3E829E" w14:textId="55F5A8F3" w:rsidR="004071F1" w:rsidRPr="00D92E20" w:rsidRDefault="004071F1" w:rsidP="004071F1">
            <w:pPr>
              <w:spacing w:after="0" w:line="240" w:lineRule="auto"/>
              <w:jc w:val="right"/>
              <w:rPr>
                <w:rFonts w:cs="Arial"/>
                <w:color w:val="000000"/>
                <w:sz w:val="16"/>
                <w:szCs w:val="16"/>
              </w:rPr>
            </w:pPr>
            <w:r>
              <w:rPr>
                <w:rFonts w:cs="Arial"/>
                <w:color w:val="000000"/>
                <w:sz w:val="16"/>
                <w:szCs w:val="16"/>
              </w:rPr>
              <w:t>7,6</w:t>
            </w:r>
          </w:p>
        </w:tc>
        <w:tc>
          <w:tcPr>
            <w:tcW w:w="709" w:type="dxa"/>
            <w:tcBorders>
              <w:top w:val="nil"/>
              <w:left w:val="nil"/>
              <w:bottom w:val="nil"/>
              <w:right w:val="nil"/>
            </w:tcBorders>
            <w:shd w:val="clear" w:color="auto" w:fill="auto"/>
            <w:vAlign w:val="center"/>
            <w:hideMark/>
          </w:tcPr>
          <w:p w14:paraId="4F25C07D" w14:textId="7F932595" w:rsidR="004071F1" w:rsidRPr="00D92E20" w:rsidRDefault="004071F1" w:rsidP="004071F1">
            <w:pPr>
              <w:spacing w:after="0" w:line="240" w:lineRule="auto"/>
              <w:jc w:val="right"/>
              <w:rPr>
                <w:rFonts w:cs="Arial"/>
                <w:color w:val="000000"/>
                <w:sz w:val="16"/>
                <w:szCs w:val="16"/>
              </w:rPr>
            </w:pPr>
            <w:r>
              <w:rPr>
                <w:rFonts w:cs="Arial"/>
                <w:color w:val="000000"/>
                <w:sz w:val="16"/>
                <w:szCs w:val="16"/>
              </w:rPr>
              <w:t>79,0</w:t>
            </w:r>
          </w:p>
        </w:tc>
        <w:tc>
          <w:tcPr>
            <w:tcW w:w="709" w:type="dxa"/>
            <w:tcBorders>
              <w:top w:val="nil"/>
              <w:left w:val="nil"/>
              <w:bottom w:val="nil"/>
              <w:right w:val="nil"/>
            </w:tcBorders>
            <w:shd w:val="clear" w:color="auto" w:fill="auto"/>
            <w:vAlign w:val="center"/>
            <w:hideMark/>
          </w:tcPr>
          <w:p w14:paraId="7656541F" w14:textId="1E541336" w:rsidR="004071F1" w:rsidRPr="00D92E20" w:rsidRDefault="004071F1" w:rsidP="004071F1">
            <w:pPr>
              <w:spacing w:after="0" w:line="240" w:lineRule="auto"/>
              <w:jc w:val="right"/>
              <w:rPr>
                <w:rFonts w:cs="Arial"/>
                <w:color w:val="000000"/>
                <w:sz w:val="16"/>
                <w:szCs w:val="16"/>
              </w:rPr>
            </w:pPr>
            <w:r>
              <w:rPr>
                <w:rFonts w:cs="Arial"/>
                <w:color w:val="000000"/>
                <w:sz w:val="16"/>
                <w:szCs w:val="16"/>
              </w:rPr>
              <w:t>48,6</w:t>
            </w:r>
          </w:p>
        </w:tc>
        <w:tc>
          <w:tcPr>
            <w:tcW w:w="709" w:type="dxa"/>
            <w:tcBorders>
              <w:top w:val="nil"/>
              <w:left w:val="nil"/>
              <w:bottom w:val="nil"/>
              <w:right w:val="nil"/>
            </w:tcBorders>
            <w:shd w:val="clear" w:color="auto" w:fill="auto"/>
            <w:vAlign w:val="center"/>
            <w:hideMark/>
          </w:tcPr>
          <w:p w14:paraId="68E62BDC" w14:textId="1BB7FB9E" w:rsidR="004071F1" w:rsidRPr="00D92E20" w:rsidRDefault="004071F1" w:rsidP="004071F1">
            <w:pPr>
              <w:spacing w:after="0" w:line="240" w:lineRule="auto"/>
              <w:jc w:val="right"/>
              <w:rPr>
                <w:rFonts w:cs="Arial"/>
                <w:color w:val="000000"/>
                <w:sz w:val="16"/>
                <w:szCs w:val="16"/>
              </w:rPr>
            </w:pPr>
            <w:r>
              <w:rPr>
                <w:rFonts w:cs="Arial"/>
                <w:color w:val="000000"/>
                <w:sz w:val="16"/>
                <w:szCs w:val="16"/>
              </w:rPr>
              <w:t>30,5</w:t>
            </w:r>
          </w:p>
        </w:tc>
      </w:tr>
      <w:tr w:rsidR="004071F1" w:rsidRPr="00D92E20" w14:paraId="1AE0213B" w14:textId="77777777" w:rsidTr="00DF284E">
        <w:trPr>
          <w:trHeight w:val="300"/>
        </w:trPr>
        <w:tc>
          <w:tcPr>
            <w:tcW w:w="1020" w:type="dxa"/>
            <w:tcBorders>
              <w:top w:val="nil"/>
              <w:left w:val="nil"/>
              <w:bottom w:val="nil"/>
              <w:right w:val="nil"/>
            </w:tcBorders>
            <w:shd w:val="clear" w:color="auto" w:fill="auto"/>
            <w:vAlign w:val="center"/>
            <w:hideMark/>
          </w:tcPr>
          <w:p w14:paraId="2AC112AE" w14:textId="3F2DFF15" w:rsidR="004071F1" w:rsidRPr="00D92E20" w:rsidRDefault="004071F1" w:rsidP="004071F1">
            <w:pPr>
              <w:spacing w:after="0" w:line="240" w:lineRule="auto"/>
              <w:jc w:val="center"/>
              <w:rPr>
                <w:rFonts w:cs="Arial"/>
                <w:color w:val="000000"/>
                <w:sz w:val="16"/>
                <w:szCs w:val="16"/>
              </w:rPr>
            </w:pPr>
            <w:r>
              <w:rPr>
                <w:rFonts w:cs="Arial"/>
                <w:sz w:val="16"/>
                <w:szCs w:val="16"/>
              </w:rPr>
              <w:t>1. pol. 2020</w:t>
            </w:r>
          </w:p>
        </w:tc>
        <w:tc>
          <w:tcPr>
            <w:tcW w:w="710" w:type="dxa"/>
            <w:tcBorders>
              <w:top w:val="nil"/>
              <w:left w:val="single" w:sz="4" w:space="0" w:color="auto"/>
              <w:bottom w:val="nil"/>
              <w:right w:val="nil"/>
            </w:tcBorders>
            <w:shd w:val="clear" w:color="auto" w:fill="auto"/>
            <w:vAlign w:val="center"/>
            <w:hideMark/>
          </w:tcPr>
          <w:p w14:paraId="4BF6734E" w14:textId="23171106" w:rsidR="004071F1" w:rsidRPr="00D92E20" w:rsidRDefault="004071F1" w:rsidP="004071F1">
            <w:pPr>
              <w:spacing w:after="0" w:line="240" w:lineRule="auto"/>
              <w:jc w:val="right"/>
              <w:rPr>
                <w:rFonts w:cs="Arial"/>
                <w:color w:val="000000"/>
                <w:sz w:val="16"/>
                <w:szCs w:val="16"/>
              </w:rPr>
            </w:pPr>
            <w:r>
              <w:rPr>
                <w:rFonts w:cs="Arial"/>
                <w:color w:val="000000"/>
                <w:sz w:val="16"/>
                <w:szCs w:val="16"/>
              </w:rPr>
              <w:t>1 070,1</w:t>
            </w:r>
          </w:p>
        </w:tc>
        <w:tc>
          <w:tcPr>
            <w:tcW w:w="704" w:type="dxa"/>
            <w:tcBorders>
              <w:top w:val="nil"/>
              <w:left w:val="nil"/>
              <w:bottom w:val="nil"/>
              <w:right w:val="nil"/>
            </w:tcBorders>
            <w:shd w:val="clear" w:color="auto" w:fill="auto"/>
            <w:vAlign w:val="center"/>
            <w:hideMark/>
          </w:tcPr>
          <w:p w14:paraId="48B245DC" w14:textId="3A670AD2" w:rsidR="004071F1" w:rsidRPr="00D92E20" w:rsidRDefault="004071F1" w:rsidP="004071F1">
            <w:pPr>
              <w:spacing w:after="0" w:line="240" w:lineRule="auto"/>
              <w:jc w:val="right"/>
              <w:rPr>
                <w:rFonts w:cs="Arial"/>
                <w:color w:val="000000"/>
                <w:sz w:val="16"/>
                <w:szCs w:val="16"/>
              </w:rPr>
            </w:pPr>
            <w:r>
              <w:rPr>
                <w:rFonts w:cs="Arial"/>
                <w:color w:val="000000"/>
                <w:sz w:val="16"/>
                <w:szCs w:val="16"/>
              </w:rPr>
              <w:t>510,3</w:t>
            </w:r>
          </w:p>
        </w:tc>
        <w:tc>
          <w:tcPr>
            <w:tcW w:w="704" w:type="dxa"/>
            <w:tcBorders>
              <w:top w:val="nil"/>
              <w:left w:val="nil"/>
              <w:bottom w:val="nil"/>
              <w:right w:val="single" w:sz="4" w:space="0" w:color="auto"/>
            </w:tcBorders>
            <w:shd w:val="clear" w:color="auto" w:fill="auto"/>
            <w:vAlign w:val="center"/>
            <w:hideMark/>
          </w:tcPr>
          <w:p w14:paraId="7A2EF08B" w14:textId="70BA7201" w:rsidR="004071F1" w:rsidRPr="00D92E20" w:rsidRDefault="004071F1" w:rsidP="004071F1">
            <w:pPr>
              <w:spacing w:after="0" w:line="240" w:lineRule="auto"/>
              <w:jc w:val="right"/>
              <w:rPr>
                <w:rFonts w:cs="Arial"/>
                <w:color w:val="000000"/>
                <w:sz w:val="16"/>
                <w:szCs w:val="16"/>
              </w:rPr>
            </w:pPr>
            <w:r>
              <w:rPr>
                <w:rFonts w:cs="Arial"/>
                <w:color w:val="000000"/>
                <w:sz w:val="16"/>
                <w:szCs w:val="16"/>
              </w:rPr>
              <w:t>559,8</w:t>
            </w:r>
          </w:p>
        </w:tc>
        <w:tc>
          <w:tcPr>
            <w:tcW w:w="707" w:type="dxa"/>
            <w:tcBorders>
              <w:top w:val="nil"/>
              <w:left w:val="nil"/>
              <w:bottom w:val="nil"/>
              <w:right w:val="nil"/>
            </w:tcBorders>
            <w:shd w:val="clear" w:color="auto" w:fill="auto"/>
            <w:vAlign w:val="center"/>
            <w:hideMark/>
          </w:tcPr>
          <w:p w14:paraId="75CF0CB6" w14:textId="16B3B81A" w:rsidR="004071F1" w:rsidRPr="00D92E20" w:rsidRDefault="004071F1" w:rsidP="004071F1">
            <w:pPr>
              <w:spacing w:after="0" w:line="240" w:lineRule="auto"/>
              <w:jc w:val="right"/>
              <w:rPr>
                <w:rFonts w:cs="Arial"/>
                <w:color w:val="000000"/>
                <w:sz w:val="16"/>
                <w:szCs w:val="16"/>
              </w:rPr>
            </w:pPr>
            <w:r>
              <w:rPr>
                <w:rFonts w:cs="Arial"/>
                <w:color w:val="000000"/>
                <w:sz w:val="16"/>
                <w:szCs w:val="16"/>
              </w:rPr>
              <w:t>976,9</w:t>
            </w:r>
          </w:p>
        </w:tc>
        <w:tc>
          <w:tcPr>
            <w:tcW w:w="704" w:type="dxa"/>
            <w:tcBorders>
              <w:top w:val="nil"/>
              <w:left w:val="nil"/>
              <w:bottom w:val="nil"/>
              <w:right w:val="nil"/>
            </w:tcBorders>
            <w:shd w:val="clear" w:color="auto" w:fill="auto"/>
            <w:vAlign w:val="center"/>
            <w:hideMark/>
          </w:tcPr>
          <w:p w14:paraId="2327AB03" w14:textId="31A3B4EF" w:rsidR="004071F1" w:rsidRPr="00D92E20" w:rsidRDefault="004071F1" w:rsidP="004071F1">
            <w:pPr>
              <w:spacing w:after="0" w:line="240" w:lineRule="auto"/>
              <w:jc w:val="right"/>
              <w:rPr>
                <w:rFonts w:cs="Arial"/>
                <w:color w:val="000000"/>
                <w:sz w:val="16"/>
                <w:szCs w:val="16"/>
              </w:rPr>
            </w:pPr>
            <w:r>
              <w:rPr>
                <w:rFonts w:cs="Arial"/>
                <w:color w:val="000000"/>
                <w:sz w:val="16"/>
                <w:szCs w:val="16"/>
              </w:rPr>
              <w:t>451,4</w:t>
            </w:r>
          </w:p>
        </w:tc>
        <w:tc>
          <w:tcPr>
            <w:tcW w:w="704" w:type="dxa"/>
            <w:tcBorders>
              <w:top w:val="nil"/>
              <w:left w:val="nil"/>
              <w:bottom w:val="nil"/>
              <w:right w:val="nil"/>
            </w:tcBorders>
            <w:shd w:val="clear" w:color="auto" w:fill="auto"/>
            <w:vAlign w:val="center"/>
            <w:hideMark/>
          </w:tcPr>
          <w:p w14:paraId="43D86689" w14:textId="526330A2" w:rsidR="004071F1" w:rsidRPr="00D92E20" w:rsidRDefault="004071F1" w:rsidP="004071F1">
            <w:pPr>
              <w:spacing w:after="0" w:line="240" w:lineRule="auto"/>
              <w:jc w:val="right"/>
              <w:rPr>
                <w:rFonts w:cs="Arial"/>
                <w:color w:val="000000"/>
                <w:sz w:val="16"/>
                <w:szCs w:val="16"/>
              </w:rPr>
            </w:pPr>
            <w:r>
              <w:rPr>
                <w:rFonts w:cs="Arial"/>
                <w:color w:val="000000"/>
                <w:sz w:val="16"/>
                <w:szCs w:val="16"/>
              </w:rPr>
              <w:t>525,5</w:t>
            </w:r>
          </w:p>
        </w:tc>
        <w:tc>
          <w:tcPr>
            <w:tcW w:w="754" w:type="dxa"/>
            <w:tcBorders>
              <w:top w:val="nil"/>
              <w:left w:val="single" w:sz="4" w:space="0" w:color="auto"/>
              <w:bottom w:val="nil"/>
              <w:right w:val="nil"/>
            </w:tcBorders>
            <w:shd w:val="clear" w:color="auto" w:fill="auto"/>
            <w:vAlign w:val="center"/>
            <w:hideMark/>
          </w:tcPr>
          <w:p w14:paraId="5FE26471" w14:textId="35D9DAC8" w:rsidR="004071F1" w:rsidRPr="00D92E20" w:rsidRDefault="004071F1" w:rsidP="004071F1">
            <w:pPr>
              <w:spacing w:after="0" w:line="240" w:lineRule="auto"/>
              <w:jc w:val="right"/>
              <w:rPr>
                <w:rFonts w:cs="Arial"/>
                <w:color w:val="000000"/>
                <w:sz w:val="16"/>
                <w:szCs w:val="16"/>
              </w:rPr>
            </w:pPr>
            <w:r>
              <w:rPr>
                <w:rFonts w:cs="Arial"/>
                <w:color w:val="000000"/>
                <w:sz w:val="16"/>
                <w:szCs w:val="16"/>
              </w:rPr>
              <w:t>20,5</w:t>
            </w:r>
          </w:p>
        </w:tc>
        <w:tc>
          <w:tcPr>
            <w:tcW w:w="709" w:type="dxa"/>
            <w:tcBorders>
              <w:top w:val="nil"/>
              <w:left w:val="nil"/>
              <w:bottom w:val="nil"/>
              <w:right w:val="nil"/>
            </w:tcBorders>
            <w:shd w:val="clear" w:color="auto" w:fill="auto"/>
            <w:vAlign w:val="center"/>
            <w:hideMark/>
          </w:tcPr>
          <w:p w14:paraId="0B34389E" w14:textId="19064BBE" w:rsidR="004071F1" w:rsidRPr="00D92E20" w:rsidRDefault="004071F1" w:rsidP="004071F1">
            <w:pPr>
              <w:spacing w:after="0" w:line="240" w:lineRule="auto"/>
              <w:jc w:val="right"/>
              <w:rPr>
                <w:rFonts w:cs="Arial"/>
                <w:color w:val="000000"/>
                <w:sz w:val="16"/>
                <w:szCs w:val="16"/>
              </w:rPr>
            </w:pPr>
            <w:r>
              <w:rPr>
                <w:rFonts w:cs="Arial"/>
                <w:color w:val="000000"/>
                <w:sz w:val="16"/>
                <w:szCs w:val="16"/>
              </w:rPr>
              <w:t>14,2</w:t>
            </w:r>
          </w:p>
        </w:tc>
        <w:tc>
          <w:tcPr>
            <w:tcW w:w="709" w:type="dxa"/>
            <w:tcBorders>
              <w:top w:val="nil"/>
              <w:left w:val="nil"/>
              <w:bottom w:val="nil"/>
              <w:right w:val="single" w:sz="4" w:space="0" w:color="auto"/>
            </w:tcBorders>
            <w:shd w:val="clear" w:color="auto" w:fill="auto"/>
            <w:vAlign w:val="center"/>
            <w:hideMark/>
          </w:tcPr>
          <w:p w14:paraId="6D6CB8A6" w14:textId="5779A454" w:rsidR="004071F1" w:rsidRPr="00D92E20" w:rsidRDefault="004071F1" w:rsidP="004071F1">
            <w:pPr>
              <w:spacing w:after="0" w:line="240" w:lineRule="auto"/>
              <w:jc w:val="right"/>
              <w:rPr>
                <w:rFonts w:cs="Arial"/>
                <w:color w:val="000000"/>
                <w:sz w:val="16"/>
                <w:szCs w:val="16"/>
              </w:rPr>
            </w:pPr>
            <w:r>
              <w:rPr>
                <w:rFonts w:cs="Arial"/>
                <w:color w:val="000000"/>
                <w:sz w:val="16"/>
                <w:szCs w:val="16"/>
              </w:rPr>
              <w:t>6,3</w:t>
            </w:r>
          </w:p>
        </w:tc>
        <w:tc>
          <w:tcPr>
            <w:tcW w:w="709" w:type="dxa"/>
            <w:tcBorders>
              <w:top w:val="nil"/>
              <w:left w:val="nil"/>
              <w:bottom w:val="nil"/>
              <w:right w:val="nil"/>
            </w:tcBorders>
            <w:shd w:val="clear" w:color="auto" w:fill="auto"/>
            <w:vAlign w:val="center"/>
            <w:hideMark/>
          </w:tcPr>
          <w:p w14:paraId="7EF49B6E" w14:textId="12238D85" w:rsidR="004071F1" w:rsidRPr="00D92E20" w:rsidRDefault="004071F1" w:rsidP="004071F1">
            <w:pPr>
              <w:spacing w:after="0" w:line="240" w:lineRule="auto"/>
              <w:jc w:val="right"/>
              <w:rPr>
                <w:rFonts w:cs="Arial"/>
                <w:color w:val="000000"/>
                <w:sz w:val="16"/>
                <w:szCs w:val="16"/>
              </w:rPr>
            </w:pPr>
            <w:r>
              <w:rPr>
                <w:rFonts w:cs="Arial"/>
                <w:color w:val="000000"/>
                <w:sz w:val="16"/>
                <w:szCs w:val="16"/>
              </w:rPr>
              <w:t>72,7</w:t>
            </w:r>
          </w:p>
        </w:tc>
        <w:tc>
          <w:tcPr>
            <w:tcW w:w="709" w:type="dxa"/>
            <w:tcBorders>
              <w:top w:val="nil"/>
              <w:left w:val="nil"/>
              <w:bottom w:val="nil"/>
              <w:right w:val="nil"/>
            </w:tcBorders>
            <w:shd w:val="clear" w:color="auto" w:fill="auto"/>
            <w:vAlign w:val="center"/>
            <w:hideMark/>
          </w:tcPr>
          <w:p w14:paraId="08FBD728" w14:textId="7DBAB1BE" w:rsidR="004071F1" w:rsidRPr="00D92E20" w:rsidRDefault="004071F1" w:rsidP="004071F1">
            <w:pPr>
              <w:spacing w:after="0" w:line="240" w:lineRule="auto"/>
              <w:jc w:val="right"/>
              <w:rPr>
                <w:rFonts w:cs="Arial"/>
                <w:color w:val="000000"/>
                <w:sz w:val="16"/>
                <w:szCs w:val="16"/>
              </w:rPr>
            </w:pPr>
            <w:r>
              <w:rPr>
                <w:rFonts w:cs="Arial"/>
                <w:color w:val="000000"/>
                <w:sz w:val="16"/>
                <w:szCs w:val="16"/>
              </w:rPr>
              <w:t>44,7</w:t>
            </w:r>
          </w:p>
        </w:tc>
        <w:tc>
          <w:tcPr>
            <w:tcW w:w="709" w:type="dxa"/>
            <w:tcBorders>
              <w:top w:val="nil"/>
              <w:left w:val="nil"/>
              <w:bottom w:val="nil"/>
              <w:right w:val="nil"/>
            </w:tcBorders>
            <w:shd w:val="clear" w:color="auto" w:fill="auto"/>
            <w:vAlign w:val="center"/>
            <w:hideMark/>
          </w:tcPr>
          <w:p w14:paraId="4079C750" w14:textId="3BEB75FE" w:rsidR="004071F1" w:rsidRPr="00D92E20" w:rsidRDefault="004071F1" w:rsidP="004071F1">
            <w:pPr>
              <w:spacing w:after="0" w:line="240" w:lineRule="auto"/>
              <w:jc w:val="right"/>
              <w:rPr>
                <w:rFonts w:cs="Arial"/>
                <w:color w:val="000000"/>
                <w:sz w:val="16"/>
                <w:szCs w:val="16"/>
              </w:rPr>
            </w:pPr>
            <w:r>
              <w:rPr>
                <w:rFonts w:cs="Arial"/>
                <w:color w:val="000000"/>
                <w:sz w:val="16"/>
                <w:szCs w:val="16"/>
              </w:rPr>
              <w:t>28,0</w:t>
            </w:r>
          </w:p>
        </w:tc>
      </w:tr>
      <w:tr w:rsidR="004071F1" w:rsidRPr="00D92E20" w14:paraId="4EB26A17" w14:textId="77777777" w:rsidTr="00DF284E">
        <w:trPr>
          <w:trHeight w:val="300"/>
        </w:trPr>
        <w:tc>
          <w:tcPr>
            <w:tcW w:w="1020" w:type="dxa"/>
            <w:tcBorders>
              <w:top w:val="nil"/>
              <w:left w:val="nil"/>
              <w:bottom w:val="nil"/>
              <w:right w:val="nil"/>
            </w:tcBorders>
            <w:shd w:val="clear" w:color="auto" w:fill="auto"/>
            <w:vAlign w:val="center"/>
            <w:hideMark/>
          </w:tcPr>
          <w:p w14:paraId="23678DC1" w14:textId="347E2C62" w:rsidR="004071F1" w:rsidRPr="00D92E20" w:rsidRDefault="004071F1" w:rsidP="004071F1">
            <w:pPr>
              <w:spacing w:after="0" w:line="240" w:lineRule="auto"/>
              <w:jc w:val="center"/>
              <w:rPr>
                <w:rFonts w:cs="Arial"/>
                <w:color w:val="000000"/>
                <w:sz w:val="16"/>
                <w:szCs w:val="16"/>
              </w:rPr>
            </w:pPr>
            <w:r>
              <w:rPr>
                <w:rFonts w:cs="Arial"/>
                <w:sz w:val="16"/>
                <w:szCs w:val="16"/>
              </w:rPr>
              <w:t>1. pol. 2021</w:t>
            </w:r>
          </w:p>
        </w:tc>
        <w:tc>
          <w:tcPr>
            <w:tcW w:w="710" w:type="dxa"/>
            <w:tcBorders>
              <w:top w:val="nil"/>
              <w:left w:val="single" w:sz="4" w:space="0" w:color="auto"/>
              <w:bottom w:val="nil"/>
              <w:right w:val="nil"/>
            </w:tcBorders>
            <w:shd w:val="clear" w:color="auto" w:fill="auto"/>
            <w:vAlign w:val="center"/>
            <w:hideMark/>
          </w:tcPr>
          <w:p w14:paraId="56B5FD3A" w14:textId="3D31C404" w:rsidR="004071F1" w:rsidRPr="00D92E20" w:rsidRDefault="004071F1" w:rsidP="004071F1">
            <w:pPr>
              <w:spacing w:after="0" w:line="240" w:lineRule="auto"/>
              <w:jc w:val="right"/>
              <w:rPr>
                <w:rFonts w:cs="Arial"/>
                <w:color w:val="000000"/>
                <w:sz w:val="16"/>
                <w:szCs w:val="16"/>
              </w:rPr>
            </w:pPr>
            <w:r>
              <w:rPr>
                <w:rFonts w:cs="Arial"/>
                <w:color w:val="000000"/>
                <w:sz w:val="16"/>
                <w:szCs w:val="16"/>
              </w:rPr>
              <w:t>1 399,4</w:t>
            </w:r>
          </w:p>
        </w:tc>
        <w:tc>
          <w:tcPr>
            <w:tcW w:w="704" w:type="dxa"/>
            <w:tcBorders>
              <w:top w:val="nil"/>
              <w:left w:val="nil"/>
              <w:bottom w:val="nil"/>
              <w:right w:val="nil"/>
            </w:tcBorders>
            <w:shd w:val="clear" w:color="auto" w:fill="auto"/>
            <w:vAlign w:val="center"/>
            <w:hideMark/>
          </w:tcPr>
          <w:p w14:paraId="1EC08B4A" w14:textId="7189544C" w:rsidR="004071F1" w:rsidRPr="00D92E20" w:rsidRDefault="004071F1" w:rsidP="004071F1">
            <w:pPr>
              <w:spacing w:after="0" w:line="240" w:lineRule="auto"/>
              <w:jc w:val="right"/>
              <w:rPr>
                <w:rFonts w:cs="Arial"/>
                <w:color w:val="000000"/>
                <w:sz w:val="16"/>
                <w:szCs w:val="16"/>
              </w:rPr>
            </w:pPr>
            <w:r>
              <w:rPr>
                <w:rFonts w:cs="Arial"/>
                <w:color w:val="000000"/>
                <w:sz w:val="16"/>
                <w:szCs w:val="16"/>
              </w:rPr>
              <w:t>700,9</w:t>
            </w:r>
          </w:p>
        </w:tc>
        <w:tc>
          <w:tcPr>
            <w:tcW w:w="704" w:type="dxa"/>
            <w:tcBorders>
              <w:top w:val="nil"/>
              <w:left w:val="nil"/>
              <w:bottom w:val="nil"/>
              <w:right w:val="single" w:sz="4" w:space="0" w:color="auto"/>
            </w:tcBorders>
            <w:shd w:val="clear" w:color="auto" w:fill="auto"/>
            <w:vAlign w:val="center"/>
            <w:hideMark/>
          </w:tcPr>
          <w:p w14:paraId="5BAC5AF7" w14:textId="45012EC7" w:rsidR="004071F1" w:rsidRPr="00D92E20" w:rsidRDefault="004071F1" w:rsidP="004071F1">
            <w:pPr>
              <w:spacing w:after="0" w:line="240" w:lineRule="auto"/>
              <w:jc w:val="right"/>
              <w:rPr>
                <w:rFonts w:cs="Arial"/>
                <w:color w:val="000000"/>
                <w:sz w:val="16"/>
                <w:szCs w:val="16"/>
              </w:rPr>
            </w:pPr>
            <w:r>
              <w:rPr>
                <w:rFonts w:cs="Arial"/>
                <w:color w:val="000000"/>
                <w:sz w:val="16"/>
                <w:szCs w:val="16"/>
              </w:rPr>
              <w:t>698,6</w:t>
            </w:r>
          </w:p>
        </w:tc>
        <w:tc>
          <w:tcPr>
            <w:tcW w:w="707" w:type="dxa"/>
            <w:tcBorders>
              <w:top w:val="nil"/>
              <w:left w:val="nil"/>
              <w:bottom w:val="nil"/>
              <w:right w:val="nil"/>
            </w:tcBorders>
            <w:shd w:val="clear" w:color="auto" w:fill="auto"/>
            <w:vAlign w:val="center"/>
            <w:hideMark/>
          </w:tcPr>
          <w:p w14:paraId="7E2AA1B3" w14:textId="2B5A026B" w:rsidR="004071F1" w:rsidRPr="00D92E20" w:rsidRDefault="004071F1" w:rsidP="004071F1">
            <w:pPr>
              <w:spacing w:after="0" w:line="240" w:lineRule="auto"/>
              <w:jc w:val="right"/>
              <w:rPr>
                <w:rFonts w:cs="Arial"/>
                <w:color w:val="000000"/>
                <w:sz w:val="16"/>
                <w:szCs w:val="16"/>
              </w:rPr>
            </w:pPr>
            <w:r>
              <w:rPr>
                <w:rFonts w:cs="Arial"/>
                <w:color w:val="000000"/>
                <w:sz w:val="16"/>
                <w:szCs w:val="16"/>
              </w:rPr>
              <w:t>1 300,2</w:t>
            </w:r>
          </w:p>
        </w:tc>
        <w:tc>
          <w:tcPr>
            <w:tcW w:w="704" w:type="dxa"/>
            <w:tcBorders>
              <w:top w:val="nil"/>
              <w:left w:val="nil"/>
              <w:bottom w:val="nil"/>
              <w:right w:val="nil"/>
            </w:tcBorders>
            <w:shd w:val="clear" w:color="auto" w:fill="auto"/>
            <w:vAlign w:val="center"/>
            <w:hideMark/>
          </w:tcPr>
          <w:p w14:paraId="448A466A" w14:textId="34EE169D" w:rsidR="004071F1" w:rsidRPr="00D92E20" w:rsidRDefault="004071F1" w:rsidP="004071F1">
            <w:pPr>
              <w:spacing w:after="0" w:line="240" w:lineRule="auto"/>
              <w:jc w:val="right"/>
              <w:rPr>
                <w:rFonts w:cs="Arial"/>
                <w:color w:val="000000"/>
                <w:sz w:val="16"/>
                <w:szCs w:val="16"/>
              </w:rPr>
            </w:pPr>
            <w:r>
              <w:rPr>
                <w:rFonts w:cs="Arial"/>
                <w:color w:val="000000"/>
                <w:sz w:val="16"/>
                <w:szCs w:val="16"/>
              </w:rPr>
              <w:t>638,9</w:t>
            </w:r>
          </w:p>
        </w:tc>
        <w:tc>
          <w:tcPr>
            <w:tcW w:w="704" w:type="dxa"/>
            <w:tcBorders>
              <w:top w:val="nil"/>
              <w:left w:val="nil"/>
              <w:bottom w:val="nil"/>
              <w:right w:val="nil"/>
            </w:tcBorders>
            <w:shd w:val="clear" w:color="auto" w:fill="auto"/>
            <w:vAlign w:val="center"/>
            <w:hideMark/>
          </w:tcPr>
          <w:p w14:paraId="07BC2A0D" w14:textId="1E005B78" w:rsidR="004071F1" w:rsidRPr="00D92E20" w:rsidRDefault="004071F1" w:rsidP="004071F1">
            <w:pPr>
              <w:spacing w:after="0" w:line="240" w:lineRule="auto"/>
              <w:jc w:val="right"/>
              <w:rPr>
                <w:rFonts w:cs="Arial"/>
                <w:color w:val="000000"/>
                <w:sz w:val="16"/>
                <w:szCs w:val="16"/>
              </w:rPr>
            </w:pPr>
            <w:r>
              <w:rPr>
                <w:rFonts w:cs="Arial"/>
                <w:color w:val="000000"/>
                <w:sz w:val="16"/>
                <w:szCs w:val="16"/>
              </w:rPr>
              <w:t>661,3</w:t>
            </w:r>
          </w:p>
        </w:tc>
        <w:tc>
          <w:tcPr>
            <w:tcW w:w="754" w:type="dxa"/>
            <w:tcBorders>
              <w:top w:val="nil"/>
              <w:left w:val="single" w:sz="4" w:space="0" w:color="auto"/>
              <w:bottom w:val="nil"/>
              <w:right w:val="nil"/>
            </w:tcBorders>
            <w:shd w:val="clear" w:color="auto" w:fill="auto"/>
            <w:vAlign w:val="center"/>
            <w:hideMark/>
          </w:tcPr>
          <w:p w14:paraId="58A5EA85" w14:textId="3DB8FB44" w:rsidR="004071F1" w:rsidRPr="00D92E20" w:rsidRDefault="004071F1" w:rsidP="004071F1">
            <w:pPr>
              <w:spacing w:after="0" w:line="240" w:lineRule="auto"/>
              <w:jc w:val="right"/>
              <w:rPr>
                <w:rFonts w:cs="Arial"/>
                <w:color w:val="000000"/>
                <w:sz w:val="16"/>
                <w:szCs w:val="16"/>
              </w:rPr>
            </w:pPr>
            <w:r>
              <w:rPr>
                <w:rFonts w:cs="Arial"/>
                <w:color w:val="000000"/>
                <w:sz w:val="16"/>
                <w:szCs w:val="16"/>
              </w:rPr>
              <w:t>23,3</w:t>
            </w:r>
          </w:p>
        </w:tc>
        <w:tc>
          <w:tcPr>
            <w:tcW w:w="709" w:type="dxa"/>
            <w:tcBorders>
              <w:top w:val="nil"/>
              <w:left w:val="nil"/>
              <w:bottom w:val="nil"/>
              <w:right w:val="nil"/>
            </w:tcBorders>
            <w:shd w:val="clear" w:color="auto" w:fill="auto"/>
            <w:vAlign w:val="center"/>
            <w:hideMark/>
          </w:tcPr>
          <w:p w14:paraId="7022DA30" w14:textId="2A7FBB8F" w:rsidR="004071F1" w:rsidRPr="00D92E20" w:rsidRDefault="004071F1" w:rsidP="004071F1">
            <w:pPr>
              <w:spacing w:after="0" w:line="240" w:lineRule="auto"/>
              <w:jc w:val="right"/>
              <w:rPr>
                <w:rFonts w:cs="Arial"/>
                <w:color w:val="000000"/>
                <w:sz w:val="16"/>
                <w:szCs w:val="16"/>
              </w:rPr>
            </w:pPr>
            <w:r>
              <w:rPr>
                <w:rFonts w:cs="Arial"/>
                <w:color w:val="000000"/>
                <w:sz w:val="16"/>
                <w:szCs w:val="16"/>
              </w:rPr>
              <w:t>16,2</w:t>
            </w:r>
          </w:p>
        </w:tc>
        <w:tc>
          <w:tcPr>
            <w:tcW w:w="709" w:type="dxa"/>
            <w:tcBorders>
              <w:top w:val="nil"/>
              <w:left w:val="nil"/>
              <w:bottom w:val="nil"/>
              <w:right w:val="single" w:sz="4" w:space="0" w:color="auto"/>
            </w:tcBorders>
            <w:shd w:val="clear" w:color="auto" w:fill="auto"/>
            <w:vAlign w:val="center"/>
            <w:hideMark/>
          </w:tcPr>
          <w:p w14:paraId="04195688" w14:textId="398DE294" w:rsidR="004071F1" w:rsidRPr="00D92E20" w:rsidRDefault="004071F1" w:rsidP="004071F1">
            <w:pPr>
              <w:spacing w:after="0" w:line="240" w:lineRule="auto"/>
              <w:jc w:val="right"/>
              <w:rPr>
                <w:rFonts w:cs="Arial"/>
                <w:color w:val="000000"/>
                <w:sz w:val="16"/>
                <w:szCs w:val="16"/>
              </w:rPr>
            </w:pPr>
            <w:r>
              <w:rPr>
                <w:rFonts w:cs="Arial"/>
                <w:color w:val="000000"/>
                <w:sz w:val="16"/>
                <w:szCs w:val="16"/>
              </w:rPr>
              <w:t>7,1</w:t>
            </w:r>
          </w:p>
        </w:tc>
        <w:tc>
          <w:tcPr>
            <w:tcW w:w="709" w:type="dxa"/>
            <w:tcBorders>
              <w:top w:val="nil"/>
              <w:left w:val="nil"/>
              <w:bottom w:val="nil"/>
              <w:right w:val="nil"/>
            </w:tcBorders>
            <w:shd w:val="clear" w:color="auto" w:fill="auto"/>
            <w:vAlign w:val="center"/>
            <w:hideMark/>
          </w:tcPr>
          <w:p w14:paraId="5B1952E1" w14:textId="3702E1A3" w:rsidR="004071F1" w:rsidRPr="00D92E20" w:rsidRDefault="004071F1" w:rsidP="004071F1">
            <w:pPr>
              <w:spacing w:after="0" w:line="240" w:lineRule="auto"/>
              <w:jc w:val="right"/>
              <w:rPr>
                <w:rFonts w:cs="Arial"/>
                <w:color w:val="000000"/>
                <w:sz w:val="16"/>
                <w:szCs w:val="16"/>
              </w:rPr>
            </w:pPr>
            <w:r>
              <w:rPr>
                <w:rFonts w:cs="Arial"/>
                <w:color w:val="000000"/>
                <w:sz w:val="16"/>
                <w:szCs w:val="16"/>
              </w:rPr>
              <w:t>75,9</w:t>
            </w:r>
          </w:p>
        </w:tc>
        <w:tc>
          <w:tcPr>
            <w:tcW w:w="709" w:type="dxa"/>
            <w:tcBorders>
              <w:top w:val="nil"/>
              <w:left w:val="nil"/>
              <w:bottom w:val="nil"/>
              <w:right w:val="nil"/>
            </w:tcBorders>
            <w:shd w:val="clear" w:color="auto" w:fill="auto"/>
            <w:vAlign w:val="center"/>
            <w:hideMark/>
          </w:tcPr>
          <w:p w14:paraId="758D79C5" w14:textId="2EFF5038" w:rsidR="004071F1" w:rsidRPr="00D92E20" w:rsidRDefault="004071F1" w:rsidP="004071F1">
            <w:pPr>
              <w:spacing w:after="0" w:line="240" w:lineRule="auto"/>
              <w:jc w:val="right"/>
              <w:rPr>
                <w:rFonts w:cs="Arial"/>
                <w:color w:val="000000"/>
                <w:sz w:val="16"/>
                <w:szCs w:val="16"/>
              </w:rPr>
            </w:pPr>
            <w:r>
              <w:rPr>
                <w:rFonts w:cs="Arial"/>
                <w:color w:val="000000"/>
                <w:sz w:val="16"/>
                <w:szCs w:val="16"/>
              </w:rPr>
              <w:t>45,8</w:t>
            </w:r>
          </w:p>
        </w:tc>
        <w:tc>
          <w:tcPr>
            <w:tcW w:w="709" w:type="dxa"/>
            <w:tcBorders>
              <w:top w:val="nil"/>
              <w:left w:val="nil"/>
              <w:bottom w:val="nil"/>
              <w:right w:val="nil"/>
            </w:tcBorders>
            <w:shd w:val="clear" w:color="auto" w:fill="auto"/>
            <w:vAlign w:val="center"/>
            <w:hideMark/>
          </w:tcPr>
          <w:p w14:paraId="4F857A52" w14:textId="2A96F480" w:rsidR="004071F1" w:rsidRPr="00D92E20" w:rsidRDefault="004071F1" w:rsidP="004071F1">
            <w:pPr>
              <w:spacing w:after="0" w:line="240" w:lineRule="auto"/>
              <w:jc w:val="right"/>
              <w:rPr>
                <w:rFonts w:cs="Arial"/>
                <w:color w:val="000000"/>
                <w:sz w:val="16"/>
                <w:szCs w:val="16"/>
              </w:rPr>
            </w:pPr>
            <w:r>
              <w:rPr>
                <w:rFonts w:cs="Arial"/>
                <w:color w:val="000000"/>
                <w:sz w:val="16"/>
                <w:szCs w:val="16"/>
              </w:rPr>
              <w:t>30,1</w:t>
            </w:r>
          </w:p>
        </w:tc>
      </w:tr>
      <w:tr w:rsidR="004071F1" w:rsidRPr="00D92E20" w14:paraId="6DC356AE" w14:textId="77777777" w:rsidTr="00DF284E">
        <w:trPr>
          <w:trHeight w:val="300"/>
        </w:trPr>
        <w:tc>
          <w:tcPr>
            <w:tcW w:w="1020" w:type="dxa"/>
            <w:tcBorders>
              <w:top w:val="nil"/>
              <w:left w:val="nil"/>
              <w:bottom w:val="nil"/>
              <w:right w:val="single" w:sz="4" w:space="0" w:color="auto"/>
            </w:tcBorders>
            <w:shd w:val="clear" w:color="auto" w:fill="auto"/>
            <w:vAlign w:val="center"/>
            <w:hideMark/>
          </w:tcPr>
          <w:p w14:paraId="2D9CC714" w14:textId="25BBB599" w:rsidR="004071F1" w:rsidRPr="00D92E20" w:rsidRDefault="004071F1" w:rsidP="004071F1">
            <w:pPr>
              <w:spacing w:after="0" w:line="240" w:lineRule="auto"/>
              <w:jc w:val="center"/>
              <w:rPr>
                <w:rFonts w:cs="Arial"/>
                <w:color w:val="000000"/>
                <w:sz w:val="16"/>
                <w:szCs w:val="16"/>
              </w:rPr>
            </w:pPr>
            <w:r>
              <w:rPr>
                <w:rFonts w:cs="Arial"/>
                <w:sz w:val="16"/>
                <w:szCs w:val="16"/>
              </w:rPr>
              <w:t>1. pol. 2022</w:t>
            </w:r>
          </w:p>
        </w:tc>
        <w:tc>
          <w:tcPr>
            <w:tcW w:w="710" w:type="dxa"/>
            <w:tcBorders>
              <w:top w:val="nil"/>
              <w:left w:val="nil"/>
              <w:bottom w:val="nil"/>
              <w:right w:val="nil"/>
            </w:tcBorders>
            <w:shd w:val="clear" w:color="auto" w:fill="auto"/>
            <w:vAlign w:val="center"/>
            <w:hideMark/>
          </w:tcPr>
          <w:p w14:paraId="728E121E" w14:textId="045283CF" w:rsidR="004071F1" w:rsidRPr="00D92E20" w:rsidRDefault="004071F1" w:rsidP="004071F1">
            <w:pPr>
              <w:spacing w:after="0" w:line="240" w:lineRule="auto"/>
              <w:jc w:val="right"/>
              <w:rPr>
                <w:rFonts w:cs="Arial"/>
                <w:color w:val="000000"/>
                <w:sz w:val="16"/>
                <w:szCs w:val="16"/>
              </w:rPr>
            </w:pPr>
            <w:r>
              <w:rPr>
                <w:rFonts w:cs="Arial"/>
                <w:color w:val="000000"/>
                <w:sz w:val="16"/>
                <w:szCs w:val="16"/>
              </w:rPr>
              <w:t>2 053,9</w:t>
            </w:r>
          </w:p>
        </w:tc>
        <w:tc>
          <w:tcPr>
            <w:tcW w:w="704" w:type="dxa"/>
            <w:tcBorders>
              <w:top w:val="nil"/>
              <w:left w:val="nil"/>
              <w:bottom w:val="nil"/>
              <w:right w:val="nil"/>
            </w:tcBorders>
            <w:shd w:val="clear" w:color="auto" w:fill="auto"/>
            <w:vAlign w:val="center"/>
            <w:hideMark/>
          </w:tcPr>
          <w:p w14:paraId="4F5A1085" w14:textId="05C11B8A" w:rsidR="004071F1" w:rsidRPr="00D92E20" w:rsidRDefault="004071F1" w:rsidP="004071F1">
            <w:pPr>
              <w:spacing w:after="0" w:line="240" w:lineRule="auto"/>
              <w:jc w:val="right"/>
              <w:rPr>
                <w:rFonts w:cs="Arial"/>
                <w:color w:val="000000"/>
                <w:sz w:val="16"/>
                <w:szCs w:val="16"/>
              </w:rPr>
            </w:pPr>
            <w:r>
              <w:rPr>
                <w:rFonts w:cs="Arial"/>
                <w:color w:val="000000"/>
                <w:sz w:val="16"/>
                <w:szCs w:val="16"/>
              </w:rPr>
              <w:t>946,0</w:t>
            </w:r>
          </w:p>
        </w:tc>
        <w:tc>
          <w:tcPr>
            <w:tcW w:w="704" w:type="dxa"/>
            <w:tcBorders>
              <w:top w:val="nil"/>
              <w:left w:val="nil"/>
              <w:bottom w:val="nil"/>
              <w:right w:val="single" w:sz="4" w:space="0" w:color="auto"/>
            </w:tcBorders>
            <w:shd w:val="clear" w:color="auto" w:fill="auto"/>
            <w:vAlign w:val="center"/>
            <w:hideMark/>
          </w:tcPr>
          <w:p w14:paraId="4D388F77" w14:textId="23A53474" w:rsidR="004071F1" w:rsidRPr="00D92E20" w:rsidRDefault="004071F1" w:rsidP="004071F1">
            <w:pPr>
              <w:spacing w:after="0" w:line="240" w:lineRule="auto"/>
              <w:jc w:val="right"/>
              <w:rPr>
                <w:rFonts w:cs="Arial"/>
                <w:color w:val="000000"/>
                <w:sz w:val="16"/>
                <w:szCs w:val="16"/>
              </w:rPr>
            </w:pPr>
            <w:r>
              <w:rPr>
                <w:rFonts w:cs="Arial"/>
                <w:color w:val="000000"/>
                <w:sz w:val="16"/>
                <w:szCs w:val="16"/>
              </w:rPr>
              <w:t>1 107,9</w:t>
            </w:r>
          </w:p>
        </w:tc>
        <w:tc>
          <w:tcPr>
            <w:tcW w:w="707" w:type="dxa"/>
            <w:tcBorders>
              <w:top w:val="nil"/>
              <w:left w:val="nil"/>
              <w:bottom w:val="nil"/>
              <w:right w:val="nil"/>
            </w:tcBorders>
            <w:shd w:val="clear" w:color="auto" w:fill="auto"/>
            <w:vAlign w:val="center"/>
            <w:hideMark/>
          </w:tcPr>
          <w:p w14:paraId="0DE49735" w14:textId="2C723243" w:rsidR="004071F1" w:rsidRPr="00D92E20" w:rsidRDefault="004071F1" w:rsidP="004071F1">
            <w:pPr>
              <w:spacing w:after="0" w:line="240" w:lineRule="auto"/>
              <w:jc w:val="right"/>
              <w:rPr>
                <w:rFonts w:cs="Arial"/>
                <w:color w:val="000000"/>
                <w:sz w:val="16"/>
                <w:szCs w:val="16"/>
              </w:rPr>
            </w:pPr>
            <w:r>
              <w:rPr>
                <w:rFonts w:cs="Arial"/>
                <w:color w:val="000000"/>
                <w:sz w:val="16"/>
                <w:szCs w:val="16"/>
              </w:rPr>
              <w:t>1 942,4</w:t>
            </w:r>
          </w:p>
        </w:tc>
        <w:tc>
          <w:tcPr>
            <w:tcW w:w="704" w:type="dxa"/>
            <w:tcBorders>
              <w:top w:val="nil"/>
              <w:left w:val="nil"/>
              <w:bottom w:val="nil"/>
              <w:right w:val="nil"/>
            </w:tcBorders>
            <w:shd w:val="clear" w:color="auto" w:fill="auto"/>
            <w:vAlign w:val="center"/>
            <w:hideMark/>
          </w:tcPr>
          <w:p w14:paraId="158990F7" w14:textId="57D8EE86" w:rsidR="004071F1" w:rsidRPr="00D92E20" w:rsidRDefault="004071F1" w:rsidP="004071F1">
            <w:pPr>
              <w:spacing w:after="0" w:line="240" w:lineRule="auto"/>
              <w:jc w:val="right"/>
              <w:rPr>
                <w:rFonts w:cs="Arial"/>
                <w:color w:val="000000"/>
                <w:sz w:val="16"/>
                <w:szCs w:val="16"/>
              </w:rPr>
            </w:pPr>
            <w:r>
              <w:rPr>
                <w:rFonts w:cs="Arial"/>
                <w:color w:val="000000"/>
                <w:sz w:val="16"/>
                <w:szCs w:val="16"/>
              </w:rPr>
              <w:t>876,6</w:t>
            </w:r>
          </w:p>
        </w:tc>
        <w:tc>
          <w:tcPr>
            <w:tcW w:w="704" w:type="dxa"/>
            <w:tcBorders>
              <w:top w:val="nil"/>
              <w:left w:val="nil"/>
              <w:bottom w:val="nil"/>
              <w:right w:val="nil"/>
            </w:tcBorders>
            <w:shd w:val="clear" w:color="auto" w:fill="auto"/>
            <w:vAlign w:val="center"/>
            <w:hideMark/>
          </w:tcPr>
          <w:p w14:paraId="598B1CDC" w14:textId="0E73BCF9" w:rsidR="004071F1" w:rsidRPr="00D92E20" w:rsidRDefault="004071F1" w:rsidP="004071F1">
            <w:pPr>
              <w:spacing w:after="0" w:line="240" w:lineRule="auto"/>
              <w:jc w:val="right"/>
              <w:rPr>
                <w:rFonts w:cs="Arial"/>
                <w:color w:val="000000"/>
                <w:sz w:val="16"/>
                <w:szCs w:val="16"/>
              </w:rPr>
            </w:pPr>
            <w:r>
              <w:rPr>
                <w:rFonts w:cs="Arial"/>
                <w:color w:val="000000"/>
                <w:sz w:val="16"/>
                <w:szCs w:val="16"/>
              </w:rPr>
              <w:t>1 065,8</w:t>
            </w:r>
          </w:p>
        </w:tc>
        <w:tc>
          <w:tcPr>
            <w:tcW w:w="754" w:type="dxa"/>
            <w:tcBorders>
              <w:top w:val="nil"/>
              <w:left w:val="single" w:sz="4" w:space="0" w:color="auto"/>
              <w:bottom w:val="nil"/>
              <w:right w:val="nil"/>
            </w:tcBorders>
            <w:shd w:val="clear" w:color="auto" w:fill="auto"/>
            <w:vAlign w:val="center"/>
            <w:hideMark/>
          </w:tcPr>
          <w:p w14:paraId="48DF088D" w14:textId="76B4DE4A" w:rsidR="004071F1" w:rsidRPr="00D92E20" w:rsidRDefault="004071F1" w:rsidP="004071F1">
            <w:pPr>
              <w:spacing w:after="0" w:line="240" w:lineRule="auto"/>
              <w:jc w:val="right"/>
              <w:rPr>
                <w:rFonts w:cs="Arial"/>
                <w:color w:val="000000"/>
                <w:sz w:val="16"/>
                <w:szCs w:val="16"/>
              </w:rPr>
            </w:pPr>
            <w:r>
              <w:rPr>
                <w:rFonts w:cs="Arial"/>
                <w:color w:val="000000"/>
                <w:sz w:val="16"/>
                <w:szCs w:val="16"/>
              </w:rPr>
              <w:t>23,3</w:t>
            </w:r>
          </w:p>
        </w:tc>
        <w:tc>
          <w:tcPr>
            <w:tcW w:w="709" w:type="dxa"/>
            <w:tcBorders>
              <w:top w:val="nil"/>
              <w:left w:val="nil"/>
              <w:bottom w:val="nil"/>
              <w:right w:val="nil"/>
            </w:tcBorders>
            <w:shd w:val="clear" w:color="auto" w:fill="auto"/>
            <w:vAlign w:val="center"/>
            <w:hideMark/>
          </w:tcPr>
          <w:p w14:paraId="2F57E0E4" w14:textId="6012358E" w:rsidR="004071F1" w:rsidRPr="00D92E20" w:rsidRDefault="004071F1" w:rsidP="004071F1">
            <w:pPr>
              <w:spacing w:after="0" w:line="240" w:lineRule="auto"/>
              <w:jc w:val="right"/>
              <w:rPr>
                <w:rFonts w:cs="Arial"/>
                <w:color w:val="000000"/>
                <w:sz w:val="16"/>
                <w:szCs w:val="16"/>
              </w:rPr>
            </w:pPr>
            <w:r>
              <w:rPr>
                <w:rFonts w:cs="Arial"/>
                <w:color w:val="000000"/>
                <w:sz w:val="16"/>
                <w:szCs w:val="16"/>
              </w:rPr>
              <w:t>15,6</w:t>
            </w:r>
          </w:p>
        </w:tc>
        <w:tc>
          <w:tcPr>
            <w:tcW w:w="709" w:type="dxa"/>
            <w:tcBorders>
              <w:top w:val="nil"/>
              <w:left w:val="nil"/>
              <w:bottom w:val="nil"/>
              <w:right w:val="single" w:sz="4" w:space="0" w:color="auto"/>
            </w:tcBorders>
            <w:shd w:val="clear" w:color="auto" w:fill="auto"/>
            <w:vAlign w:val="center"/>
            <w:hideMark/>
          </w:tcPr>
          <w:p w14:paraId="595B523C" w14:textId="72291D84" w:rsidR="004071F1" w:rsidRPr="00D92E20" w:rsidRDefault="004071F1" w:rsidP="004071F1">
            <w:pPr>
              <w:spacing w:after="0" w:line="240" w:lineRule="auto"/>
              <w:jc w:val="right"/>
              <w:rPr>
                <w:rFonts w:cs="Arial"/>
                <w:color w:val="000000"/>
                <w:sz w:val="16"/>
                <w:szCs w:val="16"/>
              </w:rPr>
            </w:pPr>
            <w:r>
              <w:rPr>
                <w:rFonts w:cs="Arial"/>
                <w:color w:val="000000"/>
                <w:sz w:val="16"/>
                <w:szCs w:val="16"/>
              </w:rPr>
              <w:t>7,7</w:t>
            </w:r>
          </w:p>
        </w:tc>
        <w:tc>
          <w:tcPr>
            <w:tcW w:w="709" w:type="dxa"/>
            <w:tcBorders>
              <w:top w:val="nil"/>
              <w:left w:val="nil"/>
              <w:bottom w:val="nil"/>
              <w:right w:val="nil"/>
            </w:tcBorders>
            <w:shd w:val="clear" w:color="auto" w:fill="auto"/>
            <w:vAlign w:val="center"/>
            <w:hideMark/>
          </w:tcPr>
          <w:p w14:paraId="1F6EA59C" w14:textId="72A165C2" w:rsidR="004071F1" w:rsidRPr="00D92E20" w:rsidRDefault="004071F1" w:rsidP="004071F1">
            <w:pPr>
              <w:spacing w:after="0" w:line="240" w:lineRule="auto"/>
              <w:jc w:val="right"/>
              <w:rPr>
                <w:rFonts w:cs="Arial"/>
                <w:color w:val="000000"/>
                <w:sz w:val="16"/>
                <w:szCs w:val="16"/>
              </w:rPr>
            </w:pPr>
            <w:r>
              <w:rPr>
                <w:rFonts w:cs="Arial"/>
                <w:color w:val="000000"/>
                <w:sz w:val="16"/>
                <w:szCs w:val="16"/>
              </w:rPr>
              <w:t>88,2</w:t>
            </w:r>
          </w:p>
        </w:tc>
        <w:tc>
          <w:tcPr>
            <w:tcW w:w="709" w:type="dxa"/>
            <w:tcBorders>
              <w:top w:val="nil"/>
              <w:left w:val="nil"/>
              <w:bottom w:val="nil"/>
              <w:right w:val="nil"/>
            </w:tcBorders>
            <w:shd w:val="clear" w:color="auto" w:fill="auto"/>
            <w:vAlign w:val="center"/>
            <w:hideMark/>
          </w:tcPr>
          <w:p w14:paraId="72D41508" w14:textId="37908822" w:rsidR="004071F1" w:rsidRPr="00D92E20" w:rsidRDefault="004071F1" w:rsidP="004071F1">
            <w:pPr>
              <w:spacing w:after="0" w:line="240" w:lineRule="auto"/>
              <w:jc w:val="right"/>
              <w:rPr>
                <w:rFonts w:cs="Arial"/>
                <w:color w:val="000000"/>
                <w:sz w:val="16"/>
                <w:szCs w:val="16"/>
              </w:rPr>
            </w:pPr>
            <w:r>
              <w:rPr>
                <w:rFonts w:cs="Arial"/>
                <w:color w:val="000000"/>
                <w:sz w:val="16"/>
                <w:szCs w:val="16"/>
              </w:rPr>
              <w:t>53,8</w:t>
            </w:r>
          </w:p>
        </w:tc>
        <w:tc>
          <w:tcPr>
            <w:tcW w:w="709" w:type="dxa"/>
            <w:tcBorders>
              <w:top w:val="nil"/>
              <w:left w:val="nil"/>
              <w:bottom w:val="nil"/>
              <w:right w:val="nil"/>
            </w:tcBorders>
            <w:shd w:val="clear" w:color="auto" w:fill="auto"/>
            <w:vAlign w:val="center"/>
            <w:hideMark/>
          </w:tcPr>
          <w:p w14:paraId="4D37B90F" w14:textId="674DFCA2" w:rsidR="004071F1" w:rsidRPr="00D92E20" w:rsidRDefault="004071F1" w:rsidP="004071F1">
            <w:pPr>
              <w:spacing w:after="0" w:line="240" w:lineRule="auto"/>
              <w:jc w:val="right"/>
              <w:rPr>
                <w:rFonts w:cs="Arial"/>
                <w:color w:val="000000"/>
                <w:sz w:val="16"/>
                <w:szCs w:val="16"/>
              </w:rPr>
            </w:pPr>
            <w:r>
              <w:rPr>
                <w:rFonts w:cs="Arial"/>
                <w:color w:val="000000"/>
                <w:sz w:val="16"/>
                <w:szCs w:val="16"/>
              </w:rPr>
              <w:t>34,4</w:t>
            </w:r>
          </w:p>
        </w:tc>
      </w:tr>
    </w:tbl>
    <w:p w14:paraId="79E13011" w14:textId="77777777" w:rsidR="00C44482" w:rsidRPr="00D92E20" w:rsidRDefault="00C44482" w:rsidP="00C44482">
      <w:pPr>
        <w:spacing w:before="120" w:after="120" w:line="240" w:lineRule="auto"/>
        <w:jc w:val="both"/>
        <w:rPr>
          <w:rFonts w:cs="Arial"/>
          <w:color w:val="000000"/>
          <w:sz w:val="16"/>
          <w:szCs w:val="16"/>
        </w:rPr>
      </w:pPr>
      <w:r w:rsidRPr="00D92E20">
        <w:rPr>
          <w:rFonts w:cs="Arial"/>
          <w:color w:val="000000"/>
          <w:sz w:val="16"/>
          <w:szCs w:val="16"/>
        </w:rPr>
        <w:t>Zdroj: ČSÚ</w:t>
      </w:r>
    </w:p>
    <w:p w14:paraId="5B1B8D28" w14:textId="6D9F1314" w:rsidR="00265606" w:rsidRDefault="00265606" w:rsidP="00265606">
      <w:pPr>
        <w:spacing w:before="120" w:after="120"/>
        <w:jc w:val="both"/>
      </w:pPr>
      <w:r>
        <w:t xml:space="preserve">Loňské 1. pololetí, kdy </w:t>
      </w:r>
      <w:r w:rsidR="002E4CAA" w:rsidRPr="00D92E20">
        <w:t xml:space="preserve">do pracovní neschopnosti </w:t>
      </w:r>
      <w:r>
        <w:t xml:space="preserve">nepatrně </w:t>
      </w:r>
      <w:r w:rsidR="00DF284E">
        <w:t>častěji</w:t>
      </w:r>
      <w:r w:rsidR="002E4CAA" w:rsidRPr="00D92E20">
        <w:t xml:space="preserve"> </w:t>
      </w:r>
      <w:r w:rsidRPr="00D92E20">
        <w:t>nastupoval</w:t>
      </w:r>
      <w:r>
        <w:t>i muži, představovalo výjimku. V 1. pol. 2022</w:t>
      </w:r>
      <w:r w:rsidR="00DF284E" w:rsidRPr="00265606">
        <w:rPr>
          <w:b/>
        </w:rPr>
        <w:t xml:space="preserve"> </w:t>
      </w:r>
      <w:r w:rsidR="00794B90" w:rsidRPr="00265606">
        <w:rPr>
          <w:b/>
        </w:rPr>
        <w:t xml:space="preserve">v počtu neschopenek </w:t>
      </w:r>
      <w:r>
        <w:rPr>
          <w:b/>
        </w:rPr>
        <w:t xml:space="preserve">opět </w:t>
      </w:r>
      <w:r w:rsidR="00DF284E" w:rsidRPr="00265606">
        <w:rPr>
          <w:b/>
        </w:rPr>
        <w:t>převládal</w:t>
      </w:r>
      <w:r w:rsidR="007872B7">
        <w:rPr>
          <w:b/>
        </w:rPr>
        <w:t>y</w:t>
      </w:r>
      <w:r w:rsidR="00DF284E" w:rsidRPr="00265606">
        <w:rPr>
          <w:b/>
        </w:rPr>
        <w:t xml:space="preserve"> </w:t>
      </w:r>
      <w:r w:rsidR="007872B7">
        <w:rPr>
          <w:b/>
        </w:rPr>
        <w:t>ženy</w:t>
      </w:r>
      <w:r w:rsidR="002E4CAA" w:rsidRPr="00D92E20">
        <w:t xml:space="preserve">. </w:t>
      </w:r>
      <w:r w:rsidR="007872B7">
        <w:t>Muži n</w:t>
      </w:r>
      <w:r w:rsidR="002E4CAA" w:rsidRPr="00D92E20">
        <w:t>ahlásil</w:t>
      </w:r>
      <w:r w:rsidR="005E16DB">
        <w:t>i</w:t>
      </w:r>
      <w:r w:rsidR="002E4CAA" w:rsidRPr="00D92E20">
        <w:t xml:space="preserve"> </w:t>
      </w:r>
      <w:r w:rsidR="005E16DB">
        <w:t xml:space="preserve">celkem </w:t>
      </w:r>
      <w:r>
        <w:t>946</w:t>
      </w:r>
      <w:r w:rsidR="00794B90">
        <w:t xml:space="preserve"> tis. případů, zatímco </w:t>
      </w:r>
      <w:r w:rsidR="00794B90">
        <w:lastRenderedPageBreak/>
        <w:t xml:space="preserve">ženy </w:t>
      </w:r>
      <w:r w:rsidR="00315DF2">
        <w:t xml:space="preserve">1 108 tis. případů (tj. </w:t>
      </w:r>
      <w:r w:rsidR="00794B90">
        <w:t xml:space="preserve">o </w:t>
      </w:r>
      <w:r>
        <w:t>nebývalých 162 tis.</w:t>
      </w:r>
      <w:r w:rsidR="00794B90">
        <w:t xml:space="preserve"> </w:t>
      </w:r>
      <w:r w:rsidR="005E16DB">
        <w:t xml:space="preserve">neschopností </w:t>
      </w:r>
      <w:r>
        <w:t>více</w:t>
      </w:r>
      <w:r w:rsidR="00315DF2">
        <w:t>)</w:t>
      </w:r>
      <w:r w:rsidR="00794B90">
        <w:t xml:space="preserve">. </w:t>
      </w:r>
      <w:r>
        <w:t xml:space="preserve">Procentuálně tak </w:t>
      </w:r>
      <w:r w:rsidR="00315DF2">
        <w:t xml:space="preserve">ženy </w:t>
      </w:r>
      <w:r>
        <w:t>zaujímaly 54 % všech neschopenek.</w:t>
      </w:r>
    </w:p>
    <w:p w14:paraId="4EFDFAE1" w14:textId="1C3B8A41" w:rsidR="002E4CAA" w:rsidRPr="00B75B87" w:rsidRDefault="005E16DB" w:rsidP="00265606">
      <w:pPr>
        <w:spacing w:before="120" w:after="120"/>
        <w:jc w:val="both"/>
      </w:pPr>
      <w:r>
        <w:t xml:space="preserve">Pokud se zaměříme na </w:t>
      </w:r>
      <w:r w:rsidR="002E4CAA" w:rsidRPr="00D92E20">
        <w:t xml:space="preserve">dočasné pracovní neschopnosti </w:t>
      </w:r>
      <w:r w:rsidR="002E4CAA" w:rsidRPr="00265606">
        <w:rPr>
          <w:b/>
        </w:rPr>
        <w:t>pro nemoc</w:t>
      </w:r>
      <w:r w:rsidRPr="005E16DB">
        <w:t xml:space="preserve">, </w:t>
      </w:r>
      <w:r w:rsidR="00265606">
        <w:t>je rozdíl ještě větší. Ženy vykázaly 1</w:t>
      </w:r>
      <w:r w:rsidR="00923F2E">
        <w:t> </w:t>
      </w:r>
      <w:r w:rsidR="00265606">
        <w:t>066</w:t>
      </w:r>
      <w:r w:rsidR="00923F2E">
        <w:t> </w:t>
      </w:r>
      <w:r w:rsidR="00265606">
        <w:t>tis. případů, což je o 189 tis. více než muži.</w:t>
      </w:r>
      <w:r w:rsidR="00B75B87">
        <w:t xml:space="preserve"> Srovnáme-li současný stav s obdobím před pandemií (tedy s</w:t>
      </w:r>
      <w:r w:rsidR="00EC684E">
        <w:t> </w:t>
      </w:r>
      <w:r w:rsidR="00B75B87">
        <w:t>1.</w:t>
      </w:r>
      <w:r w:rsidR="00EC684E">
        <w:t> </w:t>
      </w:r>
      <w:r w:rsidR="00B75B87">
        <w:t xml:space="preserve">pol. 2019), počet neschopenek pro nemoc </w:t>
      </w:r>
      <w:r w:rsidR="00EC684E">
        <w:t>se více než zdvojnásobil. U</w:t>
      </w:r>
      <w:r w:rsidR="00B75B87">
        <w:t xml:space="preserve"> mužů vzrostl </w:t>
      </w:r>
      <w:r w:rsidR="00EC684E">
        <w:t>o 125</w:t>
      </w:r>
      <w:r w:rsidR="00B75B87">
        <w:t xml:space="preserve"> % (+</w:t>
      </w:r>
      <w:r w:rsidR="00EC684E">
        <w:t>487</w:t>
      </w:r>
      <w:r w:rsidR="00B75B87">
        <w:t xml:space="preserve"> tis.), zatímco u žen o </w:t>
      </w:r>
      <w:r w:rsidR="00E85509">
        <w:t>1</w:t>
      </w:r>
      <w:r w:rsidR="00EC684E">
        <w:t>21</w:t>
      </w:r>
      <w:r w:rsidR="00B75B87">
        <w:t xml:space="preserve"> % (+</w:t>
      </w:r>
      <w:r w:rsidR="00EC684E">
        <w:t>583</w:t>
      </w:r>
      <w:r w:rsidR="00B75B87">
        <w:t xml:space="preserve"> tis.).</w:t>
      </w:r>
    </w:p>
    <w:p w14:paraId="008E6993" w14:textId="476D2DB1" w:rsidR="002E4CAA" w:rsidRPr="00D92E20" w:rsidRDefault="002E4CAA" w:rsidP="00BA6B4E">
      <w:pPr>
        <w:spacing w:before="120" w:after="120"/>
        <w:jc w:val="both"/>
        <w:rPr>
          <w:bCs/>
        </w:rPr>
      </w:pPr>
      <w:r w:rsidRPr="00D92E20">
        <w:rPr>
          <w:bCs/>
        </w:rPr>
        <w:t xml:space="preserve">Z celkového počtu nově hlášených případů PN (pracovní neschopnosti) pro </w:t>
      </w:r>
      <w:r w:rsidRPr="00D92E20">
        <w:rPr>
          <w:b/>
          <w:bCs/>
        </w:rPr>
        <w:t>pracovní úrazy</w:t>
      </w:r>
      <w:r w:rsidRPr="00D92E20">
        <w:rPr>
          <w:bCs/>
        </w:rPr>
        <w:t xml:space="preserve"> připadala v</w:t>
      </w:r>
      <w:r w:rsidR="00511B87">
        <w:rPr>
          <w:bCs/>
        </w:rPr>
        <w:t> 1.</w:t>
      </w:r>
      <w:r w:rsidR="00CD63E8">
        <w:rPr>
          <w:bCs/>
        </w:rPr>
        <w:t> </w:t>
      </w:r>
      <w:r w:rsidR="00511B87">
        <w:rPr>
          <w:bCs/>
        </w:rPr>
        <w:t>pol.</w:t>
      </w:r>
      <w:r w:rsidR="00CD63E8">
        <w:rPr>
          <w:bCs/>
        </w:rPr>
        <w:t> </w:t>
      </w:r>
      <w:r w:rsidR="00511B87">
        <w:rPr>
          <w:bCs/>
        </w:rPr>
        <w:t>202</w:t>
      </w:r>
      <w:r w:rsidR="00EC684E">
        <w:rPr>
          <w:bCs/>
        </w:rPr>
        <w:t>2</w:t>
      </w:r>
      <w:r w:rsidRPr="00D92E20">
        <w:rPr>
          <w:bCs/>
        </w:rPr>
        <w:t xml:space="preserve"> na ženy třetina z nich. Tato skutečnost je dána i odlišnou odvětvovou strukturou zaměstnanosti žen a mužů. Odvětví, kde převládají muži a vyskytují se zvýšená rizika pracovního úrazu, jsou např. Těžba a dobývání, Zpracovatelský průmysl, Stavebnictví, Doprava a skladování či Zemědělství, lesnictví, rybářství. Naopak odvětvové sekce, kde převažují v zaměstnání ženy a rizika pracovních úrazů bývají méně častá, jsou Peněžnictví a pojišťovnictví, Veřejná správa, Vzdělávání nebo Zdravotní a sociální péče.</w:t>
      </w:r>
    </w:p>
    <w:p w14:paraId="7274EC17" w14:textId="04D438C5" w:rsidR="00192BCA" w:rsidRPr="00D92E20" w:rsidRDefault="00511B87" w:rsidP="00BA6B4E">
      <w:pPr>
        <w:spacing w:before="120" w:after="120"/>
        <w:jc w:val="both"/>
        <w:rPr>
          <w:bCs/>
        </w:rPr>
      </w:pPr>
      <w:r>
        <w:rPr>
          <w:bCs/>
        </w:rPr>
        <w:t>Až do 1. pol. 2020 byl</w:t>
      </w:r>
      <w:r w:rsidR="00192BCA" w:rsidRPr="00D92E20">
        <w:rPr>
          <w:bCs/>
        </w:rPr>
        <w:t xml:space="preserve"> </w:t>
      </w:r>
      <w:r w:rsidR="009A1D80">
        <w:rPr>
          <w:bCs/>
        </w:rPr>
        <w:t xml:space="preserve">u </w:t>
      </w:r>
      <w:r w:rsidR="00192BCA" w:rsidRPr="00D92E20">
        <w:rPr>
          <w:bCs/>
        </w:rPr>
        <w:t xml:space="preserve">pracovních neschopností </w:t>
      </w:r>
      <w:r w:rsidR="009A1D80" w:rsidRPr="009F305A">
        <w:rPr>
          <w:b/>
          <w:bCs/>
        </w:rPr>
        <w:t>z důvodu nemoci</w:t>
      </w:r>
      <w:r w:rsidR="00192BCA" w:rsidRPr="00D92E20">
        <w:rPr>
          <w:bCs/>
        </w:rPr>
        <w:t xml:space="preserve"> podíl </w:t>
      </w:r>
      <w:r w:rsidR="00192BCA" w:rsidRPr="00D92E20">
        <w:rPr>
          <w:b/>
          <w:bCs/>
        </w:rPr>
        <w:t xml:space="preserve">podle pohlaví </w:t>
      </w:r>
      <w:r w:rsidR="00192BCA" w:rsidRPr="00D92E20">
        <w:rPr>
          <w:bCs/>
        </w:rPr>
        <w:t>dlouhodobě relativně konstantní</w:t>
      </w:r>
      <w:r w:rsidR="009A1D80">
        <w:rPr>
          <w:bCs/>
        </w:rPr>
        <w:t>. Neschopenky mužů činily maximálně 46 %. V 1. pol. 2021 se podíl zvýšil na 49 %</w:t>
      </w:r>
      <w:r w:rsidR="00EC684E">
        <w:rPr>
          <w:bCs/>
        </w:rPr>
        <w:t xml:space="preserve"> a o rok později opět poklesl na 45 %. </w:t>
      </w:r>
      <w:r w:rsidR="009A1D80">
        <w:rPr>
          <w:bCs/>
        </w:rPr>
        <w:t>U</w:t>
      </w:r>
      <w:r w:rsidR="00192BCA" w:rsidRPr="00D92E20">
        <w:rPr>
          <w:bCs/>
        </w:rPr>
        <w:t xml:space="preserve"> pracovních neschopností zapříčiněných úrazem podíl žen v čase roste. Toto je zřejmé zejména u jiných než pracovních úrazů, kdy v</w:t>
      </w:r>
      <w:r w:rsidR="009A1D80">
        <w:rPr>
          <w:bCs/>
        </w:rPr>
        <w:t> 1. pol. 201</w:t>
      </w:r>
      <w:r w:rsidR="00EC684E">
        <w:rPr>
          <w:bCs/>
        </w:rPr>
        <w:t>2</w:t>
      </w:r>
      <w:r w:rsidR="00192BCA" w:rsidRPr="00D92E20">
        <w:rPr>
          <w:bCs/>
        </w:rPr>
        <w:t xml:space="preserve"> </w:t>
      </w:r>
      <w:r w:rsidR="009A1D80" w:rsidRPr="00D92E20">
        <w:rPr>
          <w:bCs/>
        </w:rPr>
        <w:t xml:space="preserve">ženy </w:t>
      </w:r>
      <w:r w:rsidR="00192BCA" w:rsidRPr="00D92E20">
        <w:rPr>
          <w:bCs/>
        </w:rPr>
        <w:t xml:space="preserve">nahlásily </w:t>
      </w:r>
      <w:r w:rsidR="009A1D80">
        <w:rPr>
          <w:bCs/>
        </w:rPr>
        <w:t>1</w:t>
      </w:r>
      <w:r w:rsidR="00EC684E">
        <w:rPr>
          <w:bCs/>
        </w:rPr>
        <w:t>9</w:t>
      </w:r>
      <w:r w:rsidR="00192BCA" w:rsidRPr="00D92E20">
        <w:rPr>
          <w:bCs/>
        </w:rPr>
        <w:t xml:space="preserve"> tis. případů, </w:t>
      </w:r>
      <w:r w:rsidR="009A1D80">
        <w:rPr>
          <w:bCs/>
        </w:rPr>
        <w:t>kdežto za 1. pol. 202</w:t>
      </w:r>
      <w:r w:rsidR="00EC684E">
        <w:rPr>
          <w:bCs/>
        </w:rPr>
        <w:t>2</w:t>
      </w:r>
      <w:r w:rsidR="00192BCA" w:rsidRPr="00D92E20">
        <w:rPr>
          <w:bCs/>
        </w:rPr>
        <w:t xml:space="preserve"> to byl</w:t>
      </w:r>
      <w:r w:rsidR="009A1D80">
        <w:rPr>
          <w:bCs/>
        </w:rPr>
        <w:t>o více než 3</w:t>
      </w:r>
      <w:r w:rsidR="00EC684E">
        <w:rPr>
          <w:bCs/>
        </w:rPr>
        <w:t>4</w:t>
      </w:r>
      <w:r w:rsidR="009A1D80">
        <w:rPr>
          <w:bCs/>
        </w:rPr>
        <w:t xml:space="preserve"> tis. úrazů.</w:t>
      </w:r>
      <w:r w:rsidR="00192BCA" w:rsidRPr="00D92E20">
        <w:rPr>
          <w:bCs/>
        </w:rPr>
        <w:t xml:space="preserve"> </w:t>
      </w:r>
      <w:r w:rsidR="009A1D80">
        <w:rPr>
          <w:bCs/>
        </w:rPr>
        <w:t>Absolutní n</w:t>
      </w:r>
      <w:r w:rsidR="00192BCA" w:rsidRPr="00D92E20">
        <w:rPr>
          <w:bCs/>
        </w:rPr>
        <w:t xml:space="preserve">árůst je však patrný i u mužů, počet nově hlášených případů pracovní neschopnosti z důvodu </w:t>
      </w:r>
      <w:r w:rsidR="00192BCA" w:rsidRPr="00D92E20">
        <w:rPr>
          <w:b/>
          <w:bCs/>
        </w:rPr>
        <w:t>nepracovních (ostatních) úrazů</w:t>
      </w:r>
      <w:r w:rsidR="00192BCA" w:rsidRPr="00D92E20">
        <w:rPr>
          <w:bCs/>
        </w:rPr>
        <w:t xml:space="preserve"> v</w:t>
      </w:r>
      <w:r w:rsidR="009A1D80">
        <w:rPr>
          <w:bCs/>
        </w:rPr>
        <w:t> 1. pol. 201</w:t>
      </w:r>
      <w:r w:rsidR="00EC684E">
        <w:rPr>
          <w:bCs/>
        </w:rPr>
        <w:t>2</w:t>
      </w:r>
      <w:r w:rsidR="00192BCA" w:rsidRPr="00D92E20">
        <w:rPr>
          <w:bCs/>
        </w:rPr>
        <w:t xml:space="preserve"> </w:t>
      </w:r>
      <w:r w:rsidR="009A1D80" w:rsidRPr="00D92E20">
        <w:rPr>
          <w:bCs/>
        </w:rPr>
        <w:t xml:space="preserve">činil </w:t>
      </w:r>
      <w:r w:rsidR="00EC684E">
        <w:rPr>
          <w:bCs/>
        </w:rPr>
        <w:t>35</w:t>
      </w:r>
      <w:r w:rsidR="009A1D80">
        <w:rPr>
          <w:bCs/>
        </w:rPr>
        <w:t xml:space="preserve"> tis., za 1. pol.</w:t>
      </w:r>
      <w:r w:rsidR="002A1CEC" w:rsidRPr="00D92E20">
        <w:rPr>
          <w:bCs/>
        </w:rPr>
        <w:t xml:space="preserve"> 202</w:t>
      </w:r>
      <w:r w:rsidR="00EC684E">
        <w:rPr>
          <w:bCs/>
        </w:rPr>
        <w:t>2</w:t>
      </w:r>
      <w:r w:rsidR="00192BCA" w:rsidRPr="00D92E20">
        <w:rPr>
          <w:bCs/>
        </w:rPr>
        <w:t xml:space="preserve"> se blíž</w:t>
      </w:r>
      <w:r w:rsidR="002A1CEC" w:rsidRPr="00D92E20">
        <w:rPr>
          <w:bCs/>
        </w:rPr>
        <w:t>il</w:t>
      </w:r>
      <w:r w:rsidR="00192BCA" w:rsidRPr="00D92E20">
        <w:rPr>
          <w:bCs/>
        </w:rPr>
        <w:t xml:space="preserve"> </w:t>
      </w:r>
      <w:r w:rsidR="00EC684E">
        <w:rPr>
          <w:bCs/>
        </w:rPr>
        <w:t>54</w:t>
      </w:r>
      <w:r w:rsidR="00192BCA" w:rsidRPr="00D92E20">
        <w:rPr>
          <w:bCs/>
        </w:rPr>
        <w:t xml:space="preserve"> tis.</w:t>
      </w:r>
    </w:p>
    <w:p w14:paraId="599810FF" w14:textId="585FB3F5" w:rsidR="009A1D80" w:rsidRDefault="00192BCA" w:rsidP="00BA6B4E">
      <w:pPr>
        <w:spacing w:before="120" w:after="120"/>
        <w:jc w:val="both"/>
        <w:rPr>
          <w:bCs/>
        </w:rPr>
      </w:pPr>
      <w:r w:rsidRPr="007941AC">
        <w:rPr>
          <w:rFonts w:cs="Arial"/>
          <w:b/>
          <w:bCs/>
        </w:rPr>
        <w:t>Meziroční</w:t>
      </w:r>
      <w:r w:rsidRPr="00D92E20">
        <w:rPr>
          <w:rFonts w:cs="Arial"/>
        </w:rPr>
        <w:t xml:space="preserve"> nárůst pracovní neschopnosti </w:t>
      </w:r>
      <w:r w:rsidR="00EC684E">
        <w:rPr>
          <w:rFonts w:cs="Arial"/>
          <w:b/>
        </w:rPr>
        <w:t>žen</w:t>
      </w:r>
      <w:r w:rsidRPr="00D92E20">
        <w:rPr>
          <w:rFonts w:cs="Arial"/>
        </w:rPr>
        <w:t xml:space="preserve"> byl vyšší než u </w:t>
      </w:r>
      <w:r w:rsidR="00EC684E">
        <w:rPr>
          <w:rFonts w:cs="Arial"/>
        </w:rPr>
        <w:t>mužů</w:t>
      </w:r>
      <w:r w:rsidRPr="00D92E20">
        <w:rPr>
          <w:rFonts w:cs="Arial"/>
        </w:rPr>
        <w:t xml:space="preserve">. Absolutní počet nově hlášených případů pracovní neschopnosti </w:t>
      </w:r>
      <w:r w:rsidR="00EC684E">
        <w:rPr>
          <w:rFonts w:cs="Arial"/>
        </w:rPr>
        <w:t>žen</w:t>
      </w:r>
      <w:r w:rsidRPr="00D92E20">
        <w:rPr>
          <w:rFonts w:cs="Arial"/>
        </w:rPr>
        <w:t xml:space="preserve"> se meziročně zvýšil z </w:t>
      </w:r>
      <w:r w:rsidR="00EC684E">
        <w:rPr>
          <w:rFonts w:cs="Arial"/>
        </w:rPr>
        <w:t>699</w:t>
      </w:r>
      <w:r w:rsidRPr="00D92E20">
        <w:rPr>
          <w:rFonts w:cs="Arial"/>
        </w:rPr>
        <w:t xml:space="preserve"> tis. případů (</w:t>
      </w:r>
      <w:r w:rsidR="000675AD" w:rsidRPr="00D92E20">
        <w:rPr>
          <w:rFonts w:cs="Arial"/>
        </w:rPr>
        <w:t xml:space="preserve">u </w:t>
      </w:r>
      <w:r w:rsidR="00EC684E">
        <w:rPr>
          <w:rFonts w:cs="Arial"/>
        </w:rPr>
        <w:t>mužů</w:t>
      </w:r>
      <w:r w:rsidRPr="00D92E20">
        <w:rPr>
          <w:rFonts w:cs="Arial"/>
        </w:rPr>
        <w:t xml:space="preserve"> </w:t>
      </w:r>
      <w:r w:rsidR="000675AD" w:rsidRPr="00D92E20">
        <w:rPr>
          <w:rFonts w:cs="Arial"/>
        </w:rPr>
        <w:t>z</w:t>
      </w:r>
      <w:r w:rsidR="00EC684E">
        <w:rPr>
          <w:rFonts w:cs="Arial"/>
        </w:rPr>
        <w:t>e</w:t>
      </w:r>
      <w:r w:rsidR="000675AD" w:rsidRPr="00D92E20">
        <w:rPr>
          <w:rFonts w:cs="Arial"/>
        </w:rPr>
        <w:t xml:space="preserve"> </w:t>
      </w:r>
      <w:r w:rsidR="00EC684E">
        <w:rPr>
          <w:rFonts w:cs="Arial"/>
        </w:rPr>
        <w:t>701</w:t>
      </w:r>
      <w:r w:rsidRPr="00D92E20">
        <w:rPr>
          <w:rFonts w:cs="Arial"/>
        </w:rPr>
        <w:t xml:space="preserve"> tis. případů) v</w:t>
      </w:r>
      <w:r w:rsidR="009A1D80">
        <w:rPr>
          <w:rFonts w:cs="Arial"/>
        </w:rPr>
        <w:t> 1. pol. 202</w:t>
      </w:r>
      <w:r w:rsidR="00EC684E">
        <w:rPr>
          <w:rFonts w:cs="Arial"/>
        </w:rPr>
        <w:t>1</w:t>
      </w:r>
      <w:r w:rsidRPr="00D92E20">
        <w:rPr>
          <w:rFonts w:cs="Arial"/>
        </w:rPr>
        <w:t xml:space="preserve"> na </w:t>
      </w:r>
      <w:r w:rsidR="00EC684E">
        <w:rPr>
          <w:rFonts w:cs="Arial"/>
        </w:rPr>
        <w:t>1 108</w:t>
      </w:r>
      <w:r w:rsidRPr="00D92E20">
        <w:rPr>
          <w:rFonts w:cs="Arial"/>
        </w:rPr>
        <w:t xml:space="preserve"> tis. případů (</w:t>
      </w:r>
      <w:r w:rsidR="000675AD" w:rsidRPr="00D92E20">
        <w:rPr>
          <w:rFonts w:cs="Arial"/>
        </w:rPr>
        <w:t xml:space="preserve">u </w:t>
      </w:r>
      <w:r w:rsidR="00EC684E">
        <w:rPr>
          <w:rFonts w:cs="Arial"/>
        </w:rPr>
        <w:t>mužů</w:t>
      </w:r>
      <w:r w:rsidR="000675AD" w:rsidRPr="00D92E20">
        <w:rPr>
          <w:rFonts w:cs="Arial"/>
        </w:rPr>
        <w:t xml:space="preserve"> na</w:t>
      </w:r>
      <w:r w:rsidRPr="00D92E20">
        <w:rPr>
          <w:rFonts w:cs="Arial"/>
        </w:rPr>
        <w:t xml:space="preserve"> </w:t>
      </w:r>
      <w:r w:rsidR="00EC684E">
        <w:rPr>
          <w:rFonts w:cs="Arial"/>
        </w:rPr>
        <w:t>946</w:t>
      </w:r>
      <w:r w:rsidRPr="00D92E20">
        <w:rPr>
          <w:rFonts w:cs="Arial"/>
        </w:rPr>
        <w:t xml:space="preserve"> tis. případů) v</w:t>
      </w:r>
      <w:r w:rsidR="009A1D80">
        <w:rPr>
          <w:rFonts w:cs="Arial"/>
        </w:rPr>
        <w:t> 1. pol. 202</w:t>
      </w:r>
      <w:r w:rsidR="00EC684E">
        <w:rPr>
          <w:rFonts w:cs="Arial"/>
        </w:rPr>
        <w:t>2</w:t>
      </w:r>
      <w:r w:rsidR="00D872A2">
        <w:rPr>
          <w:rFonts w:cs="Arial"/>
        </w:rPr>
        <w:t>.</w:t>
      </w:r>
      <w:r w:rsidRPr="00D92E20">
        <w:rPr>
          <w:rFonts w:cs="Arial"/>
        </w:rPr>
        <w:t xml:space="preserve"> </w:t>
      </w:r>
      <w:r w:rsidR="00D872A2">
        <w:rPr>
          <w:rFonts w:cs="Arial"/>
        </w:rPr>
        <w:t>V</w:t>
      </w:r>
      <w:r w:rsidRPr="00D92E20">
        <w:rPr>
          <w:rFonts w:cs="Arial"/>
        </w:rPr>
        <w:t xml:space="preserve">zrostl </w:t>
      </w:r>
      <w:r w:rsidR="00D872A2">
        <w:rPr>
          <w:rFonts w:cs="Arial"/>
        </w:rPr>
        <w:t xml:space="preserve">tak </w:t>
      </w:r>
      <w:r w:rsidRPr="00D92E20">
        <w:rPr>
          <w:rFonts w:cs="Arial"/>
        </w:rPr>
        <w:t xml:space="preserve">o </w:t>
      </w:r>
      <w:r w:rsidR="00EC684E">
        <w:rPr>
          <w:rFonts w:cs="Arial"/>
        </w:rPr>
        <w:t>59</w:t>
      </w:r>
      <w:r w:rsidRPr="00D92E20">
        <w:rPr>
          <w:rFonts w:cs="Arial"/>
        </w:rPr>
        <w:t xml:space="preserve"> </w:t>
      </w:r>
      <w:r w:rsidRPr="00D92E20">
        <w:rPr>
          <w:rFonts w:cs="Arial"/>
          <w:lang w:val="en-US"/>
        </w:rPr>
        <w:t xml:space="preserve">% </w:t>
      </w:r>
      <w:r w:rsidRPr="00D92E20">
        <w:rPr>
          <w:rFonts w:cs="Arial"/>
        </w:rPr>
        <w:t>(o </w:t>
      </w:r>
      <w:r w:rsidR="00EC684E">
        <w:rPr>
          <w:rFonts w:cs="Arial"/>
        </w:rPr>
        <w:t>35</w:t>
      </w:r>
      <w:r w:rsidRPr="00D92E20">
        <w:rPr>
          <w:rFonts w:cs="Arial"/>
        </w:rPr>
        <w:t xml:space="preserve"> </w:t>
      </w:r>
      <w:r w:rsidRPr="00D92E20">
        <w:rPr>
          <w:rFonts w:cs="Arial"/>
          <w:lang w:val="en-US"/>
        </w:rPr>
        <w:t>%</w:t>
      </w:r>
      <w:r w:rsidRPr="00D92E20">
        <w:rPr>
          <w:rFonts w:cs="Arial"/>
        </w:rPr>
        <w:t xml:space="preserve"> u </w:t>
      </w:r>
      <w:r w:rsidR="00EC684E">
        <w:rPr>
          <w:rFonts w:cs="Arial"/>
        </w:rPr>
        <w:t>mužů</w:t>
      </w:r>
      <w:r w:rsidRPr="00D92E20">
        <w:rPr>
          <w:rFonts w:cs="Arial"/>
        </w:rPr>
        <w:t xml:space="preserve">). </w:t>
      </w:r>
      <w:r w:rsidR="002A1A8B" w:rsidRPr="00D92E20">
        <w:rPr>
          <w:rFonts w:cs="Arial"/>
        </w:rPr>
        <w:t xml:space="preserve">Co se týče neschopností </w:t>
      </w:r>
      <w:r w:rsidR="002A1A8B" w:rsidRPr="009A1D80">
        <w:rPr>
          <w:rFonts w:cs="Arial"/>
          <w:b/>
        </w:rPr>
        <w:t>pro nemoc</w:t>
      </w:r>
      <w:r w:rsidR="002A1A8B" w:rsidRPr="00D92E20">
        <w:rPr>
          <w:rFonts w:cs="Arial"/>
        </w:rPr>
        <w:t>, v</w:t>
      </w:r>
      <w:r w:rsidR="002A1A8B" w:rsidRPr="00D92E20">
        <w:rPr>
          <w:bCs/>
        </w:rPr>
        <w:t xml:space="preserve"> případě </w:t>
      </w:r>
      <w:r w:rsidR="00EC684E">
        <w:rPr>
          <w:bCs/>
        </w:rPr>
        <w:t>žen</w:t>
      </w:r>
      <w:r w:rsidR="002A1A8B" w:rsidRPr="00D92E20">
        <w:rPr>
          <w:bCs/>
        </w:rPr>
        <w:t xml:space="preserve"> </w:t>
      </w:r>
      <w:r w:rsidR="00B44634" w:rsidRPr="00D92E20">
        <w:rPr>
          <w:bCs/>
        </w:rPr>
        <w:t>jejich počet v</w:t>
      </w:r>
      <w:r w:rsidR="00EC684E">
        <w:rPr>
          <w:bCs/>
        </w:rPr>
        <w:t> 1. pol. 2022</w:t>
      </w:r>
      <w:r w:rsidR="00B44634" w:rsidRPr="00D92E20">
        <w:rPr>
          <w:bCs/>
        </w:rPr>
        <w:t xml:space="preserve"> meziročně </w:t>
      </w:r>
      <w:r w:rsidR="002A1A8B" w:rsidRPr="00D92E20">
        <w:rPr>
          <w:bCs/>
        </w:rPr>
        <w:t xml:space="preserve">vzrostl o </w:t>
      </w:r>
      <w:r w:rsidR="00EC684E">
        <w:rPr>
          <w:bCs/>
        </w:rPr>
        <w:t>61</w:t>
      </w:r>
      <w:r w:rsidR="009A1D80">
        <w:rPr>
          <w:bCs/>
        </w:rPr>
        <w:t xml:space="preserve"> %</w:t>
      </w:r>
      <w:r w:rsidR="002A1A8B" w:rsidRPr="00D92E20">
        <w:rPr>
          <w:bCs/>
        </w:rPr>
        <w:t xml:space="preserve"> (</w:t>
      </w:r>
      <w:r w:rsidR="00EC684E">
        <w:rPr>
          <w:bCs/>
        </w:rPr>
        <w:t>40</w:t>
      </w:r>
      <w:r w:rsidR="0035708E">
        <w:rPr>
          <w:bCs/>
        </w:rPr>
        <w:t>5</w:t>
      </w:r>
      <w:r w:rsidR="00B44634" w:rsidRPr="00D92E20">
        <w:rPr>
          <w:bCs/>
        </w:rPr>
        <w:t> </w:t>
      </w:r>
      <w:r w:rsidR="002A1A8B" w:rsidRPr="00D92E20">
        <w:rPr>
          <w:bCs/>
        </w:rPr>
        <w:t>tis.), u</w:t>
      </w:r>
      <w:r w:rsidR="00EC684E">
        <w:rPr>
          <w:bCs/>
        </w:rPr>
        <w:t> mužů</w:t>
      </w:r>
      <w:r w:rsidR="002A1A8B" w:rsidRPr="00D92E20">
        <w:rPr>
          <w:bCs/>
        </w:rPr>
        <w:t xml:space="preserve"> to bylo o </w:t>
      </w:r>
      <w:r w:rsidR="00EC684E">
        <w:rPr>
          <w:bCs/>
        </w:rPr>
        <w:t>37 %</w:t>
      </w:r>
      <w:r w:rsidR="009A1D80">
        <w:rPr>
          <w:bCs/>
        </w:rPr>
        <w:t xml:space="preserve"> (</w:t>
      </w:r>
      <w:r w:rsidR="00EC684E">
        <w:rPr>
          <w:bCs/>
        </w:rPr>
        <w:t>238</w:t>
      </w:r>
      <w:r w:rsidR="009A1D80">
        <w:rPr>
          <w:bCs/>
        </w:rPr>
        <w:t xml:space="preserve"> tis.)</w:t>
      </w:r>
      <w:r w:rsidR="002A1A8B" w:rsidRPr="00D92E20">
        <w:rPr>
          <w:bCs/>
        </w:rPr>
        <w:t xml:space="preserve">. </w:t>
      </w:r>
    </w:p>
    <w:p w14:paraId="0A921756" w14:textId="1E3A94C9" w:rsidR="00192BCA" w:rsidRPr="00D92E20" w:rsidRDefault="00192BCA" w:rsidP="00BA6B4E">
      <w:pPr>
        <w:spacing w:before="120" w:after="120"/>
        <w:jc w:val="both"/>
        <w:rPr>
          <w:rFonts w:cs="Arial"/>
          <w:lang w:val="en-US"/>
        </w:rPr>
      </w:pPr>
      <w:r w:rsidRPr="00D92E20">
        <w:rPr>
          <w:rFonts w:cs="Arial"/>
        </w:rPr>
        <w:t xml:space="preserve">Z hlediska příčin se </w:t>
      </w:r>
      <w:r w:rsidR="009342FC">
        <w:rPr>
          <w:rFonts w:cs="Arial"/>
        </w:rPr>
        <w:t>1 066</w:t>
      </w:r>
      <w:r w:rsidRPr="00D92E20">
        <w:rPr>
          <w:rFonts w:cs="Arial"/>
        </w:rPr>
        <w:t xml:space="preserve"> tis. (</w:t>
      </w:r>
      <w:r w:rsidR="000652B4" w:rsidRPr="00D92E20">
        <w:rPr>
          <w:rFonts w:cs="Arial"/>
        </w:rPr>
        <w:t>9</w:t>
      </w:r>
      <w:r w:rsidR="009342FC">
        <w:rPr>
          <w:rFonts w:cs="Arial"/>
        </w:rPr>
        <w:t>6</w:t>
      </w:r>
      <w:r w:rsidRPr="00D92E20">
        <w:rPr>
          <w:rFonts w:cs="Arial"/>
        </w:rPr>
        <w:t xml:space="preserve"> %) nově hlášených případů dočasné pracovní neschopnosti </w:t>
      </w:r>
      <w:r w:rsidR="009342FC" w:rsidRPr="007941AC">
        <w:rPr>
          <w:rFonts w:cs="Arial"/>
          <w:b/>
          <w:bCs/>
        </w:rPr>
        <w:t>žen</w:t>
      </w:r>
      <w:r w:rsidRPr="00D92E20">
        <w:rPr>
          <w:rFonts w:cs="Arial"/>
        </w:rPr>
        <w:t xml:space="preserve"> týkalo nemoci, </w:t>
      </w:r>
      <w:r w:rsidR="009342FC">
        <w:rPr>
          <w:rFonts w:cs="Arial"/>
        </w:rPr>
        <w:t>8</w:t>
      </w:r>
      <w:r w:rsidRPr="00D92E20">
        <w:rPr>
          <w:rFonts w:cs="Arial"/>
        </w:rPr>
        <w:t> tis. (</w:t>
      </w:r>
      <w:r w:rsidR="009342FC">
        <w:rPr>
          <w:rFonts w:cs="Arial"/>
        </w:rPr>
        <w:t>0,7</w:t>
      </w:r>
      <w:r w:rsidRPr="00D92E20">
        <w:rPr>
          <w:rFonts w:cs="Arial"/>
        </w:rPr>
        <w:t xml:space="preserve"> %) pracovních úrazů a</w:t>
      </w:r>
      <w:r w:rsidR="00B44634" w:rsidRPr="00D92E20">
        <w:rPr>
          <w:rFonts w:cs="Arial"/>
        </w:rPr>
        <w:t> </w:t>
      </w:r>
      <w:r w:rsidR="009342FC">
        <w:rPr>
          <w:rFonts w:cs="Arial"/>
        </w:rPr>
        <w:t>34</w:t>
      </w:r>
      <w:r w:rsidR="00B44634" w:rsidRPr="00D92E20">
        <w:rPr>
          <w:rFonts w:cs="Arial"/>
        </w:rPr>
        <w:t> </w:t>
      </w:r>
      <w:r w:rsidRPr="00D92E20">
        <w:rPr>
          <w:rFonts w:cs="Arial"/>
        </w:rPr>
        <w:t>tis.</w:t>
      </w:r>
      <w:r w:rsidR="00B44634" w:rsidRPr="00D92E20">
        <w:rPr>
          <w:rFonts w:cs="Arial"/>
        </w:rPr>
        <w:t> </w:t>
      </w:r>
      <w:r w:rsidRPr="00D92E20">
        <w:rPr>
          <w:rFonts w:cs="Arial"/>
        </w:rPr>
        <w:t>(</w:t>
      </w:r>
      <w:r w:rsidR="009342FC">
        <w:rPr>
          <w:rFonts w:cs="Arial"/>
        </w:rPr>
        <w:t>3</w:t>
      </w:r>
      <w:r w:rsidRPr="00D92E20">
        <w:rPr>
          <w:rFonts w:cs="Arial"/>
        </w:rPr>
        <w:t xml:space="preserve"> %) ostatních úrazů. </w:t>
      </w:r>
      <w:r w:rsidR="009342FC">
        <w:rPr>
          <w:rFonts w:cs="Arial"/>
          <w:b/>
        </w:rPr>
        <w:t>Muži</w:t>
      </w:r>
      <w:r w:rsidRPr="00D92E20">
        <w:rPr>
          <w:rFonts w:cs="Arial"/>
        </w:rPr>
        <w:t xml:space="preserve"> </w:t>
      </w:r>
      <w:r w:rsidR="000675AD" w:rsidRPr="00D92E20">
        <w:rPr>
          <w:rFonts w:cs="Arial"/>
        </w:rPr>
        <w:t>byl</w:t>
      </w:r>
      <w:r w:rsidR="009342FC">
        <w:rPr>
          <w:rFonts w:cs="Arial"/>
        </w:rPr>
        <w:t>i</w:t>
      </w:r>
      <w:r w:rsidR="000675AD" w:rsidRPr="00D92E20">
        <w:rPr>
          <w:rFonts w:cs="Arial"/>
        </w:rPr>
        <w:t xml:space="preserve"> v </w:t>
      </w:r>
      <w:r w:rsidRPr="00D92E20">
        <w:rPr>
          <w:rFonts w:cs="Arial"/>
        </w:rPr>
        <w:t>pracovní neschopnost</w:t>
      </w:r>
      <w:r w:rsidR="000675AD" w:rsidRPr="00D92E20">
        <w:rPr>
          <w:rFonts w:cs="Arial"/>
        </w:rPr>
        <w:t>i</w:t>
      </w:r>
      <w:r w:rsidRPr="00D92E20">
        <w:rPr>
          <w:rFonts w:cs="Arial"/>
        </w:rPr>
        <w:t xml:space="preserve"> z důvodu nemoci v</w:t>
      </w:r>
      <w:r w:rsidR="000652B4" w:rsidRPr="00D92E20">
        <w:rPr>
          <w:rFonts w:cs="Arial"/>
        </w:rPr>
        <w:t> </w:t>
      </w:r>
      <w:r w:rsidR="009342FC">
        <w:rPr>
          <w:rFonts w:cs="Arial"/>
        </w:rPr>
        <w:t>877</w:t>
      </w:r>
      <w:r w:rsidRPr="00D92E20">
        <w:rPr>
          <w:rFonts w:cs="Arial"/>
        </w:rPr>
        <w:t xml:space="preserve"> tis. případech (</w:t>
      </w:r>
      <w:r w:rsidR="009342FC">
        <w:rPr>
          <w:rFonts w:cs="Arial"/>
        </w:rPr>
        <w:t>93</w:t>
      </w:r>
      <w:r w:rsidRPr="00D92E20">
        <w:rPr>
          <w:rFonts w:cs="Arial"/>
        </w:rPr>
        <w:t xml:space="preserve"> %), </w:t>
      </w:r>
      <w:r w:rsidR="00CE1E85" w:rsidRPr="00D92E20">
        <w:rPr>
          <w:rFonts w:cs="Arial"/>
        </w:rPr>
        <w:t>kvůli</w:t>
      </w:r>
      <w:r w:rsidRPr="00D92E20">
        <w:rPr>
          <w:rFonts w:cs="Arial"/>
        </w:rPr>
        <w:t xml:space="preserve"> pracovní</w:t>
      </w:r>
      <w:r w:rsidR="00CE1E85" w:rsidRPr="00D92E20">
        <w:rPr>
          <w:rFonts w:cs="Arial"/>
        </w:rPr>
        <w:t>mu</w:t>
      </w:r>
      <w:r w:rsidRPr="00D92E20">
        <w:rPr>
          <w:rFonts w:cs="Arial"/>
        </w:rPr>
        <w:t xml:space="preserve"> úrazu v</w:t>
      </w:r>
      <w:r w:rsidR="00FD28D3">
        <w:rPr>
          <w:rFonts w:cs="Arial"/>
        </w:rPr>
        <w:t> </w:t>
      </w:r>
      <w:r w:rsidR="009342FC">
        <w:rPr>
          <w:rFonts w:cs="Arial"/>
        </w:rPr>
        <w:t>16</w:t>
      </w:r>
      <w:r w:rsidR="00FD28D3">
        <w:rPr>
          <w:rFonts w:cs="Arial"/>
        </w:rPr>
        <w:t xml:space="preserve"> </w:t>
      </w:r>
      <w:r w:rsidR="000652B4" w:rsidRPr="00D92E20">
        <w:rPr>
          <w:rFonts w:cs="Arial"/>
        </w:rPr>
        <w:t>tis. případech (1</w:t>
      </w:r>
      <w:r w:rsidR="009342FC">
        <w:rPr>
          <w:rFonts w:cs="Arial"/>
        </w:rPr>
        <w:t>,7</w:t>
      </w:r>
      <w:r w:rsidRPr="00D92E20">
        <w:rPr>
          <w:rFonts w:cs="Arial"/>
        </w:rPr>
        <w:t xml:space="preserve"> %) a z důvodu ostatních úrazů </w:t>
      </w:r>
      <w:r w:rsidR="000652B4" w:rsidRPr="00D92E20">
        <w:rPr>
          <w:rFonts w:cs="Arial"/>
        </w:rPr>
        <w:t>v </w:t>
      </w:r>
      <w:r w:rsidR="009342FC">
        <w:rPr>
          <w:rFonts w:cs="Arial"/>
        </w:rPr>
        <w:t>54</w:t>
      </w:r>
      <w:r w:rsidR="000652B4" w:rsidRPr="00D92E20">
        <w:rPr>
          <w:rFonts w:cs="Arial"/>
        </w:rPr>
        <w:t xml:space="preserve"> tis</w:t>
      </w:r>
      <w:r w:rsidRPr="00D92E20">
        <w:rPr>
          <w:rFonts w:cs="Arial"/>
        </w:rPr>
        <w:t>. případech (</w:t>
      </w:r>
      <w:r w:rsidR="009342FC">
        <w:rPr>
          <w:rFonts w:cs="Arial"/>
        </w:rPr>
        <w:t>6</w:t>
      </w:r>
      <w:r w:rsidRPr="00D92E20">
        <w:rPr>
          <w:rFonts w:cs="Arial"/>
        </w:rPr>
        <w:t xml:space="preserve"> %)</w:t>
      </w:r>
      <w:r w:rsidRPr="00D92E20">
        <w:rPr>
          <w:rFonts w:cs="Arial"/>
          <w:lang w:val="en-US"/>
        </w:rPr>
        <w:t>.</w:t>
      </w:r>
    </w:p>
    <w:p w14:paraId="2195E954" w14:textId="2AF2743F" w:rsidR="000652B4" w:rsidRPr="00D92E20" w:rsidRDefault="000652B4" w:rsidP="00BA6B4E">
      <w:pPr>
        <w:spacing w:before="120" w:after="120"/>
        <w:jc w:val="both"/>
        <w:rPr>
          <w:noProof/>
        </w:rPr>
      </w:pPr>
      <w:r w:rsidRPr="009342FC">
        <w:rPr>
          <w:noProof/>
        </w:rPr>
        <w:t xml:space="preserve">Za </w:t>
      </w:r>
      <w:r w:rsidRPr="009342FC">
        <w:rPr>
          <w:b/>
          <w:noProof/>
        </w:rPr>
        <w:t>posledních pět let</w:t>
      </w:r>
      <w:r w:rsidRPr="009342FC">
        <w:rPr>
          <w:noProof/>
        </w:rPr>
        <w:t xml:space="preserve"> počet nově hlášených případů pracovní neschopnosti výrazně vzrostl</w:t>
      </w:r>
      <w:r w:rsidR="00D872A2" w:rsidRPr="009342FC">
        <w:rPr>
          <w:noProof/>
        </w:rPr>
        <w:t xml:space="preserve">, </w:t>
      </w:r>
      <w:r w:rsidRPr="009342FC">
        <w:rPr>
          <w:noProof/>
        </w:rPr>
        <w:t>o </w:t>
      </w:r>
      <w:r w:rsidR="009342FC" w:rsidRPr="009342FC">
        <w:rPr>
          <w:noProof/>
        </w:rPr>
        <w:t>1</w:t>
      </w:r>
      <w:r w:rsidR="009342FC">
        <w:rPr>
          <w:noProof/>
        </w:rPr>
        <w:t> </w:t>
      </w:r>
      <w:r w:rsidR="009342FC" w:rsidRPr="009342FC">
        <w:rPr>
          <w:noProof/>
        </w:rPr>
        <w:t>109</w:t>
      </w:r>
      <w:r w:rsidRPr="009342FC">
        <w:rPr>
          <w:noProof/>
        </w:rPr>
        <w:t xml:space="preserve"> tis. případů (o </w:t>
      </w:r>
      <w:r w:rsidR="009342FC" w:rsidRPr="009342FC">
        <w:rPr>
          <w:noProof/>
        </w:rPr>
        <w:t>117</w:t>
      </w:r>
      <w:r w:rsidRPr="009342FC">
        <w:rPr>
          <w:noProof/>
        </w:rPr>
        <w:t xml:space="preserve"> %) z </w:t>
      </w:r>
      <w:r w:rsidR="009342FC" w:rsidRPr="009342FC">
        <w:rPr>
          <w:noProof/>
        </w:rPr>
        <w:t>945</w:t>
      </w:r>
      <w:r w:rsidRPr="009342FC">
        <w:rPr>
          <w:noProof/>
        </w:rPr>
        <w:t xml:space="preserve"> tis. případů v</w:t>
      </w:r>
      <w:r w:rsidR="00FD28D3" w:rsidRPr="009342FC">
        <w:rPr>
          <w:noProof/>
        </w:rPr>
        <w:t> 1. pol.</w:t>
      </w:r>
      <w:r w:rsidRPr="009342FC">
        <w:rPr>
          <w:noProof/>
        </w:rPr>
        <w:t xml:space="preserve"> 201</w:t>
      </w:r>
      <w:r w:rsidR="009342FC" w:rsidRPr="009342FC">
        <w:rPr>
          <w:noProof/>
        </w:rPr>
        <w:t>7</w:t>
      </w:r>
      <w:r w:rsidRPr="009342FC">
        <w:rPr>
          <w:noProof/>
        </w:rPr>
        <w:t xml:space="preserve"> na </w:t>
      </w:r>
      <w:r w:rsidR="009342FC" w:rsidRPr="009342FC">
        <w:rPr>
          <w:noProof/>
        </w:rPr>
        <w:t>2 054</w:t>
      </w:r>
      <w:r w:rsidRPr="009342FC">
        <w:rPr>
          <w:noProof/>
        </w:rPr>
        <w:t xml:space="preserve"> tis. v</w:t>
      </w:r>
      <w:r w:rsidR="009342FC" w:rsidRPr="009342FC">
        <w:rPr>
          <w:noProof/>
        </w:rPr>
        <w:t> 1. pol. 2022</w:t>
      </w:r>
      <w:r w:rsidRPr="009342FC">
        <w:rPr>
          <w:noProof/>
        </w:rPr>
        <w:t>. Na</w:t>
      </w:r>
      <w:r w:rsidR="009342FC" w:rsidRPr="009342FC">
        <w:rPr>
          <w:noProof/>
        </w:rPr>
        <w:t xml:space="preserve"> zvýšení se větší měrou podílely ženy</w:t>
      </w:r>
      <w:r w:rsidRPr="009342FC">
        <w:rPr>
          <w:noProof/>
        </w:rPr>
        <w:t xml:space="preserve"> (+</w:t>
      </w:r>
      <w:r w:rsidR="009342FC" w:rsidRPr="009342FC">
        <w:rPr>
          <w:noProof/>
        </w:rPr>
        <w:t>607</w:t>
      </w:r>
      <w:r w:rsidRPr="009342FC">
        <w:rPr>
          <w:noProof/>
        </w:rPr>
        <w:t xml:space="preserve"> tis. případů). </w:t>
      </w:r>
      <w:r w:rsidR="00FD28D3" w:rsidRPr="009342FC">
        <w:rPr>
          <w:noProof/>
        </w:rPr>
        <w:t>Téměř veškerý nárůst byl způsoben rostoucím počtem vydávaných neschopenek z důvodu nemoci.</w:t>
      </w:r>
      <w:r w:rsidRPr="00D92E20">
        <w:rPr>
          <w:noProof/>
        </w:rPr>
        <w:t xml:space="preserve"> </w:t>
      </w:r>
    </w:p>
    <w:p w14:paraId="0F250001" w14:textId="40680B7C" w:rsidR="000652B4" w:rsidRPr="00D92E20" w:rsidRDefault="009E2142" w:rsidP="00BA6B4E">
      <w:pPr>
        <w:spacing w:before="120" w:after="120"/>
        <w:jc w:val="both"/>
        <w:rPr>
          <w:rFonts w:cs="Arial"/>
          <w:b/>
          <w:lang w:val="en-US"/>
        </w:rPr>
      </w:pPr>
      <w:r>
        <w:rPr>
          <w:noProof/>
        </w:rPr>
        <w:drawing>
          <wp:anchor distT="0" distB="0" distL="114300" distR="114300" simplePos="0" relativeHeight="251668992" behindDoc="1" locked="0" layoutInCell="1" allowOverlap="1" wp14:anchorId="1D0A01F9" wp14:editId="1EF87694">
            <wp:simplePos x="0" y="0"/>
            <wp:positionH relativeFrom="column">
              <wp:posOffset>2546985</wp:posOffset>
            </wp:positionH>
            <wp:positionV relativeFrom="paragraph">
              <wp:posOffset>213995</wp:posOffset>
            </wp:positionV>
            <wp:extent cx="3467100" cy="2343150"/>
            <wp:effectExtent l="0" t="0" r="0" b="0"/>
            <wp:wrapTight wrapText="bothSides">
              <wp:wrapPolygon edited="0">
                <wp:start x="0" y="0"/>
                <wp:lineTo x="0" y="21424"/>
                <wp:lineTo x="21481" y="21424"/>
                <wp:lineTo x="21481" y="0"/>
                <wp:lineTo x="0" y="0"/>
              </wp:wrapPolygon>
            </wp:wrapTight>
            <wp:docPr id="38" name="Graf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0016" behindDoc="1" locked="0" layoutInCell="1" allowOverlap="1" wp14:anchorId="60BEDE3F" wp14:editId="751CFADF">
            <wp:simplePos x="0" y="0"/>
            <wp:positionH relativeFrom="column">
              <wp:posOffset>3810</wp:posOffset>
            </wp:positionH>
            <wp:positionV relativeFrom="paragraph">
              <wp:posOffset>215900</wp:posOffset>
            </wp:positionV>
            <wp:extent cx="2847975" cy="2343150"/>
            <wp:effectExtent l="0" t="0" r="9525" b="0"/>
            <wp:wrapTight wrapText="bothSides">
              <wp:wrapPolygon edited="0">
                <wp:start x="0" y="0"/>
                <wp:lineTo x="0" y="21424"/>
                <wp:lineTo x="21528" y="21424"/>
                <wp:lineTo x="21528" y="0"/>
                <wp:lineTo x="0" y="0"/>
              </wp:wrapPolygon>
            </wp:wrapTight>
            <wp:docPr id="37" name="Graf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page">
              <wp14:pctWidth>0</wp14:pctWidth>
            </wp14:sizeRelH>
            <wp14:sizeRelV relativeFrom="page">
              <wp14:pctHeight>0</wp14:pctHeight>
            </wp14:sizeRelV>
          </wp:anchor>
        </w:drawing>
      </w:r>
      <w:r w:rsidR="000652B4" w:rsidRPr="00D92E20">
        <w:rPr>
          <w:rFonts w:cs="Arial"/>
          <w:b/>
          <w:lang w:val="en-US"/>
        </w:rPr>
        <w:t xml:space="preserve">Graf 2.1: </w:t>
      </w:r>
      <w:r w:rsidR="000652B4" w:rsidRPr="00D92E20">
        <w:rPr>
          <w:rFonts w:cs="Arial"/>
          <w:b/>
        </w:rPr>
        <w:t xml:space="preserve">Nově hlášené případy dočasné pracovní neschopnosti podle příčiny a pohlaví, </w:t>
      </w:r>
      <w:r w:rsidR="00FD28D3" w:rsidRPr="00FD28D3">
        <w:rPr>
          <w:rFonts w:cs="Arial"/>
          <w:b/>
          <w:lang w:val="en-US"/>
        </w:rPr>
        <w:t>1. pol. 202</w:t>
      </w:r>
      <w:r w:rsidR="009342FC">
        <w:rPr>
          <w:rFonts w:cs="Arial"/>
          <w:b/>
          <w:lang w:val="en-US"/>
        </w:rPr>
        <w:t>2</w:t>
      </w:r>
    </w:p>
    <w:p w14:paraId="197DDA97" w14:textId="2288F263" w:rsidR="00ED103E" w:rsidRPr="00D92E20" w:rsidRDefault="00253D4C" w:rsidP="00ED103E">
      <w:pPr>
        <w:jc w:val="both"/>
        <w:rPr>
          <w:bCs/>
          <w:sz w:val="16"/>
        </w:rPr>
      </w:pPr>
      <w:r w:rsidRPr="00D92E20">
        <w:rPr>
          <w:bCs/>
          <w:sz w:val="16"/>
        </w:rPr>
        <w:t>Zdroj: ČSÚ</w:t>
      </w:r>
      <w:r w:rsidR="00FD28D3" w:rsidRPr="00FD28D3">
        <w:rPr>
          <w:noProof/>
        </w:rPr>
        <w:t xml:space="preserve"> </w:t>
      </w:r>
    </w:p>
    <w:p w14:paraId="0C379D7D" w14:textId="673C4F7B" w:rsidR="00253D4C" w:rsidRPr="009E2142" w:rsidRDefault="00253D4C" w:rsidP="00BA6B4E">
      <w:pPr>
        <w:pStyle w:val="Seznam"/>
        <w:spacing w:before="120" w:after="120"/>
        <w:contextualSpacing w:val="0"/>
        <w:jc w:val="both"/>
      </w:pPr>
      <w:r w:rsidRPr="009E2142">
        <w:lastRenderedPageBreak/>
        <w:t xml:space="preserve">Dopad legislativních změn na </w:t>
      </w:r>
      <w:r w:rsidR="000675AD" w:rsidRPr="009E2142">
        <w:t>výskyt</w:t>
      </w:r>
      <w:r w:rsidRPr="009E2142">
        <w:t xml:space="preserve"> pracovní neschopnosti je zřejmý zejména na vývoji případů pracovní neschopnosti </w:t>
      </w:r>
      <w:r w:rsidRPr="009E2142">
        <w:rPr>
          <w:b/>
        </w:rPr>
        <w:t>pro nemoc</w:t>
      </w:r>
      <w:r w:rsidRPr="009E2142">
        <w:t>. Počty případů pracovní neschopnosti pro úrazy jsou těmito změnami ovlivněny méně. Legislativní úpravy ve vyplácení dávek nemocenského se nejvíce projevují v četnosti případů méně závažných a krátkodobých pracovních neschopností, např. u nemocí dýchacích cest (běžná nachlazení, záněty horních cest dýchacích).</w:t>
      </w:r>
    </w:p>
    <w:p w14:paraId="7185CE88" w14:textId="64BBCE3E" w:rsidR="006B6D44" w:rsidRDefault="006B6D44" w:rsidP="00246C9A">
      <w:pPr>
        <w:pStyle w:val="Seznam"/>
        <w:spacing w:before="120" w:after="120"/>
        <w:contextualSpacing w:val="0"/>
        <w:jc w:val="both"/>
      </w:pPr>
      <w:r w:rsidRPr="009E2142">
        <w:t xml:space="preserve">Do roku 2018 platil trend, že </w:t>
      </w:r>
      <w:r w:rsidRPr="009E2142">
        <w:rPr>
          <w:b/>
        </w:rPr>
        <w:t>v prvním půlroce</w:t>
      </w:r>
      <w:r w:rsidRPr="009E2142">
        <w:t xml:space="preserve"> je hlášeno značně více případů pracovní</w:t>
      </w:r>
      <w:r w:rsidR="00CE1E85" w:rsidRPr="009E2142">
        <w:t xml:space="preserve"> neschopnosti</w:t>
      </w:r>
      <w:r w:rsidRPr="009E2142">
        <w:t xml:space="preserve"> než v pololetí druhém. Možným vysvětlením mohou být jarní chřipkové epidemie. Naopak poklesu </w:t>
      </w:r>
      <w:r w:rsidR="00D2519A">
        <w:t xml:space="preserve">v druhém pololetí </w:t>
      </w:r>
      <w:r w:rsidRPr="009E2142">
        <w:t>nahrávají prázdniny, zejména letní, ale také podzimní a vánoční. Pokud se nejedná o onemocnění závažnějšího charakteru, může se pojištěnec během dovolené sám zotavit bez nutnosti návštěvy lékaře a</w:t>
      </w:r>
      <w:r w:rsidR="00923F2E">
        <w:t> </w:t>
      </w:r>
      <w:r w:rsidRPr="009E2142">
        <w:t xml:space="preserve">vystavení pracovní neschopnosti. Jak již bylo zmíněno výše, jedním z faktorů, které zapříčinily meziroční nárůst počtu nových případů pracovní neschopnosti </w:t>
      </w:r>
      <w:r w:rsidRPr="009E2142">
        <w:rPr>
          <w:b/>
        </w:rPr>
        <w:t>způsobených nemocí</w:t>
      </w:r>
      <w:r w:rsidRPr="009E2142">
        <w:t xml:space="preserve"> oproti 1. pol. 201</w:t>
      </w:r>
      <w:r w:rsidR="00CF0B5E" w:rsidRPr="009E2142">
        <w:t>9</w:t>
      </w:r>
      <w:r w:rsidRPr="009E2142">
        <w:t xml:space="preserve">, je patrně </w:t>
      </w:r>
      <w:r w:rsidRPr="009E2142">
        <w:rPr>
          <w:b/>
        </w:rPr>
        <w:t>zrušení karenční doby od 1. července 2019</w:t>
      </w:r>
      <w:r w:rsidRPr="009E2142">
        <w:t>, kdy je náhrada mzdy od zaměstnavatele zaměstnanci vyplácena již od prvního dne, a nikoliv až od čtvrtého. Rozdíl mezi prvním a druhým pol</w:t>
      </w:r>
      <w:r w:rsidR="00D56CD5" w:rsidRPr="009E2142">
        <w:t>oletím v roce 2019 již tedy nebyl</w:t>
      </w:r>
      <w:r w:rsidRPr="009E2142">
        <w:t xml:space="preserve"> tak markantní. V roce 2020 efekt </w:t>
      </w:r>
      <w:r w:rsidR="00D56CD5" w:rsidRPr="009E2142">
        <w:t xml:space="preserve">růstu počtu případů v druhé polovině roku </w:t>
      </w:r>
      <w:r w:rsidR="00844690" w:rsidRPr="009E2142">
        <w:t>posílila</w:t>
      </w:r>
      <w:r w:rsidR="00844690" w:rsidRPr="009E2142">
        <w:rPr>
          <w:b/>
        </w:rPr>
        <w:t xml:space="preserve"> </w:t>
      </w:r>
      <w:r w:rsidRPr="009E2142">
        <w:rPr>
          <w:b/>
        </w:rPr>
        <w:t>koronavirová pandemie</w:t>
      </w:r>
      <w:r w:rsidRPr="009E2142">
        <w:t>, kdy v druhém pololetí Česko zasáhla podzimní vlna onemocnění. Zatímco mezi prvními pololetími roku 2019 a 2020 došlo k nárůstu o 104 tis. (o 12 %) případů pracovní neschopnosti pro nemoc, mezi druhými pololetími se počet navýšil o 38</w:t>
      </w:r>
      <w:r w:rsidR="0037686D" w:rsidRPr="009E2142">
        <w:t>7</w:t>
      </w:r>
      <w:r w:rsidRPr="009E2142">
        <w:t xml:space="preserve"> tis. (o 46 %). </w:t>
      </w:r>
      <w:r w:rsidR="008D2F51" w:rsidRPr="009E2142">
        <w:t>Přestože se v 1. pol. 2021 začalo s očkováním proti onemocnění covid-19, poč</w:t>
      </w:r>
      <w:r w:rsidR="00246C9A" w:rsidRPr="009E2142">
        <w:t>e</w:t>
      </w:r>
      <w:r w:rsidR="008D2F51" w:rsidRPr="009E2142">
        <w:t xml:space="preserve">t neschopenek i z důvodu karantén byl </w:t>
      </w:r>
      <w:r w:rsidR="00246C9A" w:rsidRPr="009E2142">
        <w:t xml:space="preserve">i </w:t>
      </w:r>
      <w:r w:rsidR="008D2F51" w:rsidRPr="009E2142">
        <w:t xml:space="preserve">nadále mimořádný. Za </w:t>
      </w:r>
      <w:r w:rsidR="00246C9A" w:rsidRPr="009E2142">
        <w:t>1. pol. 2021</w:t>
      </w:r>
      <w:r w:rsidR="008D2F51" w:rsidRPr="009E2142">
        <w:t xml:space="preserve"> bylo nahlášeno </w:t>
      </w:r>
      <w:r w:rsidR="0088045B" w:rsidRPr="009E2142">
        <w:t xml:space="preserve">celkem </w:t>
      </w:r>
      <w:r w:rsidR="008D2F51" w:rsidRPr="009E2142">
        <w:t xml:space="preserve">1 300 </w:t>
      </w:r>
      <w:r w:rsidR="0088045B" w:rsidRPr="009E2142">
        <w:t>tis. případů dočasné pracovní neschopnosti</w:t>
      </w:r>
      <w:r w:rsidR="00CF0B5E" w:rsidRPr="009E2142">
        <w:t xml:space="preserve"> pro nemoc</w:t>
      </w:r>
      <w:r w:rsidR="0088045B" w:rsidRPr="009E2142">
        <w:t xml:space="preserve">, což je o 428 tis. (o polovinu) více než v 1. pol. 2019, </w:t>
      </w:r>
      <w:r w:rsidR="00D56CD5" w:rsidRPr="009E2142">
        <w:t>tedy v době před pandemií.</w:t>
      </w:r>
    </w:p>
    <w:p w14:paraId="2A71D252" w14:textId="39EDA10E" w:rsidR="009E2142" w:rsidRPr="00D92E20" w:rsidRDefault="009E2142" w:rsidP="00246C9A">
      <w:pPr>
        <w:pStyle w:val="Seznam"/>
        <w:spacing w:before="120" w:after="120"/>
        <w:contextualSpacing w:val="0"/>
        <w:jc w:val="both"/>
      </w:pPr>
      <w:r>
        <w:t>Během 1. pol. 2020 se počty nově hlášených případů pracovní neschopnosti pro nemoc blížily milionu. Dva roky nato už se</w:t>
      </w:r>
      <w:r w:rsidR="00E8019A">
        <w:t xml:space="preserve"> pravděpodobně vlivem vysoce infekční a na očkování nereagující variantě covidu-19 omikron</w:t>
      </w:r>
      <w:r>
        <w:t xml:space="preserve"> blíží dvěma milionům. Za prvních 6 </w:t>
      </w:r>
      <w:r w:rsidR="00DF6387">
        <w:t>měsíců roku 2022 bylo nahlášeno více případů než za celý rok 2019.</w:t>
      </w:r>
    </w:p>
    <w:p w14:paraId="690296D3" w14:textId="67FE25BE" w:rsidR="00253D4C" w:rsidRPr="00D92E20" w:rsidRDefault="00253D4C" w:rsidP="0088045B">
      <w:pPr>
        <w:spacing w:before="120" w:after="0"/>
        <w:jc w:val="both"/>
        <w:rPr>
          <w:bCs/>
        </w:rPr>
      </w:pPr>
      <w:r w:rsidRPr="00D92E20">
        <w:rPr>
          <w:b/>
          <w:bCs/>
        </w:rPr>
        <w:t>Graf 2.2: Nově hlášené případy dočasné pracov</w:t>
      </w:r>
      <w:r w:rsidR="0088045B">
        <w:rPr>
          <w:b/>
          <w:bCs/>
        </w:rPr>
        <w:t>ní neschopnosti pro nemoc, 201</w:t>
      </w:r>
      <w:r w:rsidR="009E2142">
        <w:rPr>
          <w:b/>
          <w:bCs/>
        </w:rPr>
        <w:t>7–1. pol. 2022</w:t>
      </w:r>
    </w:p>
    <w:p w14:paraId="2AB9CD57" w14:textId="36987079" w:rsidR="0088045B" w:rsidRDefault="009E2142" w:rsidP="00BA6B4E">
      <w:pPr>
        <w:spacing w:after="120"/>
        <w:rPr>
          <w:sz w:val="16"/>
        </w:rPr>
      </w:pPr>
      <w:r>
        <w:rPr>
          <w:noProof/>
        </w:rPr>
        <w:drawing>
          <wp:inline distT="0" distB="0" distL="0" distR="0" wp14:anchorId="111FA881" wp14:editId="18EC50FC">
            <wp:extent cx="6120130" cy="2968625"/>
            <wp:effectExtent l="0" t="0" r="13970" b="3175"/>
            <wp:docPr id="39" name="Graf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236111EB" w14:textId="7E129A63" w:rsidR="00ED103E" w:rsidRPr="00D92E20" w:rsidRDefault="00253D4C" w:rsidP="00BA6B4E">
      <w:pPr>
        <w:spacing w:after="120"/>
        <w:rPr>
          <w:sz w:val="16"/>
        </w:rPr>
      </w:pPr>
      <w:r w:rsidRPr="00D92E20">
        <w:rPr>
          <w:sz w:val="16"/>
        </w:rPr>
        <w:t>Zdroj: ČSÚ</w:t>
      </w:r>
    </w:p>
    <w:p w14:paraId="399E7FC9" w14:textId="43C20157" w:rsidR="00D63625" w:rsidRDefault="00D63625" w:rsidP="00BA6B4E">
      <w:pPr>
        <w:pStyle w:val="Seznam"/>
        <w:spacing w:before="120" w:after="120"/>
        <w:contextualSpacing w:val="0"/>
        <w:jc w:val="both"/>
      </w:pPr>
      <w:r w:rsidRPr="005328D3">
        <w:t>V</w:t>
      </w:r>
      <w:r w:rsidR="000675AD" w:rsidRPr="005328D3">
        <w:t xml:space="preserve"> relativním </w:t>
      </w:r>
      <w:r w:rsidR="00B56D19">
        <w:t>přepočtu</w:t>
      </w:r>
      <w:r w:rsidR="000675AD" w:rsidRPr="005328D3">
        <w:t xml:space="preserve"> </w:t>
      </w:r>
      <w:r w:rsidR="003609B8" w:rsidRPr="005328D3">
        <w:t xml:space="preserve">na 100 pojištěnců </w:t>
      </w:r>
      <w:r w:rsidR="000675AD" w:rsidRPr="005328D3">
        <w:t>v</w:t>
      </w:r>
      <w:r w:rsidR="0088045B" w:rsidRPr="005328D3">
        <w:t> 1. pol. 202</w:t>
      </w:r>
      <w:r w:rsidR="00DF6387" w:rsidRPr="005328D3">
        <w:t>2</w:t>
      </w:r>
      <w:r w:rsidR="0088045B" w:rsidRPr="005328D3">
        <w:t xml:space="preserve"> </w:t>
      </w:r>
      <w:r w:rsidRPr="005328D3">
        <w:t xml:space="preserve">meziročně přibylo </w:t>
      </w:r>
      <w:r w:rsidR="005328D3" w:rsidRPr="005328D3">
        <w:t>téměř 14</w:t>
      </w:r>
      <w:r w:rsidRPr="005328D3">
        <w:t xml:space="preserve"> případ</w:t>
      </w:r>
      <w:r w:rsidR="0088045B" w:rsidRPr="005328D3">
        <w:t>ů</w:t>
      </w:r>
      <w:r w:rsidRPr="005328D3">
        <w:t xml:space="preserve"> </w:t>
      </w:r>
      <w:r w:rsidR="00CF0B5E" w:rsidRPr="005328D3">
        <w:t xml:space="preserve">pracovní neschopnosti bez ohledu na příčinu </w:t>
      </w:r>
      <w:r w:rsidRPr="005328D3">
        <w:t>a</w:t>
      </w:r>
      <w:r w:rsidR="00023479" w:rsidRPr="005328D3">
        <w:t xml:space="preserve"> hodnota tak</w:t>
      </w:r>
      <w:r w:rsidRPr="005328D3">
        <w:t xml:space="preserve"> činil</w:t>
      </w:r>
      <w:r w:rsidR="00023479" w:rsidRPr="005328D3">
        <w:t>a</w:t>
      </w:r>
      <w:r w:rsidRPr="005328D3">
        <w:t xml:space="preserve"> </w:t>
      </w:r>
      <w:r w:rsidR="005328D3" w:rsidRPr="005328D3">
        <w:t>43,5</w:t>
      </w:r>
      <w:r w:rsidR="000675AD" w:rsidRPr="005328D3">
        <w:t> </w:t>
      </w:r>
      <w:r w:rsidRPr="005328D3">
        <w:t xml:space="preserve">případů. Na 100 pojištěnců připadalo </w:t>
      </w:r>
      <w:r w:rsidR="005328D3" w:rsidRPr="005328D3">
        <w:t>41</w:t>
      </w:r>
      <w:r w:rsidRPr="005328D3">
        <w:t xml:space="preserve"> nově hlášených případů </w:t>
      </w:r>
      <w:r w:rsidR="0088045B" w:rsidRPr="005328D3">
        <w:t xml:space="preserve">dočasné </w:t>
      </w:r>
      <w:r w:rsidRPr="005328D3">
        <w:t xml:space="preserve">pracovní neschopnosti </w:t>
      </w:r>
      <w:r w:rsidRPr="005328D3">
        <w:rPr>
          <w:b/>
        </w:rPr>
        <w:t>pro nemoc</w:t>
      </w:r>
      <w:r w:rsidRPr="005328D3">
        <w:t xml:space="preserve">, což bylo </w:t>
      </w:r>
      <w:r w:rsidR="005328D3" w:rsidRPr="005328D3">
        <w:t>bezmála</w:t>
      </w:r>
      <w:r w:rsidR="0088045B" w:rsidRPr="005328D3">
        <w:t xml:space="preserve"> dvojnásobek </w:t>
      </w:r>
      <w:r w:rsidR="003609B8" w:rsidRPr="005328D3">
        <w:t>oproti</w:t>
      </w:r>
      <w:r w:rsidR="005328D3" w:rsidRPr="005328D3">
        <w:t> 1. pol. 2020</w:t>
      </w:r>
      <w:r w:rsidRPr="005328D3">
        <w:t>.</w:t>
      </w:r>
      <w:r w:rsidRPr="00302DD9">
        <w:t xml:space="preserve"> </w:t>
      </w:r>
    </w:p>
    <w:p w14:paraId="10F18BAF" w14:textId="77777777" w:rsidR="00473D4E" w:rsidRPr="00A979CA" w:rsidRDefault="00473D4E" w:rsidP="00473D4E">
      <w:pPr>
        <w:pStyle w:val="Seznam"/>
        <w:spacing w:before="120" w:after="120"/>
        <w:contextualSpacing w:val="0"/>
        <w:jc w:val="both"/>
      </w:pPr>
      <w:r w:rsidRPr="00A979CA">
        <w:t xml:space="preserve">Co se týče počtu neschopenek z důvodu </w:t>
      </w:r>
      <w:r w:rsidRPr="00A979CA">
        <w:rPr>
          <w:b/>
        </w:rPr>
        <w:t>úrazů</w:t>
      </w:r>
      <w:r w:rsidRPr="00A979CA">
        <w:t xml:space="preserve">, tak pokud pomineme 1. pol. 2020, kdy počet úrazů na 100 pojištěnců poklesl, panuje zde víceméně stagnace. Dá se předpokládat, že předloňský výkyv souvisel s vyhlášením nouzového stavu, celkovým omezením pohybu, uzavřením některých podniků a větší mírou </w:t>
      </w:r>
      <w:r w:rsidRPr="00A979CA">
        <w:lastRenderedPageBreak/>
        <w:t xml:space="preserve">práce z domova. </w:t>
      </w:r>
      <w:r>
        <w:t>Vyžadování dodržování</w:t>
      </w:r>
      <w:r w:rsidRPr="00A979CA">
        <w:t xml:space="preserve"> někter</w:t>
      </w:r>
      <w:r>
        <w:t>ých</w:t>
      </w:r>
      <w:r w:rsidRPr="00A979CA">
        <w:t xml:space="preserve"> bezpečnostní</w:t>
      </w:r>
      <w:r>
        <w:t>ch</w:t>
      </w:r>
      <w:r w:rsidRPr="00A979CA">
        <w:t xml:space="preserve"> opatření i nadále </w:t>
      </w:r>
      <w:r>
        <w:t>přetrvává</w:t>
      </w:r>
      <w:r w:rsidRPr="00A979CA">
        <w:t xml:space="preserve"> a využívání home office se v </w:t>
      </w:r>
      <w:r>
        <w:t>určitých</w:t>
      </w:r>
      <w:r w:rsidRPr="00A979CA">
        <w:t xml:space="preserve"> odvětvích uplatňuje ve větší míře než dříve. Zejména v manuálních profesích se však digitalizace a automatizace prosazují pomaleji a v 1. pol. 2021 se pracovní úrazovost vrátila na úroveň před pandemií.</w:t>
      </w:r>
      <w:r>
        <w:t xml:space="preserve"> V 1. pol. 2022 se hodnota nijak nezměnila a činila 0,5 případu na 100 nemocensky pojištěných.</w:t>
      </w:r>
    </w:p>
    <w:p w14:paraId="2C453009" w14:textId="2D301B84" w:rsidR="0088045B" w:rsidRDefault="00D63625" w:rsidP="0088045B">
      <w:pPr>
        <w:pStyle w:val="Seznam"/>
        <w:jc w:val="both"/>
        <w:rPr>
          <w:b/>
        </w:rPr>
      </w:pPr>
      <w:r w:rsidRPr="0088045B">
        <w:rPr>
          <w:b/>
        </w:rPr>
        <w:t xml:space="preserve">Graf 2.3: Nově hlášené případy dočasné pracovní neschopnosti na 100 pojištěnců </w:t>
      </w:r>
      <w:r w:rsidR="007941AC">
        <w:rPr>
          <w:b/>
        </w:rPr>
        <w:t xml:space="preserve">celkem a </w:t>
      </w:r>
      <w:r w:rsidRPr="0088045B">
        <w:rPr>
          <w:b/>
        </w:rPr>
        <w:t xml:space="preserve">podle příčiny, </w:t>
      </w:r>
      <w:r w:rsidR="009F34CD" w:rsidRPr="0050059C">
        <w:rPr>
          <w:b/>
          <w:spacing w:val="-2"/>
        </w:rPr>
        <w:t>1. pol. 201</w:t>
      </w:r>
      <w:r w:rsidR="009F34CD">
        <w:rPr>
          <w:b/>
          <w:spacing w:val="-2"/>
        </w:rPr>
        <w:t>2</w:t>
      </w:r>
      <w:r w:rsidR="009F34CD" w:rsidRPr="0050059C">
        <w:rPr>
          <w:b/>
          <w:spacing w:val="-2"/>
        </w:rPr>
        <w:t xml:space="preserve"> až 1. pol. 202</w:t>
      </w:r>
      <w:r w:rsidR="009F34CD">
        <w:rPr>
          <w:b/>
          <w:spacing w:val="-2"/>
        </w:rPr>
        <w:t>2</w:t>
      </w:r>
    </w:p>
    <w:p w14:paraId="10992647" w14:textId="5EF44E85" w:rsidR="00EB48F6" w:rsidRPr="00D92E20" w:rsidRDefault="007941AC" w:rsidP="0088045B">
      <w:pPr>
        <w:pStyle w:val="Seznam"/>
        <w:jc w:val="both"/>
      </w:pPr>
      <w:r>
        <w:rPr>
          <w:noProof/>
        </w:rPr>
        <w:drawing>
          <wp:inline distT="0" distB="0" distL="0" distR="0" wp14:anchorId="36BE024A" wp14:editId="79B245A5">
            <wp:extent cx="6467475" cy="2905125"/>
            <wp:effectExtent l="0" t="0" r="9525" b="9525"/>
            <wp:docPr id="45" name="Graf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5E5E269E" w14:textId="483515C3" w:rsidR="00D63625" w:rsidRDefault="00D63625" w:rsidP="00D63625">
      <w:pPr>
        <w:rPr>
          <w:sz w:val="16"/>
        </w:rPr>
      </w:pPr>
      <w:r w:rsidRPr="00D92E20">
        <w:rPr>
          <w:sz w:val="16"/>
        </w:rPr>
        <w:t>Zdroj: ČSÚ</w:t>
      </w:r>
    </w:p>
    <w:p w14:paraId="6B4E72B3" w14:textId="77777777" w:rsidR="00473D4E" w:rsidRDefault="00A26AF3" w:rsidP="00BA6B4E">
      <w:pPr>
        <w:autoSpaceDE w:val="0"/>
        <w:autoSpaceDN w:val="0"/>
        <w:adjustRightInd w:val="0"/>
        <w:spacing w:before="120" w:after="120"/>
        <w:jc w:val="both"/>
        <w:rPr>
          <w:rFonts w:cs="Arial"/>
        </w:rPr>
      </w:pPr>
      <w:r w:rsidRPr="00A979CA">
        <w:rPr>
          <w:rFonts w:cs="Arial"/>
        </w:rPr>
        <w:t xml:space="preserve">Nejvíce nových případů dočasné pracovní neschopnosti </w:t>
      </w:r>
      <w:r w:rsidR="00302DD9" w:rsidRPr="00A979CA">
        <w:rPr>
          <w:rFonts w:cs="Arial"/>
        </w:rPr>
        <w:t>v 1. pol. 202</w:t>
      </w:r>
      <w:r w:rsidR="00A979CA" w:rsidRPr="00A979CA">
        <w:rPr>
          <w:rFonts w:cs="Arial"/>
        </w:rPr>
        <w:t>2</w:t>
      </w:r>
      <w:r w:rsidR="00302DD9" w:rsidRPr="00A979CA">
        <w:rPr>
          <w:rFonts w:cs="Arial"/>
        </w:rPr>
        <w:t xml:space="preserve"> </w:t>
      </w:r>
      <w:r w:rsidRPr="00A979CA">
        <w:rPr>
          <w:rFonts w:cs="Arial"/>
        </w:rPr>
        <w:t xml:space="preserve">bylo nahlášeno v subjektech, které dle převažující ekonomické činnosti spadají do </w:t>
      </w:r>
      <w:r w:rsidRPr="00A979CA">
        <w:rPr>
          <w:rFonts w:cs="Arial"/>
          <w:b/>
        </w:rPr>
        <w:t>odvětvové sekce</w:t>
      </w:r>
      <w:r w:rsidRPr="00A979CA">
        <w:rPr>
          <w:rFonts w:cs="Arial"/>
        </w:rPr>
        <w:t xml:space="preserve"> Zpracovatelský průmysl (</w:t>
      </w:r>
      <w:r w:rsidR="00A979CA" w:rsidRPr="00A979CA">
        <w:rPr>
          <w:rFonts w:cs="Arial"/>
        </w:rPr>
        <w:t>676</w:t>
      </w:r>
      <w:r w:rsidRPr="00A979CA">
        <w:rPr>
          <w:rFonts w:cs="Arial"/>
        </w:rPr>
        <w:t xml:space="preserve"> tis. případů) a Velkoobchod a maloobchod; opravy a údržba motorových vozidel (</w:t>
      </w:r>
      <w:r w:rsidR="00A979CA" w:rsidRPr="00A979CA">
        <w:rPr>
          <w:rFonts w:cs="Arial"/>
        </w:rPr>
        <w:t>266</w:t>
      </w:r>
      <w:r w:rsidRPr="00A979CA">
        <w:rPr>
          <w:rFonts w:cs="Arial"/>
        </w:rPr>
        <w:t xml:space="preserve"> tis.). </w:t>
      </w:r>
      <w:r w:rsidR="00315DF2">
        <w:rPr>
          <w:rFonts w:cs="Arial"/>
        </w:rPr>
        <w:t>To je dáno tím, že zde</w:t>
      </w:r>
      <w:r w:rsidRPr="00A979CA">
        <w:rPr>
          <w:rFonts w:cs="Arial"/>
        </w:rPr>
        <w:t xml:space="preserve"> pracuje nejvíce zaměstnaných osob, jak bylo uvedeno výše v kap. 4.1. Naopak nejméně případů bylo v absolutních číslech hlášeno v odvětvích Těžba a dobývání </w:t>
      </w:r>
      <w:r w:rsidR="00A979CA" w:rsidRPr="00A979CA">
        <w:rPr>
          <w:rFonts w:cs="Arial"/>
        </w:rPr>
        <w:t xml:space="preserve">(9 tis.) </w:t>
      </w:r>
      <w:r w:rsidRPr="00A979CA">
        <w:rPr>
          <w:rFonts w:cs="Arial"/>
        </w:rPr>
        <w:t>a Výroba a rozvod elektřiny, plynu, t</w:t>
      </w:r>
      <w:r w:rsidR="00302DD9" w:rsidRPr="00A979CA">
        <w:rPr>
          <w:rFonts w:cs="Arial"/>
        </w:rPr>
        <w:t>epla a klimatizovaného vzduchu (</w:t>
      </w:r>
      <w:r w:rsidR="00A979CA" w:rsidRPr="00A979CA">
        <w:rPr>
          <w:rFonts w:cs="Arial"/>
        </w:rPr>
        <w:t>12</w:t>
      </w:r>
      <w:r w:rsidR="00302DD9" w:rsidRPr="00A979CA">
        <w:rPr>
          <w:rFonts w:cs="Arial"/>
        </w:rPr>
        <w:t xml:space="preserve"> tis.</w:t>
      </w:r>
      <w:r w:rsidRPr="00A979CA">
        <w:rPr>
          <w:rFonts w:cs="Arial"/>
        </w:rPr>
        <w:t>).</w:t>
      </w:r>
    </w:p>
    <w:p w14:paraId="4959FCD6" w14:textId="2E09AA23" w:rsidR="00473D4E" w:rsidRPr="00A979CA" w:rsidRDefault="00473D4E" w:rsidP="00473D4E">
      <w:pPr>
        <w:autoSpaceDE w:val="0"/>
        <w:autoSpaceDN w:val="0"/>
        <w:adjustRightInd w:val="0"/>
        <w:spacing w:before="120" w:after="120"/>
        <w:jc w:val="both"/>
        <w:rPr>
          <w:rFonts w:cs="Arial"/>
        </w:rPr>
      </w:pPr>
      <w:r w:rsidRPr="00A979CA">
        <w:rPr>
          <w:rFonts w:cs="Arial"/>
        </w:rPr>
        <w:t>V 1. pol. 2022</w:t>
      </w:r>
      <w:r w:rsidRPr="00A979CA">
        <w:rPr>
          <w:rFonts w:cs="Arial"/>
          <w:b/>
        </w:rPr>
        <w:t xml:space="preserve"> meziročně</w:t>
      </w:r>
      <w:r w:rsidRPr="00A979CA">
        <w:rPr>
          <w:rFonts w:cs="Arial"/>
        </w:rPr>
        <w:t xml:space="preserve"> vzrostl počet případů dočasné pracovní neschopnosti procentuálně nejvíce v odvětvové sekci Vzdělávání, a to o 1</w:t>
      </w:r>
      <w:r>
        <w:rPr>
          <w:rFonts w:cs="Arial"/>
        </w:rPr>
        <w:t>46</w:t>
      </w:r>
      <w:r w:rsidRPr="00A979CA">
        <w:rPr>
          <w:rFonts w:cs="Arial"/>
        </w:rPr>
        <w:t xml:space="preserve"> % (o 137 tisíc). Absolutně nejvíce (o 170 tis.) </w:t>
      </w:r>
      <w:r w:rsidR="00B56D19">
        <w:rPr>
          <w:rFonts w:cs="Arial"/>
        </w:rPr>
        <w:t>se zvýšil</w:t>
      </w:r>
      <w:r w:rsidRPr="00A979CA">
        <w:rPr>
          <w:rFonts w:cs="Arial"/>
        </w:rPr>
        <w:t xml:space="preserve"> ve Zpracovatelském průmyslu. Meziročně </w:t>
      </w:r>
      <w:r w:rsidR="00B56D19">
        <w:rPr>
          <w:rFonts w:cs="Arial"/>
        </w:rPr>
        <w:t>došlo k nárůstu</w:t>
      </w:r>
      <w:r w:rsidRPr="00A979CA">
        <w:rPr>
          <w:rFonts w:cs="Arial"/>
        </w:rPr>
        <w:t xml:space="preserve"> počt</w:t>
      </w:r>
      <w:r w:rsidR="00B56D19">
        <w:rPr>
          <w:rFonts w:cs="Arial"/>
        </w:rPr>
        <w:t>u</w:t>
      </w:r>
      <w:r w:rsidRPr="00A979CA">
        <w:rPr>
          <w:rFonts w:cs="Arial"/>
        </w:rPr>
        <w:t xml:space="preserve"> nahlášených případů ve všech odvětvích. </w:t>
      </w:r>
    </w:p>
    <w:p w14:paraId="1C457A82" w14:textId="4A800F96" w:rsidR="00473D4E" w:rsidRDefault="00473D4E" w:rsidP="00473D4E">
      <w:pPr>
        <w:autoSpaceDE w:val="0"/>
        <w:autoSpaceDN w:val="0"/>
        <w:adjustRightInd w:val="0"/>
        <w:spacing w:before="120" w:after="120"/>
        <w:jc w:val="both"/>
        <w:rPr>
          <w:rFonts w:cs="Arial"/>
        </w:rPr>
      </w:pPr>
      <w:r w:rsidRPr="00A979CA">
        <w:rPr>
          <w:rFonts w:cs="Arial"/>
        </w:rPr>
        <w:t>Absolutní počty nově hlášených případů jsou ovlivněny odvětvovou strukturou národního hospodářství a zaměstnaností v jednotlivých odvětvích. Z toho důvodu má vyšší vypovídací schopnost již zmíněný ukazatel – počet nově hlášených případů na 100 pojištěnců v daném odvětví.</w:t>
      </w:r>
    </w:p>
    <w:p w14:paraId="2DE2CFCD" w14:textId="0E10580A" w:rsidR="00B56D19" w:rsidRDefault="00473D4E" w:rsidP="00473D4E">
      <w:pPr>
        <w:autoSpaceDE w:val="0"/>
        <w:autoSpaceDN w:val="0"/>
        <w:adjustRightInd w:val="0"/>
        <w:spacing w:before="120" w:after="120"/>
        <w:jc w:val="both"/>
        <w:rPr>
          <w:rFonts w:cs="Arial"/>
        </w:rPr>
      </w:pPr>
      <w:r w:rsidRPr="00321DDE">
        <w:rPr>
          <w:rFonts w:cs="Arial"/>
        </w:rPr>
        <w:t xml:space="preserve">V posledních zhruba pěti letech vévodil počtu nově hlášených případů pracovní neschopnosti </w:t>
      </w:r>
      <w:r w:rsidRPr="00321DDE">
        <w:rPr>
          <w:rFonts w:cs="Arial"/>
          <w:b/>
        </w:rPr>
        <w:t>na 100</w:t>
      </w:r>
      <w:r w:rsidR="00923F2E">
        <w:rPr>
          <w:rFonts w:cs="Arial"/>
          <w:b/>
        </w:rPr>
        <w:t> </w:t>
      </w:r>
      <w:r w:rsidRPr="00321DDE">
        <w:rPr>
          <w:rFonts w:cs="Arial"/>
          <w:b/>
        </w:rPr>
        <w:t>pojištěnců</w:t>
      </w:r>
      <w:r w:rsidRPr="00321DDE">
        <w:rPr>
          <w:rFonts w:cs="Arial"/>
        </w:rPr>
        <w:t xml:space="preserve"> Zpracovatelský průmysl. V 1. pol. 2022 ho vystřídala sekce Vzdělávání, kde na 100 pojištěnců připadalo 57 případů dočasné pracovní neschopnosti. </w:t>
      </w:r>
      <w:r>
        <w:t>Oproti období před pandemií (čili 1. pol. 2019) došlo k rekordnímu nárůstu o 37 případů.</w:t>
      </w:r>
      <w:r w:rsidRPr="00321DDE">
        <w:rPr>
          <w:rFonts w:cs="Arial"/>
        </w:rPr>
        <w:t xml:space="preserve"> Zpracovatelský průmysl byl v 1. pol. 2022 v těsném závěsu s 56 případy na 100 pojištěných. </w:t>
      </w:r>
      <w:r>
        <w:rPr>
          <w:rFonts w:cs="Arial"/>
        </w:rPr>
        <w:t xml:space="preserve">Až s odstupem 10 případů na 100 pojištěnců následovaly další odvětvové sekce. </w:t>
      </w:r>
      <w:r w:rsidRPr="00321DDE">
        <w:rPr>
          <w:rFonts w:cs="Arial"/>
        </w:rPr>
        <w:t>Nejnižší počet případů dočasné pracovní neschopnosti v přepočtu na 100 nemocensky pojištěných bylo evidováno v odvětví Činnosti v oblasti nemovitostí s 20 případy. Celorepublikový průměr bez ohledu na odvětví činil již zmíněných 43,5 případů na 100 pojištěnců.</w:t>
      </w:r>
    </w:p>
    <w:p w14:paraId="4754558B" w14:textId="77777777" w:rsidR="00B56D19" w:rsidRDefault="00B56D19">
      <w:pPr>
        <w:spacing w:after="0" w:line="240" w:lineRule="auto"/>
        <w:rPr>
          <w:rFonts w:cs="Arial"/>
        </w:rPr>
      </w:pPr>
      <w:r>
        <w:rPr>
          <w:rFonts w:cs="Arial"/>
        </w:rPr>
        <w:br w:type="page"/>
      </w:r>
    </w:p>
    <w:p w14:paraId="0486A50C" w14:textId="4E737D5E" w:rsidR="0061019A" w:rsidRDefault="0061019A" w:rsidP="0061019A">
      <w:pPr>
        <w:spacing w:after="0"/>
        <w:jc w:val="both"/>
        <w:rPr>
          <w:b/>
        </w:rPr>
      </w:pPr>
      <w:r w:rsidRPr="00711A3B">
        <w:rPr>
          <w:b/>
        </w:rPr>
        <w:lastRenderedPageBreak/>
        <w:t>Graf 2.4: Nově hlášené případy dočasné pracovní neschopnosti na 100 pojištěnců podle odvětví (sekce CZ-NACE), 1. pol. 2019 a 2022</w:t>
      </w:r>
    </w:p>
    <w:p w14:paraId="39FB84F1" w14:textId="434C6126" w:rsidR="0061019A" w:rsidRPr="00D92E20" w:rsidRDefault="0061019A" w:rsidP="0061019A">
      <w:pPr>
        <w:spacing w:after="0"/>
        <w:jc w:val="both"/>
        <w:rPr>
          <w:b/>
        </w:rPr>
      </w:pPr>
      <w:r>
        <w:rPr>
          <w:noProof/>
        </w:rPr>
        <w:drawing>
          <wp:inline distT="0" distB="0" distL="0" distR="0" wp14:anchorId="6437B5FC" wp14:editId="17641418">
            <wp:extent cx="6120130" cy="4253865"/>
            <wp:effectExtent l="0" t="0" r="13970" b="13335"/>
            <wp:docPr id="21" name="Graf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05175E35" w14:textId="77777777" w:rsidR="0061019A" w:rsidRPr="00D92E20" w:rsidRDefault="0061019A" w:rsidP="0061019A">
      <w:pPr>
        <w:spacing w:after="120"/>
        <w:rPr>
          <w:sz w:val="16"/>
        </w:rPr>
      </w:pPr>
      <w:r w:rsidRPr="00D92E20">
        <w:rPr>
          <w:sz w:val="16"/>
        </w:rPr>
        <w:t>Zdroj: ČSÚ</w:t>
      </w:r>
    </w:p>
    <w:p w14:paraId="34088217" w14:textId="2A9AC5D5" w:rsidR="00473D4E" w:rsidRPr="00321DDE" w:rsidRDefault="00473D4E" w:rsidP="00473D4E">
      <w:pPr>
        <w:spacing w:before="120" w:after="120"/>
        <w:jc w:val="both"/>
        <w:rPr>
          <w:rFonts w:cs="Arial"/>
        </w:rPr>
      </w:pPr>
      <w:r w:rsidRPr="00321DDE">
        <w:rPr>
          <w:rFonts w:cs="Arial"/>
          <w:color w:val="000000"/>
          <w:szCs w:val="16"/>
        </w:rPr>
        <w:t xml:space="preserve">Vývoj počtu případů pracovní neschopnosti na 100 pojištěnců v jednotlivých odvětvích je zřejmý z grafu 2.4, resp. z tabulky 2.2. Za 1. pol. 2022 bylo nahlášeno o 30 případů na 100 pojištěnců více než před deseti lety. Nejdynamičtější nárůst je patrný v již zmíněné sekci Vzdělávání (+45 případů, tj. 370 %), resp. Kulturní, zábavní a rekreační činnosti (+25 případů, tj. 258 %) či Zdravotní a sociální péče (+31 případů, tj. 257 %). </w:t>
      </w:r>
    </w:p>
    <w:p w14:paraId="45736A8C" w14:textId="40A0663F" w:rsidR="00473D4E" w:rsidRDefault="00473D4E" w:rsidP="00473D4E">
      <w:pPr>
        <w:spacing w:before="120" w:after="120"/>
        <w:jc w:val="both"/>
      </w:pPr>
      <w:r w:rsidRPr="00321DDE">
        <w:t xml:space="preserve">Odvětvím s největším </w:t>
      </w:r>
      <w:r w:rsidRPr="00321DDE">
        <w:rPr>
          <w:b/>
        </w:rPr>
        <w:t>meziročním nárůstem</w:t>
      </w:r>
      <w:r w:rsidRPr="00321DDE">
        <w:t xml:space="preserve"> počtu případů pracovní neschopnosti </w:t>
      </w:r>
      <w:r w:rsidRPr="00321DDE">
        <w:rPr>
          <w:b/>
        </w:rPr>
        <w:t>pro nemoc</w:t>
      </w:r>
      <w:r w:rsidRPr="00321DDE">
        <w:t xml:space="preserve"> na 100 pojištěnců v 1. pol. 2022 bylo </w:t>
      </w:r>
      <w:r w:rsidRPr="00321DDE">
        <w:rPr>
          <w:b/>
        </w:rPr>
        <w:t>Vzdělávání</w:t>
      </w:r>
      <w:r w:rsidRPr="00321DDE">
        <w:t xml:space="preserve"> s 33 případy. </w:t>
      </w:r>
      <w:r>
        <w:t xml:space="preserve">Enormní nárůst by mohl souviset s nelehkými výzvami, kterými si pracovníci ve školství za uplynulé 3 roky prošli. Od distanční výuky, přes opětovnou adaptaci na prezenční výuku, až po integraci ukrajinských dětí. </w:t>
      </w:r>
      <w:r w:rsidRPr="00321DDE">
        <w:t>Nárůsty přes 18 případů</w:t>
      </w:r>
      <w:r>
        <w:t xml:space="preserve"> pracovní neschopnosti na 100 pojištěnců</w:t>
      </w:r>
      <w:r w:rsidRPr="00321DDE">
        <w:t xml:space="preserve"> zaznamenaly i sekce Kulturní, zábavní a rekreační činnosti a Veřejná správa a obrana; povinné sociální zabezpečení.</w:t>
      </w:r>
    </w:p>
    <w:p w14:paraId="647F56C7" w14:textId="77777777" w:rsidR="00473D4E" w:rsidRDefault="00473D4E">
      <w:pPr>
        <w:spacing w:after="0" w:line="240" w:lineRule="auto"/>
      </w:pPr>
      <w:r>
        <w:br w:type="page"/>
      </w:r>
    </w:p>
    <w:p w14:paraId="24355540" w14:textId="1D5E1A7A" w:rsidR="00E73F0C" w:rsidRPr="00D92E20" w:rsidRDefault="00E73F0C" w:rsidP="00BA6B4E">
      <w:pPr>
        <w:spacing w:before="120" w:after="0"/>
        <w:jc w:val="both"/>
        <w:rPr>
          <w:rFonts w:cs="Arial"/>
          <w:b/>
          <w:color w:val="000000"/>
          <w:szCs w:val="16"/>
        </w:rPr>
      </w:pPr>
      <w:r w:rsidRPr="004C4C4A">
        <w:rPr>
          <w:rFonts w:cs="Arial"/>
          <w:b/>
          <w:color w:val="000000"/>
          <w:szCs w:val="16"/>
        </w:rPr>
        <w:lastRenderedPageBreak/>
        <w:t xml:space="preserve">Graf 2.5: Nově hlášené případy dočasné pracovní neschopnosti </w:t>
      </w:r>
      <w:r w:rsidR="00096B50" w:rsidRPr="004C4C4A">
        <w:rPr>
          <w:rFonts w:cs="Arial"/>
          <w:b/>
          <w:color w:val="000000"/>
          <w:szCs w:val="16"/>
        </w:rPr>
        <w:t>pro nemoc</w:t>
      </w:r>
      <w:r w:rsidRPr="004C4C4A">
        <w:rPr>
          <w:rFonts w:cs="Arial"/>
          <w:b/>
          <w:color w:val="000000"/>
          <w:szCs w:val="16"/>
        </w:rPr>
        <w:t xml:space="preserve"> na 100 pojištěnců podle odvětví (sekce CZ-NACE), </w:t>
      </w:r>
      <w:r w:rsidR="00670A6B" w:rsidRPr="004C4C4A">
        <w:rPr>
          <w:rFonts w:cs="Arial"/>
          <w:b/>
          <w:color w:val="000000"/>
          <w:szCs w:val="16"/>
        </w:rPr>
        <w:t>1. pol. 202</w:t>
      </w:r>
      <w:r w:rsidR="00321DDE" w:rsidRPr="004C4C4A">
        <w:rPr>
          <w:rFonts w:cs="Arial"/>
          <w:b/>
          <w:color w:val="000000"/>
          <w:szCs w:val="16"/>
        </w:rPr>
        <w:t>1 a 2022</w:t>
      </w:r>
    </w:p>
    <w:p w14:paraId="2D143D09" w14:textId="7096B07C" w:rsidR="00E73F0C" w:rsidRPr="00D92E20" w:rsidRDefault="00321DDE" w:rsidP="007E06C7">
      <w:pPr>
        <w:spacing w:before="120" w:after="120"/>
        <w:jc w:val="both"/>
        <w:rPr>
          <w:rFonts w:cs="Arial"/>
          <w:b/>
          <w:color w:val="000000"/>
          <w:szCs w:val="16"/>
        </w:rPr>
      </w:pPr>
      <w:r>
        <w:rPr>
          <w:noProof/>
        </w:rPr>
        <w:drawing>
          <wp:inline distT="0" distB="0" distL="0" distR="0" wp14:anchorId="5FFD895E" wp14:editId="55A55FD9">
            <wp:extent cx="6120130" cy="4467225"/>
            <wp:effectExtent l="0" t="0" r="13970" b="9525"/>
            <wp:docPr id="42" name="Graf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7C76525D" w14:textId="4B33FABE" w:rsidR="00E73F0C" w:rsidRDefault="00E73F0C" w:rsidP="00E73F0C">
      <w:pPr>
        <w:rPr>
          <w:sz w:val="16"/>
        </w:rPr>
      </w:pPr>
      <w:r w:rsidRPr="00D92E20">
        <w:rPr>
          <w:sz w:val="16"/>
        </w:rPr>
        <w:t>Zdroj: ČSÚ</w:t>
      </w:r>
    </w:p>
    <w:p w14:paraId="6242C0A8" w14:textId="19B27F05" w:rsidR="00473D4E" w:rsidRDefault="00FB73B2" w:rsidP="00BA6B4E">
      <w:pPr>
        <w:spacing w:before="120" w:after="120"/>
        <w:jc w:val="both"/>
      </w:pPr>
      <w:r w:rsidRPr="001E3AB8">
        <w:t xml:space="preserve">Nejvíce případů dočasné pracovní neschopnosti na 100 pojištěnců </w:t>
      </w:r>
      <w:r w:rsidRPr="001E3AB8">
        <w:rPr>
          <w:b/>
        </w:rPr>
        <w:t>pro pracovní úraz</w:t>
      </w:r>
      <w:r w:rsidRPr="001E3AB8">
        <w:t>, což je možné chápat jako ukazatel vyjadřující „stupeň rizi</w:t>
      </w:r>
      <w:r w:rsidR="00670A6B" w:rsidRPr="001E3AB8">
        <w:t>kovosti“ daného odvětví, bylo za 1. pol. 202</w:t>
      </w:r>
      <w:r w:rsidR="00321DDE" w:rsidRPr="001E3AB8">
        <w:t>2</w:t>
      </w:r>
      <w:r w:rsidRPr="001E3AB8">
        <w:t xml:space="preserve"> evidováno u sekce Zemědělství, lesnictví a rybářství (</w:t>
      </w:r>
      <w:r w:rsidR="00670A6B" w:rsidRPr="001E3AB8">
        <w:t>1</w:t>
      </w:r>
      <w:r w:rsidRPr="001E3AB8">
        <w:t xml:space="preserve">,3), následované oblastmi </w:t>
      </w:r>
      <w:r w:rsidR="001E3AB8" w:rsidRPr="001E3AB8">
        <w:t xml:space="preserve">Těžba a dobývání a </w:t>
      </w:r>
      <w:r w:rsidRPr="001E3AB8">
        <w:t>Zásobování vodou; činnosti související s odpady a sanacemi (</w:t>
      </w:r>
      <w:r w:rsidR="001E3AB8" w:rsidRPr="001E3AB8">
        <w:t xml:space="preserve">obě sekce shodně </w:t>
      </w:r>
      <w:r w:rsidRPr="001E3AB8">
        <w:t>1,</w:t>
      </w:r>
      <w:r w:rsidR="00E83157" w:rsidRPr="001E3AB8">
        <w:t>0</w:t>
      </w:r>
      <w:r w:rsidRPr="001E3AB8">
        <w:t>). Naproti tomu nejméně pracovních úrazů bylo zaznamenáno v subjektech působících v odvětví Peněžnictví a pojišťovnictví a v oblasti Informační a komunikační činnost</w:t>
      </w:r>
      <w:r w:rsidR="00D042B7" w:rsidRPr="001E3AB8">
        <w:t>i</w:t>
      </w:r>
      <w:r w:rsidRPr="001E3AB8">
        <w:t xml:space="preserve"> (shodně 0,0</w:t>
      </w:r>
      <w:r w:rsidR="00E83157" w:rsidRPr="001E3AB8">
        <w:t>3 resp. 0,04</w:t>
      </w:r>
      <w:r w:rsidRPr="001E3AB8">
        <w:t xml:space="preserve">). </w:t>
      </w:r>
      <w:r w:rsidR="00DD6AF4">
        <w:t>Jak již bylo řečeno, p</w:t>
      </w:r>
      <w:r w:rsidRPr="001E3AB8">
        <w:t>růměrně za všechna odvětví připadalo na 100 pojištěnců</w:t>
      </w:r>
      <w:r w:rsidR="00DD6AF4">
        <w:t xml:space="preserve"> </w:t>
      </w:r>
      <w:r w:rsidRPr="001E3AB8">
        <w:t>0,</w:t>
      </w:r>
      <w:r w:rsidR="00E83157" w:rsidRPr="001E3AB8">
        <w:t>5</w:t>
      </w:r>
      <w:r w:rsidRPr="001E3AB8">
        <w:t xml:space="preserve"> případu pracovní neschopnosti pro pracovní úraz.</w:t>
      </w:r>
      <w:r w:rsidR="004C0F5E" w:rsidRPr="001E3AB8">
        <w:t xml:space="preserve"> Více o pracovních úrazech v kap. 4.5.</w:t>
      </w:r>
    </w:p>
    <w:p w14:paraId="031E03B5" w14:textId="469C4F7B" w:rsidR="00473D4E" w:rsidRDefault="00473D4E" w:rsidP="00473D4E">
      <w:pPr>
        <w:spacing w:before="120" w:after="120"/>
        <w:jc w:val="both"/>
      </w:pPr>
      <w:r w:rsidRPr="001E3AB8">
        <w:t xml:space="preserve">Z pohledu </w:t>
      </w:r>
      <w:r w:rsidRPr="001E3AB8">
        <w:rPr>
          <w:b/>
        </w:rPr>
        <w:t>územního členění</w:t>
      </w:r>
      <w:r w:rsidRPr="001E3AB8">
        <w:t xml:space="preserve"> bylo v 1. pol. 2022 nejvíce případů pracovní neschopnosti na 100 pojištěnců hlášeno v Libereckém (54), Plzeňském a Královéhradeckém kraji (oba shodně 50). Jak již bylo zmíněno výše, průměr za Českou republiku činil 43,5 případů, přičemž podprůměrné hodnoty vykazovaly následující 2 kraje: Hlavní město Praha (33) a Jihomoravský kraj (43). Rozdíl dvou extrémních krajů představoval 21 případů pracovní neschopnosti na 100 pojištěnců. </w:t>
      </w:r>
      <w:r>
        <w:t>V 1. pol. 2019</w:t>
      </w:r>
      <w:r w:rsidRPr="001E3AB8">
        <w:t xml:space="preserve"> rozdíl činil </w:t>
      </w:r>
      <w:r>
        <w:t>8,5</w:t>
      </w:r>
      <w:r w:rsidRPr="001E3AB8">
        <w:t xml:space="preserve"> neschopenek. Hodnoty tohoto sledovaného ukazatele oproti </w:t>
      </w:r>
      <w:r>
        <w:t>1. pol. 20</w:t>
      </w:r>
      <w:r w:rsidRPr="001E3AB8">
        <w:t>1</w:t>
      </w:r>
      <w:r>
        <w:t>9</w:t>
      </w:r>
      <w:r w:rsidRPr="001E3AB8">
        <w:t xml:space="preserve"> vzrostly ve všech krajích, což je patrné z grafu 2.6. Nejvíce v</w:t>
      </w:r>
      <w:r>
        <w:t xml:space="preserve"> Libereckém kraji (+29), </w:t>
      </w:r>
      <w:r w:rsidRPr="001E3AB8">
        <w:t>naopak nejnižší nárůst zaznamenal</w:t>
      </w:r>
      <w:r>
        <w:t>a Praha (+16</w:t>
      </w:r>
      <w:r w:rsidRPr="001E3AB8">
        <w:t>).</w:t>
      </w:r>
      <w:r>
        <w:rPr>
          <w:rStyle w:val="Odkaznakoment"/>
        </w:rPr>
        <w:t/>
      </w:r>
    </w:p>
    <w:p w14:paraId="6FBFA174" w14:textId="3B5A8F83" w:rsidR="00473D4E" w:rsidRDefault="00473D4E" w:rsidP="00BA6B4E">
      <w:pPr>
        <w:spacing w:before="120" w:after="120"/>
        <w:jc w:val="both"/>
      </w:pPr>
      <w:r w:rsidRPr="001E3AB8">
        <w:t xml:space="preserve">Počet případů dočasné pracovní neschopnosti dle územního členění je značně ovlivněn strukturou zaměstnanosti, charakterem převažující ekonomické činnosti a mírou nezaměstnanosti v daném regionu. Je nutno zohlednit též </w:t>
      </w:r>
      <w:r w:rsidRPr="001E3AB8">
        <w:rPr>
          <w:b/>
        </w:rPr>
        <w:t>metodiku zpracování dat, kdy rozlišení dle krajů a okresů vychází z údaje o sídle útvaru</w:t>
      </w:r>
      <w:r w:rsidRPr="001E3AB8">
        <w:t>, který vede evidenci mezd zaměstnavateli osoby, která je v pracovní neschopnosti.</w:t>
      </w:r>
    </w:p>
    <w:p w14:paraId="235EB425" w14:textId="77777777" w:rsidR="00473D4E" w:rsidRDefault="00473D4E">
      <w:pPr>
        <w:spacing w:after="0" w:line="240" w:lineRule="auto"/>
      </w:pPr>
      <w:r>
        <w:br w:type="page"/>
      </w:r>
    </w:p>
    <w:p w14:paraId="35E5C513" w14:textId="50E7069B" w:rsidR="00E404AC" w:rsidRPr="00D92E20" w:rsidRDefault="008126FD" w:rsidP="00BA6B4E">
      <w:pPr>
        <w:pStyle w:val="Seznam"/>
        <w:spacing w:after="0"/>
        <w:contextualSpacing w:val="0"/>
        <w:jc w:val="both"/>
      </w:pPr>
      <w:r w:rsidRPr="00D92E20">
        <w:rPr>
          <w:b/>
        </w:rPr>
        <w:lastRenderedPageBreak/>
        <w:t xml:space="preserve">Tab. 2.2: Nově hlášené případy dočasné pracovní neschopnosti na 100 pojištěnců podle odvětví (sekce CZ-NACE), </w:t>
      </w:r>
      <w:r w:rsidR="009F34CD" w:rsidRPr="0050059C">
        <w:rPr>
          <w:b/>
          <w:spacing w:val="-2"/>
        </w:rPr>
        <w:t>1. pol. 201</w:t>
      </w:r>
      <w:r w:rsidR="009F34CD">
        <w:rPr>
          <w:b/>
          <w:spacing w:val="-2"/>
        </w:rPr>
        <w:t>2</w:t>
      </w:r>
      <w:r w:rsidR="009F34CD" w:rsidRPr="0050059C">
        <w:rPr>
          <w:b/>
          <w:spacing w:val="-2"/>
        </w:rPr>
        <w:t xml:space="preserve"> až 1. pol. 202</w:t>
      </w:r>
      <w:r w:rsidR="009F34CD">
        <w:rPr>
          <w:b/>
          <w:spacing w:val="-2"/>
        </w:rPr>
        <w:t>2</w:t>
      </w:r>
    </w:p>
    <w:tbl>
      <w:tblPr>
        <w:tblW w:w="9691" w:type="dxa"/>
        <w:tblCellMar>
          <w:left w:w="70" w:type="dxa"/>
          <w:right w:w="70" w:type="dxa"/>
        </w:tblCellMar>
        <w:tblLook w:val="04A0" w:firstRow="1" w:lastRow="0" w:firstColumn="1" w:lastColumn="0" w:noHBand="0" w:noVBand="1"/>
      </w:tblPr>
      <w:tblGrid>
        <w:gridCol w:w="3146"/>
        <w:gridCol w:w="595"/>
        <w:gridCol w:w="595"/>
        <w:gridCol w:w="595"/>
        <w:gridCol w:w="595"/>
        <w:gridCol w:w="595"/>
        <w:gridCol w:w="595"/>
        <w:gridCol w:w="595"/>
        <w:gridCol w:w="595"/>
        <w:gridCol w:w="595"/>
        <w:gridCol w:w="595"/>
        <w:gridCol w:w="595"/>
      </w:tblGrid>
      <w:tr w:rsidR="001E3AB8" w:rsidRPr="00D92E20" w14:paraId="0ECE45FF" w14:textId="77777777" w:rsidTr="00E83157">
        <w:trPr>
          <w:trHeight w:val="300"/>
        </w:trPr>
        <w:tc>
          <w:tcPr>
            <w:tcW w:w="3146" w:type="dxa"/>
            <w:tcBorders>
              <w:top w:val="single" w:sz="4" w:space="0" w:color="auto"/>
              <w:left w:val="nil"/>
              <w:bottom w:val="single" w:sz="4" w:space="0" w:color="auto"/>
              <w:right w:val="single" w:sz="4" w:space="0" w:color="auto"/>
            </w:tcBorders>
            <w:shd w:val="clear" w:color="000000" w:fill="F5DADD"/>
            <w:noWrap/>
            <w:vAlign w:val="center"/>
            <w:hideMark/>
          </w:tcPr>
          <w:p w14:paraId="4AC62DC9" w14:textId="77777777" w:rsidR="001E3AB8" w:rsidRPr="00D92E20" w:rsidRDefault="001E3AB8" w:rsidP="001E3AB8">
            <w:pPr>
              <w:spacing w:after="0" w:line="240" w:lineRule="auto"/>
              <w:jc w:val="center"/>
              <w:rPr>
                <w:rFonts w:cs="Arial"/>
                <w:color w:val="000000"/>
                <w:sz w:val="16"/>
                <w:szCs w:val="16"/>
              </w:rPr>
            </w:pPr>
            <w:r w:rsidRPr="00D92E20">
              <w:rPr>
                <w:rFonts w:cs="Arial"/>
                <w:color w:val="000000"/>
                <w:sz w:val="16"/>
                <w:szCs w:val="16"/>
              </w:rPr>
              <w:t>Sekce CZ-NACE</w:t>
            </w:r>
          </w:p>
        </w:tc>
        <w:tc>
          <w:tcPr>
            <w:tcW w:w="595" w:type="dxa"/>
            <w:tcBorders>
              <w:top w:val="single" w:sz="4" w:space="0" w:color="auto"/>
              <w:left w:val="nil"/>
              <w:bottom w:val="single" w:sz="4" w:space="0" w:color="auto"/>
              <w:right w:val="nil"/>
            </w:tcBorders>
            <w:shd w:val="clear" w:color="000000" w:fill="F5DADD"/>
            <w:noWrap/>
            <w:vAlign w:val="center"/>
            <w:hideMark/>
          </w:tcPr>
          <w:p w14:paraId="2FD76797" w14:textId="2115CB42" w:rsidR="001E3AB8" w:rsidRPr="00D92E20" w:rsidRDefault="001E3AB8" w:rsidP="001E3AB8">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2012</w:t>
            </w:r>
          </w:p>
        </w:tc>
        <w:tc>
          <w:tcPr>
            <w:tcW w:w="595" w:type="dxa"/>
            <w:tcBorders>
              <w:top w:val="single" w:sz="4" w:space="0" w:color="auto"/>
              <w:left w:val="nil"/>
              <w:bottom w:val="single" w:sz="4" w:space="0" w:color="auto"/>
              <w:right w:val="nil"/>
            </w:tcBorders>
            <w:shd w:val="clear" w:color="000000" w:fill="F5DADD"/>
            <w:noWrap/>
            <w:vAlign w:val="center"/>
            <w:hideMark/>
          </w:tcPr>
          <w:p w14:paraId="75ADD116" w14:textId="57056048" w:rsidR="001E3AB8" w:rsidRPr="00D92E20" w:rsidRDefault="001E3AB8" w:rsidP="001E3AB8">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2013</w:t>
            </w:r>
          </w:p>
        </w:tc>
        <w:tc>
          <w:tcPr>
            <w:tcW w:w="595" w:type="dxa"/>
            <w:tcBorders>
              <w:top w:val="single" w:sz="4" w:space="0" w:color="auto"/>
              <w:left w:val="nil"/>
              <w:bottom w:val="single" w:sz="4" w:space="0" w:color="auto"/>
              <w:right w:val="nil"/>
            </w:tcBorders>
            <w:shd w:val="clear" w:color="000000" w:fill="F5DADD"/>
            <w:noWrap/>
            <w:vAlign w:val="center"/>
            <w:hideMark/>
          </w:tcPr>
          <w:p w14:paraId="283B32E7" w14:textId="5F308986" w:rsidR="001E3AB8" w:rsidRPr="00D92E20" w:rsidRDefault="001E3AB8" w:rsidP="001E3AB8">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2014</w:t>
            </w:r>
          </w:p>
        </w:tc>
        <w:tc>
          <w:tcPr>
            <w:tcW w:w="595" w:type="dxa"/>
            <w:tcBorders>
              <w:top w:val="single" w:sz="4" w:space="0" w:color="auto"/>
              <w:left w:val="nil"/>
              <w:bottom w:val="single" w:sz="4" w:space="0" w:color="auto"/>
              <w:right w:val="nil"/>
            </w:tcBorders>
            <w:shd w:val="clear" w:color="000000" w:fill="F5DADD"/>
            <w:noWrap/>
            <w:vAlign w:val="center"/>
            <w:hideMark/>
          </w:tcPr>
          <w:p w14:paraId="021C8FC7" w14:textId="25664790" w:rsidR="001E3AB8" w:rsidRPr="00D92E20" w:rsidRDefault="001E3AB8" w:rsidP="001E3AB8">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2015</w:t>
            </w:r>
          </w:p>
        </w:tc>
        <w:tc>
          <w:tcPr>
            <w:tcW w:w="595" w:type="dxa"/>
            <w:tcBorders>
              <w:top w:val="single" w:sz="4" w:space="0" w:color="auto"/>
              <w:left w:val="nil"/>
              <w:bottom w:val="single" w:sz="4" w:space="0" w:color="auto"/>
              <w:right w:val="nil"/>
            </w:tcBorders>
            <w:shd w:val="clear" w:color="000000" w:fill="F5DADD"/>
            <w:noWrap/>
            <w:vAlign w:val="center"/>
            <w:hideMark/>
          </w:tcPr>
          <w:p w14:paraId="1CC48030" w14:textId="6AF7C678" w:rsidR="001E3AB8" w:rsidRPr="00D92E20" w:rsidRDefault="001E3AB8" w:rsidP="001E3AB8">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2016</w:t>
            </w:r>
          </w:p>
        </w:tc>
        <w:tc>
          <w:tcPr>
            <w:tcW w:w="595" w:type="dxa"/>
            <w:tcBorders>
              <w:top w:val="single" w:sz="4" w:space="0" w:color="auto"/>
              <w:left w:val="nil"/>
              <w:bottom w:val="single" w:sz="4" w:space="0" w:color="auto"/>
              <w:right w:val="nil"/>
            </w:tcBorders>
            <w:shd w:val="clear" w:color="000000" w:fill="F5DADD"/>
            <w:noWrap/>
            <w:vAlign w:val="center"/>
            <w:hideMark/>
          </w:tcPr>
          <w:p w14:paraId="39768270" w14:textId="2E87558D" w:rsidR="001E3AB8" w:rsidRPr="00D92E20" w:rsidRDefault="001E3AB8" w:rsidP="001E3AB8">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2017</w:t>
            </w:r>
          </w:p>
        </w:tc>
        <w:tc>
          <w:tcPr>
            <w:tcW w:w="595" w:type="dxa"/>
            <w:tcBorders>
              <w:top w:val="single" w:sz="4" w:space="0" w:color="auto"/>
              <w:left w:val="nil"/>
              <w:bottom w:val="single" w:sz="4" w:space="0" w:color="auto"/>
              <w:right w:val="nil"/>
            </w:tcBorders>
            <w:shd w:val="clear" w:color="000000" w:fill="F5DADD"/>
            <w:noWrap/>
            <w:vAlign w:val="center"/>
            <w:hideMark/>
          </w:tcPr>
          <w:p w14:paraId="1276DABB" w14:textId="5B4AEA69" w:rsidR="001E3AB8" w:rsidRPr="00D92E20" w:rsidRDefault="001E3AB8" w:rsidP="001E3AB8">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2018</w:t>
            </w:r>
          </w:p>
        </w:tc>
        <w:tc>
          <w:tcPr>
            <w:tcW w:w="595" w:type="dxa"/>
            <w:tcBorders>
              <w:top w:val="single" w:sz="4" w:space="0" w:color="auto"/>
              <w:left w:val="nil"/>
              <w:bottom w:val="single" w:sz="4" w:space="0" w:color="auto"/>
              <w:right w:val="nil"/>
            </w:tcBorders>
            <w:shd w:val="clear" w:color="000000" w:fill="F5DADD"/>
            <w:noWrap/>
            <w:vAlign w:val="center"/>
            <w:hideMark/>
          </w:tcPr>
          <w:p w14:paraId="74B1FBD1" w14:textId="4720BAE1" w:rsidR="001E3AB8" w:rsidRPr="00D92E20" w:rsidRDefault="001E3AB8" w:rsidP="001E3AB8">
            <w:pPr>
              <w:spacing w:after="0" w:line="240" w:lineRule="auto"/>
              <w:jc w:val="center"/>
              <w:rPr>
                <w:rFonts w:cs="Arial"/>
                <w:color w:val="000000"/>
                <w:sz w:val="16"/>
                <w:szCs w:val="16"/>
              </w:rPr>
            </w:pPr>
            <w:r>
              <w:rPr>
                <w:rFonts w:cs="Arial"/>
                <w:sz w:val="16"/>
                <w:szCs w:val="16"/>
              </w:rPr>
              <w:t>1. pol. 2019</w:t>
            </w:r>
          </w:p>
        </w:tc>
        <w:tc>
          <w:tcPr>
            <w:tcW w:w="595" w:type="dxa"/>
            <w:tcBorders>
              <w:top w:val="single" w:sz="4" w:space="0" w:color="auto"/>
              <w:left w:val="nil"/>
              <w:bottom w:val="single" w:sz="4" w:space="0" w:color="auto"/>
              <w:right w:val="nil"/>
            </w:tcBorders>
            <w:shd w:val="clear" w:color="000000" w:fill="F5DADD"/>
            <w:noWrap/>
            <w:vAlign w:val="center"/>
            <w:hideMark/>
          </w:tcPr>
          <w:p w14:paraId="6B16707E" w14:textId="2E1BC4FB" w:rsidR="001E3AB8" w:rsidRPr="00D92E20" w:rsidRDefault="001E3AB8" w:rsidP="001E3AB8">
            <w:pPr>
              <w:spacing w:after="0" w:line="240" w:lineRule="auto"/>
              <w:jc w:val="center"/>
              <w:rPr>
                <w:rFonts w:cs="Arial"/>
                <w:color w:val="000000"/>
                <w:sz w:val="16"/>
                <w:szCs w:val="16"/>
              </w:rPr>
            </w:pPr>
            <w:r>
              <w:rPr>
                <w:rFonts w:cs="Arial"/>
                <w:sz w:val="16"/>
                <w:szCs w:val="16"/>
              </w:rPr>
              <w:t>1. pol. 2020</w:t>
            </w:r>
          </w:p>
        </w:tc>
        <w:tc>
          <w:tcPr>
            <w:tcW w:w="595" w:type="dxa"/>
            <w:tcBorders>
              <w:top w:val="single" w:sz="4" w:space="0" w:color="auto"/>
              <w:left w:val="nil"/>
              <w:bottom w:val="single" w:sz="4" w:space="0" w:color="auto"/>
              <w:right w:val="nil"/>
            </w:tcBorders>
            <w:shd w:val="clear" w:color="000000" w:fill="F5DADD"/>
            <w:noWrap/>
            <w:vAlign w:val="center"/>
            <w:hideMark/>
          </w:tcPr>
          <w:p w14:paraId="56E67D72" w14:textId="6699D8DD" w:rsidR="001E3AB8" w:rsidRPr="00D92E20" w:rsidRDefault="001E3AB8" w:rsidP="001E3AB8">
            <w:pPr>
              <w:spacing w:after="0" w:line="240" w:lineRule="auto"/>
              <w:jc w:val="center"/>
              <w:rPr>
                <w:rFonts w:cs="Arial"/>
                <w:color w:val="000000"/>
                <w:sz w:val="16"/>
                <w:szCs w:val="16"/>
              </w:rPr>
            </w:pPr>
            <w:r>
              <w:rPr>
                <w:rFonts w:cs="Arial"/>
                <w:sz w:val="16"/>
                <w:szCs w:val="16"/>
              </w:rPr>
              <w:t>1. pol. 2021</w:t>
            </w:r>
          </w:p>
        </w:tc>
        <w:tc>
          <w:tcPr>
            <w:tcW w:w="595" w:type="dxa"/>
            <w:tcBorders>
              <w:top w:val="single" w:sz="4" w:space="0" w:color="auto"/>
              <w:left w:val="nil"/>
              <w:bottom w:val="single" w:sz="4" w:space="0" w:color="auto"/>
              <w:right w:val="nil"/>
            </w:tcBorders>
            <w:shd w:val="clear" w:color="000000" w:fill="F5DADD"/>
            <w:noWrap/>
            <w:vAlign w:val="center"/>
            <w:hideMark/>
          </w:tcPr>
          <w:p w14:paraId="63675900" w14:textId="1A3BBD43" w:rsidR="001E3AB8" w:rsidRPr="00D92E20" w:rsidRDefault="001E3AB8" w:rsidP="001E3AB8">
            <w:pPr>
              <w:spacing w:after="0" w:line="240" w:lineRule="auto"/>
              <w:jc w:val="center"/>
              <w:rPr>
                <w:rFonts w:cs="Arial"/>
                <w:color w:val="000000"/>
                <w:sz w:val="16"/>
                <w:szCs w:val="16"/>
              </w:rPr>
            </w:pPr>
            <w:r>
              <w:rPr>
                <w:rFonts w:cs="Arial"/>
                <w:sz w:val="16"/>
                <w:szCs w:val="16"/>
              </w:rPr>
              <w:t>1. pol. 2022</w:t>
            </w:r>
          </w:p>
        </w:tc>
      </w:tr>
      <w:tr w:rsidR="001E3AB8" w:rsidRPr="00D92E20" w14:paraId="31536B95"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1A5FF7D1" w14:textId="77777777" w:rsidR="001E3AB8" w:rsidRPr="00D92E20" w:rsidRDefault="001E3AB8" w:rsidP="001E3AB8">
            <w:pPr>
              <w:spacing w:after="0" w:line="240" w:lineRule="auto"/>
              <w:rPr>
                <w:rFonts w:cs="Arial"/>
                <w:b/>
                <w:bCs/>
                <w:color w:val="000000"/>
                <w:sz w:val="16"/>
                <w:szCs w:val="16"/>
              </w:rPr>
            </w:pPr>
            <w:r w:rsidRPr="00D92E20">
              <w:rPr>
                <w:rFonts w:cs="Arial"/>
                <w:b/>
                <w:bCs/>
                <w:color w:val="000000"/>
                <w:sz w:val="16"/>
                <w:szCs w:val="16"/>
              </w:rPr>
              <w:t xml:space="preserve">Celkem </w:t>
            </w:r>
          </w:p>
        </w:tc>
        <w:tc>
          <w:tcPr>
            <w:tcW w:w="595" w:type="dxa"/>
            <w:tcBorders>
              <w:top w:val="nil"/>
              <w:left w:val="nil"/>
              <w:bottom w:val="nil"/>
              <w:right w:val="nil"/>
            </w:tcBorders>
            <w:shd w:val="clear" w:color="auto" w:fill="auto"/>
            <w:noWrap/>
            <w:vAlign w:val="center"/>
            <w:hideMark/>
          </w:tcPr>
          <w:p w14:paraId="6EB2DEE5" w14:textId="0CC4455F" w:rsidR="001E3AB8" w:rsidRPr="00D92E20" w:rsidRDefault="001E3AB8" w:rsidP="001E3AB8">
            <w:pPr>
              <w:spacing w:after="0" w:line="240" w:lineRule="auto"/>
              <w:jc w:val="center"/>
              <w:rPr>
                <w:rFonts w:cs="Arial"/>
                <w:b/>
                <w:bCs/>
                <w:color w:val="000000"/>
                <w:sz w:val="16"/>
                <w:szCs w:val="16"/>
              </w:rPr>
            </w:pPr>
            <w:r>
              <w:rPr>
                <w:rFonts w:ascii="Arial CE" w:hAnsi="Arial CE" w:cs="Arial CE"/>
                <w:b/>
                <w:bCs/>
                <w:sz w:val="16"/>
                <w:szCs w:val="16"/>
              </w:rPr>
              <w:t>13,6</w:t>
            </w:r>
          </w:p>
        </w:tc>
        <w:tc>
          <w:tcPr>
            <w:tcW w:w="595" w:type="dxa"/>
            <w:tcBorders>
              <w:top w:val="nil"/>
              <w:left w:val="nil"/>
              <w:bottom w:val="nil"/>
              <w:right w:val="nil"/>
            </w:tcBorders>
            <w:shd w:val="clear" w:color="auto" w:fill="auto"/>
            <w:noWrap/>
            <w:vAlign w:val="center"/>
            <w:hideMark/>
          </w:tcPr>
          <w:p w14:paraId="5F1DEC74" w14:textId="5CF0B687" w:rsidR="001E3AB8" w:rsidRPr="00D92E20" w:rsidRDefault="001E3AB8" w:rsidP="001E3AB8">
            <w:pPr>
              <w:spacing w:after="0" w:line="240" w:lineRule="auto"/>
              <w:jc w:val="center"/>
              <w:rPr>
                <w:rFonts w:cs="Arial"/>
                <w:b/>
                <w:bCs/>
                <w:color w:val="000000"/>
                <w:sz w:val="16"/>
                <w:szCs w:val="16"/>
              </w:rPr>
            </w:pPr>
            <w:r>
              <w:rPr>
                <w:rFonts w:ascii="Arial CE" w:hAnsi="Arial CE" w:cs="Arial CE"/>
                <w:b/>
                <w:bCs/>
                <w:sz w:val="16"/>
                <w:szCs w:val="16"/>
              </w:rPr>
              <w:t>17,1</w:t>
            </w:r>
          </w:p>
        </w:tc>
        <w:tc>
          <w:tcPr>
            <w:tcW w:w="595" w:type="dxa"/>
            <w:tcBorders>
              <w:top w:val="nil"/>
              <w:left w:val="nil"/>
              <w:bottom w:val="nil"/>
              <w:right w:val="nil"/>
            </w:tcBorders>
            <w:shd w:val="clear" w:color="auto" w:fill="auto"/>
            <w:noWrap/>
            <w:vAlign w:val="center"/>
            <w:hideMark/>
          </w:tcPr>
          <w:p w14:paraId="1A050253" w14:textId="5C1710C7" w:rsidR="001E3AB8" w:rsidRPr="00D92E20" w:rsidRDefault="001E3AB8" w:rsidP="001E3AB8">
            <w:pPr>
              <w:spacing w:after="0" w:line="240" w:lineRule="auto"/>
              <w:jc w:val="center"/>
              <w:rPr>
                <w:rFonts w:cs="Arial"/>
                <w:b/>
                <w:bCs/>
                <w:color w:val="000000"/>
                <w:sz w:val="16"/>
                <w:szCs w:val="16"/>
              </w:rPr>
            </w:pPr>
            <w:r>
              <w:rPr>
                <w:rFonts w:ascii="Arial CE" w:hAnsi="Arial CE" w:cs="Arial CE"/>
                <w:b/>
                <w:bCs/>
                <w:sz w:val="16"/>
                <w:szCs w:val="16"/>
              </w:rPr>
              <w:t>15,1</w:t>
            </w:r>
          </w:p>
        </w:tc>
        <w:tc>
          <w:tcPr>
            <w:tcW w:w="595" w:type="dxa"/>
            <w:tcBorders>
              <w:top w:val="nil"/>
              <w:left w:val="nil"/>
              <w:bottom w:val="nil"/>
              <w:right w:val="nil"/>
            </w:tcBorders>
            <w:shd w:val="clear" w:color="auto" w:fill="auto"/>
            <w:noWrap/>
            <w:vAlign w:val="center"/>
            <w:hideMark/>
          </w:tcPr>
          <w:p w14:paraId="4D36D802" w14:textId="13A71A4B" w:rsidR="001E3AB8" w:rsidRPr="00D92E20" w:rsidRDefault="001E3AB8" w:rsidP="001E3AB8">
            <w:pPr>
              <w:spacing w:after="0" w:line="240" w:lineRule="auto"/>
              <w:jc w:val="center"/>
              <w:rPr>
                <w:rFonts w:cs="Arial"/>
                <w:b/>
                <w:bCs/>
                <w:color w:val="000000"/>
                <w:sz w:val="16"/>
                <w:szCs w:val="16"/>
              </w:rPr>
            </w:pPr>
            <w:r>
              <w:rPr>
                <w:rFonts w:ascii="Arial CE" w:hAnsi="Arial CE" w:cs="Arial CE"/>
                <w:b/>
                <w:bCs/>
                <w:sz w:val="16"/>
                <w:szCs w:val="16"/>
              </w:rPr>
              <w:t>19,5</w:t>
            </w:r>
          </w:p>
        </w:tc>
        <w:tc>
          <w:tcPr>
            <w:tcW w:w="595" w:type="dxa"/>
            <w:tcBorders>
              <w:top w:val="nil"/>
              <w:left w:val="nil"/>
              <w:bottom w:val="nil"/>
              <w:right w:val="nil"/>
            </w:tcBorders>
            <w:shd w:val="clear" w:color="auto" w:fill="auto"/>
            <w:noWrap/>
            <w:vAlign w:val="center"/>
            <w:hideMark/>
          </w:tcPr>
          <w:p w14:paraId="4C09A4DC" w14:textId="35F3C172" w:rsidR="001E3AB8" w:rsidRPr="00D92E20" w:rsidRDefault="001E3AB8" w:rsidP="001E3AB8">
            <w:pPr>
              <w:spacing w:after="0" w:line="240" w:lineRule="auto"/>
              <w:jc w:val="center"/>
              <w:rPr>
                <w:rFonts w:cs="Arial"/>
                <w:b/>
                <w:bCs/>
                <w:color w:val="000000"/>
                <w:sz w:val="16"/>
                <w:szCs w:val="16"/>
              </w:rPr>
            </w:pPr>
            <w:r>
              <w:rPr>
                <w:rFonts w:ascii="Arial CE" w:hAnsi="Arial CE" w:cs="Arial CE"/>
                <w:b/>
                <w:bCs/>
                <w:sz w:val="16"/>
                <w:szCs w:val="16"/>
              </w:rPr>
              <w:t>19,3</w:t>
            </w:r>
          </w:p>
        </w:tc>
        <w:tc>
          <w:tcPr>
            <w:tcW w:w="595" w:type="dxa"/>
            <w:tcBorders>
              <w:top w:val="nil"/>
              <w:left w:val="nil"/>
              <w:bottom w:val="nil"/>
              <w:right w:val="nil"/>
            </w:tcBorders>
            <w:shd w:val="clear" w:color="auto" w:fill="auto"/>
            <w:noWrap/>
            <w:vAlign w:val="center"/>
            <w:hideMark/>
          </w:tcPr>
          <w:p w14:paraId="2906677C" w14:textId="34C088C6" w:rsidR="001E3AB8" w:rsidRPr="00D92E20" w:rsidRDefault="001E3AB8" w:rsidP="001E3AB8">
            <w:pPr>
              <w:spacing w:after="0" w:line="240" w:lineRule="auto"/>
              <w:jc w:val="center"/>
              <w:rPr>
                <w:rFonts w:cs="Arial"/>
                <w:b/>
                <w:bCs/>
                <w:color w:val="000000"/>
                <w:sz w:val="16"/>
                <w:szCs w:val="16"/>
              </w:rPr>
            </w:pPr>
            <w:r>
              <w:rPr>
                <w:rFonts w:ascii="Arial CE" w:hAnsi="Arial CE" w:cs="Arial CE"/>
                <w:b/>
                <w:bCs/>
                <w:sz w:val="16"/>
                <w:szCs w:val="16"/>
              </w:rPr>
              <w:t>20,4</w:t>
            </w:r>
          </w:p>
        </w:tc>
        <w:tc>
          <w:tcPr>
            <w:tcW w:w="595" w:type="dxa"/>
            <w:tcBorders>
              <w:top w:val="nil"/>
              <w:left w:val="nil"/>
              <w:bottom w:val="nil"/>
              <w:right w:val="nil"/>
            </w:tcBorders>
            <w:shd w:val="clear" w:color="auto" w:fill="auto"/>
            <w:noWrap/>
            <w:vAlign w:val="center"/>
            <w:hideMark/>
          </w:tcPr>
          <w:p w14:paraId="75BCD889" w14:textId="4DF0D2A3" w:rsidR="001E3AB8" w:rsidRPr="00D92E20" w:rsidRDefault="001E3AB8" w:rsidP="001E3AB8">
            <w:pPr>
              <w:spacing w:after="0" w:line="240" w:lineRule="auto"/>
              <w:jc w:val="center"/>
              <w:rPr>
                <w:rFonts w:cs="Arial"/>
                <w:b/>
                <w:bCs/>
                <w:color w:val="000000"/>
                <w:sz w:val="16"/>
                <w:szCs w:val="16"/>
              </w:rPr>
            </w:pPr>
            <w:r>
              <w:rPr>
                <w:rFonts w:ascii="Arial CE" w:hAnsi="Arial CE" w:cs="Arial CE"/>
                <w:b/>
                <w:bCs/>
                <w:sz w:val="16"/>
                <w:szCs w:val="16"/>
              </w:rPr>
              <w:t>22,1</w:t>
            </w:r>
          </w:p>
        </w:tc>
        <w:tc>
          <w:tcPr>
            <w:tcW w:w="595" w:type="dxa"/>
            <w:tcBorders>
              <w:top w:val="nil"/>
              <w:left w:val="nil"/>
              <w:bottom w:val="nil"/>
              <w:right w:val="nil"/>
            </w:tcBorders>
            <w:shd w:val="clear" w:color="auto" w:fill="auto"/>
            <w:noWrap/>
            <w:vAlign w:val="center"/>
            <w:hideMark/>
          </w:tcPr>
          <w:p w14:paraId="68CBED76" w14:textId="2E7E7283" w:rsidR="001E3AB8" w:rsidRPr="00D92E20" w:rsidRDefault="001E3AB8" w:rsidP="001E3AB8">
            <w:pPr>
              <w:spacing w:after="0" w:line="240" w:lineRule="auto"/>
              <w:jc w:val="center"/>
              <w:rPr>
                <w:rFonts w:cs="Arial"/>
                <w:b/>
                <w:bCs/>
                <w:color w:val="000000"/>
                <w:sz w:val="16"/>
                <w:szCs w:val="16"/>
              </w:rPr>
            </w:pPr>
            <w:r>
              <w:rPr>
                <w:rFonts w:cs="Arial"/>
                <w:b/>
                <w:bCs/>
                <w:color w:val="000000"/>
                <w:sz w:val="16"/>
                <w:szCs w:val="16"/>
              </w:rPr>
              <w:t>20,6</w:t>
            </w:r>
          </w:p>
        </w:tc>
        <w:tc>
          <w:tcPr>
            <w:tcW w:w="595" w:type="dxa"/>
            <w:tcBorders>
              <w:top w:val="nil"/>
              <w:left w:val="nil"/>
              <w:bottom w:val="nil"/>
              <w:right w:val="nil"/>
            </w:tcBorders>
            <w:shd w:val="clear" w:color="auto" w:fill="auto"/>
            <w:noWrap/>
            <w:vAlign w:val="center"/>
            <w:hideMark/>
          </w:tcPr>
          <w:p w14:paraId="7261C512" w14:textId="31E83B46" w:rsidR="001E3AB8" w:rsidRPr="00D92E20" w:rsidRDefault="001E3AB8" w:rsidP="001E3AB8">
            <w:pPr>
              <w:spacing w:after="0" w:line="240" w:lineRule="auto"/>
              <w:jc w:val="center"/>
              <w:rPr>
                <w:rFonts w:cs="Arial"/>
                <w:b/>
                <w:bCs/>
                <w:color w:val="000000"/>
                <w:sz w:val="16"/>
                <w:szCs w:val="16"/>
              </w:rPr>
            </w:pPr>
            <w:r>
              <w:rPr>
                <w:rFonts w:cs="Arial"/>
                <w:b/>
                <w:bCs/>
                <w:color w:val="000000"/>
                <w:sz w:val="16"/>
                <w:szCs w:val="16"/>
              </w:rPr>
              <w:t>22,8</w:t>
            </w:r>
          </w:p>
        </w:tc>
        <w:tc>
          <w:tcPr>
            <w:tcW w:w="595" w:type="dxa"/>
            <w:tcBorders>
              <w:top w:val="nil"/>
              <w:left w:val="nil"/>
              <w:bottom w:val="nil"/>
              <w:right w:val="nil"/>
            </w:tcBorders>
            <w:shd w:val="clear" w:color="auto" w:fill="auto"/>
            <w:noWrap/>
            <w:vAlign w:val="center"/>
            <w:hideMark/>
          </w:tcPr>
          <w:p w14:paraId="2BD23163" w14:textId="0CC0CC06" w:rsidR="001E3AB8" w:rsidRPr="00D92E20" w:rsidRDefault="001E3AB8" w:rsidP="001E3AB8">
            <w:pPr>
              <w:spacing w:after="0" w:line="240" w:lineRule="auto"/>
              <w:jc w:val="center"/>
              <w:rPr>
                <w:rFonts w:cs="Arial"/>
                <w:b/>
                <w:bCs/>
                <w:color w:val="000000"/>
                <w:sz w:val="16"/>
                <w:szCs w:val="16"/>
              </w:rPr>
            </w:pPr>
            <w:r>
              <w:rPr>
                <w:rFonts w:cs="Arial"/>
                <w:b/>
                <w:bCs/>
                <w:color w:val="000000"/>
                <w:sz w:val="16"/>
                <w:szCs w:val="16"/>
              </w:rPr>
              <w:t>29,8</w:t>
            </w:r>
          </w:p>
        </w:tc>
        <w:tc>
          <w:tcPr>
            <w:tcW w:w="595" w:type="dxa"/>
            <w:tcBorders>
              <w:top w:val="nil"/>
              <w:left w:val="nil"/>
              <w:bottom w:val="nil"/>
              <w:right w:val="nil"/>
            </w:tcBorders>
            <w:shd w:val="clear" w:color="auto" w:fill="auto"/>
            <w:noWrap/>
            <w:vAlign w:val="center"/>
            <w:hideMark/>
          </w:tcPr>
          <w:p w14:paraId="39BD6188" w14:textId="0332EF69" w:rsidR="001E3AB8" w:rsidRPr="00D92E20" w:rsidRDefault="001E3AB8" w:rsidP="001E3AB8">
            <w:pPr>
              <w:spacing w:after="0" w:line="240" w:lineRule="auto"/>
              <w:jc w:val="center"/>
              <w:rPr>
                <w:rFonts w:cs="Arial"/>
                <w:b/>
                <w:bCs/>
                <w:color w:val="000000"/>
                <w:sz w:val="16"/>
                <w:szCs w:val="16"/>
              </w:rPr>
            </w:pPr>
            <w:r>
              <w:rPr>
                <w:rFonts w:cs="Arial"/>
                <w:b/>
                <w:bCs/>
                <w:color w:val="000000"/>
                <w:sz w:val="16"/>
                <w:szCs w:val="16"/>
              </w:rPr>
              <w:t>43,5</w:t>
            </w:r>
          </w:p>
        </w:tc>
      </w:tr>
      <w:tr w:rsidR="001E3AB8" w:rsidRPr="00D92E20" w14:paraId="64B19760"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6853106A" w14:textId="44792313"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A – Zemědělství, lesnictví a rybářství</w:t>
            </w:r>
          </w:p>
        </w:tc>
        <w:tc>
          <w:tcPr>
            <w:tcW w:w="595" w:type="dxa"/>
            <w:tcBorders>
              <w:top w:val="nil"/>
              <w:left w:val="nil"/>
              <w:bottom w:val="nil"/>
              <w:right w:val="nil"/>
            </w:tcBorders>
            <w:shd w:val="clear" w:color="auto" w:fill="auto"/>
            <w:noWrap/>
            <w:vAlign w:val="center"/>
            <w:hideMark/>
          </w:tcPr>
          <w:p w14:paraId="55A991D1" w14:textId="1DFE816F"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13,0</w:t>
            </w:r>
          </w:p>
        </w:tc>
        <w:tc>
          <w:tcPr>
            <w:tcW w:w="595" w:type="dxa"/>
            <w:tcBorders>
              <w:top w:val="nil"/>
              <w:left w:val="nil"/>
              <w:bottom w:val="nil"/>
              <w:right w:val="nil"/>
            </w:tcBorders>
            <w:shd w:val="clear" w:color="auto" w:fill="auto"/>
            <w:noWrap/>
            <w:vAlign w:val="center"/>
            <w:hideMark/>
          </w:tcPr>
          <w:p w14:paraId="654BDA90" w14:textId="0455E80C"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15,7</w:t>
            </w:r>
          </w:p>
        </w:tc>
        <w:tc>
          <w:tcPr>
            <w:tcW w:w="595" w:type="dxa"/>
            <w:tcBorders>
              <w:top w:val="nil"/>
              <w:left w:val="nil"/>
              <w:bottom w:val="nil"/>
              <w:right w:val="nil"/>
            </w:tcBorders>
            <w:shd w:val="clear" w:color="auto" w:fill="auto"/>
            <w:noWrap/>
            <w:vAlign w:val="center"/>
            <w:hideMark/>
          </w:tcPr>
          <w:p w14:paraId="2A0CA5C6" w14:textId="041436C0"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13,9</w:t>
            </w:r>
          </w:p>
        </w:tc>
        <w:tc>
          <w:tcPr>
            <w:tcW w:w="595" w:type="dxa"/>
            <w:tcBorders>
              <w:top w:val="nil"/>
              <w:left w:val="nil"/>
              <w:bottom w:val="nil"/>
              <w:right w:val="nil"/>
            </w:tcBorders>
            <w:shd w:val="clear" w:color="auto" w:fill="auto"/>
            <w:noWrap/>
            <w:vAlign w:val="center"/>
            <w:hideMark/>
          </w:tcPr>
          <w:p w14:paraId="42406024" w14:textId="0CC187C3"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17,5</w:t>
            </w:r>
          </w:p>
        </w:tc>
        <w:tc>
          <w:tcPr>
            <w:tcW w:w="595" w:type="dxa"/>
            <w:tcBorders>
              <w:top w:val="nil"/>
              <w:left w:val="nil"/>
              <w:bottom w:val="nil"/>
              <w:right w:val="nil"/>
            </w:tcBorders>
            <w:shd w:val="clear" w:color="auto" w:fill="auto"/>
            <w:noWrap/>
            <w:vAlign w:val="center"/>
            <w:hideMark/>
          </w:tcPr>
          <w:p w14:paraId="3AB51C4C" w14:textId="4E67423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16,9</w:t>
            </w:r>
          </w:p>
        </w:tc>
        <w:tc>
          <w:tcPr>
            <w:tcW w:w="595" w:type="dxa"/>
            <w:tcBorders>
              <w:top w:val="nil"/>
              <w:left w:val="nil"/>
              <w:bottom w:val="nil"/>
              <w:right w:val="nil"/>
            </w:tcBorders>
            <w:shd w:val="clear" w:color="auto" w:fill="auto"/>
            <w:noWrap/>
            <w:vAlign w:val="center"/>
            <w:hideMark/>
          </w:tcPr>
          <w:p w14:paraId="510B5392" w14:textId="0AFB3B8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18,3</w:t>
            </w:r>
          </w:p>
        </w:tc>
        <w:tc>
          <w:tcPr>
            <w:tcW w:w="595" w:type="dxa"/>
            <w:tcBorders>
              <w:top w:val="nil"/>
              <w:left w:val="nil"/>
              <w:bottom w:val="nil"/>
              <w:right w:val="nil"/>
            </w:tcBorders>
            <w:shd w:val="clear" w:color="auto" w:fill="auto"/>
            <w:noWrap/>
            <w:vAlign w:val="center"/>
            <w:hideMark/>
          </w:tcPr>
          <w:p w14:paraId="3A91D837" w14:textId="0B077080"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19,6</w:t>
            </w:r>
          </w:p>
        </w:tc>
        <w:tc>
          <w:tcPr>
            <w:tcW w:w="595" w:type="dxa"/>
            <w:tcBorders>
              <w:top w:val="nil"/>
              <w:left w:val="nil"/>
              <w:bottom w:val="nil"/>
              <w:right w:val="nil"/>
            </w:tcBorders>
            <w:shd w:val="clear" w:color="auto" w:fill="auto"/>
            <w:noWrap/>
            <w:vAlign w:val="center"/>
            <w:hideMark/>
          </w:tcPr>
          <w:p w14:paraId="08207719" w14:textId="68A56AA0"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18,1</w:t>
            </w:r>
          </w:p>
        </w:tc>
        <w:tc>
          <w:tcPr>
            <w:tcW w:w="595" w:type="dxa"/>
            <w:tcBorders>
              <w:top w:val="nil"/>
              <w:left w:val="nil"/>
              <w:bottom w:val="nil"/>
              <w:right w:val="nil"/>
            </w:tcBorders>
            <w:shd w:val="clear" w:color="auto" w:fill="auto"/>
            <w:noWrap/>
            <w:vAlign w:val="center"/>
            <w:hideMark/>
          </w:tcPr>
          <w:p w14:paraId="6085A7A3" w14:textId="5392B68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18,8</w:t>
            </w:r>
          </w:p>
        </w:tc>
        <w:tc>
          <w:tcPr>
            <w:tcW w:w="595" w:type="dxa"/>
            <w:tcBorders>
              <w:top w:val="nil"/>
              <w:left w:val="nil"/>
              <w:bottom w:val="nil"/>
              <w:right w:val="nil"/>
            </w:tcBorders>
            <w:shd w:val="clear" w:color="auto" w:fill="auto"/>
            <w:noWrap/>
            <w:vAlign w:val="center"/>
            <w:hideMark/>
          </w:tcPr>
          <w:p w14:paraId="027D02D8" w14:textId="0607A59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29,3</w:t>
            </w:r>
          </w:p>
        </w:tc>
        <w:tc>
          <w:tcPr>
            <w:tcW w:w="595" w:type="dxa"/>
            <w:tcBorders>
              <w:top w:val="nil"/>
              <w:left w:val="nil"/>
              <w:bottom w:val="nil"/>
              <w:right w:val="nil"/>
            </w:tcBorders>
            <w:shd w:val="clear" w:color="auto" w:fill="auto"/>
            <w:noWrap/>
            <w:vAlign w:val="center"/>
            <w:hideMark/>
          </w:tcPr>
          <w:p w14:paraId="10E2B7CB" w14:textId="389C0A75"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34,8</w:t>
            </w:r>
          </w:p>
        </w:tc>
      </w:tr>
      <w:tr w:rsidR="001E3AB8" w:rsidRPr="00D92E20" w14:paraId="3AB69168"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0C092A4D"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B – Těžba a dobývání</w:t>
            </w:r>
          </w:p>
        </w:tc>
        <w:tc>
          <w:tcPr>
            <w:tcW w:w="595" w:type="dxa"/>
            <w:tcBorders>
              <w:top w:val="nil"/>
              <w:left w:val="nil"/>
              <w:bottom w:val="nil"/>
              <w:right w:val="nil"/>
            </w:tcBorders>
            <w:shd w:val="clear" w:color="auto" w:fill="auto"/>
            <w:noWrap/>
            <w:vAlign w:val="center"/>
            <w:hideMark/>
          </w:tcPr>
          <w:p w14:paraId="56A87914" w14:textId="0F9623AF"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18,1</w:t>
            </w:r>
          </w:p>
        </w:tc>
        <w:tc>
          <w:tcPr>
            <w:tcW w:w="595" w:type="dxa"/>
            <w:tcBorders>
              <w:top w:val="nil"/>
              <w:left w:val="nil"/>
              <w:bottom w:val="nil"/>
              <w:right w:val="nil"/>
            </w:tcBorders>
            <w:shd w:val="clear" w:color="auto" w:fill="auto"/>
            <w:noWrap/>
            <w:vAlign w:val="center"/>
            <w:hideMark/>
          </w:tcPr>
          <w:p w14:paraId="1839DB72" w14:textId="726C8922"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21,3</w:t>
            </w:r>
          </w:p>
        </w:tc>
        <w:tc>
          <w:tcPr>
            <w:tcW w:w="595" w:type="dxa"/>
            <w:tcBorders>
              <w:top w:val="nil"/>
              <w:left w:val="nil"/>
              <w:bottom w:val="nil"/>
              <w:right w:val="nil"/>
            </w:tcBorders>
            <w:shd w:val="clear" w:color="auto" w:fill="auto"/>
            <w:noWrap/>
            <w:vAlign w:val="center"/>
            <w:hideMark/>
          </w:tcPr>
          <w:p w14:paraId="7EA45C75" w14:textId="4BAD8FDB"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17,5</w:t>
            </w:r>
          </w:p>
        </w:tc>
        <w:tc>
          <w:tcPr>
            <w:tcW w:w="595" w:type="dxa"/>
            <w:tcBorders>
              <w:top w:val="nil"/>
              <w:left w:val="nil"/>
              <w:bottom w:val="nil"/>
              <w:right w:val="nil"/>
            </w:tcBorders>
            <w:shd w:val="clear" w:color="auto" w:fill="auto"/>
            <w:noWrap/>
            <w:vAlign w:val="center"/>
            <w:hideMark/>
          </w:tcPr>
          <w:p w14:paraId="027BEF9D" w14:textId="00D3A1E5"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21,0</w:t>
            </w:r>
          </w:p>
        </w:tc>
        <w:tc>
          <w:tcPr>
            <w:tcW w:w="595" w:type="dxa"/>
            <w:tcBorders>
              <w:top w:val="nil"/>
              <w:left w:val="nil"/>
              <w:bottom w:val="nil"/>
              <w:right w:val="nil"/>
            </w:tcBorders>
            <w:shd w:val="clear" w:color="auto" w:fill="auto"/>
            <w:noWrap/>
            <w:vAlign w:val="center"/>
            <w:hideMark/>
          </w:tcPr>
          <w:p w14:paraId="67A41E4B" w14:textId="789731C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20,4</w:t>
            </w:r>
          </w:p>
        </w:tc>
        <w:tc>
          <w:tcPr>
            <w:tcW w:w="595" w:type="dxa"/>
            <w:tcBorders>
              <w:top w:val="nil"/>
              <w:left w:val="nil"/>
              <w:bottom w:val="nil"/>
              <w:right w:val="nil"/>
            </w:tcBorders>
            <w:shd w:val="clear" w:color="auto" w:fill="auto"/>
            <w:noWrap/>
            <w:vAlign w:val="center"/>
            <w:hideMark/>
          </w:tcPr>
          <w:p w14:paraId="1E2B0F4C" w14:textId="1F18F39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21,6</w:t>
            </w:r>
          </w:p>
        </w:tc>
        <w:tc>
          <w:tcPr>
            <w:tcW w:w="595" w:type="dxa"/>
            <w:tcBorders>
              <w:top w:val="nil"/>
              <w:left w:val="nil"/>
              <w:bottom w:val="nil"/>
              <w:right w:val="nil"/>
            </w:tcBorders>
            <w:shd w:val="clear" w:color="auto" w:fill="auto"/>
            <w:noWrap/>
            <w:vAlign w:val="center"/>
            <w:hideMark/>
          </w:tcPr>
          <w:p w14:paraId="74F69E3D" w14:textId="38B7EA6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23,4</w:t>
            </w:r>
          </w:p>
        </w:tc>
        <w:tc>
          <w:tcPr>
            <w:tcW w:w="595" w:type="dxa"/>
            <w:tcBorders>
              <w:top w:val="nil"/>
              <w:left w:val="nil"/>
              <w:bottom w:val="nil"/>
              <w:right w:val="nil"/>
            </w:tcBorders>
            <w:shd w:val="clear" w:color="auto" w:fill="auto"/>
            <w:noWrap/>
            <w:vAlign w:val="center"/>
            <w:hideMark/>
          </w:tcPr>
          <w:p w14:paraId="34217CE0" w14:textId="6B02E04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22,0</w:t>
            </w:r>
          </w:p>
        </w:tc>
        <w:tc>
          <w:tcPr>
            <w:tcW w:w="595" w:type="dxa"/>
            <w:tcBorders>
              <w:top w:val="nil"/>
              <w:left w:val="nil"/>
              <w:bottom w:val="nil"/>
              <w:right w:val="nil"/>
            </w:tcBorders>
            <w:shd w:val="clear" w:color="auto" w:fill="auto"/>
            <w:noWrap/>
            <w:vAlign w:val="center"/>
            <w:hideMark/>
          </w:tcPr>
          <w:p w14:paraId="03C07AD1" w14:textId="14C5FEB5"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33,0</w:t>
            </w:r>
          </w:p>
        </w:tc>
        <w:tc>
          <w:tcPr>
            <w:tcW w:w="595" w:type="dxa"/>
            <w:tcBorders>
              <w:top w:val="nil"/>
              <w:left w:val="nil"/>
              <w:bottom w:val="nil"/>
              <w:right w:val="nil"/>
            </w:tcBorders>
            <w:shd w:val="clear" w:color="auto" w:fill="auto"/>
            <w:noWrap/>
            <w:vAlign w:val="center"/>
            <w:hideMark/>
          </w:tcPr>
          <w:p w14:paraId="0A344473" w14:textId="621004A0"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40,6</w:t>
            </w:r>
          </w:p>
        </w:tc>
        <w:tc>
          <w:tcPr>
            <w:tcW w:w="595" w:type="dxa"/>
            <w:tcBorders>
              <w:top w:val="nil"/>
              <w:left w:val="nil"/>
              <w:bottom w:val="nil"/>
              <w:right w:val="nil"/>
            </w:tcBorders>
            <w:shd w:val="clear" w:color="auto" w:fill="auto"/>
            <w:noWrap/>
            <w:vAlign w:val="center"/>
            <w:hideMark/>
          </w:tcPr>
          <w:p w14:paraId="12329CD0" w14:textId="412B89B3"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45,7</w:t>
            </w:r>
          </w:p>
        </w:tc>
      </w:tr>
      <w:tr w:rsidR="001E3AB8" w:rsidRPr="00D92E20" w14:paraId="2FA85C73"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08F52551"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C – Zpracovatelský průmysl</w:t>
            </w:r>
          </w:p>
        </w:tc>
        <w:tc>
          <w:tcPr>
            <w:tcW w:w="595" w:type="dxa"/>
            <w:tcBorders>
              <w:top w:val="nil"/>
              <w:left w:val="nil"/>
              <w:bottom w:val="nil"/>
              <w:right w:val="nil"/>
            </w:tcBorders>
            <w:shd w:val="clear" w:color="auto" w:fill="auto"/>
            <w:noWrap/>
            <w:vAlign w:val="center"/>
            <w:hideMark/>
          </w:tcPr>
          <w:p w14:paraId="3FA5426F" w14:textId="5FDB213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17,6</w:t>
            </w:r>
          </w:p>
        </w:tc>
        <w:tc>
          <w:tcPr>
            <w:tcW w:w="595" w:type="dxa"/>
            <w:tcBorders>
              <w:top w:val="nil"/>
              <w:left w:val="nil"/>
              <w:bottom w:val="nil"/>
              <w:right w:val="nil"/>
            </w:tcBorders>
            <w:shd w:val="clear" w:color="auto" w:fill="auto"/>
            <w:noWrap/>
            <w:vAlign w:val="center"/>
            <w:hideMark/>
          </w:tcPr>
          <w:p w14:paraId="41F26408" w14:textId="1EC88619"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21,2</w:t>
            </w:r>
          </w:p>
        </w:tc>
        <w:tc>
          <w:tcPr>
            <w:tcW w:w="595" w:type="dxa"/>
            <w:tcBorders>
              <w:top w:val="nil"/>
              <w:left w:val="nil"/>
              <w:bottom w:val="nil"/>
              <w:right w:val="nil"/>
            </w:tcBorders>
            <w:shd w:val="clear" w:color="auto" w:fill="auto"/>
            <w:noWrap/>
            <w:vAlign w:val="center"/>
            <w:hideMark/>
          </w:tcPr>
          <w:p w14:paraId="0AF45A3B" w14:textId="163AE80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19,0</w:t>
            </w:r>
          </w:p>
        </w:tc>
        <w:tc>
          <w:tcPr>
            <w:tcW w:w="595" w:type="dxa"/>
            <w:tcBorders>
              <w:top w:val="nil"/>
              <w:left w:val="nil"/>
              <w:bottom w:val="nil"/>
              <w:right w:val="nil"/>
            </w:tcBorders>
            <w:shd w:val="clear" w:color="auto" w:fill="auto"/>
            <w:noWrap/>
            <w:vAlign w:val="center"/>
            <w:hideMark/>
          </w:tcPr>
          <w:p w14:paraId="5B363C4F" w14:textId="70AA4D9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24,9</w:t>
            </w:r>
          </w:p>
        </w:tc>
        <w:tc>
          <w:tcPr>
            <w:tcW w:w="595" w:type="dxa"/>
            <w:tcBorders>
              <w:top w:val="nil"/>
              <w:left w:val="nil"/>
              <w:bottom w:val="nil"/>
              <w:right w:val="nil"/>
            </w:tcBorders>
            <w:shd w:val="clear" w:color="auto" w:fill="auto"/>
            <w:noWrap/>
            <w:vAlign w:val="center"/>
            <w:hideMark/>
          </w:tcPr>
          <w:p w14:paraId="4AB4895A" w14:textId="54283EF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25,3</w:t>
            </w:r>
          </w:p>
        </w:tc>
        <w:tc>
          <w:tcPr>
            <w:tcW w:w="595" w:type="dxa"/>
            <w:tcBorders>
              <w:top w:val="nil"/>
              <w:left w:val="nil"/>
              <w:bottom w:val="nil"/>
              <w:right w:val="nil"/>
            </w:tcBorders>
            <w:shd w:val="clear" w:color="auto" w:fill="auto"/>
            <w:noWrap/>
            <w:vAlign w:val="center"/>
            <w:hideMark/>
          </w:tcPr>
          <w:p w14:paraId="0B0615B2" w14:textId="0083795F"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26,5</w:t>
            </w:r>
          </w:p>
        </w:tc>
        <w:tc>
          <w:tcPr>
            <w:tcW w:w="595" w:type="dxa"/>
            <w:tcBorders>
              <w:top w:val="nil"/>
              <w:left w:val="nil"/>
              <w:bottom w:val="nil"/>
              <w:right w:val="nil"/>
            </w:tcBorders>
            <w:shd w:val="clear" w:color="auto" w:fill="auto"/>
            <w:noWrap/>
            <w:vAlign w:val="center"/>
            <w:hideMark/>
          </w:tcPr>
          <w:p w14:paraId="037AF288" w14:textId="319FF41C"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28,8</w:t>
            </w:r>
          </w:p>
        </w:tc>
        <w:tc>
          <w:tcPr>
            <w:tcW w:w="595" w:type="dxa"/>
            <w:tcBorders>
              <w:top w:val="nil"/>
              <w:left w:val="nil"/>
              <w:bottom w:val="nil"/>
              <w:right w:val="nil"/>
            </w:tcBorders>
            <w:shd w:val="clear" w:color="auto" w:fill="auto"/>
            <w:noWrap/>
            <w:vAlign w:val="center"/>
            <w:hideMark/>
          </w:tcPr>
          <w:p w14:paraId="1EB70CF9" w14:textId="120631A9"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27,0</w:t>
            </w:r>
          </w:p>
        </w:tc>
        <w:tc>
          <w:tcPr>
            <w:tcW w:w="595" w:type="dxa"/>
            <w:tcBorders>
              <w:top w:val="nil"/>
              <w:left w:val="nil"/>
              <w:bottom w:val="nil"/>
              <w:right w:val="nil"/>
            </w:tcBorders>
            <w:shd w:val="clear" w:color="auto" w:fill="auto"/>
            <w:noWrap/>
            <w:vAlign w:val="center"/>
            <w:hideMark/>
          </w:tcPr>
          <w:p w14:paraId="6F795D75" w14:textId="67478886"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30,2</w:t>
            </w:r>
          </w:p>
        </w:tc>
        <w:tc>
          <w:tcPr>
            <w:tcW w:w="595" w:type="dxa"/>
            <w:tcBorders>
              <w:top w:val="nil"/>
              <w:left w:val="nil"/>
              <w:bottom w:val="nil"/>
              <w:right w:val="nil"/>
            </w:tcBorders>
            <w:shd w:val="clear" w:color="auto" w:fill="auto"/>
            <w:noWrap/>
            <w:vAlign w:val="center"/>
            <w:hideMark/>
          </w:tcPr>
          <w:p w14:paraId="1E0349C4" w14:textId="3A75618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42,4</w:t>
            </w:r>
          </w:p>
        </w:tc>
        <w:tc>
          <w:tcPr>
            <w:tcW w:w="595" w:type="dxa"/>
            <w:tcBorders>
              <w:top w:val="nil"/>
              <w:left w:val="nil"/>
              <w:bottom w:val="nil"/>
              <w:right w:val="nil"/>
            </w:tcBorders>
            <w:shd w:val="clear" w:color="auto" w:fill="auto"/>
            <w:noWrap/>
            <w:vAlign w:val="center"/>
            <w:hideMark/>
          </w:tcPr>
          <w:p w14:paraId="7F31AC35" w14:textId="5A7BC0C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56,4</w:t>
            </w:r>
          </w:p>
        </w:tc>
      </w:tr>
      <w:tr w:rsidR="001E3AB8" w:rsidRPr="00D92E20" w14:paraId="1C61382B" w14:textId="77777777" w:rsidTr="00E83157">
        <w:trPr>
          <w:trHeight w:val="480"/>
        </w:trPr>
        <w:tc>
          <w:tcPr>
            <w:tcW w:w="3146" w:type="dxa"/>
            <w:tcBorders>
              <w:top w:val="nil"/>
              <w:left w:val="nil"/>
              <w:bottom w:val="nil"/>
              <w:right w:val="single" w:sz="4" w:space="0" w:color="auto"/>
            </w:tcBorders>
            <w:shd w:val="clear" w:color="auto" w:fill="auto"/>
            <w:vAlign w:val="center"/>
            <w:hideMark/>
          </w:tcPr>
          <w:p w14:paraId="19F9A673" w14:textId="77777777" w:rsidR="001E3AB8"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D – Výroba a rozvod ele</w:t>
            </w:r>
            <w:r>
              <w:rPr>
                <w:rFonts w:cs="Arial"/>
                <w:color w:val="000000"/>
                <w:sz w:val="16"/>
                <w:szCs w:val="16"/>
              </w:rPr>
              <w:t xml:space="preserve">ktřiny, </w:t>
            </w:r>
            <w:r w:rsidRPr="00D92E20">
              <w:rPr>
                <w:rFonts w:cs="Arial"/>
                <w:color w:val="000000"/>
                <w:sz w:val="16"/>
                <w:szCs w:val="16"/>
              </w:rPr>
              <w:t xml:space="preserve">plynu, </w:t>
            </w:r>
            <w:r>
              <w:rPr>
                <w:rFonts w:cs="Arial"/>
                <w:color w:val="000000"/>
                <w:sz w:val="16"/>
                <w:szCs w:val="16"/>
              </w:rPr>
              <w:t xml:space="preserve"> </w:t>
            </w:r>
          </w:p>
          <w:p w14:paraId="68EF7088" w14:textId="4464EFFF" w:rsidR="001E3AB8" w:rsidRPr="00D92E20" w:rsidRDefault="001E3AB8" w:rsidP="001E3AB8">
            <w:pPr>
              <w:spacing w:after="0" w:line="240" w:lineRule="auto"/>
              <w:ind w:firstLineChars="100" w:firstLine="160"/>
              <w:rPr>
                <w:rFonts w:cs="Arial"/>
                <w:color w:val="000000"/>
                <w:sz w:val="16"/>
                <w:szCs w:val="16"/>
              </w:rPr>
            </w:pPr>
            <w:r>
              <w:rPr>
                <w:rFonts w:cs="Arial"/>
                <w:color w:val="000000"/>
                <w:sz w:val="16"/>
                <w:szCs w:val="16"/>
              </w:rPr>
              <w:t xml:space="preserve">       tepla a klimatizovaného </w:t>
            </w:r>
            <w:r w:rsidRPr="00D92E20">
              <w:rPr>
                <w:rFonts w:cs="Arial"/>
                <w:color w:val="000000"/>
                <w:sz w:val="16"/>
                <w:szCs w:val="16"/>
              </w:rPr>
              <w:t>vzduchu</w:t>
            </w:r>
          </w:p>
        </w:tc>
        <w:tc>
          <w:tcPr>
            <w:tcW w:w="595" w:type="dxa"/>
            <w:tcBorders>
              <w:top w:val="nil"/>
              <w:left w:val="nil"/>
              <w:bottom w:val="nil"/>
              <w:right w:val="nil"/>
            </w:tcBorders>
            <w:shd w:val="clear" w:color="auto" w:fill="auto"/>
            <w:noWrap/>
            <w:vAlign w:val="center"/>
            <w:hideMark/>
          </w:tcPr>
          <w:p w14:paraId="44BCF98E" w14:textId="21C6398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8,9</w:t>
            </w:r>
          </w:p>
        </w:tc>
        <w:tc>
          <w:tcPr>
            <w:tcW w:w="595" w:type="dxa"/>
            <w:tcBorders>
              <w:top w:val="nil"/>
              <w:left w:val="nil"/>
              <w:bottom w:val="nil"/>
              <w:right w:val="nil"/>
            </w:tcBorders>
            <w:shd w:val="clear" w:color="auto" w:fill="auto"/>
            <w:noWrap/>
            <w:vAlign w:val="center"/>
            <w:hideMark/>
          </w:tcPr>
          <w:p w14:paraId="20BEA8DC" w14:textId="64F3EC66"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11,7</w:t>
            </w:r>
          </w:p>
        </w:tc>
        <w:tc>
          <w:tcPr>
            <w:tcW w:w="595" w:type="dxa"/>
            <w:tcBorders>
              <w:top w:val="nil"/>
              <w:left w:val="nil"/>
              <w:bottom w:val="nil"/>
              <w:right w:val="nil"/>
            </w:tcBorders>
            <w:shd w:val="clear" w:color="auto" w:fill="auto"/>
            <w:noWrap/>
            <w:vAlign w:val="center"/>
            <w:hideMark/>
          </w:tcPr>
          <w:p w14:paraId="4D60C574" w14:textId="0E9B4436"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9,8</w:t>
            </w:r>
          </w:p>
        </w:tc>
        <w:tc>
          <w:tcPr>
            <w:tcW w:w="595" w:type="dxa"/>
            <w:tcBorders>
              <w:top w:val="nil"/>
              <w:left w:val="nil"/>
              <w:bottom w:val="nil"/>
              <w:right w:val="nil"/>
            </w:tcBorders>
            <w:shd w:val="clear" w:color="auto" w:fill="auto"/>
            <w:noWrap/>
            <w:vAlign w:val="center"/>
            <w:hideMark/>
          </w:tcPr>
          <w:p w14:paraId="1483E290" w14:textId="5D94851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13,3</w:t>
            </w:r>
          </w:p>
        </w:tc>
        <w:tc>
          <w:tcPr>
            <w:tcW w:w="595" w:type="dxa"/>
            <w:tcBorders>
              <w:top w:val="nil"/>
              <w:left w:val="nil"/>
              <w:bottom w:val="nil"/>
              <w:right w:val="nil"/>
            </w:tcBorders>
            <w:shd w:val="clear" w:color="auto" w:fill="auto"/>
            <w:noWrap/>
            <w:vAlign w:val="center"/>
            <w:hideMark/>
          </w:tcPr>
          <w:p w14:paraId="2297659D" w14:textId="594043C9"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12,3</w:t>
            </w:r>
          </w:p>
        </w:tc>
        <w:tc>
          <w:tcPr>
            <w:tcW w:w="595" w:type="dxa"/>
            <w:tcBorders>
              <w:top w:val="nil"/>
              <w:left w:val="nil"/>
              <w:bottom w:val="nil"/>
              <w:right w:val="nil"/>
            </w:tcBorders>
            <w:shd w:val="clear" w:color="auto" w:fill="auto"/>
            <w:noWrap/>
            <w:vAlign w:val="center"/>
            <w:hideMark/>
          </w:tcPr>
          <w:p w14:paraId="2521ED76" w14:textId="5FA498A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14,2</w:t>
            </w:r>
          </w:p>
        </w:tc>
        <w:tc>
          <w:tcPr>
            <w:tcW w:w="595" w:type="dxa"/>
            <w:tcBorders>
              <w:top w:val="nil"/>
              <w:left w:val="nil"/>
              <w:bottom w:val="nil"/>
              <w:right w:val="nil"/>
            </w:tcBorders>
            <w:shd w:val="clear" w:color="auto" w:fill="auto"/>
            <w:noWrap/>
            <w:vAlign w:val="center"/>
            <w:hideMark/>
          </w:tcPr>
          <w:p w14:paraId="219F8EE7" w14:textId="0B0EC345"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16,4</w:t>
            </w:r>
          </w:p>
        </w:tc>
        <w:tc>
          <w:tcPr>
            <w:tcW w:w="595" w:type="dxa"/>
            <w:tcBorders>
              <w:top w:val="nil"/>
              <w:left w:val="nil"/>
              <w:bottom w:val="nil"/>
              <w:right w:val="nil"/>
            </w:tcBorders>
            <w:shd w:val="clear" w:color="auto" w:fill="auto"/>
            <w:noWrap/>
            <w:vAlign w:val="center"/>
            <w:hideMark/>
          </w:tcPr>
          <w:p w14:paraId="0139EEE4" w14:textId="70311BA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15,7</w:t>
            </w:r>
          </w:p>
        </w:tc>
        <w:tc>
          <w:tcPr>
            <w:tcW w:w="595" w:type="dxa"/>
            <w:tcBorders>
              <w:top w:val="nil"/>
              <w:left w:val="nil"/>
              <w:bottom w:val="nil"/>
              <w:right w:val="nil"/>
            </w:tcBorders>
            <w:shd w:val="clear" w:color="auto" w:fill="auto"/>
            <w:noWrap/>
            <w:vAlign w:val="center"/>
            <w:hideMark/>
          </w:tcPr>
          <w:p w14:paraId="268E526F" w14:textId="293A6727"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14,7</w:t>
            </w:r>
          </w:p>
        </w:tc>
        <w:tc>
          <w:tcPr>
            <w:tcW w:w="595" w:type="dxa"/>
            <w:tcBorders>
              <w:top w:val="nil"/>
              <w:left w:val="nil"/>
              <w:bottom w:val="nil"/>
              <w:right w:val="nil"/>
            </w:tcBorders>
            <w:shd w:val="clear" w:color="auto" w:fill="auto"/>
            <w:noWrap/>
            <w:vAlign w:val="center"/>
            <w:hideMark/>
          </w:tcPr>
          <w:p w14:paraId="3CFD293E" w14:textId="0A3B692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21,9</w:t>
            </w:r>
          </w:p>
        </w:tc>
        <w:tc>
          <w:tcPr>
            <w:tcW w:w="595" w:type="dxa"/>
            <w:tcBorders>
              <w:top w:val="nil"/>
              <w:left w:val="nil"/>
              <w:bottom w:val="nil"/>
              <w:right w:val="nil"/>
            </w:tcBorders>
            <w:shd w:val="clear" w:color="auto" w:fill="auto"/>
            <w:noWrap/>
            <w:vAlign w:val="center"/>
            <w:hideMark/>
          </w:tcPr>
          <w:p w14:paraId="5724085A" w14:textId="739397B7"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30,3</w:t>
            </w:r>
          </w:p>
        </w:tc>
      </w:tr>
      <w:tr w:rsidR="001E3AB8" w:rsidRPr="00D92E20" w14:paraId="1A05504C" w14:textId="77777777" w:rsidTr="00E83157">
        <w:trPr>
          <w:trHeight w:val="480"/>
        </w:trPr>
        <w:tc>
          <w:tcPr>
            <w:tcW w:w="3146" w:type="dxa"/>
            <w:tcBorders>
              <w:top w:val="nil"/>
              <w:left w:val="nil"/>
              <w:bottom w:val="nil"/>
              <w:right w:val="single" w:sz="4" w:space="0" w:color="auto"/>
            </w:tcBorders>
            <w:shd w:val="clear" w:color="auto" w:fill="auto"/>
            <w:vAlign w:val="center"/>
            <w:hideMark/>
          </w:tcPr>
          <w:p w14:paraId="58B48A6F"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 xml:space="preserve">E – Zásobování vodou; činnosti </w:t>
            </w:r>
            <w:r w:rsidRPr="00D92E20">
              <w:rPr>
                <w:rFonts w:cs="Arial"/>
                <w:color w:val="000000"/>
                <w:sz w:val="16"/>
                <w:szCs w:val="16"/>
              </w:rPr>
              <w:br/>
              <w:t xml:space="preserve">          související s odpady a sanacemi</w:t>
            </w:r>
          </w:p>
        </w:tc>
        <w:tc>
          <w:tcPr>
            <w:tcW w:w="595" w:type="dxa"/>
            <w:tcBorders>
              <w:top w:val="nil"/>
              <w:left w:val="nil"/>
              <w:bottom w:val="nil"/>
              <w:right w:val="nil"/>
            </w:tcBorders>
            <w:shd w:val="clear" w:color="auto" w:fill="auto"/>
            <w:noWrap/>
            <w:vAlign w:val="center"/>
            <w:hideMark/>
          </w:tcPr>
          <w:p w14:paraId="212FA2BC" w14:textId="54E2116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13,3</w:t>
            </w:r>
          </w:p>
        </w:tc>
        <w:tc>
          <w:tcPr>
            <w:tcW w:w="595" w:type="dxa"/>
            <w:tcBorders>
              <w:top w:val="nil"/>
              <w:left w:val="nil"/>
              <w:bottom w:val="nil"/>
              <w:right w:val="nil"/>
            </w:tcBorders>
            <w:shd w:val="clear" w:color="auto" w:fill="auto"/>
            <w:noWrap/>
            <w:vAlign w:val="center"/>
            <w:hideMark/>
          </w:tcPr>
          <w:p w14:paraId="3B82DB0B" w14:textId="039BC1D0"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16,5</w:t>
            </w:r>
          </w:p>
        </w:tc>
        <w:tc>
          <w:tcPr>
            <w:tcW w:w="595" w:type="dxa"/>
            <w:tcBorders>
              <w:top w:val="nil"/>
              <w:left w:val="nil"/>
              <w:bottom w:val="nil"/>
              <w:right w:val="nil"/>
            </w:tcBorders>
            <w:shd w:val="clear" w:color="auto" w:fill="auto"/>
            <w:noWrap/>
            <w:vAlign w:val="center"/>
            <w:hideMark/>
          </w:tcPr>
          <w:p w14:paraId="2619F92F" w14:textId="4D3C3030"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14,9</w:t>
            </w:r>
          </w:p>
        </w:tc>
        <w:tc>
          <w:tcPr>
            <w:tcW w:w="595" w:type="dxa"/>
            <w:tcBorders>
              <w:top w:val="nil"/>
              <w:left w:val="nil"/>
              <w:bottom w:val="nil"/>
              <w:right w:val="nil"/>
            </w:tcBorders>
            <w:shd w:val="clear" w:color="auto" w:fill="auto"/>
            <w:noWrap/>
            <w:vAlign w:val="center"/>
            <w:hideMark/>
          </w:tcPr>
          <w:p w14:paraId="4D793ECA" w14:textId="4CD03A3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19,0</w:t>
            </w:r>
          </w:p>
        </w:tc>
        <w:tc>
          <w:tcPr>
            <w:tcW w:w="595" w:type="dxa"/>
            <w:tcBorders>
              <w:top w:val="nil"/>
              <w:left w:val="nil"/>
              <w:bottom w:val="nil"/>
              <w:right w:val="nil"/>
            </w:tcBorders>
            <w:shd w:val="clear" w:color="auto" w:fill="auto"/>
            <w:noWrap/>
            <w:vAlign w:val="center"/>
            <w:hideMark/>
          </w:tcPr>
          <w:p w14:paraId="3F6AA67F" w14:textId="414479EC"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19,0</w:t>
            </w:r>
          </w:p>
        </w:tc>
        <w:tc>
          <w:tcPr>
            <w:tcW w:w="595" w:type="dxa"/>
            <w:tcBorders>
              <w:top w:val="nil"/>
              <w:left w:val="nil"/>
              <w:bottom w:val="nil"/>
              <w:right w:val="nil"/>
            </w:tcBorders>
            <w:shd w:val="clear" w:color="auto" w:fill="auto"/>
            <w:noWrap/>
            <w:vAlign w:val="center"/>
            <w:hideMark/>
          </w:tcPr>
          <w:p w14:paraId="79822B2D" w14:textId="3739517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20,8</w:t>
            </w:r>
          </w:p>
        </w:tc>
        <w:tc>
          <w:tcPr>
            <w:tcW w:w="595" w:type="dxa"/>
            <w:tcBorders>
              <w:top w:val="nil"/>
              <w:left w:val="nil"/>
              <w:bottom w:val="nil"/>
              <w:right w:val="nil"/>
            </w:tcBorders>
            <w:shd w:val="clear" w:color="auto" w:fill="auto"/>
            <w:noWrap/>
            <w:vAlign w:val="center"/>
            <w:hideMark/>
          </w:tcPr>
          <w:p w14:paraId="11BF63C6" w14:textId="0DA677E5"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22,7</w:t>
            </w:r>
          </w:p>
        </w:tc>
        <w:tc>
          <w:tcPr>
            <w:tcW w:w="595" w:type="dxa"/>
            <w:tcBorders>
              <w:top w:val="nil"/>
              <w:left w:val="nil"/>
              <w:bottom w:val="nil"/>
              <w:right w:val="nil"/>
            </w:tcBorders>
            <w:shd w:val="clear" w:color="auto" w:fill="auto"/>
            <w:noWrap/>
            <w:vAlign w:val="center"/>
            <w:hideMark/>
          </w:tcPr>
          <w:p w14:paraId="7663514F" w14:textId="5B811EE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21,3</w:t>
            </w:r>
          </w:p>
        </w:tc>
        <w:tc>
          <w:tcPr>
            <w:tcW w:w="595" w:type="dxa"/>
            <w:tcBorders>
              <w:top w:val="nil"/>
              <w:left w:val="nil"/>
              <w:bottom w:val="nil"/>
              <w:right w:val="nil"/>
            </w:tcBorders>
            <w:shd w:val="clear" w:color="auto" w:fill="auto"/>
            <w:noWrap/>
            <w:vAlign w:val="center"/>
            <w:hideMark/>
          </w:tcPr>
          <w:p w14:paraId="5B332E3F" w14:textId="7436A21F"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22,4</w:t>
            </w:r>
          </w:p>
        </w:tc>
        <w:tc>
          <w:tcPr>
            <w:tcW w:w="595" w:type="dxa"/>
            <w:tcBorders>
              <w:top w:val="nil"/>
              <w:left w:val="nil"/>
              <w:bottom w:val="nil"/>
              <w:right w:val="nil"/>
            </w:tcBorders>
            <w:shd w:val="clear" w:color="auto" w:fill="auto"/>
            <w:noWrap/>
            <w:vAlign w:val="center"/>
            <w:hideMark/>
          </w:tcPr>
          <w:p w14:paraId="55820C1D" w14:textId="005417B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34,7</w:t>
            </w:r>
          </w:p>
        </w:tc>
        <w:tc>
          <w:tcPr>
            <w:tcW w:w="595" w:type="dxa"/>
            <w:tcBorders>
              <w:top w:val="nil"/>
              <w:left w:val="nil"/>
              <w:bottom w:val="nil"/>
              <w:right w:val="nil"/>
            </w:tcBorders>
            <w:shd w:val="clear" w:color="auto" w:fill="auto"/>
            <w:noWrap/>
            <w:vAlign w:val="center"/>
            <w:hideMark/>
          </w:tcPr>
          <w:p w14:paraId="79179D95" w14:textId="4857C532"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44,2</w:t>
            </w:r>
          </w:p>
        </w:tc>
      </w:tr>
      <w:tr w:rsidR="001E3AB8" w:rsidRPr="00D92E20" w14:paraId="5982085F"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58E62E21"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F – Stavebnictví</w:t>
            </w:r>
          </w:p>
        </w:tc>
        <w:tc>
          <w:tcPr>
            <w:tcW w:w="595" w:type="dxa"/>
            <w:tcBorders>
              <w:top w:val="nil"/>
              <w:left w:val="nil"/>
              <w:bottom w:val="nil"/>
              <w:right w:val="nil"/>
            </w:tcBorders>
            <w:shd w:val="clear" w:color="auto" w:fill="auto"/>
            <w:noWrap/>
            <w:vAlign w:val="center"/>
            <w:hideMark/>
          </w:tcPr>
          <w:p w14:paraId="11847C83" w14:textId="08CAB4D6"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13,8</w:t>
            </w:r>
          </w:p>
        </w:tc>
        <w:tc>
          <w:tcPr>
            <w:tcW w:w="595" w:type="dxa"/>
            <w:tcBorders>
              <w:top w:val="nil"/>
              <w:left w:val="nil"/>
              <w:bottom w:val="nil"/>
              <w:right w:val="nil"/>
            </w:tcBorders>
            <w:shd w:val="clear" w:color="auto" w:fill="auto"/>
            <w:noWrap/>
            <w:vAlign w:val="center"/>
            <w:hideMark/>
          </w:tcPr>
          <w:p w14:paraId="22A95CDF" w14:textId="7837EB4F"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16,3</w:t>
            </w:r>
          </w:p>
        </w:tc>
        <w:tc>
          <w:tcPr>
            <w:tcW w:w="595" w:type="dxa"/>
            <w:tcBorders>
              <w:top w:val="nil"/>
              <w:left w:val="nil"/>
              <w:bottom w:val="nil"/>
              <w:right w:val="nil"/>
            </w:tcBorders>
            <w:shd w:val="clear" w:color="auto" w:fill="auto"/>
            <w:noWrap/>
            <w:vAlign w:val="center"/>
            <w:hideMark/>
          </w:tcPr>
          <w:p w14:paraId="565CA217" w14:textId="21A25039"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13,8</w:t>
            </w:r>
          </w:p>
        </w:tc>
        <w:tc>
          <w:tcPr>
            <w:tcW w:w="595" w:type="dxa"/>
            <w:tcBorders>
              <w:top w:val="nil"/>
              <w:left w:val="nil"/>
              <w:bottom w:val="nil"/>
              <w:right w:val="nil"/>
            </w:tcBorders>
            <w:shd w:val="clear" w:color="auto" w:fill="auto"/>
            <w:noWrap/>
            <w:vAlign w:val="center"/>
            <w:hideMark/>
          </w:tcPr>
          <w:p w14:paraId="3AC32658" w14:textId="08B0B98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17,2</w:t>
            </w:r>
          </w:p>
        </w:tc>
        <w:tc>
          <w:tcPr>
            <w:tcW w:w="595" w:type="dxa"/>
            <w:tcBorders>
              <w:top w:val="nil"/>
              <w:left w:val="nil"/>
              <w:bottom w:val="nil"/>
              <w:right w:val="nil"/>
            </w:tcBorders>
            <w:shd w:val="clear" w:color="auto" w:fill="auto"/>
            <w:noWrap/>
            <w:vAlign w:val="center"/>
            <w:hideMark/>
          </w:tcPr>
          <w:p w14:paraId="6BA2DD93" w14:textId="31C071E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16,6</w:t>
            </w:r>
          </w:p>
        </w:tc>
        <w:tc>
          <w:tcPr>
            <w:tcW w:w="595" w:type="dxa"/>
            <w:tcBorders>
              <w:top w:val="nil"/>
              <w:left w:val="nil"/>
              <w:bottom w:val="nil"/>
              <w:right w:val="nil"/>
            </w:tcBorders>
            <w:shd w:val="clear" w:color="auto" w:fill="auto"/>
            <w:noWrap/>
            <w:vAlign w:val="center"/>
            <w:hideMark/>
          </w:tcPr>
          <w:p w14:paraId="621B47E9" w14:textId="1FAE217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17,5</w:t>
            </w:r>
          </w:p>
        </w:tc>
        <w:tc>
          <w:tcPr>
            <w:tcW w:w="595" w:type="dxa"/>
            <w:tcBorders>
              <w:top w:val="nil"/>
              <w:left w:val="nil"/>
              <w:bottom w:val="nil"/>
              <w:right w:val="nil"/>
            </w:tcBorders>
            <w:shd w:val="clear" w:color="auto" w:fill="auto"/>
            <w:noWrap/>
            <w:vAlign w:val="center"/>
            <w:hideMark/>
          </w:tcPr>
          <w:p w14:paraId="4BA2AB0F" w14:textId="1F4A132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18,2</w:t>
            </w:r>
          </w:p>
        </w:tc>
        <w:tc>
          <w:tcPr>
            <w:tcW w:w="595" w:type="dxa"/>
            <w:tcBorders>
              <w:top w:val="nil"/>
              <w:left w:val="nil"/>
              <w:bottom w:val="nil"/>
              <w:right w:val="nil"/>
            </w:tcBorders>
            <w:shd w:val="clear" w:color="auto" w:fill="auto"/>
            <w:noWrap/>
            <w:vAlign w:val="center"/>
            <w:hideMark/>
          </w:tcPr>
          <w:p w14:paraId="3A892A21" w14:textId="43ADD74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17,2</w:t>
            </w:r>
          </w:p>
        </w:tc>
        <w:tc>
          <w:tcPr>
            <w:tcW w:w="595" w:type="dxa"/>
            <w:tcBorders>
              <w:top w:val="nil"/>
              <w:left w:val="nil"/>
              <w:bottom w:val="nil"/>
              <w:right w:val="nil"/>
            </w:tcBorders>
            <w:shd w:val="clear" w:color="auto" w:fill="auto"/>
            <w:noWrap/>
            <w:vAlign w:val="center"/>
            <w:hideMark/>
          </w:tcPr>
          <w:p w14:paraId="3B21F8FF" w14:textId="2FE1EA3B"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19,8</w:t>
            </w:r>
          </w:p>
        </w:tc>
        <w:tc>
          <w:tcPr>
            <w:tcW w:w="595" w:type="dxa"/>
            <w:tcBorders>
              <w:top w:val="nil"/>
              <w:left w:val="nil"/>
              <w:bottom w:val="nil"/>
              <w:right w:val="nil"/>
            </w:tcBorders>
            <w:shd w:val="clear" w:color="auto" w:fill="auto"/>
            <w:noWrap/>
            <w:vAlign w:val="center"/>
            <w:hideMark/>
          </w:tcPr>
          <w:p w14:paraId="215A33A4" w14:textId="1E620425"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28,2</w:t>
            </w:r>
          </w:p>
        </w:tc>
        <w:tc>
          <w:tcPr>
            <w:tcW w:w="595" w:type="dxa"/>
            <w:tcBorders>
              <w:top w:val="nil"/>
              <w:left w:val="nil"/>
              <w:bottom w:val="nil"/>
              <w:right w:val="nil"/>
            </w:tcBorders>
            <w:shd w:val="clear" w:color="auto" w:fill="auto"/>
            <w:noWrap/>
            <w:vAlign w:val="center"/>
            <w:hideMark/>
          </w:tcPr>
          <w:p w14:paraId="1C7BEEBA" w14:textId="5B40E3C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33,0</w:t>
            </w:r>
          </w:p>
        </w:tc>
      </w:tr>
      <w:tr w:rsidR="001E3AB8" w:rsidRPr="00D92E20" w14:paraId="6070CB32" w14:textId="77777777" w:rsidTr="00E83157">
        <w:trPr>
          <w:trHeight w:val="480"/>
        </w:trPr>
        <w:tc>
          <w:tcPr>
            <w:tcW w:w="3146" w:type="dxa"/>
            <w:tcBorders>
              <w:top w:val="nil"/>
              <w:left w:val="nil"/>
              <w:bottom w:val="nil"/>
              <w:right w:val="single" w:sz="4" w:space="0" w:color="auto"/>
            </w:tcBorders>
            <w:shd w:val="clear" w:color="auto" w:fill="auto"/>
            <w:vAlign w:val="center"/>
            <w:hideMark/>
          </w:tcPr>
          <w:p w14:paraId="6C880431" w14:textId="7660A262"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G – Velko</w:t>
            </w:r>
            <w:r>
              <w:rPr>
                <w:rFonts w:cs="Arial"/>
                <w:color w:val="000000"/>
                <w:sz w:val="16"/>
                <w:szCs w:val="16"/>
              </w:rPr>
              <w:t xml:space="preserve">obchod a maloobchod; </w:t>
            </w:r>
            <w:r>
              <w:rPr>
                <w:rFonts w:cs="Arial"/>
                <w:color w:val="000000"/>
                <w:sz w:val="16"/>
                <w:szCs w:val="16"/>
              </w:rPr>
              <w:br/>
              <w:t xml:space="preserve">          </w:t>
            </w:r>
            <w:r w:rsidRPr="00D92E20">
              <w:rPr>
                <w:rFonts w:cs="Arial"/>
                <w:color w:val="000000"/>
                <w:sz w:val="16"/>
                <w:szCs w:val="16"/>
              </w:rPr>
              <w:t xml:space="preserve">opravy a údržba motorových </w:t>
            </w:r>
            <w:r>
              <w:rPr>
                <w:rFonts w:cs="Arial"/>
                <w:color w:val="000000"/>
                <w:sz w:val="16"/>
                <w:szCs w:val="16"/>
              </w:rPr>
              <w:t>v</w:t>
            </w:r>
            <w:r w:rsidRPr="00D92E20">
              <w:rPr>
                <w:rFonts w:cs="Arial"/>
                <w:color w:val="000000"/>
                <w:sz w:val="16"/>
                <w:szCs w:val="16"/>
              </w:rPr>
              <w:t>ozidel</w:t>
            </w:r>
          </w:p>
        </w:tc>
        <w:tc>
          <w:tcPr>
            <w:tcW w:w="595" w:type="dxa"/>
            <w:tcBorders>
              <w:top w:val="nil"/>
              <w:left w:val="nil"/>
              <w:bottom w:val="nil"/>
              <w:right w:val="nil"/>
            </w:tcBorders>
            <w:shd w:val="clear" w:color="auto" w:fill="auto"/>
            <w:noWrap/>
            <w:vAlign w:val="center"/>
            <w:hideMark/>
          </w:tcPr>
          <w:p w14:paraId="3915CA48" w14:textId="412F4A1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12,4</w:t>
            </w:r>
          </w:p>
        </w:tc>
        <w:tc>
          <w:tcPr>
            <w:tcW w:w="595" w:type="dxa"/>
            <w:tcBorders>
              <w:top w:val="nil"/>
              <w:left w:val="nil"/>
              <w:bottom w:val="nil"/>
              <w:right w:val="nil"/>
            </w:tcBorders>
            <w:shd w:val="clear" w:color="auto" w:fill="auto"/>
            <w:noWrap/>
            <w:vAlign w:val="center"/>
            <w:hideMark/>
          </w:tcPr>
          <w:p w14:paraId="13FDF703" w14:textId="50240386"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15,0</w:t>
            </w:r>
          </w:p>
        </w:tc>
        <w:tc>
          <w:tcPr>
            <w:tcW w:w="595" w:type="dxa"/>
            <w:tcBorders>
              <w:top w:val="nil"/>
              <w:left w:val="nil"/>
              <w:bottom w:val="nil"/>
              <w:right w:val="nil"/>
            </w:tcBorders>
            <w:shd w:val="clear" w:color="auto" w:fill="auto"/>
            <w:noWrap/>
            <w:vAlign w:val="center"/>
            <w:hideMark/>
          </w:tcPr>
          <w:p w14:paraId="10F9F32D" w14:textId="1898149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13,4</w:t>
            </w:r>
          </w:p>
        </w:tc>
        <w:tc>
          <w:tcPr>
            <w:tcW w:w="595" w:type="dxa"/>
            <w:tcBorders>
              <w:top w:val="nil"/>
              <w:left w:val="nil"/>
              <w:bottom w:val="nil"/>
              <w:right w:val="nil"/>
            </w:tcBorders>
            <w:shd w:val="clear" w:color="auto" w:fill="auto"/>
            <w:noWrap/>
            <w:vAlign w:val="center"/>
            <w:hideMark/>
          </w:tcPr>
          <w:p w14:paraId="5FF2CAF4" w14:textId="5A0B7985"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16,9</w:t>
            </w:r>
          </w:p>
        </w:tc>
        <w:tc>
          <w:tcPr>
            <w:tcW w:w="595" w:type="dxa"/>
            <w:tcBorders>
              <w:top w:val="nil"/>
              <w:left w:val="nil"/>
              <w:bottom w:val="nil"/>
              <w:right w:val="nil"/>
            </w:tcBorders>
            <w:shd w:val="clear" w:color="auto" w:fill="auto"/>
            <w:noWrap/>
            <w:vAlign w:val="center"/>
            <w:hideMark/>
          </w:tcPr>
          <w:p w14:paraId="0060E908" w14:textId="472D6BC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18,1</w:t>
            </w:r>
          </w:p>
        </w:tc>
        <w:tc>
          <w:tcPr>
            <w:tcW w:w="595" w:type="dxa"/>
            <w:tcBorders>
              <w:top w:val="nil"/>
              <w:left w:val="nil"/>
              <w:bottom w:val="nil"/>
              <w:right w:val="nil"/>
            </w:tcBorders>
            <w:shd w:val="clear" w:color="auto" w:fill="auto"/>
            <w:noWrap/>
            <w:vAlign w:val="center"/>
            <w:hideMark/>
          </w:tcPr>
          <w:p w14:paraId="20D88B16" w14:textId="6B35C277"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19,2</w:t>
            </w:r>
          </w:p>
        </w:tc>
        <w:tc>
          <w:tcPr>
            <w:tcW w:w="595" w:type="dxa"/>
            <w:tcBorders>
              <w:top w:val="nil"/>
              <w:left w:val="nil"/>
              <w:bottom w:val="nil"/>
              <w:right w:val="nil"/>
            </w:tcBorders>
            <w:shd w:val="clear" w:color="auto" w:fill="auto"/>
            <w:noWrap/>
            <w:vAlign w:val="center"/>
            <w:hideMark/>
          </w:tcPr>
          <w:p w14:paraId="2E5C80CB" w14:textId="24DCA162"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21,0</w:t>
            </w:r>
          </w:p>
        </w:tc>
        <w:tc>
          <w:tcPr>
            <w:tcW w:w="595" w:type="dxa"/>
            <w:tcBorders>
              <w:top w:val="nil"/>
              <w:left w:val="nil"/>
              <w:bottom w:val="nil"/>
              <w:right w:val="nil"/>
            </w:tcBorders>
            <w:shd w:val="clear" w:color="auto" w:fill="auto"/>
            <w:noWrap/>
            <w:vAlign w:val="center"/>
            <w:hideMark/>
          </w:tcPr>
          <w:p w14:paraId="2DC5BDA5" w14:textId="7A58B39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20,4</w:t>
            </w:r>
          </w:p>
        </w:tc>
        <w:tc>
          <w:tcPr>
            <w:tcW w:w="595" w:type="dxa"/>
            <w:tcBorders>
              <w:top w:val="nil"/>
              <w:left w:val="nil"/>
              <w:bottom w:val="nil"/>
              <w:right w:val="nil"/>
            </w:tcBorders>
            <w:shd w:val="clear" w:color="auto" w:fill="auto"/>
            <w:noWrap/>
            <w:vAlign w:val="center"/>
            <w:hideMark/>
          </w:tcPr>
          <w:p w14:paraId="16092AE0" w14:textId="462B5A05"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23,1</w:t>
            </w:r>
          </w:p>
        </w:tc>
        <w:tc>
          <w:tcPr>
            <w:tcW w:w="595" w:type="dxa"/>
            <w:tcBorders>
              <w:top w:val="nil"/>
              <w:left w:val="nil"/>
              <w:bottom w:val="nil"/>
              <w:right w:val="nil"/>
            </w:tcBorders>
            <w:shd w:val="clear" w:color="auto" w:fill="auto"/>
            <w:noWrap/>
            <w:vAlign w:val="center"/>
            <w:hideMark/>
          </w:tcPr>
          <w:p w14:paraId="78BE953C" w14:textId="321A6B49"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28,6</w:t>
            </w:r>
          </w:p>
        </w:tc>
        <w:tc>
          <w:tcPr>
            <w:tcW w:w="595" w:type="dxa"/>
            <w:tcBorders>
              <w:top w:val="nil"/>
              <w:left w:val="nil"/>
              <w:bottom w:val="nil"/>
              <w:right w:val="nil"/>
            </w:tcBorders>
            <w:shd w:val="clear" w:color="auto" w:fill="auto"/>
            <w:noWrap/>
            <w:vAlign w:val="center"/>
            <w:hideMark/>
          </w:tcPr>
          <w:p w14:paraId="42701209" w14:textId="2342109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42,3</w:t>
            </w:r>
          </w:p>
        </w:tc>
      </w:tr>
      <w:tr w:rsidR="001E3AB8" w:rsidRPr="00D92E20" w14:paraId="12EAC8D4"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62301487"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H – Doprava a skladování</w:t>
            </w:r>
          </w:p>
        </w:tc>
        <w:tc>
          <w:tcPr>
            <w:tcW w:w="595" w:type="dxa"/>
            <w:tcBorders>
              <w:top w:val="nil"/>
              <w:left w:val="nil"/>
              <w:bottom w:val="nil"/>
              <w:right w:val="nil"/>
            </w:tcBorders>
            <w:shd w:val="clear" w:color="auto" w:fill="auto"/>
            <w:noWrap/>
            <w:vAlign w:val="center"/>
            <w:hideMark/>
          </w:tcPr>
          <w:p w14:paraId="6990774D" w14:textId="2164EE5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12,6</w:t>
            </w:r>
          </w:p>
        </w:tc>
        <w:tc>
          <w:tcPr>
            <w:tcW w:w="595" w:type="dxa"/>
            <w:tcBorders>
              <w:top w:val="nil"/>
              <w:left w:val="nil"/>
              <w:bottom w:val="nil"/>
              <w:right w:val="nil"/>
            </w:tcBorders>
            <w:shd w:val="clear" w:color="auto" w:fill="auto"/>
            <w:noWrap/>
            <w:vAlign w:val="center"/>
            <w:hideMark/>
          </w:tcPr>
          <w:p w14:paraId="663DB344" w14:textId="363E4D43"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15,5</w:t>
            </w:r>
          </w:p>
        </w:tc>
        <w:tc>
          <w:tcPr>
            <w:tcW w:w="595" w:type="dxa"/>
            <w:tcBorders>
              <w:top w:val="nil"/>
              <w:left w:val="nil"/>
              <w:bottom w:val="nil"/>
              <w:right w:val="nil"/>
            </w:tcBorders>
            <w:shd w:val="clear" w:color="auto" w:fill="auto"/>
            <w:noWrap/>
            <w:vAlign w:val="center"/>
            <w:hideMark/>
          </w:tcPr>
          <w:p w14:paraId="68131FED" w14:textId="604527C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13,7</w:t>
            </w:r>
          </w:p>
        </w:tc>
        <w:tc>
          <w:tcPr>
            <w:tcW w:w="595" w:type="dxa"/>
            <w:tcBorders>
              <w:top w:val="nil"/>
              <w:left w:val="nil"/>
              <w:bottom w:val="nil"/>
              <w:right w:val="nil"/>
            </w:tcBorders>
            <w:shd w:val="clear" w:color="auto" w:fill="auto"/>
            <w:noWrap/>
            <w:vAlign w:val="center"/>
            <w:hideMark/>
          </w:tcPr>
          <w:p w14:paraId="40BCBA56" w14:textId="1D452052"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17,9</w:t>
            </w:r>
          </w:p>
        </w:tc>
        <w:tc>
          <w:tcPr>
            <w:tcW w:w="595" w:type="dxa"/>
            <w:tcBorders>
              <w:top w:val="nil"/>
              <w:left w:val="nil"/>
              <w:bottom w:val="nil"/>
              <w:right w:val="nil"/>
            </w:tcBorders>
            <w:shd w:val="clear" w:color="auto" w:fill="auto"/>
            <w:noWrap/>
            <w:vAlign w:val="center"/>
            <w:hideMark/>
          </w:tcPr>
          <w:p w14:paraId="23455D05" w14:textId="101183A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17,6</w:t>
            </w:r>
          </w:p>
        </w:tc>
        <w:tc>
          <w:tcPr>
            <w:tcW w:w="595" w:type="dxa"/>
            <w:tcBorders>
              <w:top w:val="nil"/>
              <w:left w:val="nil"/>
              <w:bottom w:val="nil"/>
              <w:right w:val="nil"/>
            </w:tcBorders>
            <w:shd w:val="clear" w:color="auto" w:fill="auto"/>
            <w:noWrap/>
            <w:vAlign w:val="center"/>
            <w:hideMark/>
          </w:tcPr>
          <w:p w14:paraId="370E523F" w14:textId="7C697C0B"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19,5</w:t>
            </w:r>
          </w:p>
        </w:tc>
        <w:tc>
          <w:tcPr>
            <w:tcW w:w="595" w:type="dxa"/>
            <w:tcBorders>
              <w:top w:val="nil"/>
              <w:left w:val="nil"/>
              <w:bottom w:val="nil"/>
              <w:right w:val="nil"/>
            </w:tcBorders>
            <w:shd w:val="clear" w:color="auto" w:fill="auto"/>
            <w:noWrap/>
            <w:vAlign w:val="center"/>
            <w:hideMark/>
          </w:tcPr>
          <w:p w14:paraId="3B761507" w14:textId="3163098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22,0</w:t>
            </w:r>
          </w:p>
        </w:tc>
        <w:tc>
          <w:tcPr>
            <w:tcW w:w="595" w:type="dxa"/>
            <w:tcBorders>
              <w:top w:val="nil"/>
              <w:left w:val="nil"/>
              <w:bottom w:val="nil"/>
              <w:right w:val="nil"/>
            </w:tcBorders>
            <w:shd w:val="clear" w:color="auto" w:fill="auto"/>
            <w:noWrap/>
            <w:vAlign w:val="center"/>
            <w:hideMark/>
          </w:tcPr>
          <w:p w14:paraId="3C1174BA" w14:textId="6519FC0B"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20,2</w:t>
            </w:r>
          </w:p>
        </w:tc>
        <w:tc>
          <w:tcPr>
            <w:tcW w:w="595" w:type="dxa"/>
            <w:tcBorders>
              <w:top w:val="nil"/>
              <w:left w:val="nil"/>
              <w:bottom w:val="nil"/>
              <w:right w:val="nil"/>
            </w:tcBorders>
            <w:shd w:val="clear" w:color="auto" w:fill="auto"/>
            <w:noWrap/>
            <w:vAlign w:val="center"/>
            <w:hideMark/>
          </w:tcPr>
          <w:p w14:paraId="04B7CC7B" w14:textId="2CEB895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23,1</w:t>
            </w:r>
          </w:p>
        </w:tc>
        <w:tc>
          <w:tcPr>
            <w:tcW w:w="595" w:type="dxa"/>
            <w:tcBorders>
              <w:top w:val="nil"/>
              <w:left w:val="nil"/>
              <w:bottom w:val="nil"/>
              <w:right w:val="nil"/>
            </w:tcBorders>
            <w:shd w:val="clear" w:color="auto" w:fill="auto"/>
            <w:noWrap/>
            <w:vAlign w:val="center"/>
            <w:hideMark/>
          </w:tcPr>
          <w:p w14:paraId="1A2C340C" w14:textId="15266E1F"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32,0</w:t>
            </w:r>
          </w:p>
        </w:tc>
        <w:tc>
          <w:tcPr>
            <w:tcW w:w="595" w:type="dxa"/>
            <w:tcBorders>
              <w:top w:val="nil"/>
              <w:left w:val="nil"/>
              <w:bottom w:val="nil"/>
              <w:right w:val="nil"/>
            </w:tcBorders>
            <w:shd w:val="clear" w:color="auto" w:fill="auto"/>
            <w:noWrap/>
            <w:vAlign w:val="center"/>
            <w:hideMark/>
          </w:tcPr>
          <w:p w14:paraId="2CD56E07" w14:textId="0EE5C5F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40,2</w:t>
            </w:r>
          </w:p>
        </w:tc>
      </w:tr>
      <w:tr w:rsidR="001E3AB8" w:rsidRPr="00D92E20" w14:paraId="587A321D"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54272F07" w14:textId="28347C46"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I – Ubytování, stravování a pohostinství</w:t>
            </w:r>
          </w:p>
        </w:tc>
        <w:tc>
          <w:tcPr>
            <w:tcW w:w="595" w:type="dxa"/>
            <w:tcBorders>
              <w:top w:val="nil"/>
              <w:left w:val="nil"/>
              <w:bottom w:val="nil"/>
              <w:right w:val="nil"/>
            </w:tcBorders>
            <w:shd w:val="clear" w:color="auto" w:fill="auto"/>
            <w:noWrap/>
            <w:vAlign w:val="center"/>
            <w:hideMark/>
          </w:tcPr>
          <w:p w14:paraId="7E43FA5A" w14:textId="3C6C3B0B"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11,4</w:t>
            </w:r>
          </w:p>
        </w:tc>
        <w:tc>
          <w:tcPr>
            <w:tcW w:w="595" w:type="dxa"/>
            <w:tcBorders>
              <w:top w:val="nil"/>
              <w:left w:val="nil"/>
              <w:bottom w:val="nil"/>
              <w:right w:val="nil"/>
            </w:tcBorders>
            <w:shd w:val="clear" w:color="auto" w:fill="auto"/>
            <w:noWrap/>
            <w:vAlign w:val="center"/>
            <w:hideMark/>
          </w:tcPr>
          <w:p w14:paraId="10E85498" w14:textId="73392065"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12,9</w:t>
            </w:r>
          </w:p>
        </w:tc>
        <w:tc>
          <w:tcPr>
            <w:tcW w:w="595" w:type="dxa"/>
            <w:tcBorders>
              <w:top w:val="nil"/>
              <w:left w:val="nil"/>
              <w:bottom w:val="nil"/>
              <w:right w:val="nil"/>
            </w:tcBorders>
            <w:shd w:val="clear" w:color="auto" w:fill="auto"/>
            <w:noWrap/>
            <w:vAlign w:val="center"/>
            <w:hideMark/>
          </w:tcPr>
          <w:p w14:paraId="3C021579" w14:textId="24B72AE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12,1</w:t>
            </w:r>
          </w:p>
        </w:tc>
        <w:tc>
          <w:tcPr>
            <w:tcW w:w="595" w:type="dxa"/>
            <w:tcBorders>
              <w:top w:val="nil"/>
              <w:left w:val="nil"/>
              <w:bottom w:val="nil"/>
              <w:right w:val="nil"/>
            </w:tcBorders>
            <w:shd w:val="clear" w:color="auto" w:fill="auto"/>
            <w:noWrap/>
            <w:vAlign w:val="center"/>
            <w:hideMark/>
          </w:tcPr>
          <w:p w14:paraId="36FE9D06" w14:textId="6F5665EF"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14,6</w:t>
            </w:r>
          </w:p>
        </w:tc>
        <w:tc>
          <w:tcPr>
            <w:tcW w:w="595" w:type="dxa"/>
            <w:tcBorders>
              <w:top w:val="nil"/>
              <w:left w:val="nil"/>
              <w:bottom w:val="nil"/>
              <w:right w:val="nil"/>
            </w:tcBorders>
            <w:shd w:val="clear" w:color="auto" w:fill="auto"/>
            <w:noWrap/>
            <w:vAlign w:val="center"/>
            <w:hideMark/>
          </w:tcPr>
          <w:p w14:paraId="60DAAF64" w14:textId="460B7CC2"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14,7</w:t>
            </w:r>
          </w:p>
        </w:tc>
        <w:tc>
          <w:tcPr>
            <w:tcW w:w="595" w:type="dxa"/>
            <w:tcBorders>
              <w:top w:val="nil"/>
              <w:left w:val="nil"/>
              <w:bottom w:val="nil"/>
              <w:right w:val="nil"/>
            </w:tcBorders>
            <w:shd w:val="clear" w:color="auto" w:fill="auto"/>
            <w:noWrap/>
            <w:vAlign w:val="center"/>
            <w:hideMark/>
          </w:tcPr>
          <w:p w14:paraId="408782B8" w14:textId="32954E73"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15,1</w:t>
            </w:r>
          </w:p>
        </w:tc>
        <w:tc>
          <w:tcPr>
            <w:tcW w:w="595" w:type="dxa"/>
            <w:tcBorders>
              <w:top w:val="nil"/>
              <w:left w:val="nil"/>
              <w:bottom w:val="nil"/>
              <w:right w:val="nil"/>
            </w:tcBorders>
            <w:shd w:val="clear" w:color="auto" w:fill="auto"/>
            <w:noWrap/>
            <w:vAlign w:val="center"/>
            <w:hideMark/>
          </w:tcPr>
          <w:p w14:paraId="29AE9C32" w14:textId="0D4B9D3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16,4</w:t>
            </w:r>
          </w:p>
        </w:tc>
        <w:tc>
          <w:tcPr>
            <w:tcW w:w="595" w:type="dxa"/>
            <w:tcBorders>
              <w:top w:val="nil"/>
              <w:left w:val="nil"/>
              <w:bottom w:val="nil"/>
              <w:right w:val="nil"/>
            </w:tcBorders>
            <w:shd w:val="clear" w:color="auto" w:fill="auto"/>
            <w:noWrap/>
            <w:vAlign w:val="center"/>
            <w:hideMark/>
          </w:tcPr>
          <w:p w14:paraId="2AAAEB5A" w14:textId="1B5044D2"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15,8</w:t>
            </w:r>
          </w:p>
        </w:tc>
        <w:tc>
          <w:tcPr>
            <w:tcW w:w="595" w:type="dxa"/>
            <w:tcBorders>
              <w:top w:val="nil"/>
              <w:left w:val="nil"/>
              <w:bottom w:val="nil"/>
              <w:right w:val="nil"/>
            </w:tcBorders>
            <w:shd w:val="clear" w:color="auto" w:fill="auto"/>
            <w:noWrap/>
            <w:vAlign w:val="center"/>
            <w:hideMark/>
          </w:tcPr>
          <w:p w14:paraId="7A13B695" w14:textId="7D29A1D3"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21,6</w:t>
            </w:r>
          </w:p>
        </w:tc>
        <w:tc>
          <w:tcPr>
            <w:tcW w:w="595" w:type="dxa"/>
            <w:tcBorders>
              <w:top w:val="nil"/>
              <w:left w:val="nil"/>
              <w:bottom w:val="nil"/>
              <w:right w:val="nil"/>
            </w:tcBorders>
            <w:shd w:val="clear" w:color="auto" w:fill="auto"/>
            <w:noWrap/>
            <w:vAlign w:val="center"/>
            <w:hideMark/>
          </w:tcPr>
          <w:p w14:paraId="615058A1" w14:textId="370AD8D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16,8</w:t>
            </w:r>
          </w:p>
        </w:tc>
        <w:tc>
          <w:tcPr>
            <w:tcW w:w="595" w:type="dxa"/>
            <w:tcBorders>
              <w:top w:val="nil"/>
              <w:left w:val="nil"/>
              <w:bottom w:val="nil"/>
              <w:right w:val="nil"/>
            </w:tcBorders>
            <w:shd w:val="clear" w:color="auto" w:fill="auto"/>
            <w:noWrap/>
            <w:vAlign w:val="center"/>
            <w:hideMark/>
          </w:tcPr>
          <w:p w14:paraId="626504E8" w14:textId="12DCEC59"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30,6</w:t>
            </w:r>
          </w:p>
        </w:tc>
      </w:tr>
      <w:tr w:rsidR="001E3AB8" w:rsidRPr="00D92E20" w14:paraId="3B9A1697"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62E169B6"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J – Informační a komunikační činnosti</w:t>
            </w:r>
          </w:p>
        </w:tc>
        <w:tc>
          <w:tcPr>
            <w:tcW w:w="595" w:type="dxa"/>
            <w:tcBorders>
              <w:top w:val="nil"/>
              <w:left w:val="nil"/>
              <w:bottom w:val="nil"/>
              <w:right w:val="nil"/>
            </w:tcBorders>
            <w:shd w:val="clear" w:color="auto" w:fill="auto"/>
            <w:noWrap/>
            <w:vAlign w:val="center"/>
            <w:hideMark/>
          </w:tcPr>
          <w:p w14:paraId="7CA14986" w14:textId="4EA58800"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10,8</w:t>
            </w:r>
          </w:p>
        </w:tc>
        <w:tc>
          <w:tcPr>
            <w:tcW w:w="595" w:type="dxa"/>
            <w:tcBorders>
              <w:top w:val="nil"/>
              <w:left w:val="nil"/>
              <w:bottom w:val="nil"/>
              <w:right w:val="nil"/>
            </w:tcBorders>
            <w:shd w:val="clear" w:color="auto" w:fill="auto"/>
            <w:noWrap/>
            <w:vAlign w:val="center"/>
            <w:hideMark/>
          </w:tcPr>
          <w:p w14:paraId="528E94C9" w14:textId="44FA807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13,1</w:t>
            </w:r>
          </w:p>
        </w:tc>
        <w:tc>
          <w:tcPr>
            <w:tcW w:w="595" w:type="dxa"/>
            <w:tcBorders>
              <w:top w:val="nil"/>
              <w:left w:val="nil"/>
              <w:bottom w:val="nil"/>
              <w:right w:val="nil"/>
            </w:tcBorders>
            <w:shd w:val="clear" w:color="auto" w:fill="auto"/>
            <w:noWrap/>
            <w:vAlign w:val="center"/>
            <w:hideMark/>
          </w:tcPr>
          <w:p w14:paraId="42EECDA5" w14:textId="7849D6BB"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11,1</w:t>
            </w:r>
          </w:p>
        </w:tc>
        <w:tc>
          <w:tcPr>
            <w:tcW w:w="595" w:type="dxa"/>
            <w:tcBorders>
              <w:top w:val="nil"/>
              <w:left w:val="nil"/>
              <w:bottom w:val="nil"/>
              <w:right w:val="nil"/>
            </w:tcBorders>
            <w:shd w:val="clear" w:color="auto" w:fill="auto"/>
            <w:noWrap/>
            <w:vAlign w:val="center"/>
            <w:hideMark/>
          </w:tcPr>
          <w:p w14:paraId="5E53F8A0" w14:textId="2F9A9B77"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13,4</w:t>
            </w:r>
          </w:p>
        </w:tc>
        <w:tc>
          <w:tcPr>
            <w:tcW w:w="595" w:type="dxa"/>
            <w:tcBorders>
              <w:top w:val="nil"/>
              <w:left w:val="nil"/>
              <w:bottom w:val="nil"/>
              <w:right w:val="nil"/>
            </w:tcBorders>
            <w:shd w:val="clear" w:color="auto" w:fill="auto"/>
            <w:noWrap/>
            <w:vAlign w:val="center"/>
            <w:hideMark/>
          </w:tcPr>
          <w:p w14:paraId="5675E91E" w14:textId="2A920647"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12,7</w:t>
            </w:r>
          </w:p>
        </w:tc>
        <w:tc>
          <w:tcPr>
            <w:tcW w:w="595" w:type="dxa"/>
            <w:tcBorders>
              <w:top w:val="nil"/>
              <w:left w:val="nil"/>
              <w:bottom w:val="nil"/>
              <w:right w:val="nil"/>
            </w:tcBorders>
            <w:shd w:val="clear" w:color="auto" w:fill="auto"/>
            <w:noWrap/>
            <w:vAlign w:val="center"/>
            <w:hideMark/>
          </w:tcPr>
          <w:p w14:paraId="047CF952" w14:textId="204845F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13,5</w:t>
            </w:r>
          </w:p>
        </w:tc>
        <w:tc>
          <w:tcPr>
            <w:tcW w:w="595" w:type="dxa"/>
            <w:tcBorders>
              <w:top w:val="nil"/>
              <w:left w:val="nil"/>
              <w:bottom w:val="nil"/>
              <w:right w:val="nil"/>
            </w:tcBorders>
            <w:shd w:val="clear" w:color="auto" w:fill="auto"/>
            <w:noWrap/>
            <w:vAlign w:val="center"/>
            <w:hideMark/>
          </w:tcPr>
          <w:p w14:paraId="497574F6" w14:textId="7DEBACF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14,4</w:t>
            </w:r>
          </w:p>
        </w:tc>
        <w:tc>
          <w:tcPr>
            <w:tcW w:w="595" w:type="dxa"/>
            <w:tcBorders>
              <w:top w:val="nil"/>
              <w:left w:val="nil"/>
              <w:bottom w:val="nil"/>
              <w:right w:val="nil"/>
            </w:tcBorders>
            <w:shd w:val="clear" w:color="auto" w:fill="auto"/>
            <w:noWrap/>
            <w:vAlign w:val="center"/>
            <w:hideMark/>
          </w:tcPr>
          <w:p w14:paraId="3A14E7B8" w14:textId="1C34FE92"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13,5</w:t>
            </w:r>
          </w:p>
        </w:tc>
        <w:tc>
          <w:tcPr>
            <w:tcW w:w="595" w:type="dxa"/>
            <w:tcBorders>
              <w:top w:val="nil"/>
              <w:left w:val="nil"/>
              <w:bottom w:val="nil"/>
              <w:right w:val="nil"/>
            </w:tcBorders>
            <w:shd w:val="clear" w:color="auto" w:fill="auto"/>
            <w:noWrap/>
            <w:vAlign w:val="center"/>
            <w:hideMark/>
          </w:tcPr>
          <w:p w14:paraId="4F0A5C54" w14:textId="638CC04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12,9</w:t>
            </w:r>
          </w:p>
        </w:tc>
        <w:tc>
          <w:tcPr>
            <w:tcW w:w="595" w:type="dxa"/>
            <w:tcBorders>
              <w:top w:val="nil"/>
              <w:left w:val="nil"/>
              <w:bottom w:val="nil"/>
              <w:right w:val="nil"/>
            </w:tcBorders>
            <w:shd w:val="clear" w:color="auto" w:fill="auto"/>
            <w:noWrap/>
            <w:vAlign w:val="center"/>
            <w:hideMark/>
          </w:tcPr>
          <w:p w14:paraId="5B84DE3A" w14:textId="64FF941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13,2</w:t>
            </w:r>
          </w:p>
        </w:tc>
        <w:tc>
          <w:tcPr>
            <w:tcW w:w="595" w:type="dxa"/>
            <w:tcBorders>
              <w:top w:val="nil"/>
              <w:left w:val="nil"/>
              <w:bottom w:val="nil"/>
              <w:right w:val="nil"/>
            </w:tcBorders>
            <w:shd w:val="clear" w:color="auto" w:fill="auto"/>
            <w:noWrap/>
            <w:vAlign w:val="center"/>
            <w:hideMark/>
          </w:tcPr>
          <w:p w14:paraId="134E3D80" w14:textId="5A86BED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21,4</w:t>
            </w:r>
          </w:p>
        </w:tc>
      </w:tr>
      <w:tr w:rsidR="001E3AB8" w:rsidRPr="00D92E20" w14:paraId="5C3D5480"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21617673"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K – Peněžnictví a pojišťovnictví</w:t>
            </w:r>
          </w:p>
        </w:tc>
        <w:tc>
          <w:tcPr>
            <w:tcW w:w="595" w:type="dxa"/>
            <w:tcBorders>
              <w:top w:val="nil"/>
              <w:left w:val="nil"/>
              <w:bottom w:val="nil"/>
              <w:right w:val="nil"/>
            </w:tcBorders>
            <w:shd w:val="clear" w:color="auto" w:fill="auto"/>
            <w:noWrap/>
            <w:vAlign w:val="center"/>
            <w:hideMark/>
          </w:tcPr>
          <w:p w14:paraId="3309DA37" w14:textId="20C21F7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12,0</w:t>
            </w:r>
          </w:p>
        </w:tc>
        <w:tc>
          <w:tcPr>
            <w:tcW w:w="595" w:type="dxa"/>
            <w:tcBorders>
              <w:top w:val="nil"/>
              <w:left w:val="nil"/>
              <w:bottom w:val="nil"/>
              <w:right w:val="nil"/>
            </w:tcBorders>
            <w:shd w:val="clear" w:color="auto" w:fill="auto"/>
            <w:noWrap/>
            <w:vAlign w:val="center"/>
            <w:hideMark/>
          </w:tcPr>
          <w:p w14:paraId="1C0551EA" w14:textId="3A54DA43"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14,9</w:t>
            </w:r>
          </w:p>
        </w:tc>
        <w:tc>
          <w:tcPr>
            <w:tcW w:w="595" w:type="dxa"/>
            <w:tcBorders>
              <w:top w:val="nil"/>
              <w:left w:val="nil"/>
              <w:bottom w:val="nil"/>
              <w:right w:val="nil"/>
            </w:tcBorders>
            <w:shd w:val="clear" w:color="auto" w:fill="auto"/>
            <w:noWrap/>
            <w:vAlign w:val="center"/>
            <w:hideMark/>
          </w:tcPr>
          <w:p w14:paraId="132440FF" w14:textId="705D6DE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12,9</w:t>
            </w:r>
          </w:p>
        </w:tc>
        <w:tc>
          <w:tcPr>
            <w:tcW w:w="595" w:type="dxa"/>
            <w:tcBorders>
              <w:top w:val="nil"/>
              <w:left w:val="nil"/>
              <w:bottom w:val="nil"/>
              <w:right w:val="nil"/>
            </w:tcBorders>
            <w:shd w:val="clear" w:color="auto" w:fill="auto"/>
            <w:noWrap/>
            <w:vAlign w:val="center"/>
            <w:hideMark/>
          </w:tcPr>
          <w:p w14:paraId="70DE38F2" w14:textId="21B144B7"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16,1</w:t>
            </w:r>
          </w:p>
        </w:tc>
        <w:tc>
          <w:tcPr>
            <w:tcW w:w="595" w:type="dxa"/>
            <w:tcBorders>
              <w:top w:val="nil"/>
              <w:left w:val="nil"/>
              <w:bottom w:val="nil"/>
              <w:right w:val="nil"/>
            </w:tcBorders>
            <w:shd w:val="clear" w:color="auto" w:fill="auto"/>
            <w:noWrap/>
            <w:vAlign w:val="center"/>
            <w:hideMark/>
          </w:tcPr>
          <w:p w14:paraId="183B929A" w14:textId="7E0BC0C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14,7</w:t>
            </w:r>
          </w:p>
        </w:tc>
        <w:tc>
          <w:tcPr>
            <w:tcW w:w="595" w:type="dxa"/>
            <w:tcBorders>
              <w:top w:val="nil"/>
              <w:left w:val="nil"/>
              <w:bottom w:val="nil"/>
              <w:right w:val="nil"/>
            </w:tcBorders>
            <w:shd w:val="clear" w:color="auto" w:fill="auto"/>
            <w:noWrap/>
            <w:vAlign w:val="center"/>
            <w:hideMark/>
          </w:tcPr>
          <w:p w14:paraId="4073ECFF" w14:textId="5938CEB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15,1</w:t>
            </w:r>
          </w:p>
        </w:tc>
        <w:tc>
          <w:tcPr>
            <w:tcW w:w="595" w:type="dxa"/>
            <w:tcBorders>
              <w:top w:val="nil"/>
              <w:left w:val="nil"/>
              <w:bottom w:val="nil"/>
              <w:right w:val="nil"/>
            </w:tcBorders>
            <w:shd w:val="clear" w:color="auto" w:fill="auto"/>
            <w:noWrap/>
            <w:vAlign w:val="center"/>
            <w:hideMark/>
          </w:tcPr>
          <w:p w14:paraId="3A57BE51" w14:textId="11FF291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16,4</w:t>
            </w:r>
          </w:p>
        </w:tc>
        <w:tc>
          <w:tcPr>
            <w:tcW w:w="595" w:type="dxa"/>
            <w:tcBorders>
              <w:top w:val="nil"/>
              <w:left w:val="nil"/>
              <w:bottom w:val="nil"/>
              <w:right w:val="nil"/>
            </w:tcBorders>
            <w:shd w:val="clear" w:color="auto" w:fill="auto"/>
            <w:noWrap/>
            <w:vAlign w:val="center"/>
            <w:hideMark/>
          </w:tcPr>
          <w:p w14:paraId="532CEE6F" w14:textId="4B80B98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15,0</w:t>
            </w:r>
          </w:p>
        </w:tc>
        <w:tc>
          <w:tcPr>
            <w:tcW w:w="595" w:type="dxa"/>
            <w:tcBorders>
              <w:top w:val="nil"/>
              <w:left w:val="nil"/>
              <w:bottom w:val="nil"/>
              <w:right w:val="nil"/>
            </w:tcBorders>
            <w:shd w:val="clear" w:color="auto" w:fill="auto"/>
            <w:noWrap/>
            <w:vAlign w:val="center"/>
            <w:hideMark/>
          </w:tcPr>
          <w:p w14:paraId="7DC3FD53" w14:textId="3C40762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14,7</w:t>
            </w:r>
          </w:p>
        </w:tc>
        <w:tc>
          <w:tcPr>
            <w:tcW w:w="595" w:type="dxa"/>
            <w:tcBorders>
              <w:top w:val="nil"/>
              <w:left w:val="nil"/>
              <w:bottom w:val="nil"/>
              <w:right w:val="nil"/>
            </w:tcBorders>
            <w:shd w:val="clear" w:color="auto" w:fill="auto"/>
            <w:noWrap/>
            <w:vAlign w:val="center"/>
            <w:hideMark/>
          </w:tcPr>
          <w:p w14:paraId="62DA53A9" w14:textId="4F36DF27"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14,9</w:t>
            </w:r>
          </w:p>
        </w:tc>
        <w:tc>
          <w:tcPr>
            <w:tcW w:w="595" w:type="dxa"/>
            <w:tcBorders>
              <w:top w:val="nil"/>
              <w:left w:val="nil"/>
              <w:bottom w:val="nil"/>
              <w:right w:val="nil"/>
            </w:tcBorders>
            <w:shd w:val="clear" w:color="auto" w:fill="auto"/>
            <w:noWrap/>
            <w:vAlign w:val="center"/>
            <w:hideMark/>
          </w:tcPr>
          <w:p w14:paraId="6CC853A2" w14:textId="4E26D1F3"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22,7</w:t>
            </w:r>
          </w:p>
        </w:tc>
      </w:tr>
      <w:tr w:rsidR="001E3AB8" w:rsidRPr="00D92E20" w14:paraId="5D27C71E"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37DFAD02"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L – Činnosti v oblasti nemovitostí</w:t>
            </w:r>
          </w:p>
        </w:tc>
        <w:tc>
          <w:tcPr>
            <w:tcW w:w="595" w:type="dxa"/>
            <w:tcBorders>
              <w:top w:val="nil"/>
              <w:left w:val="nil"/>
              <w:bottom w:val="nil"/>
              <w:right w:val="nil"/>
            </w:tcBorders>
            <w:shd w:val="clear" w:color="auto" w:fill="auto"/>
            <w:noWrap/>
            <w:vAlign w:val="center"/>
            <w:hideMark/>
          </w:tcPr>
          <w:p w14:paraId="1AFCFEE5" w14:textId="3EC7E9B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7,4</w:t>
            </w:r>
          </w:p>
        </w:tc>
        <w:tc>
          <w:tcPr>
            <w:tcW w:w="595" w:type="dxa"/>
            <w:tcBorders>
              <w:top w:val="nil"/>
              <w:left w:val="nil"/>
              <w:bottom w:val="nil"/>
              <w:right w:val="nil"/>
            </w:tcBorders>
            <w:shd w:val="clear" w:color="auto" w:fill="auto"/>
            <w:noWrap/>
            <w:vAlign w:val="center"/>
            <w:hideMark/>
          </w:tcPr>
          <w:p w14:paraId="76CB5082" w14:textId="3DD72E20"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8,3</w:t>
            </w:r>
          </w:p>
        </w:tc>
        <w:tc>
          <w:tcPr>
            <w:tcW w:w="595" w:type="dxa"/>
            <w:tcBorders>
              <w:top w:val="nil"/>
              <w:left w:val="nil"/>
              <w:bottom w:val="nil"/>
              <w:right w:val="nil"/>
            </w:tcBorders>
            <w:shd w:val="clear" w:color="auto" w:fill="auto"/>
            <w:noWrap/>
            <w:vAlign w:val="center"/>
            <w:hideMark/>
          </w:tcPr>
          <w:p w14:paraId="70DC89B4" w14:textId="4D6FE492"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7,2</w:t>
            </w:r>
          </w:p>
        </w:tc>
        <w:tc>
          <w:tcPr>
            <w:tcW w:w="595" w:type="dxa"/>
            <w:tcBorders>
              <w:top w:val="nil"/>
              <w:left w:val="nil"/>
              <w:bottom w:val="nil"/>
              <w:right w:val="nil"/>
            </w:tcBorders>
            <w:shd w:val="clear" w:color="auto" w:fill="auto"/>
            <w:noWrap/>
            <w:vAlign w:val="center"/>
            <w:hideMark/>
          </w:tcPr>
          <w:p w14:paraId="579BAF9B" w14:textId="26000F1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9,1</w:t>
            </w:r>
          </w:p>
        </w:tc>
        <w:tc>
          <w:tcPr>
            <w:tcW w:w="595" w:type="dxa"/>
            <w:tcBorders>
              <w:top w:val="nil"/>
              <w:left w:val="nil"/>
              <w:bottom w:val="nil"/>
              <w:right w:val="nil"/>
            </w:tcBorders>
            <w:shd w:val="clear" w:color="auto" w:fill="auto"/>
            <w:noWrap/>
            <w:vAlign w:val="center"/>
            <w:hideMark/>
          </w:tcPr>
          <w:p w14:paraId="0AACB8D6" w14:textId="7973081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8,6</w:t>
            </w:r>
          </w:p>
        </w:tc>
        <w:tc>
          <w:tcPr>
            <w:tcW w:w="595" w:type="dxa"/>
            <w:tcBorders>
              <w:top w:val="nil"/>
              <w:left w:val="nil"/>
              <w:bottom w:val="nil"/>
              <w:right w:val="nil"/>
            </w:tcBorders>
            <w:shd w:val="clear" w:color="auto" w:fill="auto"/>
            <w:noWrap/>
            <w:vAlign w:val="center"/>
            <w:hideMark/>
          </w:tcPr>
          <w:p w14:paraId="1F3B8FF5" w14:textId="7D301116"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8,5</w:t>
            </w:r>
          </w:p>
        </w:tc>
        <w:tc>
          <w:tcPr>
            <w:tcW w:w="595" w:type="dxa"/>
            <w:tcBorders>
              <w:top w:val="nil"/>
              <w:left w:val="nil"/>
              <w:bottom w:val="nil"/>
              <w:right w:val="nil"/>
            </w:tcBorders>
            <w:shd w:val="clear" w:color="auto" w:fill="auto"/>
            <w:noWrap/>
            <w:vAlign w:val="center"/>
            <w:hideMark/>
          </w:tcPr>
          <w:p w14:paraId="4B0E75E8" w14:textId="52C5D726"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9,6</w:t>
            </w:r>
          </w:p>
        </w:tc>
        <w:tc>
          <w:tcPr>
            <w:tcW w:w="595" w:type="dxa"/>
            <w:tcBorders>
              <w:top w:val="nil"/>
              <w:left w:val="nil"/>
              <w:bottom w:val="nil"/>
              <w:right w:val="nil"/>
            </w:tcBorders>
            <w:shd w:val="clear" w:color="auto" w:fill="auto"/>
            <w:noWrap/>
            <w:vAlign w:val="center"/>
            <w:hideMark/>
          </w:tcPr>
          <w:p w14:paraId="04CE1F33" w14:textId="26C3030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9,2</w:t>
            </w:r>
          </w:p>
        </w:tc>
        <w:tc>
          <w:tcPr>
            <w:tcW w:w="595" w:type="dxa"/>
            <w:tcBorders>
              <w:top w:val="nil"/>
              <w:left w:val="nil"/>
              <w:bottom w:val="nil"/>
              <w:right w:val="nil"/>
            </w:tcBorders>
            <w:shd w:val="clear" w:color="auto" w:fill="auto"/>
            <w:noWrap/>
            <w:vAlign w:val="center"/>
            <w:hideMark/>
          </w:tcPr>
          <w:p w14:paraId="728F99CD" w14:textId="4BE48605"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11,2</w:t>
            </w:r>
          </w:p>
        </w:tc>
        <w:tc>
          <w:tcPr>
            <w:tcW w:w="595" w:type="dxa"/>
            <w:tcBorders>
              <w:top w:val="nil"/>
              <w:left w:val="nil"/>
              <w:bottom w:val="nil"/>
              <w:right w:val="nil"/>
            </w:tcBorders>
            <w:shd w:val="clear" w:color="auto" w:fill="auto"/>
            <w:noWrap/>
            <w:vAlign w:val="center"/>
            <w:hideMark/>
          </w:tcPr>
          <w:p w14:paraId="0A0C491C" w14:textId="3D135397"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14,0</w:t>
            </w:r>
          </w:p>
        </w:tc>
        <w:tc>
          <w:tcPr>
            <w:tcW w:w="595" w:type="dxa"/>
            <w:tcBorders>
              <w:top w:val="nil"/>
              <w:left w:val="nil"/>
              <w:bottom w:val="nil"/>
              <w:right w:val="nil"/>
            </w:tcBorders>
            <w:shd w:val="clear" w:color="auto" w:fill="auto"/>
            <w:noWrap/>
            <w:vAlign w:val="center"/>
            <w:hideMark/>
          </w:tcPr>
          <w:p w14:paraId="145D5F90" w14:textId="5E69748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20,1</w:t>
            </w:r>
          </w:p>
        </w:tc>
      </w:tr>
      <w:tr w:rsidR="001E3AB8" w:rsidRPr="00D92E20" w14:paraId="46C3E7DC"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311B2257" w14:textId="77777777" w:rsidR="001E3AB8"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 xml:space="preserve">M – Profesní, vědecké a technické </w:t>
            </w:r>
            <w:r>
              <w:rPr>
                <w:rFonts w:cs="Arial"/>
                <w:color w:val="000000"/>
                <w:sz w:val="16"/>
                <w:szCs w:val="16"/>
              </w:rPr>
              <w:t xml:space="preserve"> </w:t>
            </w:r>
          </w:p>
          <w:p w14:paraId="5A0E9F64" w14:textId="0E489CC2" w:rsidR="001E3AB8" w:rsidRPr="00D92E20" w:rsidRDefault="001E3AB8" w:rsidP="001E3AB8">
            <w:pPr>
              <w:spacing w:after="0" w:line="240" w:lineRule="auto"/>
              <w:ind w:firstLineChars="100" w:firstLine="160"/>
              <w:rPr>
                <w:rFonts w:cs="Arial"/>
                <w:color w:val="000000"/>
                <w:sz w:val="16"/>
                <w:szCs w:val="16"/>
              </w:rPr>
            </w:pPr>
            <w:r>
              <w:rPr>
                <w:rFonts w:cs="Arial"/>
                <w:color w:val="000000"/>
                <w:sz w:val="16"/>
                <w:szCs w:val="16"/>
              </w:rPr>
              <w:t xml:space="preserve">       </w:t>
            </w:r>
            <w:r w:rsidRPr="00D92E20">
              <w:rPr>
                <w:rFonts w:cs="Arial"/>
                <w:color w:val="000000"/>
                <w:sz w:val="16"/>
                <w:szCs w:val="16"/>
              </w:rPr>
              <w:t>činnosti</w:t>
            </w:r>
          </w:p>
        </w:tc>
        <w:tc>
          <w:tcPr>
            <w:tcW w:w="595" w:type="dxa"/>
            <w:tcBorders>
              <w:top w:val="nil"/>
              <w:left w:val="nil"/>
              <w:bottom w:val="nil"/>
              <w:right w:val="nil"/>
            </w:tcBorders>
            <w:shd w:val="clear" w:color="auto" w:fill="auto"/>
            <w:noWrap/>
            <w:vAlign w:val="center"/>
            <w:hideMark/>
          </w:tcPr>
          <w:p w14:paraId="7E05A2D4" w14:textId="0E7A5C8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9,3</w:t>
            </w:r>
          </w:p>
        </w:tc>
        <w:tc>
          <w:tcPr>
            <w:tcW w:w="595" w:type="dxa"/>
            <w:tcBorders>
              <w:top w:val="nil"/>
              <w:left w:val="nil"/>
              <w:bottom w:val="nil"/>
              <w:right w:val="nil"/>
            </w:tcBorders>
            <w:shd w:val="clear" w:color="auto" w:fill="auto"/>
            <w:noWrap/>
            <w:vAlign w:val="center"/>
            <w:hideMark/>
          </w:tcPr>
          <w:p w14:paraId="3944A79C" w14:textId="45B9680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11,4</w:t>
            </w:r>
          </w:p>
        </w:tc>
        <w:tc>
          <w:tcPr>
            <w:tcW w:w="595" w:type="dxa"/>
            <w:tcBorders>
              <w:top w:val="nil"/>
              <w:left w:val="nil"/>
              <w:bottom w:val="nil"/>
              <w:right w:val="nil"/>
            </w:tcBorders>
            <w:shd w:val="clear" w:color="auto" w:fill="auto"/>
            <w:noWrap/>
            <w:vAlign w:val="center"/>
            <w:hideMark/>
          </w:tcPr>
          <w:p w14:paraId="19DEEA9C" w14:textId="46F4A70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9,5</w:t>
            </w:r>
          </w:p>
        </w:tc>
        <w:tc>
          <w:tcPr>
            <w:tcW w:w="595" w:type="dxa"/>
            <w:tcBorders>
              <w:top w:val="nil"/>
              <w:left w:val="nil"/>
              <w:bottom w:val="nil"/>
              <w:right w:val="nil"/>
            </w:tcBorders>
            <w:shd w:val="clear" w:color="auto" w:fill="auto"/>
            <w:noWrap/>
            <w:vAlign w:val="center"/>
            <w:hideMark/>
          </w:tcPr>
          <w:p w14:paraId="17DB1B78" w14:textId="48BD17C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12,1</w:t>
            </w:r>
          </w:p>
        </w:tc>
        <w:tc>
          <w:tcPr>
            <w:tcW w:w="595" w:type="dxa"/>
            <w:tcBorders>
              <w:top w:val="nil"/>
              <w:left w:val="nil"/>
              <w:bottom w:val="nil"/>
              <w:right w:val="nil"/>
            </w:tcBorders>
            <w:shd w:val="clear" w:color="auto" w:fill="auto"/>
            <w:noWrap/>
            <w:vAlign w:val="center"/>
            <w:hideMark/>
          </w:tcPr>
          <w:p w14:paraId="4BB9984B" w14:textId="0E63E76B"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11,7</w:t>
            </w:r>
          </w:p>
        </w:tc>
        <w:tc>
          <w:tcPr>
            <w:tcW w:w="595" w:type="dxa"/>
            <w:tcBorders>
              <w:top w:val="nil"/>
              <w:left w:val="nil"/>
              <w:bottom w:val="nil"/>
              <w:right w:val="nil"/>
            </w:tcBorders>
            <w:shd w:val="clear" w:color="auto" w:fill="auto"/>
            <w:noWrap/>
            <w:vAlign w:val="center"/>
            <w:hideMark/>
          </w:tcPr>
          <w:p w14:paraId="2A145CF3" w14:textId="1D62AA8B"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12,2</w:t>
            </w:r>
          </w:p>
        </w:tc>
        <w:tc>
          <w:tcPr>
            <w:tcW w:w="595" w:type="dxa"/>
            <w:tcBorders>
              <w:top w:val="nil"/>
              <w:left w:val="nil"/>
              <w:bottom w:val="nil"/>
              <w:right w:val="nil"/>
            </w:tcBorders>
            <w:shd w:val="clear" w:color="auto" w:fill="auto"/>
            <w:noWrap/>
            <w:vAlign w:val="center"/>
            <w:hideMark/>
          </w:tcPr>
          <w:p w14:paraId="6A3E98BD" w14:textId="337D0370"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12,9</w:t>
            </w:r>
          </w:p>
        </w:tc>
        <w:tc>
          <w:tcPr>
            <w:tcW w:w="595" w:type="dxa"/>
            <w:tcBorders>
              <w:top w:val="nil"/>
              <w:left w:val="nil"/>
              <w:bottom w:val="nil"/>
              <w:right w:val="nil"/>
            </w:tcBorders>
            <w:shd w:val="clear" w:color="auto" w:fill="auto"/>
            <w:noWrap/>
            <w:vAlign w:val="center"/>
            <w:hideMark/>
          </w:tcPr>
          <w:p w14:paraId="7E7668EB" w14:textId="4C896D2B"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11,6</w:t>
            </w:r>
          </w:p>
        </w:tc>
        <w:tc>
          <w:tcPr>
            <w:tcW w:w="595" w:type="dxa"/>
            <w:tcBorders>
              <w:top w:val="nil"/>
              <w:left w:val="nil"/>
              <w:bottom w:val="nil"/>
              <w:right w:val="nil"/>
            </w:tcBorders>
            <w:shd w:val="clear" w:color="auto" w:fill="auto"/>
            <w:noWrap/>
            <w:vAlign w:val="center"/>
            <w:hideMark/>
          </w:tcPr>
          <w:p w14:paraId="1FA3EC8B" w14:textId="2F1B0F1C"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12,8</w:t>
            </w:r>
          </w:p>
        </w:tc>
        <w:tc>
          <w:tcPr>
            <w:tcW w:w="595" w:type="dxa"/>
            <w:tcBorders>
              <w:top w:val="nil"/>
              <w:left w:val="nil"/>
              <w:bottom w:val="nil"/>
              <w:right w:val="nil"/>
            </w:tcBorders>
            <w:shd w:val="clear" w:color="auto" w:fill="auto"/>
            <w:noWrap/>
            <w:vAlign w:val="center"/>
            <w:hideMark/>
          </w:tcPr>
          <w:p w14:paraId="6EB65CFF" w14:textId="1C560A6C"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15,3</w:t>
            </w:r>
          </w:p>
        </w:tc>
        <w:tc>
          <w:tcPr>
            <w:tcW w:w="595" w:type="dxa"/>
            <w:tcBorders>
              <w:top w:val="nil"/>
              <w:left w:val="nil"/>
              <w:bottom w:val="nil"/>
              <w:right w:val="nil"/>
            </w:tcBorders>
            <w:shd w:val="clear" w:color="auto" w:fill="auto"/>
            <w:noWrap/>
            <w:vAlign w:val="center"/>
            <w:hideMark/>
          </w:tcPr>
          <w:p w14:paraId="651A8DEF" w14:textId="7D9A1850"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23,4</w:t>
            </w:r>
          </w:p>
        </w:tc>
      </w:tr>
      <w:tr w:rsidR="001E3AB8" w:rsidRPr="00D92E20" w14:paraId="6A01A253"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64A2BB2F" w14:textId="41D7D056"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N – Administrativní a podpůrné činnosti</w:t>
            </w:r>
          </w:p>
        </w:tc>
        <w:tc>
          <w:tcPr>
            <w:tcW w:w="595" w:type="dxa"/>
            <w:tcBorders>
              <w:top w:val="nil"/>
              <w:left w:val="nil"/>
              <w:bottom w:val="nil"/>
              <w:right w:val="nil"/>
            </w:tcBorders>
            <w:shd w:val="clear" w:color="auto" w:fill="auto"/>
            <w:noWrap/>
            <w:vAlign w:val="center"/>
            <w:hideMark/>
          </w:tcPr>
          <w:p w14:paraId="51F3F93A" w14:textId="73C6B3E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15,1</w:t>
            </w:r>
          </w:p>
        </w:tc>
        <w:tc>
          <w:tcPr>
            <w:tcW w:w="595" w:type="dxa"/>
            <w:tcBorders>
              <w:top w:val="nil"/>
              <w:left w:val="nil"/>
              <w:bottom w:val="nil"/>
              <w:right w:val="nil"/>
            </w:tcBorders>
            <w:shd w:val="clear" w:color="auto" w:fill="auto"/>
            <w:noWrap/>
            <w:vAlign w:val="center"/>
            <w:hideMark/>
          </w:tcPr>
          <w:p w14:paraId="17AD0947" w14:textId="5714E84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18,9</w:t>
            </w:r>
          </w:p>
        </w:tc>
        <w:tc>
          <w:tcPr>
            <w:tcW w:w="595" w:type="dxa"/>
            <w:tcBorders>
              <w:top w:val="nil"/>
              <w:left w:val="nil"/>
              <w:bottom w:val="nil"/>
              <w:right w:val="nil"/>
            </w:tcBorders>
            <w:shd w:val="clear" w:color="auto" w:fill="auto"/>
            <w:noWrap/>
            <w:vAlign w:val="center"/>
            <w:hideMark/>
          </w:tcPr>
          <w:p w14:paraId="6449AF26" w14:textId="785DBCE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19,4</w:t>
            </w:r>
          </w:p>
        </w:tc>
        <w:tc>
          <w:tcPr>
            <w:tcW w:w="595" w:type="dxa"/>
            <w:tcBorders>
              <w:top w:val="nil"/>
              <w:left w:val="nil"/>
              <w:bottom w:val="nil"/>
              <w:right w:val="nil"/>
            </w:tcBorders>
            <w:shd w:val="clear" w:color="auto" w:fill="auto"/>
            <w:noWrap/>
            <w:vAlign w:val="center"/>
            <w:hideMark/>
          </w:tcPr>
          <w:p w14:paraId="79D13425" w14:textId="60FD85A6"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25,6</w:t>
            </w:r>
          </w:p>
        </w:tc>
        <w:tc>
          <w:tcPr>
            <w:tcW w:w="595" w:type="dxa"/>
            <w:tcBorders>
              <w:top w:val="nil"/>
              <w:left w:val="nil"/>
              <w:bottom w:val="nil"/>
              <w:right w:val="nil"/>
            </w:tcBorders>
            <w:shd w:val="clear" w:color="auto" w:fill="auto"/>
            <w:noWrap/>
            <w:vAlign w:val="center"/>
            <w:hideMark/>
          </w:tcPr>
          <w:p w14:paraId="69CA6C7F" w14:textId="1F28760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26,1</w:t>
            </w:r>
          </w:p>
        </w:tc>
        <w:tc>
          <w:tcPr>
            <w:tcW w:w="595" w:type="dxa"/>
            <w:tcBorders>
              <w:top w:val="nil"/>
              <w:left w:val="nil"/>
              <w:bottom w:val="nil"/>
              <w:right w:val="nil"/>
            </w:tcBorders>
            <w:shd w:val="clear" w:color="auto" w:fill="auto"/>
            <w:noWrap/>
            <w:vAlign w:val="center"/>
            <w:hideMark/>
          </w:tcPr>
          <w:p w14:paraId="15B1241F" w14:textId="6A57F4B9"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26,2</w:t>
            </w:r>
          </w:p>
        </w:tc>
        <w:tc>
          <w:tcPr>
            <w:tcW w:w="595" w:type="dxa"/>
            <w:tcBorders>
              <w:top w:val="nil"/>
              <w:left w:val="nil"/>
              <w:bottom w:val="nil"/>
              <w:right w:val="nil"/>
            </w:tcBorders>
            <w:shd w:val="clear" w:color="auto" w:fill="auto"/>
            <w:noWrap/>
            <w:vAlign w:val="center"/>
            <w:hideMark/>
          </w:tcPr>
          <w:p w14:paraId="47C386E3" w14:textId="7A070B10"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26,2</w:t>
            </w:r>
          </w:p>
        </w:tc>
        <w:tc>
          <w:tcPr>
            <w:tcW w:w="595" w:type="dxa"/>
            <w:tcBorders>
              <w:top w:val="nil"/>
              <w:left w:val="nil"/>
              <w:bottom w:val="nil"/>
              <w:right w:val="nil"/>
            </w:tcBorders>
            <w:shd w:val="clear" w:color="auto" w:fill="auto"/>
            <w:noWrap/>
            <w:vAlign w:val="center"/>
            <w:hideMark/>
          </w:tcPr>
          <w:p w14:paraId="331A9333" w14:textId="6CE984C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23,5</w:t>
            </w:r>
          </w:p>
        </w:tc>
        <w:tc>
          <w:tcPr>
            <w:tcW w:w="595" w:type="dxa"/>
            <w:tcBorders>
              <w:top w:val="nil"/>
              <w:left w:val="nil"/>
              <w:bottom w:val="nil"/>
              <w:right w:val="nil"/>
            </w:tcBorders>
            <w:shd w:val="clear" w:color="auto" w:fill="auto"/>
            <w:noWrap/>
            <w:vAlign w:val="center"/>
            <w:hideMark/>
          </w:tcPr>
          <w:p w14:paraId="1D8DD21D" w14:textId="62553ED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26,8</w:t>
            </w:r>
          </w:p>
        </w:tc>
        <w:tc>
          <w:tcPr>
            <w:tcW w:w="595" w:type="dxa"/>
            <w:tcBorders>
              <w:top w:val="nil"/>
              <w:left w:val="nil"/>
              <w:bottom w:val="nil"/>
              <w:right w:val="nil"/>
            </w:tcBorders>
            <w:shd w:val="clear" w:color="auto" w:fill="auto"/>
            <w:noWrap/>
            <w:vAlign w:val="center"/>
            <w:hideMark/>
          </w:tcPr>
          <w:p w14:paraId="64C25A0E" w14:textId="19A5EA8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35,3</w:t>
            </w:r>
          </w:p>
        </w:tc>
        <w:tc>
          <w:tcPr>
            <w:tcW w:w="595" w:type="dxa"/>
            <w:tcBorders>
              <w:top w:val="nil"/>
              <w:left w:val="nil"/>
              <w:bottom w:val="nil"/>
              <w:right w:val="nil"/>
            </w:tcBorders>
            <w:shd w:val="clear" w:color="auto" w:fill="auto"/>
            <w:noWrap/>
            <w:vAlign w:val="center"/>
            <w:hideMark/>
          </w:tcPr>
          <w:p w14:paraId="0F05BBC8" w14:textId="3449532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39,7</w:t>
            </w:r>
          </w:p>
        </w:tc>
      </w:tr>
      <w:tr w:rsidR="001E3AB8" w:rsidRPr="00D92E20" w14:paraId="475E315D" w14:textId="77777777" w:rsidTr="00E83157">
        <w:trPr>
          <w:trHeight w:val="480"/>
        </w:trPr>
        <w:tc>
          <w:tcPr>
            <w:tcW w:w="3146" w:type="dxa"/>
            <w:tcBorders>
              <w:top w:val="nil"/>
              <w:left w:val="nil"/>
              <w:bottom w:val="nil"/>
              <w:right w:val="single" w:sz="4" w:space="0" w:color="auto"/>
            </w:tcBorders>
            <w:shd w:val="clear" w:color="auto" w:fill="auto"/>
            <w:vAlign w:val="center"/>
            <w:hideMark/>
          </w:tcPr>
          <w:p w14:paraId="5BBD2C9B"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 xml:space="preserve">O – Veřejná správa a obrana; </w:t>
            </w:r>
            <w:r w:rsidRPr="00D92E20">
              <w:rPr>
                <w:rFonts w:cs="Arial"/>
                <w:color w:val="000000"/>
                <w:sz w:val="16"/>
                <w:szCs w:val="16"/>
              </w:rPr>
              <w:br/>
              <w:t xml:space="preserve">          povinné sociální zabezpečení</w:t>
            </w:r>
          </w:p>
        </w:tc>
        <w:tc>
          <w:tcPr>
            <w:tcW w:w="595" w:type="dxa"/>
            <w:tcBorders>
              <w:top w:val="nil"/>
              <w:left w:val="nil"/>
              <w:bottom w:val="nil"/>
              <w:right w:val="nil"/>
            </w:tcBorders>
            <w:shd w:val="clear" w:color="auto" w:fill="auto"/>
            <w:noWrap/>
            <w:vAlign w:val="center"/>
            <w:hideMark/>
          </w:tcPr>
          <w:p w14:paraId="03652A14" w14:textId="7CEADD6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13,0</w:t>
            </w:r>
          </w:p>
        </w:tc>
        <w:tc>
          <w:tcPr>
            <w:tcW w:w="595" w:type="dxa"/>
            <w:tcBorders>
              <w:top w:val="nil"/>
              <w:left w:val="nil"/>
              <w:bottom w:val="nil"/>
              <w:right w:val="nil"/>
            </w:tcBorders>
            <w:shd w:val="clear" w:color="auto" w:fill="auto"/>
            <w:noWrap/>
            <w:vAlign w:val="center"/>
            <w:hideMark/>
          </w:tcPr>
          <w:p w14:paraId="5B0BE6BA" w14:textId="29CE8992"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16,5</w:t>
            </w:r>
          </w:p>
        </w:tc>
        <w:tc>
          <w:tcPr>
            <w:tcW w:w="595" w:type="dxa"/>
            <w:tcBorders>
              <w:top w:val="nil"/>
              <w:left w:val="nil"/>
              <w:bottom w:val="nil"/>
              <w:right w:val="nil"/>
            </w:tcBorders>
            <w:shd w:val="clear" w:color="auto" w:fill="auto"/>
            <w:noWrap/>
            <w:vAlign w:val="center"/>
            <w:hideMark/>
          </w:tcPr>
          <w:p w14:paraId="729F66E0" w14:textId="1F417FC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13,5</w:t>
            </w:r>
          </w:p>
        </w:tc>
        <w:tc>
          <w:tcPr>
            <w:tcW w:w="595" w:type="dxa"/>
            <w:tcBorders>
              <w:top w:val="nil"/>
              <w:left w:val="nil"/>
              <w:bottom w:val="nil"/>
              <w:right w:val="nil"/>
            </w:tcBorders>
            <w:shd w:val="clear" w:color="auto" w:fill="auto"/>
            <w:noWrap/>
            <w:vAlign w:val="center"/>
            <w:hideMark/>
          </w:tcPr>
          <w:p w14:paraId="683AA27F" w14:textId="50B5025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18,5</w:t>
            </w:r>
          </w:p>
        </w:tc>
        <w:tc>
          <w:tcPr>
            <w:tcW w:w="595" w:type="dxa"/>
            <w:tcBorders>
              <w:top w:val="nil"/>
              <w:left w:val="nil"/>
              <w:bottom w:val="nil"/>
              <w:right w:val="nil"/>
            </w:tcBorders>
            <w:shd w:val="clear" w:color="auto" w:fill="auto"/>
            <w:noWrap/>
            <w:vAlign w:val="center"/>
            <w:hideMark/>
          </w:tcPr>
          <w:p w14:paraId="2C78DD8C" w14:textId="71E022A6"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17,0</w:t>
            </w:r>
          </w:p>
        </w:tc>
        <w:tc>
          <w:tcPr>
            <w:tcW w:w="595" w:type="dxa"/>
            <w:tcBorders>
              <w:top w:val="nil"/>
              <w:left w:val="nil"/>
              <w:bottom w:val="nil"/>
              <w:right w:val="nil"/>
            </w:tcBorders>
            <w:shd w:val="clear" w:color="auto" w:fill="auto"/>
            <w:noWrap/>
            <w:vAlign w:val="center"/>
            <w:hideMark/>
          </w:tcPr>
          <w:p w14:paraId="33D7FD8E" w14:textId="5588325F"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17,9</w:t>
            </w:r>
          </w:p>
        </w:tc>
        <w:tc>
          <w:tcPr>
            <w:tcW w:w="595" w:type="dxa"/>
            <w:tcBorders>
              <w:top w:val="nil"/>
              <w:left w:val="nil"/>
              <w:bottom w:val="nil"/>
              <w:right w:val="nil"/>
            </w:tcBorders>
            <w:shd w:val="clear" w:color="auto" w:fill="auto"/>
            <w:noWrap/>
            <w:vAlign w:val="center"/>
            <w:hideMark/>
          </w:tcPr>
          <w:p w14:paraId="0027052F" w14:textId="7DAF5B9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19,9</w:t>
            </w:r>
          </w:p>
        </w:tc>
        <w:tc>
          <w:tcPr>
            <w:tcW w:w="595" w:type="dxa"/>
            <w:tcBorders>
              <w:top w:val="nil"/>
              <w:left w:val="nil"/>
              <w:bottom w:val="nil"/>
              <w:right w:val="nil"/>
            </w:tcBorders>
            <w:shd w:val="clear" w:color="auto" w:fill="auto"/>
            <w:noWrap/>
            <w:vAlign w:val="center"/>
            <w:hideMark/>
          </w:tcPr>
          <w:p w14:paraId="73FE9252" w14:textId="69E13AE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18,0</w:t>
            </w:r>
          </w:p>
        </w:tc>
        <w:tc>
          <w:tcPr>
            <w:tcW w:w="595" w:type="dxa"/>
            <w:tcBorders>
              <w:top w:val="nil"/>
              <w:left w:val="nil"/>
              <w:bottom w:val="nil"/>
              <w:right w:val="nil"/>
            </w:tcBorders>
            <w:shd w:val="clear" w:color="auto" w:fill="auto"/>
            <w:noWrap/>
            <w:vAlign w:val="center"/>
            <w:hideMark/>
          </w:tcPr>
          <w:p w14:paraId="0840411D" w14:textId="406B598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19,0</w:t>
            </w:r>
          </w:p>
        </w:tc>
        <w:tc>
          <w:tcPr>
            <w:tcW w:w="595" w:type="dxa"/>
            <w:tcBorders>
              <w:top w:val="nil"/>
              <w:left w:val="nil"/>
              <w:bottom w:val="nil"/>
              <w:right w:val="nil"/>
            </w:tcBorders>
            <w:shd w:val="clear" w:color="auto" w:fill="auto"/>
            <w:noWrap/>
            <w:vAlign w:val="center"/>
            <w:hideMark/>
          </w:tcPr>
          <w:p w14:paraId="240EB800" w14:textId="2E08E6D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27,3</w:t>
            </w:r>
          </w:p>
        </w:tc>
        <w:tc>
          <w:tcPr>
            <w:tcW w:w="595" w:type="dxa"/>
            <w:tcBorders>
              <w:top w:val="nil"/>
              <w:left w:val="nil"/>
              <w:bottom w:val="nil"/>
              <w:right w:val="nil"/>
            </w:tcBorders>
            <w:shd w:val="clear" w:color="auto" w:fill="auto"/>
            <w:noWrap/>
            <w:vAlign w:val="center"/>
            <w:hideMark/>
          </w:tcPr>
          <w:p w14:paraId="63B58FE5" w14:textId="7D0BCB22"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46,2</w:t>
            </w:r>
          </w:p>
        </w:tc>
      </w:tr>
      <w:tr w:rsidR="001E3AB8" w:rsidRPr="00D92E20" w14:paraId="3CF6C9D5"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03988937"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P – Vzdělávání</w:t>
            </w:r>
          </w:p>
        </w:tc>
        <w:tc>
          <w:tcPr>
            <w:tcW w:w="595" w:type="dxa"/>
            <w:tcBorders>
              <w:top w:val="nil"/>
              <w:left w:val="nil"/>
              <w:bottom w:val="nil"/>
              <w:right w:val="nil"/>
            </w:tcBorders>
            <w:shd w:val="clear" w:color="auto" w:fill="auto"/>
            <w:noWrap/>
            <w:vAlign w:val="center"/>
            <w:hideMark/>
          </w:tcPr>
          <w:p w14:paraId="0DD4C0F3" w14:textId="7758007C"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12,1</w:t>
            </w:r>
          </w:p>
        </w:tc>
        <w:tc>
          <w:tcPr>
            <w:tcW w:w="595" w:type="dxa"/>
            <w:tcBorders>
              <w:top w:val="nil"/>
              <w:left w:val="nil"/>
              <w:bottom w:val="nil"/>
              <w:right w:val="nil"/>
            </w:tcBorders>
            <w:shd w:val="clear" w:color="auto" w:fill="auto"/>
            <w:noWrap/>
            <w:vAlign w:val="center"/>
            <w:hideMark/>
          </w:tcPr>
          <w:p w14:paraId="35FAE612" w14:textId="534F583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15,7</w:t>
            </w:r>
          </w:p>
        </w:tc>
        <w:tc>
          <w:tcPr>
            <w:tcW w:w="595" w:type="dxa"/>
            <w:tcBorders>
              <w:top w:val="nil"/>
              <w:left w:val="nil"/>
              <w:bottom w:val="nil"/>
              <w:right w:val="nil"/>
            </w:tcBorders>
            <w:shd w:val="clear" w:color="auto" w:fill="auto"/>
            <w:noWrap/>
            <w:vAlign w:val="center"/>
            <w:hideMark/>
          </w:tcPr>
          <w:p w14:paraId="7559186D" w14:textId="28D411A2"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13,2</w:t>
            </w:r>
          </w:p>
        </w:tc>
        <w:tc>
          <w:tcPr>
            <w:tcW w:w="595" w:type="dxa"/>
            <w:tcBorders>
              <w:top w:val="nil"/>
              <w:left w:val="nil"/>
              <w:bottom w:val="nil"/>
              <w:right w:val="nil"/>
            </w:tcBorders>
            <w:shd w:val="clear" w:color="auto" w:fill="auto"/>
            <w:noWrap/>
            <w:vAlign w:val="center"/>
            <w:hideMark/>
          </w:tcPr>
          <w:p w14:paraId="760B1045" w14:textId="4305EF70"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19,4</w:t>
            </w:r>
          </w:p>
        </w:tc>
        <w:tc>
          <w:tcPr>
            <w:tcW w:w="595" w:type="dxa"/>
            <w:tcBorders>
              <w:top w:val="nil"/>
              <w:left w:val="nil"/>
              <w:bottom w:val="nil"/>
              <w:right w:val="nil"/>
            </w:tcBorders>
            <w:shd w:val="clear" w:color="auto" w:fill="auto"/>
            <w:noWrap/>
            <w:vAlign w:val="center"/>
            <w:hideMark/>
          </w:tcPr>
          <w:p w14:paraId="217C1EE1" w14:textId="2C51B61F"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18,1</w:t>
            </w:r>
          </w:p>
        </w:tc>
        <w:tc>
          <w:tcPr>
            <w:tcW w:w="595" w:type="dxa"/>
            <w:tcBorders>
              <w:top w:val="nil"/>
              <w:left w:val="nil"/>
              <w:bottom w:val="nil"/>
              <w:right w:val="nil"/>
            </w:tcBorders>
            <w:shd w:val="clear" w:color="auto" w:fill="auto"/>
            <w:noWrap/>
            <w:vAlign w:val="center"/>
            <w:hideMark/>
          </w:tcPr>
          <w:p w14:paraId="31B9624D" w14:textId="72A0A20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20,3</w:t>
            </w:r>
          </w:p>
        </w:tc>
        <w:tc>
          <w:tcPr>
            <w:tcW w:w="595" w:type="dxa"/>
            <w:tcBorders>
              <w:top w:val="nil"/>
              <w:left w:val="nil"/>
              <w:bottom w:val="nil"/>
              <w:right w:val="nil"/>
            </w:tcBorders>
            <w:shd w:val="clear" w:color="auto" w:fill="auto"/>
            <w:noWrap/>
            <w:vAlign w:val="center"/>
            <w:hideMark/>
          </w:tcPr>
          <w:p w14:paraId="2FFCDF2B" w14:textId="20B5EA3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22,6</w:t>
            </w:r>
          </w:p>
        </w:tc>
        <w:tc>
          <w:tcPr>
            <w:tcW w:w="595" w:type="dxa"/>
            <w:tcBorders>
              <w:top w:val="nil"/>
              <w:left w:val="nil"/>
              <w:bottom w:val="nil"/>
              <w:right w:val="nil"/>
            </w:tcBorders>
            <w:shd w:val="clear" w:color="auto" w:fill="auto"/>
            <w:noWrap/>
            <w:vAlign w:val="center"/>
            <w:hideMark/>
          </w:tcPr>
          <w:p w14:paraId="130A3B22" w14:textId="27FB6643"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20,3</w:t>
            </w:r>
          </w:p>
        </w:tc>
        <w:tc>
          <w:tcPr>
            <w:tcW w:w="595" w:type="dxa"/>
            <w:tcBorders>
              <w:top w:val="nil"/>
              <w:left w:val="nil"/>
              <w:bottom w:val="nil"/>
              <w:right w:val="nil"/>
            </w:tcBorders>
            <w:shd w:val="clear" w:color="auto" w:fill="auto"/>
            <w:noWrap/>
            <w:vAlign w:val="center"/>
            <w:hideMark/>
          </w:tcPr>
          <w:p w14:paraId="0A8B37E9" w14:textId="6DE5834C"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17,6</w:t>
            </w:r>
          </w:p>
        </w:tc>
        <w:tc>
          <w:tcPr>
            <w:tcW w:w="595" w:type="dxa"/>
            <w:tcBorders>
              <w:top w:val="nil"/>
              <w:left w:val="nil"/>
              <w:bottom w:val="nil"/>
              <w:right w:val="nil"/>
            </w:tcBorders>
            <w:shd w:val="clear" w:color="auto" w:fill="auto"/>
            <w:noWrap/>
            <w:vAlign w:val="center"/>
            <w:hideMark/>
          </w:tcPr>
          <w:p w14:paraId="19EC8DBC" w14:textId="09994FD5"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23,9</w:t>
            </w:r>
          </w:p>
        </w:tc>
        <w:tc>
          <w:tcPr>
            <w:tcW w:w="595" w:type="dxa"/>
            <w:tcBorders>
              <w:top w:val="nil"/>
              <w:left w:val="nil"/>
              <w:bottom w:val="nil"/>
              <w:right w:val="nil"/>
            </w:tcBorders>
            <w:shd w:val="clear" w:color="auto" w:fill="auto"/>
            <w:noWrap/>
            <w:vAlign w:val="center"/>
            <w:hideMark/>
          </w:tcPr>
          <w:p w14:paraId="23061F98" w14:textId="413BCAB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56,9</w:t>
            </w:r>
          </w:p>
        </w:tc>
      </w:tr>
      <w:tr w:rsidR="001E3AB8" w:rsidRPr="00D92E20" w14:paraId="0A38C105"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62A9D262"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Q – Zdravotní a sociální péče</w:t>
            </w:r>
          </w:p>
        </w:tc>
        <w:tc>
          <w:tcPr>
            <w:tcW w:w="595" w:type="dxa"/>
            <w:tcBorders>
              <w:top w:val="nil"/>
              <w:left w:val="nil"/>
              <w:bottom w:val="nil"/>
              <w:right w:val="nil"/>
            </w:tcBorders>
            <w:shd w:val="clear" w:color="auto" w:fill="auto"/>
            <w:noWrap/>
            <w:vAlign w:val="center"/>
            <w:hideMark/>
          </w:tcPr>
          <w:p w14:paraId="27F8E9EC" w14:textId="2D7EB350"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12,0</w:t>
            </w:r>
          </w:p>
        </w:tc>
        <w:tc>
          <w:tcPr>
            <w:tcW w:w="595" w:type="dxa"/>
            <w:tcBorders>
              <w:top w:val="nil"/>
              <w:left w:val="nil"/>
              <w:bottom w:val="nil"/>
              <w:right w:val="nil"/>
            </w:tcBorders>
            <w:shd w:val="clear" w:color="auto" w:fill="auto"/>
            <w:noWrap/>
            <w:vAlign w:val="center"/>
            <w:hideMark/>
          </w:tcPr>
          <w:p w14:paraId="1332C0EE" w14:textId="6F72FCE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14,9</w:t>
            </w:r>
          </w:p>
        </w:tc>
        <w:tc>
          <w:tcPr>
            <w:tcW w:w="595" w:type="dxa"/>
            <w:tcBorders>
              <w:top w:val="nil"/>
              <w:left w:val="nil"/>
              <w:bottom w:val="nil"/>
              <w:right w:val="nil"/>
            </w:tcBorders>
            <w:shd w:val="clear" w:color="auto" w:fill="auto"/>
            <w:noWrap/>
            <w:vAlign w:val="center"/>
            <w:hideMark/>
          </w:tcPr>
          <w:p w14:paraId="1D2014CC" w14:textId="19A6E015"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13,2</w:t>
            </w:r>
          </w:p>
        </w:tc>
        <w:tc>
          <w:tcPr>
            <w:tcW w:w="595" w:type="dxa"/>
            <w:tcBorders>
              <w:top w:val="nil"/>
              <w:left w:val="nil"/>
              <w:bottom w:val="nil"/>
              <w:right w:val="nil"/>
            </w:tcBorders>
            <w:shd w:val="clear" w:color="auto" w:fill="auto"/>
            <w:noWrap/>
            <w:vAlign w:val="center"/>
            <w:hideMark/>
          </w:tcPr>
          <w:p w14:paraId="72CAA1A2" w14:textId="4451513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17,3</w:t>
            </w:r>
          </w:p>
        </w:tc>
        <w:tc>
          <w:tcPr>
            <w:tcW w:w="595" w:type="dxa"/>
            <w:tcBorders>
              <w:top w:val="nil"/>
              <w:left w:val="nil"/>
              <w:bottom w:val="nil"/>
              <w:right w:val="nil"/>
            </w:tcBorders>
            <w:shd w:val="clear" w:color="auto" w:fill="auto"/>
            <w:noWrap/>
            <w:vAlign w:val="center"/>
            <w:hideMark/>
          </w:tcPr>
          <w:p w14:paraId="62A7C7A6" w14:textId="5953F53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16,8</w:t>
            </w:r>
          </w:p>
        </w:tc>
        <w:tc>
          <w:tcPr>
            <w:tcW w:w="595" w:type="dxa"/>
            <w:tcBorders>
              <w:top w:val="nil"/>
              <w:left w:val="nil"/>
              <w:bottom w:val="nil"/>
              <w:right w:val="nil"/>
            </w:tcBorders>
            <w:shd w:val="clear" w:color="auto" w:fill="auto"/>
            <w:noWrap/>
            <w:vAlign w:val="center"/>
            <w:hideMark/>
          </w:tcPr>
          <w:p w14:paraId="59A318A0" w14:textId="1FC9B1D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18,0</w:t>
            </w:r>
          </w:p>
        </w:tc>
        <w:tc>
          <w:tcPr>
            <w:tcW w:w="595" w:type="dxa"/>
            <w:tcBorders>
              <w:top w:val="nil"/>
              <w:left w:val="nil"/>
              <w:bottom w:val="nil"/>
              <w:right w:val="nil"/>
            </w:tcBorders>
            <w:shd w:val="clear" w:color="auto" w:fill="auto"/>
            <w:noWrap/>
            <w:vAlign w:val="center"/>
            <w:hideMark/>
          </w:tcPr>
          <w:p w14:paraId="60F48C7D" w14:textId="03B81B1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19,7</w:t>
            </w:r>
          </w:p>
        </w:tc>
        <w:tc>
          <w:tcPr>
            <w:tcW w:w="595" w:type="dxa"/>
            <w:tcBorders>
              <w:top w:val="nil"/>
              <w:left w:val="nil"/>
              <w:bottom w:val="nil"/>
              <w:right w:val="nil"/>
            </w:tcBorders>
            <w:shd w:val="clear" w:color="auto" w:fill="auto"/>
            <w:noWrap/>
            <w:vAlign w:val="center"/>
            <w:hideMark/>
          </w:tcPr>
          <w:p w14:paraId="20BE7380" w14:textId="2D4CC7F3"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18,5</w:t>
            </w:r>
          </w:p>
        </w:tc>
        <w:tc>
          <w:tcPr>
            <w:tcW w:w="595" w:type="dxa"/>
            <w:tcBorders>
              <w:top w:val="nil"/>
              <w:left w:val="nil"/>
              <w:bottom w:val="nil"/>
              <w:right w:val="nil"/>
            </w:tcBorders>
            <w:shd w:val="clear" w:color="auto" w:fill="auto"/>
            <w:noWrap/>
            <w:vAlign w:val="center"/>
            <w:hideMark/>
          </w:tcPr>
          <w:p w14:paraId="4561B20B" w14:textId="00FDF4B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23,7</w:t>
            </w:r>
          </w:p>
        </w:tc>
        <w:tc>
          <w:tcPr>
            <w:tcW w:w="595" w:type="dxa"/>
            <w:tcBorders>
              <w:top w:val="nil"/>
              <w:left w:val="nil"/>
              <w:bottom w:val="nil"/>
              <w:right w:val="nil"/>
            </w:tcBorders>
            <w:shd w:val="clear" w:color="auto" w:fill="auto"/>
            <w:noWrap/>
            <w:vAlign w:val="center"/>
            <w:hideMark/>
          </w:tcPr>
          <w:p w14:paraId="4FF820D8" w14:textId="429329E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26,3</w:t>
            </w:r>
          </w:p>
        </w:tc>
        <w:tc>
          <w:tcPr>
            <w:tcW w:w="595" w:type="dxa"/>
            <w:tcBorders>
              <w:top w:val="nil"/>
              <w:left w:val="nil"/>
              <w:bottom w:val="nil"/>
              <w:right w:val="nil"/>
            </w:tcBorders>
            <w:shd w:val="clear" w:color="auto" w:fill="auto"/>
            <w:noWrap/>
            <w:vAlign w:val="center"/>
            <w:hideMark/>
          </w:tcPr>
          <w:p w14:paraId="7D10D7EE" w14:textId="641807EC"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42,7</w:t>
            </w:r>
          </w:p>
        </w:tc>
      </w:tr>
      <w:tr w:rsidR="001E3AB8" w:rsidRPr="00D92E20" w14:paraId="5806C05B"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4264A433" w14:textId="77777777" w:rsidR="001E3AB8"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 xml:space="preserve">R – Kulturní, zábavní a rekreační </w:t>
            </w:r>
          </w:p>
          <w:p w14:paraId="3E51A486" w14:textId="4F9985AF" w:rsidR="001E3AB8" w:rsidRPr="00D92E20" w:rsidRDefault="001E3AB8" w:rsidP="001E3AB8">
            <w:pPr>
              <w:spacing w:after="0" w:line="240" w:lineRule="auto"/>
              <w:ind w:firstLineChars="100" w:firstLine="160"/>
              <w:rPr>
                <w:rFonts w:cs="Arial"/>
                <w:color w:val="000000"/>
                <w:sz w:val="16"/>
                <w:szCs w:val="16"/>
              </w:rPr>
            </w:pPr>
            <w:r>
              <w:rPr>
                <w:rFonts w:cs="Arial"/>
                <w:color w:val="000000"/>
                <w:sz w:val="16"/>
                <w:szCs w:val="16"/>
              </w:rPr>
              <w:t xml:space="preserve">       </w:t>
            </w:r>
            <w:r w:rsidRPr="00D92E20">
              <w:rPr>
                <w:rFonts w:cs="Arial"/>
                <w:color w:val="000000"/>
                <w:sz w:val="16"/>
                <w:szCs w:val="16"/>
              </w:rPr>
              <w:t>činnosti</w:t>
            </w:r>
          </w:p>
        </w:tc>
        <w:tc>
          <w:tcPr>
            <w:tcW w:w="595" w:type="dxa"/>
            <w:tcBorders>
              <w:top w:val="nil"/>
              <w:left w:val="nil"/>
              <w:bottom w:val="nil"/>
              <w:right w:val="nil"/>
            </w:tcBorders>
            <w:shd w:val="clear" w:color="auto" w:fill="auto"/>
            <w:noWrap/>
            <w:vAlign w:val="center"/>
            <w:hideMark/>
          </w:tcPr>
          <w:p w14:paraId="5D217C00" w14:textId="311E4FF9"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9,6</w:t>
            </w:r>
          </w:p>
        </w:tc>
        <w:tc>
          <w:tcPr>
            <w:tcW w:w="595" w:type="dxa"/>
            <w:tcBorders>
              <w:top w:val="nil"/>
              <w:left w:val="nil"/>
              <w:bottom w:val="nil"/>
              <w:right w:val="nil"/>
            </w:tcBorders>
            <w:shd w:val="clear" w:color="auto" w:fill="auto"/>
            <w:noWrap/>
            <w:vAlign w:val="center"/>
            <w:hideMark/>
          </w:tcPr>
          <w:p w14:paraId="689EE53D" w14:textId="4D486556"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12,2</w:t>
            </w:r>
          </w:p>
        </w:tc>
        <w:tc>
          <w:tcPr>
            <w:tcW w:w="595" w:type="dxa"/>
            <w:tcBorders>
              <w:top w:val="nil"/>
              <w:left w:val="nil"/>
              <w:bottom w:val="nil"/>
              <w:right w:val="nil"/>
            </w:tcBorders>
            <w:shd w:val="clear" w:color="auto" w:fill="auto"/>
            <w:noWrap/>
            <w:vAlign w:val="center"/>
            <w:hideMark/>
          </w:tcPr>
          <w:p w14:paraId="32CD3BD0" w14:textId="435850D9"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10,5</w:t>
            </w:r>
          </w:p>
        </w:tc>
        <w:tc>
          <w:tcPr>
            <w:tcW w:w="595" w:type="dxa"/>
            <w:tcBorders>
              <w:top w:val="nil"/>
              <w:left w:val="nil"/>
              <w:bottom w:val="nil"/>
              <w:right w:val="nil"/>
            </w:tcBorders>
            <w:shd w:val="clear" w:color="auto" w:fill="auto"/>
            <w:noWrap/>
            <w:vAlign w:val="center"/>
            <w:hideMark/>
          </w:tcPr>
          <w:p w14:paraId="067C6E90" w14:textId="7C0D765B"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14,0</w:t>
            </w:r>
          </w:p>
        </w:tc>
        <w:tc>
          <w:tcPr>
            <w:tcW w:w="595" w:type="dxa"/>
            <w:tcBorders>
              <w:top w:val="nil"/>
              <w:left w:val="nil"/>
              <w:bottom w:val="nil"/>
              <w:right w:val="nil"/>
            </w:tcBorders>
            <w:shd w:val="clear" w:color="auto" w:fill="auto"/>
            <w:noWrap/>
            <w:vAlign w:val="center"/>
            <w:hideMark/>
          </w:tcPr>
          <w:p w14:paraId="6EAA2F2D" w14:textId="49ED6A5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13,6</w:t>
            </w:r>
          </w:p>
        </w:tc>
        <w:tc>
          <w:tcPr>
            <w:tcW w:w="595" w:type="dxa"/>
            <w:tcBorders>
              <w:top w:val="nil"/>
              <w:left w:val="nil"/>
              <w:bottom w:val="nil"/>
              <w:right w:val="nil"/>
            </w:tcBorders>
            <w:shd w:val="clear" w:color="auto" w:fill="auto"/>
            <w:noWrap/>
            <w:vAlign w:val="center"/>
            <w:hideMark/>
          </w:tcPr>
          <w:p w14:paraId="11E0B947" w14:textId="39313AE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14,2</w:t>
            </w:r>
          </w:p>
        </w:tc>
        <w:tc>
          <w:tcPr>
            <w:tcW w:w="595" w:type="dxa"/>
            <w:tcBorders>
              <w:top w:val="nil"/>
              <w:left w:val="nil"/>
              <w:bottom w:val="nil"/>
              <w:right w:val="nil"/>
            </w:tcBorders>
            <w:shd w:val="clear" w:color="auto" w:fill="auto"/>
            <w:noWrap/>
            <w:vAlign w:val="center"/>
            <w:hideMark/>
          </w:tcPr>
          <w:p w14:paraId="753089DE" w14:textId="1ECF76BD"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15,5</w:t>
            </w:r>
          </w:p>
        </w:tc>
        <w:tc>
          <w:tcPr>
            <w:tcW w:w="595" w:type="dxa"/>
            <w:tcBorders>
              <w:top w:val="nil"/>
              <w:left w:val="nil"/>
              <w:bottom w:val="nil"/>
              <w:right w:val="nil"/>
            </w:tcBorders>
            <w:shd w:val="clear" w:color="auto" w:fill="auto"/>
            <w:noWrap/>
            <w:vAlign w:val="center"/>
            <w:hideMark/>
          </w:tcPr>
          <w:p w14:paraId="622608E0" w14:textId="7618364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14,7</w:t>
            </w:r>
          </w:p>
        </w:tc>
        <w:tc>
          <w:tcPr>
            <w:tcW w:w="595" w:type="dxa"/>
            <w:tcBorders>
              <w:top w:val="nil"/>
              <w:left w:val="nil"/>
              <w:bottom w:val="nil"/>
              <w:right w:val="nil"/>
            </w:tcBorders>
            <w:shd w:val="clear" w:color="auto" w:fill="auto"/>
            <w:noWrap/>
            <w:vAlign w:val="center"/>
            <w:hideMark/>
          </w:tcPr>
          <w:p w14:paraId="682F63B2" w14:textId="64F62E88"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16,1</w:t>
            </w:r>
          </w:p>
        </w:tc>
        <w:tc>
          <w:tcPr>
            <w:tcW w:w="595" w:type="dxa"/>
            <w:tcBorders>
              <w:top w:val="nil"/>
              <w:left w:val="nil"/>
              <w:bottom w:val="nil"/>
              <w:right w:val="nil"/>
            </w:tcBorders>
            <w:shd w:val="clear" w:color="auto" w:fill="auto"/>
            <w:noWrap/>
            <w:vAlign w:val="center"/>
            <w:hideMark/>
          </w:tcPr>
          <w:p w14:paraId="7D109A32" w14:textId="41DC2DF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15,9</w:t>
            </w:r>
          </w:p>
        </w:tc>
        <w:tc>
          <w:tcPr>
            <w:tcW w:w="595" w:type="dxa"/>
            <w:tcBorders>
              <w:top w:val="nil"/>
              <w:left w:val="nil"/>
              <w:bottom w:val="nil"/>
              <w:right w:val="nil"/>
            </w:tcBorders>
            <w:shd w:val="clear" w:color="auto" w:fill="auto"/>
            <w:noWrap/>
            <w:vAlign w:val="center"/>
            <w:hideMark/>
          </w:tcPr>
          <w:p w14:paraId="00F87E02" w14:textId="5EAA00A2"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34,5</w:t>
            </w:r>
          </w:p>
        </w:tc>
      </w:tr>
      <w:tr w:rsidR="001E3AB8" w:rsidRPr="00D92E20" w14:paraId="3EB67DA0" w14:textId="77777777" w:rsidTr="00E83157">
        <w:trPr>
          <w:trHeight w:val="300"/>
        </w:trPr>
        <w:tc>
          <w:tcPr>
            <w:tcW w:w="3146" w:type="dxa"/>
            <w:tcBorders>
              <w:top w:val="nil"/>
              <w:left w:val="nil"/>
              <w:bottom w:val="nil"/>
              <w:right w:val="single" w:sz="4" w:space="0" w:color="auto"/>
            </w:tcBorders>
            <w:shd w:val="clear" w:color="auto" w:fill="auto"/>
            <w:vAlign w:val="center"/>
            <w:hideMark/>
          </w:tcPr>
          <w:p w14:paraId="160E54A7"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S – Ostatní činnosti</w:t>
            </w:r>
          </w:p>
        </w:tc>
        <w:tc>
          <w:tcPr>
            <w:tcW w:w="595" w:type="dxa"/>
            <w:tcBorders>
              <w:top w:val="nil"/>
              <w:left w:val="nil"/>
              <w:bottom w:val="nil"/>
              <w:right w:val="nil"/>
            </w:tcBorders>
            <w:shd w:val="clear" w:color="auto" w:fill="auto"/>
            <w:noWrap/>
            <w:vAlign w:val="center"/>
            <w:hideMark/>
          </w:tcPr>
          <w:p w14:paraId="3ED257B2" w14:textId="506511E5"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11,1</w:t>
            </w:r>
          </w:p>
        </w:tc>
        <w:tc>
          <w:tcPr>
            <w:tcW w:w="595" w:type="dxa"/>
            <w:tcBorders>
              <w:top w:val="nil"/>
              <w:left w:val="nil"/>
              <w:bottom w:val="nil"/>
              <w:right w:val="nil"/>
            </w:tcBorders>
            <w:shd w:val="clear" w:color="auto" w:fill="auto"/>
            <w:noWrap/>
            <w:vAlign w:val="center"/>
            <w:hideMark/>
          </w:tcPr>
          <w:p w14:paraId="267B1704" w14:textId="6720E096"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13,5</w:t>
            </w:r>
          </w:p>
        </w:tc>
        <w:tc>
          <w:tcPr>
            <w:tcW w:w="595" w:type="dxa"/>
            <w:tcBorders>
              <w:top w:val="nil"/>
              <w:left w:val="nil"/>
              <w:bottom w:val="nil"/>
              <w:right w:val="nil"/>
            </w:tcBorders>
            <w:shd w:val="clear" w:color="auto" w:fill="auto"/>
            <w:noWrap/>
            <w:vAlign w:val="center"/>
            <w:hideMark/>
          </w:tcPr>
          <w:p w14:paraId="5B2EB5A4" w14:textId="156B7D79"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11,9</w:t>
            </w:r>
          </w:p>
        </w:tc>
        <w:tc>
          <w:tcPr>
            <w:tcW w:w="595" w:type="dxa"/>
            <w:tcBorders>
              <w:top w:val="nil"/>
              <w:left w:val="nil"/>
              <w:bottom w:val="nil"/>
              <w:right w:val="nil"/>
            </w:tcBorders>
            <w:shd w:val="clear" w:color="auto" w:fill="auto"/>
            <w:noWrap/>
            <w:vAlign w:val="center"/>
            <w:hideMark/>
          </w:tcPr>
          <w:p w14:paraId="29FB2F78" w14:textId="7B601A2E"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15,1</w:t>
            </w:r>
          </w:p>
        </w:tc>
        <w:tc>
          <w:tcPr>
            <w:tcW w:w="595" w:type="dxa"/>
            <w:tcBorders>
              <w:top w:val="nil"/>
              <w:left w:val="nil"/>
              <w:bottom w:val="nil"/>
              <w:right w:val="nil"/>
            </w:tcBorders>
            <w:shd w:val="clear" w:color="auto" w:fill="auto"/>
            <w:noWrap/>
            <w:vAlign w:val="center"/>
            <w:hideMark/>
          </w:tcPr>
          <w:p w14:paraId="2458CEBC" w14:textId="1A643DB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15,2</w:t>
            </w:r>
          </w:p>
        </w:tc>
        <w:tc>
          <w:tcPr>
            <w:tcW w:w="595" w:type="dxa"/>
            <w:tcBorders>
              <w:top w:val="nil"/>
              <w:left w:val="nil"/>
              <w:bottom w:val="nil"/>
              <w:right w:val="nil"/>
            </w:tcBorders>
            <w:shd w:val="clear" w:color="auto" w:fill="auto"/>
            <w:noWrap/>
            <w:vAlign w:val="center"/>
            <w:hideMark/>
          </w:tcPr>
          <w:p w14:paraId="7DFFC85A" w14:textId="3CB0FAA4"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15,5</w:t>
            </w:r>
          </w:p>
        </w:tc>
        <w:tc>
          <w:tcPr>
            <w:tcW w:w="595" w:type="dxa"/>
            <w:tcBorders>
              <w:top w:val="nil"/>
              <w:left w:val="nil"/>
              <w:bottom w:val="nil"/>
              <w:right w:val="nil"/>
            </w:tcBorders>
            <w:shd w:val="clear" w:color="auto" w:fill="auto"/>
            <w:noWrap/>
            <w:vAlign w:val="center"/>
            <w:hideMark/>
          </w:tcPr>
          <w:p w14:paraId="58B61E87" w14:textId="5C978FF6"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16,9</w:t>
            </w:r>
          </w:p>
        </w:tc>
        <w:tc>
          <w:tcPr>
            <w:tcW w:w="595" w:type="dxa"/>
            <w:tcBorders>
              <w:top w:val="nil"/>
              <w:left w:val="nil"/>
              <w:bottom w:val="nil"/>
              <w:right w:val="nil"/>
            </w:tcBorders>
            <w:shd w:val="clear" w:color="auto" w:fill="auto"/>
            <w:noWrap/>
            <w:vAlign w:val="center"/>
            <w:hideMark/>
          </w:tcPr>
          <w:p w14:paraId="5DBE085E" w14:textId="29F6D5DA"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16,2</w:t>
            </w:r>
          </w:p>
        </w:tc>
        <w:tc>
          <w:tcPr>
            <w:tcW w:w="595" w:type="dxa"/>
            <w:tcBorders>
              <w:top w:val="nil"/>
              <w:left w:val="nil"/>
              <w:bottom w:val="nil"/>
              <w:right w:val="nil"/>
            </w:tcBorders>
            <w:shd w:val="clear" w:color="auto" w:fill="auto"/>
            <w:noWrap/>
            <w:vAlign w:val="center"/>
            <w:hideMark/>
          </w:tcPr>
          <w:p w14:paraId="5E53EA7E" w14:textId="54BD0071"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18,6</w:t>
            </w:r>
          </w:p>
        </w:tc>
        <w:tc>
          <w:tcPr>
            <w:tcW w:w="595" w:type="dxa"/>
            <w:tcBorders>
              <w:top w:val="nil"/>
              <w:left w:val="nil"/>
              <w:bottom w:val="nil"/>
              <w:right w:val="nil"/>
            </w:tcBorders>
            <w:shd w:val="clear" w:color="auto" w:fill="auto"/>
            <w:noWrap/>
            <w:vAlign w:val="center"/>
            <w:hideMark/>
          </w:tcPr>
          <w:p w14:paraId="5457D6A3" w14:textId="73579603"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21,1</w:t>
            </w:r>
          </w:p>
        </w:tc>
        <w:tc>
          <w:tcPr>
            <w:tcW w:w="595" w:type="dxa"/>
            <w:tcBorders>
              <w:top w:val="nil"/>
              <w:left w:val="nil"/>
              <w:bottom w:val="nil"/>
              <w:right w:val="nil"/>
            </w:tcBorders>
            <w:shd w:val="clear" w:color="auto" w:fill="auto"/>
            <w:noWrap/>
            <w:vAlign w:val="center"/>
            <w:hideMark/>
          </w:tcPr>
          <w:p w14:paraId="48D21683" w14:textId="11561E95" w:rsidR="001E3AB8" w:rsidRPr="00D92E20" w:rsidRDefault="001E3AB8" w:rsidP="001E3AB8">
            <w:pPr>
              <w:spacing w:after="0" w:line="240" w:lineRule="auto"/>
              <w:jc w:val="center"/>
              <w:rPr>
                <w:rFonts w:cs="Arial"/>
                <w:color w:val="000000"/>
                <w:sz w:val="16"/>
                <w:szCs w:val="16"/>
              </w:rPr>
            </w:pPr>
            <w:r>
              <w:rPr>
                <w:rFonts w:ascii="Arial CE" w:hAnsi="Arial CE" w:cs="Arial CE"/>
                <w:sz w:val="16"/>
                <w:szCs w:val="16"/>
              </w:rPr>
              <w:t>33,7</w:t>
            </w:r>
          </w:p>
        </w:tc>
      </w:tr>
    </w:tbl>
    <w:p w14:paraId="79FE3B63" w14:textId="77777777" w:rsidR="008126FD" w:rsidRPr="00D92E20" w:rsidRDefault="008126FD" w:rsidP="008126FD">
      <w:pPr>
        <w:spacing w:before="120"/>
        <w:rPr>
          <w:sz w:val="16"/>
        </w:rPr>
      </w:pPr>
      <w:r w:rsidRPr="00D92E20">
        <w:rPr>
          <w:sz w:val="16"/>
        </w:rPr>
        <w:t>Zdroj: ČSÚ</w:t>
      </w:r>
    </w:p>
    <w:p w14:paraId="34F167B6" w14:textId="1E5BA85D" w:rsidR="0061019A" w:rsidRDefault="0061019A" w:rsidP="0061019A">
      <w:pPr>
        <w:rPr>
          <w:b/>
        </w:rPr>
      </w:pPr>
      <w:r w:rsidRPr="004C4C4A">
        <w:rPr>
          <w:b/>
        </w:rPr>
        <w:t xml:space="preserve">Graf 2.6: Nově hlášené případy dočasné pracovní neschopnosti na 100 pojištěnců podle krajů ČR, </w:t>
      </w:r>
      <w:r w:rsidRPr="004C4C4A">
        <w:rPr>
          <w:b/>
        </w:rPr>
        <w:br/>
        <w:t>1. pol. 20</w:t>
      </w:r>
      <w:r w:rsidR="00670342" w:rsidRPr="004C4C4A">
        <w:rPr>
          <w:b/>
        </w:rPr>
        <w:t>1</w:t>
      </w:r>
      <w:r w:rsidRPr="004C4C4A">
        <w:rPr>
          <w:b/>
        </w:rPr>
        <w:t>9 a 2022</w:t>
      </w:r>
    </w:p>
    <w:p w14:paraId="03A9436E" w14:textId="5E874AFF" w:rsidR="0061019A" w:rsidRDefault="004524C4" w:rsidP="0061019A">
      <w:pPr>
        <w:rPr>
          <w:b/>
        </w:rPr>
      </w:pPr>
      <w:r>
        <w:rPr>
          <w:noProof/>
        </w:rPr>
        <w:drawing>
          <wp:inline distT="0" distB="0" distL="0" distR="0" wp14:anchorId="07551459" wp14:editId="38C5BFA3">
            <wp:extent cx="6115050" cy="2933700"/>
            <wp:effectExtent l="0" t="0" r="0" b="0"/>
            <wp:docPr id="56" name="Graf 56"/>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0B559082" w14:textId="08424CCF" w:rsidR="0061019A" w:rsidRPr="00D92E20" w:rsidRDefault="0061019A" w:rsidP="00BA6B4E">
      <w:pPr>
        <w:spacing w:before="120" w:after="120"/>
        <w:rPr>
          <w:sz w:val="16"/>
        </w:rPr>
      </w:pPr>
      <w:r w:rsidRPr="00D92E20">
        <w:rPr>
          <w:sz w:val="16"/>
        </w:rPr>
        <w:t>Zdroj: ČSÚ</w:t>
      </w:r>
    </w:p>
    <w:p w14:paraId="72E1A7AF" w14:textId="06477890" w:rsidR="004A31C1" w:rsidRPr="005F31CD" w:rsidRDefault="004A31C1" w:rsidP="004A31C1">
      <w:pPr>
        <w:spacing w:before="120" w:after="120"/>
        <w:jc w:val="both"/>
      </w:pPr>
      <w:r w:rsidRPr="005F31CD">
        <w:lastRenderedPageBreak/>
        <w:t xml:space="preserve">Rozdíly v pracovní neschopnosti lze zkoumat i podle </w:t>
      </w:r>
      <w:r w:rsidRPr="005F31CD">
        <w:rPr>
          <w:b/>
        </w:rPr>
        <w:t>velikost</w:t>
      </w:r>
      <w:r w:rsidR="0095348F">
        <w:rPr>
          <w:b/>
        </w:rPr>
        <w:t>i</w:t>
      </w:r>
      <w:r w:rsidRPr="005F31CD">
        <w:rPr>
          <w:b/>
        </w:rPr>
        <w:t xml:space="preserve"> podniku</w:t>
      </w:r>
      <w:r w:rsidRPr="005F31CD">
        <w:t>. V relativním pojetí při přepočtu na</w:t>
      </w:r>
      <w:r w:rsidR="00CD63E8" w:rsidRPr="005F31CD">
        <w:t> </w:t>
      </w:r>
      <w:r w:rsidRPr="005F31CD">
        <w:t>100</w:t>
      </w:r>
      <w:r w:rsidR="00CD63E8" w:rsidRPr="005F31CD">
        <w:t> </w:t>
      </w:r>
      <w:r w:rsidRPr="005F31CD">
        <w:t>pojištěnců dominovaly firmy zaměstnávající 50–99 zaměstnanců, spolu se středně velkými podniky, které mají 100–249 zaměstnanců. Tyto firmy během 1. pol. 202</w:t>
      </w:r>
      <w:r w:rsidR="005F31CD" w:rsidRPr="005F31CD">
        <w:t>2</w:t>
      </w:r>
      <w:r w:rsidRPr="005F31CD">
        <w:t xml:space="preserve"> v průměru zaznamenaly </w:t>
      </w:r>
      <w:r w:rsidR="005F31CD" w:rsidRPr="005F31CD">
        <w:t>51</w:t>
      </w:r>
      <w:r w:rsidRPr="005F31CD">
        <w:t>, resp.</w:t>
      </w:r>
      <w:r w:rsidR="00CD63E8" w:rsidRPr="005F31CD">
        <w:t> </w:t>
      </w:r>
      <w:r w:rsidR="005F31CD" w:rsidRPr="005F31CD">
        <w:t>50</w:t>
      </w:r>
      <w:r w:rsidR="00CD63E8" w:rsidRPr="005F31CD">
        <w:t> </w:t>
      </w:r>
      <w:r w:rsidRPr="005F31CD">
        <w:t xml:space="preserve">případů pracovních neschopností v přepočtu na 100 pojištěnců. Daleko méně případů pracovní neschopnosti vykázaly firmy mající do 50 zaměstnanců, kde na 100 pojištěnců připadlo </w:t>
      </w:r>
      <w:r w:rsidR="005F31CD" w:rsidRPr="005F31CD">
        <w:t>35</w:t>
      </w:r>
      <w:r w:rsidRPr="005F31CD">
        <w:t xml:space="preserve"> hlášení. A zcela nejméně případů bylo zaznamenáno u OSVČ, a sice </w:t>
      </w:r>
      <w:r w:rsidR="005F31CD" w:rsidRPr="005F31CD">
        <w:t>11</w:t>
      </w:r>
      <w:r w:rsidRPr="005F31CD">
        <w:t xml:space="preserve"> na 100 nemocensky pojištěných OSVČ. Zde je nutné mít na paměti, že nemocenské dávky jsou vypláceny až od 15. dne pracovní neschopnosti (do té doby vyplácí náhradu mzdy zaměstnavatel), a proto se OSVČ nevyplatí při krátkodobější nemoci nastupovat do pracovní neschopnosti.</w:t>
      </w:r>
    </w:p>
    <w:p w14:paraId="4CAD3B68" w14:textId="544EFD60" w:rsidR="004A31C1" w:rsidRPr="00D92E20" w:rsidRDefault="004A31C1" w:rsidP="004A31C1">
      <w:pPr>
        <w:spacing w:before="120" w:after="120"/>
        <w:jc w:val="both"/>
      </w:pPr>
      <w:r w:rsidRPr="007622BE">
        <w:t xml:space="preserve">Dalším kritériem, podle kterého je možné hodnotit pracovní neschopnost nemocensky pojištěných, je rozdělení na </w:t>
      </w:r>
      <w:r w:rsidRPr="007622BE">
        <w:rPr>
          <w:b/>
        </w:rPr>
        <w:t xml:space="preserve">podniky domácí vs. </w:t>
      </w:r>
      <w:r w:rsidRPr="007622BE">
        <w:t xml:space="preserve">podniky </w:t>
      </w:r>
      <w:r w:rsidRPr="007622BE">
        <w:rPr>
          <w:b/>
        </w:rPr>
        <w:t>pod zahraniční kontrolou</w:t>
      </w:r>
      <w:r w:rsidRPr="007622BE">
        <w:t>. Např. v nefinančních podnicích pod zahraniční kontrolou v 1. pol. 202</w:t>
      </w:r>
      <w:r w:rsidR="005F31CD" w:rsidRPr="007622BE">
        <w:t>2</w:t>
      </w:r>
      <w:r w:rsidRPr="007622BE">
        <w:t xml:space="preserve"> připadlo na 100 nemocensky pojištěných </w:t>
      </w:r>
      <w:r w:rsidR="007622BE" w:rsidRPr="007622BE">
        <w:t>51</w:t>
      </w:r>
      <w:r w:rsidRPr="007622BE">
        <w:t xml:space="preserve"> nahlášených případů v porovnání s </w:t>
      </w:r>
      <w:r w:rsidR="007622BE" w:rsidRPr="007622BE">
        <w:t>4</w:t>
      </w:r>
      <w:r w:rsidRPr="007622BE">
        <w:t xml:space="preserve">0 případy v domácích nefinančních podnicích. Pracovní neschopnost zaměstnanců v domácích podnicích však trvala v průměru o </w:t>
      </w:r>
      <w:r w:rsidR="007622BE" w:rsidRPr="007622BE">
        <w:t>4</w:t>
      </w:r>
      <w:r w:rsidRPr="007622BE">
        <w:t xml:space="preserve"> dn</w:t>
      </w:r>
      <w:r w:rsidR="007622BE" w:rsidRPr="007622BE">
        <w:t>y</w:t>
      </w:r>
      <w:r w:rsidRPr="007622BE">
        <w:t xml:space="preserve"> déle (</w:t>
      </w:r>
      <w:r w:rsidR="007622BE" w:rsidRPr="007622BE">
        <w:t>27,1</w:t>
      </w:r>
      <w:r w:rsidRPr="007622BE">
        <w:t xml:space="preserve"> dne) než u podniků pod zahraniční kontrolou (</w:t>
      </w:r>
      <w:r w:rsidR="007622BE" w:rsidRPr="007622BE">
        <w:t>23,1</w:t>
      </w:r>
      <w:r w:rsidRPr="007622BE">
        <w:t xml:space="preserve"> dne). Podrobnější údaje za nefinanční podniky viz tabulková příloha – část 7.</w:t>
      </w:r>
    </w:p>
    <w:p w14:paraId="40B46A2A" w14:textId="0156D6C6" w:rsidR="00E404AC" w:rsidRPr="004A31C1" w:rsidRDefault="00B0095F" w:rsidP="00FC5D79">
      <w:pPr>
        <w:pStyle w:val="Seznam"/>
        <w:spacing w:after="120"/>
        <w:jc w:val="both"/>
        <w:rPr>
          <w:b/>
        </w:rPr>
      </w:pPr>
      <w:r w:rsidRPr="004A31C1">
        <w:rPr>
          <w:b/>
        </w:rPr>
        <w:t xml:space="preserve">Tab. 2.3: </w:t>
      </w:r>
      <w:r w:rsidR="00FC5D79" w:rsidRPr="004A31C1">
        <w:rPr>
          <w:b/>
        </w:rPr>
        <w:t xml:space="preserve">Nově hlášené případy dočasné pracovní neschopnosti na 100 pojištěnců podle krajů ČR, </w:t>
      </w:r>
      <w:r w:rsidR="004A31C1">
        <w:rPr>
          <w:b/>
        </w:rPr>
        <w:br/>
      </w:r>
      <w:r w:rsidR="009F34CD" w:rsidRPr="0050059C">
        <w:rPr>
          <w:b/>
          <w:spacing w:val="-2"/>
        </w:rPr>
        <w:t>1. pol. 201</w:t>
      </w:r>
      <w:r w:rsidR="009F34CD">
        <w:rPr>
          <w:b/>
          <w:spacing w:val="-2"/>
        </w:rPr>
        <w:t>2</w:t>
      </w:r>
      <w:r w:rsidR="009F34CD" w:rsidRPr="0050059C">
        <w:rPr>
          <w:b/>
          <w:spacing w:val="-2"/>
        </w:rPr>
        <w:t xml:space="preserve"> až 1. pol. 202</w:t>
      </w:r>
      <w:r w:rsidR="009F34CD">
        <w:rPr>
          <w:b/>
          <w:spacing w:val="-2"/>
        </w:rPr>
        <w:t>2</w:t>
      </w:r>
    </w:p>
    <w:tbl>
      <w:tblPr>
        <w:tblW w:w="9627" w:type="dxa"/>
        <w:tblCellMar>
          <w:left w:w="70" w:type="dxa"/>
          <w:right w:w="70" w:type="dxa"/>
        </w:tblCellMar>
        <w:tblLook w:val="04A0" w:firstRow="1" w:lastRow="0" w:firstColumn="1" w:lastColumn="0" w:noHBand="0" w:noVBand="1"/>
      </w:tblPr>
      <w:tblGrid>
        <w:gridCol w:w="1960"/>
        <w:gridCol w:w="697"/>
        <w:gridCol w:w="697"/>
        <w:gridCol w:w="697"/>
        <w:gridCol w:w="697"/>
        <w:gridCol w:w="697"/>
        <w:gridCol w:w="697"/>
        <w:gridCol w:w="697"/>
        <w:gridCol w:w="697"/>
        <w:gridCol w:w="697"/>
        <w:gridCol w:w="697"/>
        <w:gridCol w:w="697"/>
      </w:tblGrid>
      <w:tr w:rsidR="001E3AB8" w:rsidRPr="00D92E20" w14:paraId="6DBAC428" w14:textId="77777777" w:rsidTr="00B0095F">
        <w:trPr>
          <w:trHeight w:val="300"/>
        </w:trPr>
        <w:tc>
          <w:tcPr>
            <w:tcW w:w="1960" w:type="dxa"/>
            <w:tcBorders>
              <w:top w:val="single" w:sz="4" w:space="0" w:color="auto"/>
              <w:left w:val="nil"/>
              <w:bottom w:val="single" w:sz="4" w:space="0" w:color="auto"/>
              <w:right w:val="single" w:sz="4" w:space="0" w:color="auto"/>
            </w:tcBorders>
            <w:shd w:val="clear" w:color="000000" w:fill="F5DADD"/>
            <w:noWrap/>
            <w:vAlign w:val="center"/>
            <w:hideMark/>
          </w:tcPr>
          <w:p w14:paraId="6459A84B" w14:textId="77777777" w:rsidR="001E3AB8" w:rsidRPr="00D92E20" w:rsidRDefault="001E3AB8" w:rsidP="001E3AB8">
            <w:pPr>
              <w:spacing w:after="0" w:line="240" w:lineRule="auto"/>
              <w:jc w:val="center"/>
              <w:rPr>
                <w:rFonts w:cs="Arial"/>
                <w:color w:val="000000"/>
                <w:sz w:val="16"/>
                <w:szCs w:val="16"/>
              </w:rPr>
            </w:pPr>
            <w:r w:rsidRPr="00D92E20">
              <w:rPr>
                <w:rFonts w:cs="Arial"/>
                <w:color w:val="000000"/>
                <w:sz w:val="16"/>
                <w:szCs w:val="16"/>
              </w:rPr>
              <w:t>Kraj ČR</w:t>
            </w:r>
          </w:p>
        </w:tc>
        <w:tc>
          <w:tcPr>
            <w:tcW w:w="697" w:type="dxa"/>
            <w:tcBorders>
              <w:top w:val="single" w:sz="4" w:space="0" w:color="auto"/>
              <w:left w:val="nil"/>
              <w:bottom w:val="single" w:sz="4" w:space="0" w:color="auto"/>
              <w:right w:val="nil"/>
            </w:tcBorders>
            <w:shd w:val="clear" w:color="000000" w:fill="F5DADD"/>
            <w:noWrap/>
            <w:vAlign w:val="center"/>
            <w:hideMark/>
          </w:tcPr>
          <w:p w14:paraId="5E9A39AF" w14:textId="75619597" w:rsidR="001E3AB8" w:rsidRPr="00D92E20" w:rsidRDefault="001E3AB8" w:rsidP="001E3AB8">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2012</w:t>
            </w:r>
          </w:p>
        </w:tc>
        <w:tc>
          <w:tcPr>
            <w:tcW w:w="697" w:type="dxa"/>
            <w:tcBorders>
              <w:top w:val="single" w:sz="4" w:space="0" w:color="auto"/>
              <w:left w:val="nil"/>
              <w:bottom w:val="single" w:sz="4" w:space="0" w:color="auto"/>
              <w:right w:val="nil"/>
            </w:tcBorders>
            <w:shd w:val="clear" w:color="000000" w:fill="F5DADD"/>
            <w:noWrap/>
            <w:vAlign w:val="center"/>
            <w:hideMark/>
          </w:tcPr>
          <w:p w14:paraId="5DA3D2C0" w14:textId="20744BF9" w:rsidR="001E3AB8" w:rsidRPr="00D92E20" w:rsidRDefault="001E3AB8" w:rsidP="001E3AB8">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2013</w:t>
            </w:r>
          </w:p>
        </w:tc>
        <w:tc>
          <w:tcPr>
            <w:tcW w:w="697" w:type="dxa"/>
            <w:tcBorders>
              <w:top w:val="single" w:sz="4" w:space="0" w:color="auto"/>
              <w:left w:val="nil"/>
              <w:bottom w:val="single" w:sz="4" w:space="0" w:color="auto"/>
              <w:right w:val="nil"/>
            </w:tcBorders>
            <w:shd w:val="clear" w:color="000000" w:fill="F5DADD"/>
            <w:noWrap/>
            <w:vAlign w:val="center"/>
            <w:hideMark/>
          </w:tcPr>
          <w:p w14:paraId="70D90A54" w14:textId="392A4691" w:rsidR="001E3AB8" w:rsidRPr="00D92E20" w:rsidRDefault="001E3AB8" w:rsidP="001E3AB8">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2014</w:t>
            </w:r>
          </w:p>
        </w:tc>
        <w:tc>
          <w:tcPr>
            <w:tcW w:w="697" w:type="dxa"/>
            <w:tcBorders>
              <w:top w:val="single" w:sz="4" w:space="0" w:color="auto"/>
              <w:left w:val="nil"/>
              <w:bottom w:val="single" w:sz="4" w:space="0" w:color="auto"/>
              <w:right w:val="nil"/>
            </w:tcBorders>
            <w:shd w:val="clear" w:color="000000" w:fill="F5DADD"/>
            <w:noWrap/>
            <w:vAlign w:val="center"/>
            <w:hideMark/>
          </w:tcPr>
          <w:p w14:paraId="516E3F03" w14:textId="6BA3E6D2" w:rsidR="001E3AB8" w:rsidRPr="00D92E20" w:rsidRDefault="001E3AB8" w:rsidP="001E3AB8">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2015</w:t>
            </w:r>
          </w:p>
        </w:tc>
        <w:tc>
          <w:tcPr>
            <w:tcW w:w="697" w:type="dxa"/>
            <w:tcBorders>
              <w:top w:val="single" w:sz="4" w:space="0" w:color="auto"/>
              <w:left w:val="nil"/>
              <w:bottom w:val="single" w:sz="4" w:space="0" w:color="auto"/>
              <w:right w:val="nil"/>
            </w:tcBorders>
            <w:shd w:val="clear" w:color="000000" w:fill="F5DADD"/>
            <w:noWrap/>
            <w:vAlign w:val="center"/>
            <w:hideMark/>
          </w:tcPr>
          <w:p w14:paraId="0D7431BB" w14:textId="2EDD6C41" w:rsidR="001E3AB8" w:rsidRPr="00D92E20" w:rsidRDefault="001E3AB8" w:rsidP="001E3AB8">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2016</w:t>
            </w:r>
          </w:p>
        </w:tc>
        <w:tc>
          <w:tcPr>
            <w:tcW w:w="697" w:type="dxa"/>
            <w:tcBorders>
              <w:top w:val="single" w:sz="4" w:space="0" w:color="auto"/>
              <w:left w:val="nil"/>
              <w:bottom w:val="single" w:sz="4" w:space="0" w:color="auto"/>
              <w:right w:val="nil"/>
            </w:tcBorders>
            <w:shd w:val="clear" w:color="000000" w:fill="F5DADD"/>
            <w:noWrap/>
            <w:vAlign w:val="center"/>
            <w:hideMark/>
          </w:tcPr>
          <w:p w14:paraId="3DA48C08" w14:textId="22B518F3" w:rsidR="001E3AB8" w:rsidRPr="00D92E20" w:rsidRDefault="001E3AB8" w:rsidP="001E3AB8">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2017</w:t>
            </w:r>
          </w:p>
        </w:tc>
        <w:tc>
          <w:tcPr>
            <w:tcW w:w="697" w:type="dxa"/>
            <w:tcBorders>
              <w:top w:val="single" w:sz="4" w:space="0" w:color="auto"/>
              <w:left w:val="nil"/>
              <w:bottom w:val="single" w:sz="4" w:space="0" w:color="auto"/>
              <w:right w:val="nil"/>
            </w:tcBorders>
            <w:shd w:val="clear" w:color="000000" w:fill="F5DADD"/>
            <w:noWrap/>
            <w:vAlign w:val="center"/>
            <w:hideMark/>
          </w:tcPr>
          <w:p w14:paraId="6C9CD21D" w14:textId="2153DD7E" w:rsidR="001E3AB8" w:rsidRPr="00D92E20" w:rsidRDefault="001E3AB8" w:rsidP="001E3AB8">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2018</w:t>
            </w:r>
          </w:p>
        </w:tc>
        <w:tc>
          <w:tcPr>
            <w:tcW w:w="697" w:type="dxa"/>
            <w:tcBorders>
              <w:top w:val="single" w:sz="4" w:space="0" w:color="auto"/>
              <w:left w:val="nil"/>
              <w:bottom w:val="single" w:sz="4" w:space="0" w:color="auto"/>
              <w:right w:val="nil"/>
            </w:tcBorders>
            <w:shd w:val="clear" w:color="000000" w:fill="F5DADD"/>
            <w:noWrap/>
            <w:vAlign w:val="center"/>
            <w:hideMark/>
          </w:tcPr>
          <w:p w14:paraId="5735A01D" w14:textId="22F05266" w:rsidR="001E3AB8" w:rsidRPr="00D92E20" w:rsidRDefault="001E3AB8" w:rsidP="001E3AB8">
            <w:pPr>
              <w:spacing w:after="0" w:line="240" w:lineRule="auto"/>
              <w:jc w:val="center"/>
              <w:rPr>
                <w:rFonts w:cs="Arial"/>
                <w:color w:val="000000"/>
                <w:sz w:val="16"/>
                <w:szCs w:val="16"/>
              </w:rPr>
            </w:pPr>
            <w:r>
              <w:rPr>
                <w:rFonts w:cs="Arial"/>
                <w:sz w:val="16"/>
                <w:szCs w:val="16"/>
              </w:rPr>
              <w:t>1. pol. 2019</w:t>
            </w:r>
          </w:p>
        </w:tc>
        <w:tc>
          <w:tcPr>
            <w:tcW w:w="697" w:type="dxa"/>
            <w:tcBorders>
              <w:top w:val="single" w:sz="4" w:space="0" w:color="auto"/>
              <w:left w:val="nil"/>
              <w:bottom w:val="single" w:sz="4" w:space="0" w:color="auto"/>
              <w:right w:val="nil"/>
            </w:tcBorders>
            <w:shd w:val="clear" w:color="000000" w:fill="F5DADD"/>
            <w:noWrap/>
            <w:vAlign w:val="center"/>
            <w:hideMark/>
          </w:tcPr>
          <w:p w14:paraId="3F4C62DC" w14:textId="290A31BF" w:rsidR="001E3AB8" w:rsidRPr="00D92E20" w:rsidRDefault="001E3AB8" w:rsidP="001E3AB8">
            <w:pPr>
              <w:spacing w:after="0" w:line="240" w:lineRule="auto"/>
              <w:jc w:val="center"/>
              <w:rPr>
                <w:rFonts w:cs="Arial"/>
                <w:color w:val="000000"/>
                <w:sz w:val="16"/>
                <w:szCs w:val="16"/>
              </w:rPr>
            </w:pPr>
            <w:r>
              <w:rPr>
                <w:rFonts w:cs="Arial"/>
                <w:sz w:val="16"/>
                <w:szCs w:val="16"/>
              </w:rPr>
              <w:t>1. pol. 2020</w:t>
            </w:r>
          </w:p>
        </w:tc>
        <w:tc>
          <w:tcPr>
            <w:tcW w:w="697" w:type="dxa"/>
            <w:tcBorders>
              <w:top w:val="single" w:sz="4" w:space="0" w:color="auto"/>
              <w:left w:val="nil"/>
              <w:bottom w:val="single" w:sz="4" w:space="0" w:color="auto"/>
              <w:right w:val="nil"/>
            </w:tcBorders>
            <w:shd w:val="clear" w:color="000000" w:fill="F5DADD"/>
            <w:noWrap/>
            <w:vAlign w:val="center"/>
            <w:hideMark/>
          </w:tcPr>
          <w:p w14:paraId="70796218" w14:textId="6D670677" w:rsidR="001E3AB8" w:rsidRPr="00D92E20" w:rsidRDefault="001E3AB8" w:rsidP="001E3AB8">
            <w:pPr>
              <w:spacing w:after="0" w:line="240" w:lineRule="auto"/>
              <w:jc w:val="center"/>
              <w:rPr>
                <w:rFonts w:cs="Arial"/>
                <w:color w:val="000000"/>
                <w:sz w:val="16"/>
                <w:szCs w:val="16"/>
              </w:rPr>
            </w:pPr>
            <w:r>
              <w:rPr>
                <w:rFonts w:cs="Arial"/>
                <w:sz w:val="16"/>
                <w:szCs w:val="16"/>
              </w:rPr>
              <w:t>1. pol. 2021</w:t>
            </w:r>
          </w:p>
        </w:tc>
        <w:tc>
          <w:tcPr>
            <w:tcW w:w="697" w:type="dxa"/>
            <w:tcBorders>
              <w:top w:val="single" w:sz="4" w:space="0" w:color="auto"/>
              <w:left w:val="nil"/>
              <w:bottom w:val="single" w:sz="4" w:space="0" w:color="auto"/>
              <w:right w:val="nil"/>
            </w:tcBorders>
            <w:shd w:val="clear" w:color="000000" w:fill="F5DADD"/>
            <w:noWrap/>
            <w:vAlign w:val="center"/>
            <w:hideMark/>
          </w:tcPr>
          <w:p w14:paraId="7BB51A31" w14:textId="787448BD" w:rsidR="001E3AB8" w:rsidRPr="00D92E20" w:rsidRDefault="001E3AB8" w:rsidP="001E3AB8">
            <w:pPr>
              <w:spacing w:after="0" w:line="240" w:lineRule="auto"/>
              <w:jc w:val="center"/>
              <w:rPr>
                <w:rFonts w:cs="Arial"/>
                <w:color w:val="000000"/>
                <w:sz w:val="16"/>
                <w:szCs w:val="16"/>
              </w:rPr>
            </w:pPr>
            <w:r>
              <w:rPr>
                <w:rFonts w:cs="Arial"/>
                <w:sz w:val="16"/>
                <w:szCs w:val="16"/>
              </w:rPr>
              <w:t>1. pol. 2022</w:t>
            </w:r>
          </w:p>
        </w:tc>
      </w:tr>
      <w:tr w:rsidR="001E3AB8" w:rsidRPr="00D92E20" w14:paraId="12D385F8"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31042433" w14:textId="77777777" w:rsidR="001E3AB8" w:rsidRPr="00D92E20" w:rsidRDefault="001E3AB8" w:rsidP="001E3AB8">
            <w:pPr>
              <w:spacing w:after="0" w:line="240" w:lineRule="auto"/>
              <w:rPr>
                <w:rFonts w:cs="Arial"/>
                <w:b/>
                <w:bCs/>
                <w:color w:val="000000"/>
                <w:sz w:val="16"/>
                <w:szCs w:val="16"/>
              </w:rPr>
            </w:pPr>
            <w:r w:rsidRPr="00D92E20">
              <w:rPr>
                <w:rFonts w:cs="Arial"/>
                <w:b/>
                <w:bCs/>
                <w:color w:val="000000"/>
                <w:sz w:val="16"/>
                <w:szCs w:val="16"/>
              </w:rPr>
              <w:t>ČR celkem</w:t>
            </w:r>
          </w:p>
        </w:tc>
        <w:tc>
          <w:tcPr>
            <w:tcW w:w="697" w:type="dxa"/>
            <w:tcBorders>
              <w:top w:val="nil"/>
              <w:left w:val="nil"/>
              <w:bottom w:val="nil"/>
              <w:right w:val="nil"/>
            </w:tcBorders>
            <w:shd w:val="clear" w:color="auto" w:fill="auto"/>
            <w:noWrap/>
            <w:vAlign w:val="center"/>
            <w:hideMark/>
          </w:tcPr>
          <w:p w14:paraId="06ED8123" w14:textId="412D124F" w:rsidR="001E3AB8" w:rsidRPr="00D92E20" w:rsidRDefault="001E3AB8" w:rsidP="001E3AB8">
            <w:pPr>
              <w:spacing w:after="0" w:line="240" w:lineRule="auto"/>
              <w:jc w:val="center"/>
              <w:rPr>
                <w:rFonts w:cs="Arial"/>
                <w:b/>
                <w:bCs/>
                <w:color w:val="000000"/>
                <w:sz w:val="16"/>
                <w:szCs w:val="16"/>
              </w:rPr>
            </w:pPr>
            <w:r>
              <w:rPr>
                <w:rFonts w:cs="Arial"/>
                <w:b/>
                <w:bCs/>
                <w:sz w:val="16"/>
                <w:szCs w:val="16"/>
              </w:rPr>
              <w:t>13,6</w:t>
            </w:r>
          </w:p>
        </w:tc>
        <w:tc>
          <w:tcPr>
            <w:tcW w:w="697" w:type="dxa"/>
            <w:tcBorders>
              <w:top w:val="nil"/>
              <w:left w:val="nil"/>
              <w:bottom w:val="nil"/>
              <w:right w:val="nil"/>
            </w:tcBorders>
            <w:shd w:val="clear" w:color="auto" w:fill="auto"/>
            <w:noWrap/>
            <w:vAlign w:val="center"/>
            <w:hideMark/>
          </w:tcPr>
          <w:p w14:paraId="607FCF90" w14:textId="7DD83273" w:rsidR="001E3AB8" w:rsidRPr="00D92E20" w:rsidRDefault="001E3AB8" w:rsidP="001E3AB8">
            <w:pPr>
              <w:spacing w:after="0" w:line="240" w:lineRule="auto"/>
              <w:jc w:val="center"/>
              <w:rPr>
                <w:rFonts w:cs="Arial"/>
                <w:b/>
                <w:bCs/>
                <w:color w:val="000000"/>
                <w:sz w:val="16"/>
                <w:szCs w:val="16"/>
              </w:rPr>
            </w:pPr>
            <w:r>
              <w:rPr>
                <w:rFonts w:cs="Arial"/>
                <w:b/>
                <w:bCs/>
                <w:sz w:val="16"/>
                <w:szCs w:val="16"/>
              </w:rPr>
              <w:t>17,1</w:t>
            </w:r>
          </w:p>
        </w:tc>
        <w:tc>
          <w:tcPr>
            <w:tcW w:w="697" w:type="dxa"/>
            <w:tcBorders>
              <w:top w:val="nil"/>
              <w:left w:val="nil"/>
              <w:bottom w:val="nil"/>
              <w:right w:val="nil"/>
            </w:tcBorders>
            <w:shd w:val="clear" w:color="auto" w:fill="auto"/>
            <w:noWrap/>
            <w:vAlign w:val="center"/>
            <w:hideMark/>
          </w:tcPr>
          <w:p w14:paraId="224ABBD4" w14:textId="28E17F3B" w:rsidR="001E3AB8" w:rsidRPr="00D92E20" w:rsidRDefault="001E3AB8" w:rsidP="001E3AB8">
            <w:pPr>
              <w:spacing w:after="0" w:line="240" w:lineRule="auto"/>
              <w:jc w:val="center"/>
              <w:rPr>
                <w:rFonts w:cs="Arial"/>
                <w:b/>
                <w:bCs/>
                <w:color w:val="000000"/>
                <w:sz w:val="16"/>
                <w:szCs w:val="16"/>
              </w:rPr>
            </w:pPr>
            <w:r>
              <w:rPr>
                <w:rFonts w:cs="Arial"/>
                <w:b/>
                <w:bCs/>
                <w:sz w:val="16"/>
                <w:szCs w:val="16"/>
              </w:rPr>
              <w:t>15,1</w:t>
            </w:r>
          </w:p>
        </w:tc>
        <w:tc>
          <w:tcPr>
            <w:tcW w:w="697" w:type="dxa"/>
            <w:tcBorders>
              <w:top w:val="nil"/>
              <w:left w:val="nil"/>
              <w:bottom w:val="nil"/>
              <w:right w:val="nil"/>
            </w:tcBorders>
            <w:shd w:val="clear" w:color="auto" w:fill="auto"/>
            <w:noWrap/>
            <w:vAlign w:val="center"/>
            <w:hideMark/>
          </w:tcPr>
          <w:p w14:paraId="281478CD" w14:textId="7A42EA52" w:rsidR="001E3AB8" w:rsidRPr="00D92E20" w:rsidRDefault="001E3AB8" w:rsidP="001E3AB8">
            <w:pPr>
              <w:spacing w:after="0" w:line="240" w:lineRule="auto"/>
              <w:jc w:val="center"/>
              <w:rPr>
                <w:rFonts w:cs="Arial"/>
                <w:b/>
                <w:bCs/>
                <w:color w:val="000000"/>
                <w:sz w:val="16"/>
                <w:szCs w:val="16"/>
              </w:rPr>
            </w:pPr>
            <w:r>
              <w:rPr>
                <w:rFonts w:cs="Arial"/>
                <w:b/>
                <w:bCs/>
                <w:sz w:val="16"/>
                <w:szCs w:val="16"/>
              </w:rPr>
              <w:t>19,5</w:t>
            </w:r>
          </w:p>
        </w:tc>
        <w:tc>
          <w:tcPr>
            <w:tcW w:w="697" w:type="dxa"/>
            <w:tcBorders>
              <w:top w:val="nil"/>
              <w:left w:val="nil"/>
              <w:bottom w:val="nil"/>
              <w:right w:val="nil"/>
            </w:tcBorders>
            <w:shd w:val="clear" w:color="auto" w:fill="auto"/>
            <w:noWrap/>
            <w:vAlign w:val="center"/>
            <w:hideMark/>
          </w:tcPr>
          <w:p w14:paraId="346B2092" w14:textId="2EB52A55" w:rsidR="001E3AB8" w:rsidRPr="00D92E20" w:rsidRDefault="001E3AB8" w:rsidP="001E3AB8">
            <w:pPr>
              <w:spacing w:after="0" w:line="240" w:lineRule="auto"/>
              <w:jc w:val="center"/>
              <w:rPr>
                <w:rFonts w:cs="Arial"/>
                <w:b/>
                <w:bCs/>
                <w:color w:val="000000"/>
                <w:sz w:val="16"/>
                <w:szCs w:val="16"/>
              </w:rPr>
            </w:pPr>
            <w:r>
              <w:rPr>
                <w:rFonts w:cs="Arial"/>
                <w:b/>
                <w:bCs/>
                <w:color w:val="000000"/>
                <w:sz w:val="16"/>
                <w:szCs w:val="16"/>
              </w:rPr>
              <w:t>19,3</w:t>
            </w:r>
          </w:p>
        </w:tc>
        <w:tc>
          <w:tcPr>
            <w:tcW w:w="697" w:type="dxa"/>
            <w:tcBorders>
              <w:top w:val="nil"/>
              <w:left w:val="nil"/>
              <w:bottom w:val="nil"/>
              <w:right w:val="nil"/>
            </w:tcBorders>
            <w:shd w:val="clear" w:color="auto" w:fill="auto"/>
            <w:noWrap/>
            <w:vAlign w:val="center"/>
            <w:hideMark/>
          </w:tcPr>
          <w:p w14:paraId="0CCD618D" w14:textId="016DE2BA" w:rsidR="001E3AB8" w:rsidRPr="00D92E20" w:rsidRDefault="001E3AB8" w:rsidP="001E3AB8">
            <w:pPr>
              <w:spacing w:after="0" w:line="240" w:lineRule="auto"/>
              <w:jc w:val="center"/>
              <w:rPr>
                <w:rFonts w:cs="Arial"/>
                <w:b/>
                <w:bCs/>
                <w:color w:val="000000"/>
                <w:sz w:val="16"/>
                <w:szCs w:val="16"/>
              </w:rPr>
            </w:pPr>
            <w:r>
              <w:rPr>
                <w:rFonts w:cs="Arial"/>
                <w:b/>
                <w:bCs/>
                <w:color w:val="000000"/>
                <w:sz w:val="16"/>
                <w:szCs w:val="16"/>
              </w:rPr>
              <w:t>20,4</w:t>
            </w:r>
          </w:p>
        </w:tc>
        <w:tc>
          <w:tcPr>
            <w:tcW w:w="697" w:type="dxa"/>
            <w:tcBorders>
              <w:top w:val="nil"/>
              <w:left w:val="nil"/>
              <w:bottom w:val="nil"/>
              <w:right w:val="nil"/>
            </w:tcBorders>
            <w:shd w:val="clear" w:color="auto" w:fill="auto"/>
            <w:noWrap/>
            <w:vAlign w:val="center"/>
            <w:hideMark/>
          </w:tcPr>
          <w:p w14:paraId="3E240FE7" w14:textId="5C98ED34" w:rsidR="001E3AB8" w:rsidRPr="00D92E20" w:rsidRDefault="001E3AB8" w:rsidP="001E3AB8">
            <w:pPr>
              <w:spacing w:after="0" w:line="240" w:lineRule="auto"/>
              <w:jc w:val="center"/>
              <w:rPr>
                <w:rFonts w:cs="Arial"/>
                <w:b/>
                <w:bCs/>
                <w:color w:val="000000"/>
                <w:sz w:val="16"/>
                <w:szCs w:val="16"/>
              </w:rPr>
            </w:pPr>
            <w:r>
              <w:rPr>
                <w:rFonts w:cs="Arial"/>
                <w:b/>
                <w:bCs/>
                <w:color w:val="000000"/>
                <w:sz w:val="16"/>
                <w:szCs w:val="16"/>
              </w:rPr>
              <w:t>22,1</w:t>
            </w:r>
          </w:p>
        </w:tc>
        <w:tc>
          <w:tcPr>
            <w:tcW w:w="697" w:type="dxa"/>
            <w:tcBorders>
              <w:top w:val="nil"/>
              <w:left w:val="nil"/>
              <w:bottom w:val="nil"/>
              <w:right w:val="nil"/>
            </w:tcBorders>
            <w:shd w:val="clear" w:color="auto" w:fill="auto"/>
            <w:noWrap/>
            <w:vAlign w:val="center"/>
            <w:hideMark/>
          </w:tcPr>
          <w:p w14:paraId="0882D4CF" w14:textId="70C37853" w:rsidR="001E3AB8" w:rsidRPr="00D92E20" w:rsidRDefault="001E3AB8" w:rsidP="001E3AB8">
            <w:pPr>
              <w:spacing w:after="0" w:line="240" w:lineRule="auto"/>
              <w:jc w:val="center"/>
              <w:rPr>
                <w:rFonts w:cs="Arial"/>
                <w:b/>
                <w:bCs/>
                <w:color w:val="000000"/>
                <w:sz w:val="16"/>
                <w:szCs w:val="16"/>
              </w:rPr>
            </w:pPr>
            <w:r>
              <w:rPr>
                <w:rFonts w:cs="Arial"/>
                <w:b/>
                <w:bCs/>
                <w:color w:val="000000"/>
                <w:sz w:val="16"/>
                <w:szCs w:val="16"/>
              </w:rPr>
              <w:t>20,6</w:t>
            </w:r>
          </w:p>
        </w:tc>
        <w:tc>
          <w:tcPr>
            <w:tcW w:w="697" w:type="dxa"/>
            <w:tcBorders>
              <w:top w:val="nil"/>
              <w:left w:val="nil"/>
              <w:bottom w:val="nil"/>
              <w:right w:val="nil"/>
            </w:tcBorders>
            <w:shd w:val="clear" w:color="auto" w:fill="auto"/>
            <w:noWrap/>
            <w:vAlign w:val="center"/>
            <w:hideMark/>
          </w:tcPr>
          <w:p w14:paraId="1E2AAC0B" w14:textId="1BB5D50C" w:rsidR="001E3AB8" w:rsidRPr="00D92E20" w:rsidRDefault="001E3AB8" w:rsidP="001E3AB8">
            <w:pPr>
              <w:spacing w:after="0" w:line="240" w:lineRule="auto"/>
              <w:jc w:val="center"/>
              <w:rPr>
                <w:rFonts w:cs="Arial"/>
                <w:b/>
                <w:bCs/>
                <w:color w:val="000000"/>
                <w:sz w:val="16"/>
                <w:szCs w:val="16"/>
              </w:rPr>
            </w:pPr>
            <w:r>
              <w:rPr>
                <w:rFonts w:cs="Arial"/>
                <w:b/>
                <w:bCs/>
                <w:color w:val="000000"/>
                <w:sz w:val="16"/>
                <w:szCs w:val="16"/>
              </w:rPr>
              <w:t>22,8</w:t>
            </w:r>
          </w:p>
        </w:tc>
        <w:tc>
          <w:tcPr>
            <w:tcW w:w="697" w:type="dxa"/>
            <w:tcBorders>
              <w:top w:val="nil"/>
              <w:left w:val="nil"/>
              <w:bottom w:val="nil"/>
              <w:right w:val="nil"/>
            </w:tcBorders>
            <w:shd w:val="clear" w:color="auto" w:fill="auto"/>
            <w:noWrap/>
            <w:vAlign w:val="center"/>
            <w:hideMark/>
          </w:tcPr>
          <w:p w14:paraId="6616E73A" w14:textId="057AB370" w:rsidR="001E3AB8" w:rsidRPr="00D92E20" w:rsidRDefault="001E3AB8" w:rsidP="001E3AB8">
            <w:pPr>
              <w:spacing w:after="0" w:line="240" w:lineRule="auto"/>
              <w:jc w:val="center"/>
              <w:rPr>
                <w:rFonts w:cs="Arial"/>
                <w:b/>
                <w:bCs/>
                <w:color w:val="000000"/>
                <w:sz w:val="16"/>
                <w:szCs w:val="16"/>
              </w:rPr>
            </w:pPr>
            <w:r>
              <w:rPr>
                <w:rFonts w:cs="Arial"/>
                <w:b/>
                <w:bCs/>
                <w:color w:val="000000"/>
                <w:sz w:val="16"/>
                <w:szCs w:val="16"/>
              </w:rPr>
              <w:t>29,8</w:t>
            </w:r>
          </w:p>
        </w:tc>
        <w:tc>
          <w:tcPr>
            <w:tcW w:w="697" w:type="dxa"/>
            <w:tcBorders>
              <w:top w:val="nil"/>
              <w:left w:val="nil"/>
              <w:bottom w:val="nil"/>
              <w:right w:val="nil"/>
            </w:tcBorders>
            <w:shd w:val="clear" w:color="auto" w:fill="auto"/>
            <w:noWrap/>
            <w:vAlign w:val="center"/>
            <w:hideMark/>
          </w:tcPr>
          <w:p w14:paraId="17B195FB" w14:textId="46750B02" w:rsidR="001E3AB8" w:rsidRPr="00D92E20" w:rsidRDefault="001E3AB8" w:rsidP="001E3AB8">
            <w:pPr>
              <w:spacing w:after="0" w:line="240" w:lineRule="auto"/>
              <w:jc w:val="center"/>
              <w:rPr>
                <w:rFonts w:cs="Arial"/>
                <w:b/>
                <w:bCs/>
                <w:color w:val="000000"/>
                <w:sz w:val="16"/>
                <w:szCs w:val="16"/>
              </w:rPr>
            </w:pPr>
            <w:r>
              <w:rPr>
                <w:rFonts w:cs="Arial"/>
                <w:b/>
                <w:bCs/>
                <w:color w:val="000000"/>
                <w:sz w:val="16"/>
                <w:szCs w:val="16"/>
              </w:rPr>
              <w:t>43,5</w:t>
            </w:r>
          </w:p>
        </w:tc>
      </w:tr>
      <w:tr w:rsidR="001E3AB8" w:rsidRPr="00D92E20" w14:paraId="01FB752B"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57C72F05"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Hl. m. Praha</w:t>
            </w:r>
          </w:p>
        </w:tc>
        <w:tc>
          <w:tcPr>
            <w:tcW w:w="697" w:type="dxa"/>
            <w:tcBorders>
              <w:top w:val="nil"/>
              <w:left w:val="nil"/>
              <w:bottom w:val="nil"/>
              <w:right w:val="nil"/>
            </w:tcBorders>
            <w:shd w:val="clear" w:color="auto" w:fill="auto"/>
            <w:noWrap/>
            <w:vAlign w:val="center"/>
            <w:hideMark/>
          </w:tcPr>
          <w:p w14:paraId="0F63A7F0" w14:textId="50223969" w:rsidR="001E3AB8" w:rsidRPr="00D92E20" w:rsidRDefault="001E3AB8" w:rsidP="001E3AB8">
            <w:pPr>
              <w:spacing w:after="0" w:line="240" w:lineRule="auto"/>
              <w:jc w:val="center"/>
              <w:rPr>
                <w:rFonts w:cs="Arial"/>
                <w:color w:val="000000"/>
                <w:sz w:val="16"/>
                <w:szCs w:val="16"/>
              </w:rPr>
            </w:pPr>
            <w:r>
              <w:rPr>
                <w:rFonts w:cs="Arial"/>
                <w:sz w:val="16"/>
                <w:szCs w:val="16"/>
              </w:rPr>
              <w:t>11,3</w:t>
            </w:r>
          </w:p>
        </w:tc>
        <w:tc>
          <w:tcPr>
            <w:tcW w:w="697" w:type="dxa"/>
            <w:tcBorders>
              <w:top w:val="nil"/>
              <w:left w:val="nil"/>
              <w:bottom w:val="nil"/>
              <w:right w:val="nil"/>
            </w:tcBorders>
            <w:shd w:val="clear" w:color="auto" w:fill="auto"/>
            <w:noWrap/>
            <w:vAlign w:val="center"/>
            <w:hideMark/>
          </w:tcPr>
          <w:p w14:paraId="7D2E62D9" w14:textId="6A5E436E" w:rsidR="001E3AB8" w:rsidRPr="00D92E20" w:rsidRDefault="001E3AB8" w:rsidP="001E3AB8">
            <w:pPr>
              <w:spacing w:after="0" w:line="240" w:lineRule="auto"/>
              <w:jc w:val="center"/>
              <w:rPr>
                <w:rFonts w:cs="Arial"/>
                <w:color w:val="000000"/>
                <w:sz w:val="16"/>
                <w:szCs w:val="16"/>
              </w:rPr>
            </w:pPr>
            <w:r>
              <w:rPr>
                <w:rFonts w:cs="Arial"/>
                <w:sz w:val="16"/>
                <w:szCs w:val="16"/>
              </w:rPr>
              <w:t>14,5</w:t>
            </w:r>
          </w:p>
        </w:tc>
        <w:tc>
          <w:tcPr>
            <w:tcW w:w="697" w:type="dxa"/>
            <w:tcBorders>
              <w:top w:val="nil"/>
              <w:left w:val="nil"/>
              <w:bottom w:val="nil"/>
              <w:right w:val="nil"/>
            </w:tcBorders>
            <w:shd w:val="clear" w:color="auto" w:fill="auto"/>
            <w:noWrap/>
            <w:vAlign w:val="center"/>
            <w:hideMark/>
          </w:tcPr>
          <w:p w14:paraId="779315AA" w14:textId="6B18818B" w:rsidR="001E3AB8" w:rsidRPr="00D92E20" w:rsidRDefault="001E3AB8" w:rsidP="001E3AB8">
            <w:pPr>
              <w:spacing w:after="0" w:line="240" w:lineRule="auto"/>
              <w:jc w:val="center"/>
              <w:rPr>
                <w:rFonts w:cs="Arial"/>
                <w:color w:val="000000"/>
                <w:sz w:val="16"/>
                <w:szCs w:val="16"/>
              </w:rPr>
            </w:pPr>
            <w:r>
              <w:rPr>
                <w:rFonts w:cs="Arial"/>
                <w:sz w:val="16"/>
                <w:szCs w:val="16"/>
              </w:rPr>
              <w:t>13,0</w:t>
            </w:r>
          </w:p>
        </w:tc>
        <w:tc>
          <w:tcPr>
            <w:tcW w:w="697" w:type="dxa"/>
            <w:tcBorders>
              <w:top w:val="nil"/>
              <w:left w:val="nil"/>
              <w:bottom w:val="nil"/>
              <w:right w:val="nil"/>
            </w:tcBorders>
            <w:shd w:val="clear" w:color="auto" w:fill="auto"/>
            <w:noWrap/>
            <w:vAlign w:val="center"/>
            <w:hideMark/>
          </w:tcPr>
          <w:p w14:paraId="60B31E41" w14:textId="66056CFC" w:rsidR="001E3AB8" w:rsidRPr="00D92E20" w:rsidRDefault="001E3AB8" w:rsidP="001E3AB8">
            <w:pPr>
              <w:spacing w:after="0" w:line="240" w:lineRule="auto"/>
              <w:jc w:val="center"/>
              <w:rPr>
                <w:rFonts w:cs="Arial"/>
                <w:color w:val="000000"/>
                <w:sz w:val="16"/>
                <w:szCs w:val="16"/>
              </w:rPr>
            </w:pPr>
            <w:r>
              <w:rPr>
                <w:rFonts w:cs="Arial"/>
                <w:sz w:val="16"/>
                <w:szCs w:val="16"/>
              </w:rPr>
              <w:t>16,6</w:t>
            </w:r>
          </w:p>
        </w:tc>
        <w:tc>
          <w:tcPr>
            <w:tcW w:w="697" w:type="dxa"/>
            <w:tcBorders>
              <w:top w:val="nil"/>
              <w:left w:val="nil"/>
              <w:bottom w:val="nil"/>
              <w:right w:val="nil"/>
            </w:tcBorders>
            <w:shd w:val="clear" w:color="auto" w:fill="auto"/>
            <w:noWrap/>
            <w:vAlign w:val="center"/>
            <w:hideMark/>
          </w:tcPr>
          <w:p w14:paraId="529C9B6C" w14:textId="328D7150" w:rsidR="001E3AB8" w:rsidRPr="00D92E20" w:rsidRDefault="001E3AB8" w:rsidP="001E3AB8">
            <w:pPr>
              <w:spacing w:after="0" w:line="240" w:lineRule="auto"/>
              <w:jc w:val="center"/>
              <w:rPr>
                <w:rFonts w:cs="Arial"/>
                <w:color w:val="000000"/>
                <w:sz w:val="16"/>
                <w:szCs w:val="16"/>
              </w:rPr>
            </w:pPr>
            <w:r>
              <w:rPr>
                <w:rFonts w:cs="Arial"/>
                <w:color w:val="000000"/>
                <w:sz w:val="16"/>
                <w:szCs w:val="16"/>
              </w:rPr>
              <w:t>16,1</w:t>
            </w:r>
          </w:p>
        </w:tc>
        <w:tc>
          <w:tcPr>
            <w:tcW w:w="697" w:type="dxa"/>
            <w:tcBorders>
              <w:top w:val="nil"/>
              <w:left w:val="nil"/>
              <w:bottom w:val="nil"/>
              <w:right w:val="nil"/>
            </w:tcBorders>
            <w:shd w:val="clear" w:color="auto" w:fill="auto"/>
            <w:noWrap/>
            <w:vAlign w:val="center"/>
            <w:hideMark/>
          </w:tcPr>
          <w:p w14:paraId="5D036915" w14:textId="0F79A656" w:rsidR="001E3AB8" w:rsidRPr="00D92E20" w:rsidRDefault="001E3AB8" w:rsidP="001E3AB8">
            <w:pPr>
              <w:spacing w:after="0" w:line="240" w:lineRule="auto"/>
              <w:jc w:val="center"/>
              <w:rPr>
                <w:rFonts w:cs="Arial"/>
                <w:color w:val="000000"/>
                <w:sz w:val="16"/>
                <w:szCs w:val="16"/>
              </w:rPr>
            </w:pPr>
            <w:r>
              <w:rPr>
                <w:rFonts w:cs="Arial"/>
                <w:color w:val="000000"/>
                <w:sz w:val="16"/>
                <w:szCs w:val="16"/>
              </w:rPr>
              <w:t>16,7</w:t>
            </w:r>
          </w:p>
        </w:tc>
        <w:tc>
          <w:tcPr>
            <w:tcW w:w="697" w:type="dxa"/>
            <w:tcBorders>
              <w:top w:val="nil"/>
              <w:left w:val="nil"/>
              <w:bottom w:val="nil"/>
              <w:right w:val="nil"/>
            </w:tcBorders>
            <w:shd w:val="clear" w:color="auto" w:fill="auto"/>
            <w:noWrap/>
            <w:vAlign w:val="center"/>
            <w:hideMark/>
          </w:tcPr>
          <w:p w14:paraId="66E32537" w14:textId="0E7BC785" w:rsidR="001E3AB8" w:rsidRPr="00D92E20" w:rsidRDefault="001E3AB8" w:rsidP="001E3AB8">
            <w:pPr>
              <w:spacing w:after="0" w:line="240" w:lineRule="auto"/>
              <w:jc w:val="center"/>
              <w:rPr>
                <w:rFonts w:cs="Arial"/>
                <w:color w:val="000000"/>
                <w:sz w:val="16"/>
                <w:szCs w:val="16"/>
              </w:rPr>
            </w:pPr>
            <w:r>
              <w:rPr>
                <w:rFonts w:cs="Arial"/>
                <w:color w:val="000000"/>
                <w:sz w:val="16"/>
                <w:szCs w:val="16"/>
              </w:rPr>
              <w:t>17,8</w:t>
            </w:r>
          </w:p>
        </w:tc>
        <w:tc>
          <w:tcPr>
            <w:tcW w:w="697" w:type="dxa"/>
            <w:tcBorders>
              <w:top w:val="nil"/>
              <w:left w:val="nil"/>
              <w:bottom w:val="nil"/>
              <w:right w:val="nil"/>
            </w:tcBorders>
            <w:shd w:val="clear" w:color="auto" w:fill="auto"/>
            <w:noWrap/>
            <w:vAlign w:val="center"/>
            <w:hideMark/>
          </w:tcPr>
          <w:p w14:paraId="33179FF9" w14:textId="0A9B1BAD" w:rsidR="001E3AB8" w:rsidRPr="00D92E20" w:rsidRDefault="001E3AB8" w:rsidP="001E3AB8">
            <w:pPr>
              <w:spacing w:after="0" w:line="240" w:lineRule="auto"/>
              <w:jc w:val="center"/>
              <w:rPr>
                <w:rFonts w:cs="Arial"/>
                <w:color w:val="000000"/>
                <w:sz w:val="16"/>
                <w:szCs w:val="16"/>
              </w:rPr>
            </w:pPr>
            <w:r>
              <w:rPr>
                <w:rFonts w:cs="Arial"/>
                <w:color w:val="000000"/>
                <w:sz w:val="16"/>
                <w:szCs w:val="16"/>
              </w:rPr>
              <w:t>16,6</w:t>
            </w:r>
          </w:p>
        </w:tc>
        <w:tc>
          <w:tcPr>
            <w:tcW w:w="697" w:type="dxa"/>
            <w:tcBorders>
              <w:top w:val="nil"/>
              <w:left w:val="nil"/>
              <w:bottom w:val="nil"/>
              <w:right w:val="nil"/>
            </w:tcBorders>
            <w:shd w:val="clear" w:color="auto" w:fill="auto"/>
            <w:noWrap/>
            <w:vAlign w:val="center"/>
            <w:hideMark/>
          </w:tcPr>
          <w:p w14:paraId="2C60EA00" w14:textId="31368234" w:rsidR="001E3AB8" w:rsidRPr="00D92E20" w:rsidRDefault="001E3AB8" w:rsidP="001E3AB8">
            <w:pPr>
              <w:spacing w:after="0" w:line="240" w:lineRule="auto"/>
              <w:jc w:val="center"/>
              <w:rPr>
                <w:rFonts w:cs="Arial"/>
                <w:color w:val="000000"/>
                <w:sz w:val="16"/>
                <w:szCs w:val="16"/>
              </w:rPr>
            </w:pPr>
            <w:r>
              <w:rPr>
                <w:rFonts w:cs="Arial"/>
                <w:color w:val="000000"/>
                <w:sz w:val="16"/>
                <w:szCs w:val="16"/>
              </w:rPr>
              <w:t>18,2</w:t>
            </w:r>
          </w:p>
        </w:tc>
        <w:tc>
          <w:tcPr>
            <w:tcW w:w="697" w:type="dxa"/>
            <w:tcBorders>
              <w:top w:val="nil"/>
              <w:left w:val="nil"/>
              <w:bottom w:val="nil"/>
              <w:right w:val="nil"/>
            </w:tcBorders>
            <w:shd w:val="clear" w:color="auto" w:fill="auto"/>
            <w:noWrap/>
            <w:vAlign w:val="center"/>
            <w:hideMark/>
          </w:tcPr>
          <w:p w14:paraId="1CFDD3F9" w14:textId="5F091D29" w:rsidR="001E3AB8" w:rsidRPr="00D92E20" w:rsidRDefault="001E3AB8" w:rsidP="001E3AB8">
            <w:pPr>
              <w:spacing w:after="0" w:line="240" w:lineRule="auto"/>
              <w:jc w:val="center"/>
              <w:rPr>
                <w:rFonts w:cs="Arial"/>
                <w:color w:val="000000"/>
                <w:sz w:val="16"/>
                <w:szCs w:val="16"/>
              </w:rPr>
            </w:pPr>
            <w:r>
              <w:rPr>
                <w:rFonts w:cs="Arial"/>
                <w:color w:val="000000"/>
                <w:sz w:val="16"/>
                <w:szCs w:val="16"/>
              </w:rPr>
              <w:t>21,7</w:t>
            </w:r>
          </w:p>
        </w:tc>
        <w:tc>
          <w:tcPr>
            <w:tcW w:w="697" w:type="dxa"/>
            <w:tcBorders>
              <w:top w:val="nil"/>
              <w:left w:val="nil"/>
              <w:bottom w:val="nil"/>
              <w:right w:val="nil"/>
            </w:tcBorders>
            <w:shd w:val="clear" w:color="auto" w:fill="auto"/>
            <w:noWrap/>
            <w:vAlign w:val="center"/>
            <w:hideMark/>
          </w:tcPr>
          <w:p w14:paraId="50B9C65B" w14:textId="3F793BC7" w:rsidR="001E3AB8" w:rsidRPr="00D92E20" w:rsidRDefault="001E3AB8" w:rsidP="001E3AB8">
            <w:pPr>
              <w:spacing w:after="0" w:line="240" w:lineRule="auto"/>
              <w:jc w:val="center"/>
              <w:rPr>
                <w:rFonts w:cs="Arial"/>
                <w:color w:val="000000"/>
                <w:sz w:val="16"/>
                <w:szCs w:val="16"/>
              </w:rPr>
            </w:pPr>
            <w:r>
              <w:rPr>
                <w:rFonts w:cs="Arial"/>
                <w:color w:val="000000"/>
                <w:sz w:val="16"/>
                <w:szCs w:val="16"/>
              </w:rPr>
              <w:t>33,1</w:t>
            </w:r>
          </w:p>
        </w:tc>
      </w:tr>
      <w:tr w:rsidR="001E3AB8" w:rsidRPr="00D92E20" w14:paraId="65794476"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26CA9983"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Středočeský kraj</w:t>
            </w:r>
          </w:p>
        </w:tc>
        <w:tc>
          <w:tcPr>
            <w:tcW w:w="697" w:type="dxa"/>
            <w:tcBorders>
              <w:top w:val="nil"/>
              <w:left w:val="nil"/>
              <w:bottom w:val="nil"/>
              <w:right w:val="nil"/>
            </w:tcBorders>
            <w:shd w:val="clear" w:color="auto" w:fill="auto"/>
            <w:noWrap/>
            <w:vAlign w:val="center"/>
            <w:hideMark/>
          </w:tcPr>
          <w:p w14:paraId="456FF47C" w14:textId="2B06B6F5" w:rsidR="001E3AB8" w:rsidRPr="00D92E20" w:rsidRDefault="001E3AB8" w:rsidP="001E3AB8">
            <w:pPr>
              <w:spacing w:after="0" w:line="240" w:lineRule="auto"/>
              <w:jc w:val="center"/>
              <w:rPr>
                <w:rFonts w:cs="Arial"/>
                <w:color w:val="000000"/>
                <w:sz w:val="16"/>
                <w:szCs w:val="16"/>
              </w:rPr>
            </w:pPr>
            <w:r>
              <w:rPr>
                <w:rFonts w:cs="Arial"/>
                <w:sz w:val="16"/>
                <w:szCs w:val="16"/>
              </w:rPr>
              <w:t>14,1</w:t>
            </w:r>
          </w:p>
        </w:tc>
        <w:tc>
          <w:tcPr>
            <w:tcW w:w="697" w:type="dxa"/>
            <w:tcBorders>
              <w:top w:val="nil"/>
              <w:left w:val="nil"/>
              <w:bottom w:val="nil"/>
              <w:right w:val="nil"/>
            </w:tcBorders>
            <w:shd w:val="clear" w:color="auto" w:fill="auto"/>
            <w:noWrap/>
            <w:vAlign w:val="center"/>
            <w:hideMark/>
          </w:tcPr>
          <w:p w14:paraId="730304DF" w14:textId="59FE5682" w:rsidR="001E3AB8" w:rsidRPr="00D92E20" w:rsidRDefault="001E3AB8" w:rsidP="001E3AB8">
            <w:pPr>
              <w:spacing w:after="0" w:line="240" w:lineRule="auto"/>
              <w:jc w:val="center"/>
              <w:rPr>
                <w:rFonts w:cs="Arial"/>
                <w:color w:val="000000"/>
                <w:sz w:val="16"/>
                <w:szCs w:val="16"/>
              </w:rPr>
            </w:pPr>
            <w:r>
              <w:rPr>
                <w:rFonts w:cs="Arial"/>
                <w:sz w:val="16"/>
                <w:szCs w:val="16"/>
              </w:rPr>
              <w:t>17,9</w:t>
            </w:r>
          </w:p>
        </w:tc>
        <w:tc>
          <w:tcPr>
            <w:tcW w:w="697" w:type="dxa"/>
            <w:tcBorders>
              <w:top w:val="nil"/>
              <w:left w:val="nil"/>
              <w:bottom w:val="nil"/>
              <w:right w:val="nil"/>
            </w:tcBorders>
            <w:shd w:val="clear" w:color="auto" w:fill="auto"/>
            <w:noWrap/>
            <w:vAlign w:val="center"/>
            <w:hideMark/>
          </w:tcPr>
          <w:p w14:paraId="55DED852" w14:textId="5B8D39FC" w:rsidR="001E3AB8" w:rsidRPr="00D92E20" w:rsidRDefault="001E3AB8" w:rsidP="001E3AB8">
            <w:pPr>
              <w:spacing w:after="0" w:line="240" w:lineRule="auto"/>
              <w:jc w:val="center"/>
              <w:rPr>
                <w:rFonts w:cs="Arial"/>
                <w:color w:val="000000"/>
                <w:sz w:val="16"/>
                <w:szCs w:val="16"/>
              </w:rPr>
            </w:pPr>
            <w:r>
              <w:rPr>
                <w:rFonts w:cs="Arial"/>
                <w:sz w:val="16"/>
                <w:szCs w:val="16"/>
              </w:rPr>
              <w:t>16,1</w:t>
            </w:r>
          </w:p>
        </w:tc>
        <w:tc>
          <w:tcPr>
            <w:tcW w:w="697" w:type="dxa"/>
            <w:tcBorders>
              <w:top w:val="nil"/>
              <w:left w:val="nil"/>
              <w:bottom w:val="nil"/>
              <w:right w:val="nil"/>
            </w:tcBorders>
            <w:shd w:val="clear" w:color="auto" w:fill="auto"/>
            <w:noWrap/>
            <w:vAlign w:val="center"/>
            <w:hideMark/>
          </w:tcPr>
          <w:p w14:paraId="611D9EA0" w14:textId="2B8FB3F7" w:rsidR="001E3AB8" w:rsidRPr="00D92E20" w:rsidRDefault="001E3AB8" w:rsidP="001E3AB8">
            <w:pPr>
              <w:spacing w:after="0" w:line="240" w:lineRule="auto"/>
              <w:jc w:val="center"/>
              <w:rPr>
                <w:rFonts w:cs="Arial"/>
                <w:color w:val="000000"/>
                <w:sz w:val="16"/>
                <w:szCs w:val="16"/>
              </w:rPr>
            </w:pPr>
            <w:r>
              <w:rPr>
                <w:rFonts w:cs="Arial"/>
                <w:sz w:val="16"/>
                <w:szCs w:val="16"/>
              </w:rPr>
              <w:t>20,5</w:t>
            </w:r>
          </w:p>
        </w:tc>
        <w:tc>
          <w:tcPr>
            <w:tcW w:w="697" w:type="dxa"/>
            <w:tcBorders>
              <w:top w:val="nil"/>
              <w:left w:val="nil"/>
              <w:bottom w:val="nil"/>
              <w:right w:val="nil"/>
            </w:tcBorders>
            <w:shd w:val="clear" w:color="auto" w:fill="auto"/>
            <w:noWrap/>
            <w:vAlign w:val="center"/>
            <w:hideMark/>
          </w:tcPr>
          <w:p w14:paraId="485B3BFD" w14:textId="3A958BE2" w:rsidR="001E3AB8" w:rsidRPr="00D92E20" w:rsidRDefault="001E3AB8" w:rsidP="001E3AB8">
            <w:pPr>
              <w:spacing w:after="0" w:line="240" w:lineRule="auto"/>
              <w:jc w:val="center"/>
              <w:rPr>
                <w:rFonts w:cs="Arial"/>
                <w:color w:val="000000"/>
                <w:sz w:val="16"/>
                <w:szCs w:val="16"/>
              </w:rPr>
            </w:pPr>
            <w:r>
              <w:rPr>
                <w:rFonts w:cs="Arial"/>
                <w:color w:val="000000"/>
                <w:sz w:val="16"/>
                <w:szCs w:val="16"/>
              </w:rPr>
              <w:t>20,7</w:t>
            </w:r>
          </w:p>
        </w:tc>
        <w:tc>
          <w:tcPr>
            <w:tcW w:w="697" w:type="dxa"/>
            <w:tcBorders>
              <w:top w:val="nil"/>
              <w:left w:val="nil"/>
              <w:bottom w:val="nil"/>
              <w:right w:val="nil"/>
            </w:tcBorders>
            <w:shd w:val="clear" w:color="auto" w:fill="auto"/>
            <w:noWrap/>
            <w:vAlign w:val="center"/>
            <w:hideMark/>
          </w:tcPr>
          <w:p w14:paraId="6F1926E8" w14:textId="08003A58" w:rsidR="001E3AB8" w:rsidRPr="00D92E20" w:rsidRDefault="001E3AB8" w:rsidP="001E3AB8">
            <w:pPr>
              <w:spacing w:after="0" w:line="240" w:lineRule="auto"/>
              <w:jc w:val="center"/>
              <w:rPr>
                <w:rFonts w:cs="Arial"/>
                <w:color w:val="000000"/>
                <w:sz w:val="16"/>
                <w:szCs w:val="16"/>
              </w:rPr>
            </w:pPr>
            <w:r>
              <w:rPr>
                <w:rFonts w:cs="Arial"/>
                <w:color w:val="000000"/>
                <w:sz w:val="16"/>
                <w:szCs w:val="16"/>
              </w:rPr>
              <w:t>21,6</w:t>
            </w:r>
          </w:p>
        </w:tc>
        <w:tc>
          <w:tcPr>
            <w:tcW w:w="697" w:type="dxa"/>
            <w:tcBorders>
              <w:top w:val="nil"/>
              <w:left w:val="nil"/>
              <w:bottom w:val="nil"/>
              <w:right w:val="nil"/>
            </w:tcBorders>
            <w:shd w:val="clear" w:color="auto" w:fill="auto"/>
            <w:noWrap/>
            <w:vAlign w:val="center"/>
            <w:hideMark/>
          </w:tcPr>
          <w:p w14:paraId="32F695DB" w14:textId="05F753EA" w:rsidR="001E3AB8" w:rsidRPr="00D92E20" w:rsidRDefault="001E3AB8" w:rsidP="001E3AB8">
            <w:pPr>
              <w:spacing w:after="0" w:line="240" w:lineRule="auto"/>
              <w:jc w:val="center"/>
              <w:rPr>
                <w:rFonts w:cs="Arial"/>
                <w:color w:val="000000"/>
                <w:sz w:val="16"/>
                <w:szCs w:val="16"/>
              </w:rPr>
            </w:pPr>
            <w:r>
              <w:rPr>
                <w:rFonts w:cs="Arial"/>
                <w:color w:val="000000"/>
                <w:sz w:val="16"/>
                <w:szCs w:val="16"/>
              </w:rPr>
              <w:t>23,8</w:t>
            </w:r>
          </w:p>
        </w:tc>
        <w:tc>
          <w:tcPr>
            <w:tcW w:w="697" w:type="dxa"/>
            <w:tcBorders>
              <w:top w:val="nil"/>
              <w:left w:val="nil"/>
              <w:bottom w:val="nil"/>
              <w:right w:val="nil"/>
            </w:tcBorders>
            <w:shd w:val="clear" w:color="auto" w:fill="auto"/>
            <w:noWrap/>
            <w:vAlign w:val="center"/>
            <w:hideMark/>
          </w:tcPr>
          <w:p w14:paraId="38DFCAE6" w14:textId="485BF675" w:rsidR="001E3AB8" w:rsidRPr="00D92E20" w:rsidRDefault="001E3AB8" w:rsidP="001E3AB8">
            <w:pPr>
              <w:spacing w:after="0" w:line="240" w:lineRule="auto"/>
              <w:jc w:val="center"/>
              <w:rPr>
                <w:rFonts w:cs="Arial"/>
                <w:color w:val="000000"/>
                <w:sz w:val="16"/>
                <w:szCs w:val="16"/>
              </w:rPr>
            </w:pPr>
            <w:r>
              <w:rPr>
                <w:rFonts w:cs="Arial"/>
                <w:color w:val="000000"/>
                <w:sz w:val="16"/>
                <w:szCs w:val="16"/>
              </w:rPr>
              <w:t>22,1</w:t>
            </w:r>
          </w:p>
        </w:tc>
        <w:tc>
          <w:tcPr>
            <w:tcW w:w="697" w:type="dxa"/>
            <w:tcBorders>
              <w:top w:val="nil"/>
              <w:left w:val="nil"/>
              <w:bottom w:val="nil"/>
              <w:right w:val="nil"/>
            </w:tcBorders>
            <w:shd w:val="clear" w:color="auto" w:fill="auto"/>
            <w:noWrap/>
            <w:vAlign w:val="center"/>
            <w:hideMark/>
          </w:tcPr>
          <w:p w14:paraId="7C77B94F" w14:textId="384DACF3" w:rsidR="001E3AB8" w:rsidRPr="00D92E20" w:rsidRDefault="001E3AB8" w:rsidP="001E3AB8">
            <w:pPr>
              <w:spacing w:after="0" w:line="240" w:lineRule="auto"/>
              <w:jc w:val="center"/>
              <w:rPr>
                <w:rFonts w:cs="Arial"/>
                <w:color w:val="000000"/>
                <w:sz w:val="16"/>
                <w:szCs w:val="16"/>
              </w:rPr>
            </w:pPr>
            <w:r>
              <w:rPr>
                <w:rFonts w:cs="Arial"/>
                <w:color w:val="000000"/>
                <w:sz w:val="16"/>
                <w:szCs w:val="16"/>
              </w:rPr>
              <w:t>23,1</w:t>
            </w:r>
          </w:p>
        </w:tc>
        <w:tc>
          <w:tcPr>
            <w:tcW w:w="697" w:type="dxa"/>
            <w:tcBorders>
              <w:top w:val="nil"/>
              <w:left w:val="nil"/>
              <w:bottom w:val="nil"/>
              <w:right w:val="nil"/>
            </w:tcBorders>
            <w:shd w:val="clear" w:color="auto" w:fill="auto"/>
            <w:noWrap/>
            <w:vAlign w:val="center"/>
            <w:hideMark/>
          </w:tcPr>
          <w:p w14:paraId="180D1126" w14:textId="2BE1DDC3" w:rsidR="001E3AB8" w:rsidRPr="00D92E20" w:rsidRDefault="001E3AB8" w:rsidP="001E3AB8">
            <w:pPr>
              <w:spacing w:after="0" w:line="240" w:lineRule="auto"/>
              <w:jc w:val="center"/>
              <w:rPr>
                <w:rFonts w:cs="Arial"/>
                <w:color w:val="000000"/>
                <w:sz w:val="16"/>
                <w:szCs w:val="16"/>
              </w:rPr>
            </w:pPr>
            <w:r>
              <w:rPr>
                <w:rFonts w:cs="Arial"/>
                <w:color w:val="000000"/>
                <w:sz w:val="16"/>
                <w:szCs w:val="16"/>
              </w:rPr>
              <w:t>33,9</w:t>
            </w:r>
          </w:p>
        </w:tc>
        <w:tc>
          <w:tcPr>
            <w:tcW w:w="697" w:type="dxa"/>
            <w:tcBorders>
              <w:top w:val="nil"/>
              <w:left w:val="nil"/>
              <w:bottom w:val="nil"/>
              <w:right w:val="nil"/>
            </w:tcBorders>
            <w:shd w:val="clear" w:color="auto" w:fill="auto"/>
            <w:noWrap/>
            <w:vAlign w:val="center"/>
            <w:hideMark/>
          </w:tcPr>
          <w:p w14:paraId="4857A59D" w14:textId="4F4A7781" w:rsidR="001E3AB8" w:rsidRPr="00D92E20" w:rsidRDefault="001E3AB8" w:rsidP="001E3AB8">
            <w:pPr>
              <w:spacing w:after="0" w:line="240" w:lineRule="auto"/>
              <w:jc w:val="center"/>
              <w:rPr>
                <w:rFonts w:cs="Arial"/>
                <w:color w:val="000000"/>
                <w:sz w:val="16"/>
                <w:szCs w:val="16"/>
              </w:rPr>
            </w:pPr>
            <w:r>
              <w:rPr>
                <w:rFonts w:cs="Arial"/>
                <w:color w:val="000000"/>
                <w:sz w:val="16"/>
                <w:szCs w:val="16"/>
              </w:rPr>
              <w:t>47,2</w:t>
            </w:r>
          </w:p>
        </w:tc>
      </w:tr>
      <w:tr w:rsidR="001E3AB8" w:rsidRPr="00D92E20" w14:paraId="210F9474"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78444731"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Jihočeský kraj</w:t>
            </w:r>
          </w:p>
        </w:tc>
        <w:tc>
          <w:tcPr>
            <w:tcW w:w="697" w:type="dxa"/>
            <w:tcBorders>
              <w:top w:val="nil"/>
              <w:left w:val="nil"/>
              <w:bottom w:val="nil"/>
              <w:right w:val="nil"/>
            </w:tcBorders>
            <w:shd w:val="clear" w:color="auto" w:fill="auto"/>
            <w:noWrap/>
            <w:vAlign w:val="center"/>
            <w:hideMark/>
          </w:tcPr>
          <w:p w14:paraId="6E6C2B51" w14:textId="40F93052" w:rsidR="001E3AB8" w:rsidRPr="00D92E20" w:rsidRDefault="001E3AB8" w:rsidP="001E3AB8">
            <w:pPr>
              <w:spacing w:after="0" w:line="240" w:lineRule="auto"/>
              <w:jc w:val="center"/>
              <w:rPr>
                <w:rFonts w:cs="Arial"/>
                <w:color w:val="000000"/>
                <w:sz w:val="16"/>
                <w:szCs w:val="16"/>
              </w:rPr>
            </w:pPr>
            <w:r>
              <w:rPr>
                <w:rFonts w:cs="Arial"/>
                <w:sz w:val="16"/>
                <w:szCs w:val="16"/>
              </w:rPr>
              <w:t>14,9</w:t>
            </w:r>
          </w:p>
        </w:tc>
        <w:tc>
          <w:tcPr>
            <w:tcW w:w="697" w:type="dxa"/>
            <w:tcBorders>
              <w:top w:val="nil"/>
              <w:left w:val="nil"/>
              <w:bottom w:val="nil"/>
              <w:right w:val="nil"/>
            </w:tcBorders>
            <w:shd w:val="clear" w:color="auto" w:fill="auto"/>
            <w:noWrap/>
            <w:vAlign w:val="center"/>
            <w:hideMark/>
          </w:tcPr>
          <w:p w14:paraId="46C6C0D4" w14:textId="7BBA4BB5" w:rsidR="001E3AB8" w:rsidRPr="00D92E20" w:rsidRDefault="001E3AB8" w:rsidP="001E3AB8">
            <w:pPr>
              <w:spacing w:after="0" w:line="240" w:lineRule="auto"/>
              <w:jc w:val="center"/>
              <w:rPr>
                <w:rFonts w:cs="Arial"/>
                <w:color w:val="000000"/>
                <w:sz w:val="16"/>
                <w:szCs w:val="16"/>
              </w:rPr>
            </w:pPr>
            <w:r>
              <w:rPr>
                <w:rFonts w:cs="Arial"/>
                <w:sz w:val="16"/>
                <w:szCs w:val="16"/>
              </w:rPr>
              <w:t>19,7</w:t>
            </w:r>
          </w:p>
        </w:tc>
        <w:tc>
          <w:tcPr>
            <w:tcW w:w="697" w:type="dxa"/>
            <w:tcBorders>
              <w:top w:val="nil"/>
              <w:left w:val="nil"/>
              <w:bottom w:val="nil"/>
              <w:right w:val="nil"/>
            </w:tcBorders>
            <w:shd w:val="clear" w:color="auto" w:fill="auto"/>
            <w:noWrap/>
            <w:vAlign w:val="center"/>
            <w:hideMark/>
          </w:tcPr>
          <w:p w14:paraId="51E06F57" w14:textId="0FF47AE9" w:rsidR="001E3AB8" w:rsidRPr="00D92E20" w:rsidRDefault="001E3AB8" w:rsidP="001E3AB8">
            <w:pPr>
              <w:spacing w:after="0" w:line="240" w:lineRule="auto"/>
              <w:jc w:val="center"/>
              <w:rPr>
                <w:rFonts w:cs="Arial"/>
                <w:color w:val="000000"/>
                <w:sz w:val="16"/>
                <w:szCs w:val="16"/>
              </w:rPr>
            </w:pPr>
            <w:r>
              <w:rPr>
                <w:rFonts w:cs="Arial"/>
                <w:sz w:val="16"/>
                <w:szCs w:val="16"/>
              </w:rPr>
              <w:t>17,1</w:t>
            </w:r>
          </w:p>
        </w:tc>
        <w:tc>
          <w:tcPr>
            <w:tcW w:w="697" w:type="dxa"/>
            <w:tcBorders>
              <w:top w:val="nil"/>
              <w:left w:val="nil"/>
              <w:bottom w:val="nil"/>
              <w:right w:val="nil"/>
            </w:tcBorders>
            <w:shd w:val="clear" w:color="auto" w:fill="auto"/>
            <w:noWrap/>
            <w:vAlign w:val="center"/>
            <w:hideMark/>
          </w:tcPr>
          <w:p w14:paraId="2A1C2CC8" w14:textId="19617538" w:rsidR="001E3AB8" w:rsidRPr="00D92E20" w:rsidRDefault="001E3AB8" w:rsidP="001E3AB8">
            <w:pPr>
              <w:spacing w:after="0" w:line="240" w:lineRule="auto"/>
              <w:jc w:val="center"/>
              <w:rPr>
                <w:rFonts w:cs="Arial"/>
                <w:color w:val="000000"/>
                <w:sz w:val="16"/>
                <w:szCs w:val="16"/>
              </w:rPr>
            </w:pPr>
            <w:r>
              <w:rPr>
                <w:rFonts w:cs="Arial"/>
                <w:sz w:val="16"/>
                <w:szCs w:val="16"/>
              </w:rPr>
              <w:t>22,4</w:t>
            </w:r>
          </w:p>
        </w:tc>
        <w:tc>
          <w:tcPr>
            <w:tcW w:w="697" w:type="dxa"/>
            <w:tcBorders>
              <w:top w:val="nil"/>
              <w:left w:val="nil"/>
              <w:bottom w:val="nil"/>
              <w:right w:val="nil"/>
            </w:tcBorders>
            <w:shd w:val="clear" w:color="auto" w:fill="auto"/>
            <w:noWrap/>
            <w:vAlign w:val="center"/>
            <w:hideMark/>
          </w:tcPr>
          <w:p w14:paraId="15EEB5C6" w14:textId="40B50FFC" w:rsidR="001E3AB8" w:rsidRPr="00D92E20" w:rsidRDefault="001E3AB8" w:rsidP="001E3AB8">
            <w:pPr>
              <w:spacing w:after="0" w:line="240" w:lineRule="auto"/>
              <w:jc w:val="center"/>
              <w:rPr>
                <w:rFonts w:cs="Arial"/>
                <w:color w:val="000000"/>
                <w:sz w:val="16"/>
                <w:szCs w:val="16"/>
              </w:rPr>
            </w:pPr>
            <w:r>
              <w:rPr>
                <w:rFonts w:cs="Arial"/>
                <w:color w:val="000000"/>
                <w:sz w:val="16"/>
                <w:szCs w:val="16"/>
              </w:rPr>
              <w:t>21,9</w:t>
            </w:r>
          </w:p>
        </w:tc>
        <w:tc>
          <w:tcPr>
            <w:tcW w:w="697" w:type="dxa"/>
            <w:tcBorders>
              <w:top w:val="nil"/>
              <w:left w:val="nil"/>
              <w:bottom w:val="nil"/>
              <w:right w:val="nil"/>
            </w:tcBorders>
            <w:shd w:val="clear" w:color="auto" w:fill="auto"/>
            <w:noWrap/>
            <w:vAlign w:val="center"/>
            <w:hideMark/>
          </w:tcPr>
          <w:p w14:paraId="01C01A7D" w14:textId="2B5BD3E3" w:rsidR="001E3AB8" w:rsidRPr="00D92E20" w:rsidRDefault="001E3AB8" w:rsidP="001E3AB8">
            <w:pPr>
              <w:spacing w:after="0" w:line="240" w:lineRule="auto"/>
              <w:jc w:val="center"/>
              <w:rPr>
                <w:rFonts w:cs="Arial"/>
                <w:color w:val="000000"/>
                <w:sz w:val="16"/>
                <w:szCs w:val="16"/>
              </w:rPr>
            </w:pPr>
            <w:r>
              <w:rPr>
                <w:rFonts w:cs="Arial"/>
                <w:color w:val="000000"/>
                <w:sz w:val="16"/>
                <w:szCs w:val="16"/>
              </w:rPr>
              <w:t>23,3</w:t>
            </w:r>
          </w:p>
        </w:tc>
        <w:tc>
          <w:tcPr>
            <w:tcW w:w="697" w:type="dxa"/>
            <w:tcBorders>
              <w:top w:val="nil"/>
              <w:left w:val="nil"/>
              <w:bottom w:val="nil"/>
              <w:right w:val="nil"/>
            </w:tcBorders>
            <w:shd w:val="clear" w:color="auto" w:fill="auto"/>
            <w:noWrap/>
            <w:vAlign w:val="center"/>
            <w:hideMark/>
          </w:tcPr>
          <w:p w14:paraId="41C4F1AC" w14:textId="323ADB49" w:rsidR="001E3AB8" w:rsidRPr="00D92E20" w:rsidRDefault="001E3AB8" w:rsidP="001E3AB8">
            <w:pPr>
              <w:spacing w:after="0" w:line="240" w:lineRule="auto"/>
              <w:jc w:val="center"/>
              <w:rPr>
                <w:rFonts w:cs="Arial"/>
                <w:color w:val="000000"/>
                <w:sz w:val="16"/>
                <w:szCs w:val="16"/>
              </w:rPr>
            </w:pPr>
            <w:r>
              <w:rPr>
                <w:rFonts w:cs="Arial"/>
                <w:color w:val="000000"/>
                <w:sz w:val="16"/>
                <w:szCs w:val="16"/>
              </w:rPr>
              <w:t>24,8</w:t>
            </w:r>
          </w:p>
        </w:tc>
        <w:tc>
          <w:tcPr>
            <w:tcW w:w="697" w:type="dxa"/>
            <w:tcBorders>
              <w:top w:val="nil"/>
              <w:left w:val="nil"/>
              <w:bottom w:val="nil"/>
              <w:right w:val="nil"/>
            </w:tcBorders>
            <w:shd w:val="clear" w:color="auto" w:fill="auto"/>
            <w:noWrap/>
            <w:vAlign w:val="center"/>
            <w:hideMark/>
          </w:tcPr>
          <w:p w14:paraId="3B78192C" w14:textId="42DC78E3" w:rsidR="001E3AB8" w:rsidRPr="00D92E20" w:rsidRDefault="001E3AB8" w:rsidP="001E3AB8">
            <w:pPr>
              <w:spacing w:after="0" w:line="240" w:lineRule="auto"/>
              <w:jc w:val="center"/>
              <w:rPr>
                <w:rFonts w:cs="Arial"/>
                <w:color w:val="000000"/>
                <w:sz w:val="16"/>
                <w:szCs w:val="16"/>
              </w:rPr>
            </w:pPr>
            <w:r>
              <w:rPr>
                <w:rFonts w:cs="Arial"/>
                <w:color w:val="000000"/>
                <w:sz w:val="16"/>
                <w:szCs w:val="16"/>
              </w:rPr>
              <w:t>22,6</w:t>
            </w:r>
          </w:p>
        </w:tc>
        <w:tc>
          <w:tcPr>
            <w:tcW w:w="697" w:type="dxa"/>
            <w:tcBorders>
              <w:top w:val="nil"/>
              <w:left w:val="nil"/>
              <w:bottom w:val="nil"/>
              <w:right w:val="nil"/>
            </w:tcBorders>
            <w:shd w:val="clear" w:color="auto" w:fill="auto"/>
            <w:noWrap/>
            <w:vAlign w:val="center"/>
            <w:hideMark/>
          </w:tcPr>
          <w:p w14:paraId="096A749F" w14:textId="3D748C9C" w:rsidR="001E3AB8" w:rsidRPr="00D92E20" w:rsidRDefault="001E3AB8" w:rsidP="001E3AB8">
            <w:pPr>
              <w:spacing w:after="0" w:line="240" w:lineRule="auto"/>
              <w:jc w:val="center"/>
              <w:rPr>
                <w:rFonts w:cs="Arial"/>
                <w:color w:val="000000"/>
                <w:sz w:val="16"/>
                <w:szCs w:val="16"/>
              </w:rPr>
            </w:pPr>
            <w:r>
              <w:rPr>
                <w:rFonts w:cs="Arial"/>
                <w:color w:val="000000"/>
                <w:sz w:val="16"/>
                <w:szCs w:val="16"/>
              </w:rPr>
              <w:t>24,5</w:t>
            </w:r>
          </w:p>
        </w:tc>
        <w:tc>
          <w:tcPr>
            <w:tcW w:w="697" w:type="dxa"/>
            <w:tcBorders>
              <w:top w:val="nil"/>
              <w:left w:val="nil"/>
              <w:bottom w:val="nil"/>
              <w:right w:val="nil"/>
            </w:tcBorders>
            <w:shd w:val="clear" w:color="auto" w:fill="auto"/>
            <w:noWrap/>
            <w:vAlign w:val="center"/>
            <w:hideMark/>
          </w:tcPr>
          <w:p w14:paraId="54089DC0" w14:textId="170B798B" w:rsidR="001E3AB8" w:rsidRPr="00D92E20" w:rsidRDefault="001E3AB8" w:rsidP="001E3AB8">
            <w:pPr>
              <w:spacing w:after="0" w:line="240" w:lineRule="auto"/>
              <w:jc w:val="center"/>
              <w:rPr>
                <w:rFonts w:cs="Arial"/>
                <w:color w:val="000000"/>
                <w:sz w:val="16"/>
                <w:szCs w:val="16"/>
              </w:rPr>
            </w:pPr>
            <w:r>
              <w:rPr>
                <w:rFonts w:cs="Arial"/>
                <w:color w:val="000000"/>
                <w:sz w:val="16"/>
                <w:szCs w:val="16"/>
              </w:rPr>
              <w:t>33,1</w:t>
            </w:r>
          </w:p>
        </w:tc>
        <w:tc>
          <w:tcPr>
            <w:tcW w:w="697" w:type="dxa"/>
            <w:tcBorders>
              <w:top w:val="nil"/>
              <w:left w:val="nil"/>
              <w:bottom w:val="nil"/>
              <w:right w:val="nil"/>
            </w:tcBorders>
            <w:shd w:val="clear" w:color="auto" w:fill="auto"/>
            <w:noWrap/>
            <w:vAlign w:val="center"/>
            <w:hideMark/>
          </w:tcPr>
          <w:p w14:paraId="6998AC1C" w14:textId="46F7F72E" w:rsidR="001E3AB8" w:rsidRPr="00D92E20" w:rsidRDefault="001E3AB8" w:rsidP="001E3AB8">
            <w:pPr>
              <w:spacing w:after="0" w:line="240" w:lineRule="auto"/>
              <w:jc w:val="center"/>
              <w:rPr>
                <w:rFonts w:cs="Arial"/>
                <w:color w:val="000000"/>
                <w:sz w:val="16"/>
                <w:szCs w:val="16"/>
              </w:rPr>
            </w:pPr>
            <w:r>
              <w:rPr>
                <w:rFonts w:cs="Arial"/>
                <w:color w:val="000000"/>
                <w:sz w:val="16"/>
                <w:szCs w:val="16"/>
              </w:rPr>
              <w:t>47,1</w:t>
            </w:r>
          </w:p>
        </w:tc>
      </w:tr>
      <w:tr w:rsidR="001E3AB8" w:rsidRPr="00D92E20" w14:paraId="28924A07"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6DBED74B"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Plzeňský kraj</w:t>
            </w:r>
          </w:p>
        </w:tc>
        <w:tc>
          <w:tcPr>
            <w:tcW w:w="697" w:type="dxa"/>
            <w:tcBorders>
              <w:top w:val="nil"/>
              <w:left w:val="nil"/>
              <w:bottom w:val="nil"/>
              <w:right w:val="nil"/>
            </w:tcBorders>
            <w:shd w:val="clear" w:color="auto" w:fill="auto"/>
            <w:noWrap/>
            <w:vAlign w:val="center"/>
            <w:hideMark/>
          </w:tcPr>
          <w:p w14:paraId="4D563814" w14:textId="75794644" w:rsidR="001E3AB8" w:rsidRPr="00D92E20" w:rsidRDefault="001E3AB8" w:rsidP="001E3AB8">
            <w:pPr>
              <w:spacing w:after="0" w:line="240" w:lineRule="auto"/>
              <w:jc w:val="center"/>
              <w:rPr>
                <w:rFonts w:cs="Arial"/>
                <w:color w:val="000000"/>
                <w:sz w:val="16"/>
                <w:szCs w:val="16"/>
              </w:rPr>
            </w:pPr>
            <w:r>
              <w:rPr>
                <w:rFonts w:cs="Arial"/>
                <w:sz w:val="16"/>
                <w:szCs w:val="16"/>
              </w:rPr>
              <w:t>15,9</w:t>
            </w:r>
          </w:p>
        </w:tc>
        <w:tc>
          <w:tcPr>
            <w:tcW w:w="697" w:type="dxa"/>
            <w:tcBorders>
              <w:top w:val="nil"/>
              <w:left w:val="nil"/>
              <w:bottom w:val="nil"/>
              <w:right w:val="nil"/>
            </w:tcBorders>
            <w:shd w:val="clear" w:color="auto" w:fill="auto"/>
            <w:noWrap/>
            <w:vAlign w:val="center"/>
            <w:hideMark/>
          </w:tcPr>
          <w:p w14:paraId="7FB23D64" w14:textId="62F83825" w:rsidR="001E3AB8" w:rsidRPr="00D92E20" w:rsidRDefault="001E3AB8" w:rsidP="001E3AB8">
            <w:pPr>
              <w:spacing w:after="0" w:line="240" w:lineRule="auto"/>
              <w:jc w:val="center"/>
              <w:rPr>
                <w:rFonts w:cs="Arial"/>
                <w:color w:val="000000"/>
                <w:sz w:val="16"/>
                <w:szCs w:val="16"/>
              </w:rPr>
            </w:pPr>
            <w:r>
              <w:rPr>
                <w:rFonts w:cs="Arial"/>
                <w:sz w:val="16"/>
                <w:szCs w:val="16"/>
              </w:rPr>
              <w:t>19,8</w:t>
            </w:r>
          </w:p>
        </w:tc>
        <w:tc>
          <w:tcPr>
            <w:tcW w:w="697" w:type="dxa"/>
            <w:tcBorders>
              <w:top w:val="nil"/>
              <w:left w:val="nil"/>
              <w:bottom w:val="nil"/>
              <w:right w:val="nil"/>
            </w:tcBorders>
            <w:shd w:val="clear" w:color="auto" w:fill="auto"/>
            <w:noWrap/>
            <w:vAlign w:val="center"/>
            <w:hideMark/>
          </w:tcPr>
          <w:p w14:paraId="73EA1545" w14:textId="6F72661A" w:rsidR="001E3AB8" w:rsidRPr="00D92E20" w:rsidRDefault="001E3AB8" w:rsidP="001E3AB8">
            <w:pPr>
              <w:spacing w:after="0" w:line="240" w:lineRule="auto"/>
              <w:jc w:val="center"/>
              <w:rPr>
                <w:rFonts w:cs="Arial"/>
                <w:color w:val="000000"/>
                <w:sz w:val="16"/>
                <w:szCs w:val="16"/>
              </w:rPr>
            </w:pPr>
            <w:r>
              <w:rPr>
                <w:rFonts w:cs="Arial"/>
                <w:sz w:val="16"/>
                <w:szCs w:val="16"/>
              </w:rPr>
              <w:t>18,2</w:t>
            </w:r>
          </w:p>
        </w:tc>
        <w:tc>
          <w:tcPr>
            <w:tcW w:w="697" w:type="dxa"/>
            <w:tcBorders>
              <w:top w:val="nil"/>
              <w:left w:val="nil"/>
              <w:bottom w:val="nil"/>
              <w:right w:val="nil"/>
            </w:tcBorders>
            <w:shd w:val="clear" w:color="auto" w:fill="auto"/>
            <w:noWrap/>
            <w:vAlign w:val="center"/>
            <w:hideMark/>
          </w:tcPr>
          <w:p w14:paraId="763EE04A" w14:textId="01C32081" w:rsidR="001E3AB8" w:rsidRPr="00D92E20" w:rsidRDefault="001E3AB8" w:rsidP="001E3AB8">
            <w:pPr>
              <w:spacing w:after="0" w:line="240" w:lineRule="auto"/>
              <w:jc w:val="center"/>
              <w:rPr>
                <w:rFonts w:cs="Arial"/>
                <w:color w:val="000000"/>
                <w:sz w:val="16"/>
                <w:szCs w:val="16"/>
              </w:rPr>
            </w:pPr>
            <w:r>
              <w:rPr>
                <w:rFonts w:cs="Arial"/>
                <w:sz w:val="16"/>
                <w:szCs w:val="16"/>
              </w:rPr>
              <w:t>24,0</w:t>
            </w:r>
          </w:p>
        </w:tc>
        <w:tc>
          <w:tcPr>
            <w:tcW w:w="697" w:type="dxa"/>
            <w:tcBorders>
              <w:top w:val="nil"/>
              <w:left w:val="nil"/>
              <w:bottom w:val="nil"/>
              <w:right w:val="nil"/>
            </w:tcBorders>
            <w:shd w:val="clear" w:color="auto" w:fill="auto"/>
            <w:noWrap/>
            <w:vAlign w:val="center"/>
            <w:hideMark/>
          </w:tcPr>
          <w:p w14:paraId="652F6A32" w14:textId="04BBA612" w:rsidR="001E3AB8" w:rsidRPr="00D92E20" w:rsidRDefault="001E3AB8" w:rsidP="001E3AB8">
            <w:pPr>
              <w:spacing w:after="0" w:line="240" w:lineRule="auto"/>
              <w:jc w:val="center"/>
              <w:rPr>
                <w:rFonts w:cs="Arial"/>
                <w:color w:val="000000"/>
                <w:sz w:val="16"/>
                <w:szCs w:val="16"/>
              </w:rPr>
            </w:pPr>
            <w:r>
              <w:rPr>
                <w:rFonts w:cs="Arial"/>
                <w:color w:val="000000"/>
                <w:sz w:val="16"/>
                <w:szCs w:val="16"/>
              </w:rPr>
              <w:t>22,8</w:t>
            </w:r>
          </w:p>
        </w:tc>
        <w:tc>
          <w:tcPr>
            <w:tcW w:w="697" w:type="dxa"/>
            <w:tcBorders>
              <w:top w:val="nil"/>
              <w:left w:val="nil"/>
              <w:bottom w:val="nil"/>
              <w:right w:val="nil"/>
            </w:tcBorders>
            <w:shd w:val="clear" w:color="auto" w:fill="auto"/>
            <w:noWrap/>
            <w:vAlign w:val="center"/>
            <w:hideMark/>
          </w:tcPr>
          <w:p w14:paraId="6709EEFB" w14:textId="5675AF0D" w:rsidR="001E3AB8" w:rsidRPr="00D92E20" w:rsidRDefault="001E3AB8" w:rsidP="001E3AB8">
            <w:pPr>
              <w:spacing w:after="0" w:line="240" w:lineRule="auto"/>
              <w:jc w:val="center"/>
              <w:rPr>
                <w:rFonts w:cs="Arial"/>
                <w:color w:val="000000"/>
                <w:sz w:val="16"/>
                <w:szCs w:val="16"/>
              </w:rPr>
            </w:pPr>
            <w:r>
              <w:rPr>
                <w:rFonts w:cs="Arial"/>
                <w:color w:val="000000"/>
                <w:sz w:val="16"/>
                <w:szCs w:val="16"/>
              </w:rPr>
              <w:t>24,5</w:t>
            </w:r>
          </w:p>
        </w:tc>
        <w:tc>
          <w:tcPr>
            <w:tcW w:w="697" w:type="dxa"/>
            <w:tcBorders>
              <w:top w:val="nil"/>
              <w:left w:val="nil"/>
              <w:bottom w:val="nil"/>
              <w:right w:val="nil"/>
            </w:tcBorders>
            <w:shd w:val="clear" w:color="auto" w:fill="auto"/>
            <w:noWrap/>
            <w:vAlign w:val="center"/>
            <w:hideMark/>
          </w:tcPr>
          <w:p w14:paraId="032205D4" w14:textId="796391F6" w:rsidR="001E3AB8" w:rsidRPr="00D92E20" w:rsidRDefault="001E3AB8" w:rsidP="001E3AB8">
            <w:pPr>
              <w:spacing w:after="0" w:line="240" w:lineRule="auto"/>
              <w:jc w:val="center"/>
              <w:rPr>
                <w:rFonts w:cs="Arial"/>
                <w:color w:val="000000"/>
                <w:sz w:val="16"/>
                <w:szCs w:val="16"/>
              </w:rPr>
            </w:pPr>
            <w:r>
              <w:rPr>
                <w:rFonts w:cs="Arial"/>
                <w:color w:val="000000"/>
                <w:sz w:val="16"/>
                <w:szCs w:val="16"/>
              </w:rPr>
              <w:t>26,2</w:t>
            </w:r>
          </w:p>
        </w:tc>
        <w:tc>
          <w:tcPr>
            <w:tcW w:w="697" w:type="dxa"/>
            <w:tcBorders>
              <w:top w:val="nil"/>
              <w:left w:val="nil"/>
              <w:bottom w:val="nil"/>
              <w:right w:val="nil"/>
            </w:tcBorders>
            <w:shd w:val="clear" w:color="auto" w:fill="auto"/>
            <w:noWrap/>
            <w:vAlign w:val="center"/>
            <w:hideMark/>
          </w:tcPr>
          <w:p w14:paraId="4B46460B" w14:textId="62845D94" w:rsidR="001E3AB8" w:rsidRPr="00D92E20" w:rsidRDefault="001E3AB8" w:rsidP="001E3AB8">
            <w:pPr>
              <w:spacing w:after="0" w:line="240" w:lineRule="auto"/>
              <w:jc w:val="center"/>
              <w:rPr>
                <w:rFonts w:cs="Arial"/>
                <w:color w:val="000000"/>
                <w:sz w:val="16"/>
                <w:szCs w:val="16"/>
              </w:rPr>
            </w:pPr>
            <w:r>
              <w:rPr>
                <w:rFonts w:cs="Arial"/>
                <w:color w:val="000000"/>
                <w:sz w:val="16"/>
                <w:szCs w:val="16"/>
              </w:rPr>
              <w:t>24,1</w:t>
            </w:r>
          </w:p>
        </w:tc>
        <w:tc>
          <w:tcPr>
            <w:tcW w:w="697" w:type="dxa"/>
            <w:tcBorders>
              <w:top w:val="nil"/>
              <w:left w:val="nil"/>
              <w:bottom w:val="nil"/>
              <w:right w:val="nil"/>
            </w:tcBorders>
            <w:shd w:val="clear" w:color="auto" w:fill="auto"/>
            <w:noWrap/>
            <w:vAlign w:val="center"/>
            <w:hideMark/>
          </w:tcPr>
          <w:p w14:paraId="61F9FE65" w14:textId="223AFC6D" w:rsidR="001E3AB8" w:rsidRPr="00D92E20" w:rsidRDefault="001E3AB8" w:rsidP="001E3AB8">
            <w:pPr>
              <w:spacing w:after="0" w:line="240" w:lineRule="auto"/>
              <w:jc w:val="center"/>
              <w:rPr>
                <w:rFonts w:cs="Arial"/>
                <w:color w:val="000000"/>
                <w:sz w:val="16"/>
                <w:szCs w:val="16"/>
              </w:rPr>
            </w:pPr>
            <w:r>
              <w:rPr>
                <w:rFonts w:cs="Arial"/>
                <w:color w:val="000000"/>
                <w:sz w:val="16"/>
                <w:szCs w:val="16"/>
              </w:rPr>
              <w:t>25,4</w:t>
            </w:r>
          </w:p>
        </w:tc>
        <w:tc>
          <w:tcPr>
            <w:tcW w:w="697" w:type="dxa"/>
            <w:tcBorders>
              <w:top w:val="nil"/>
              <w:left w:val="nil"/>
              <w:bottom w:val="nil"/>
              <w:right w:val="nil"/>
            </w:tcBorders>
            <w:shd w:val="clear" w:color="auto" w:fill="auto"/>
            <w:noWrap/>
            <w:vAlign w:val="center"/>
            <w:hideMark/>
          </w:tcPr>
          <w:p w14:paraId="4EA156D6" w14:textId="38C5D81A" w:rsidR="001E3AB8" w:rsidRPr="00D92E20" w:rsidRDefault="001E3AB8" w:rsidP="001E3AB8">
            <w:pPr>
              <w:spacing w:after="0" w:line="240" w:lineRule="auto"/>
              <w:jc w:val="center"/>
              <w:rPr>
                <w:rFonts w:cs="Arial"/>
                <w:color w:val="000000"/>
                <w:sz w:val="16"/>
                <w:szCs w:val="16"/>
              </w:rPr>
            </w:pPr>
            <w:r>
              <w:rPr>
                <w:rFonts w:cs="Arial"/>
                <w:color w:val="000000"/>
                <w:sz w:val="16"/>
                <w:szCs w:val="16"/>
              </w:rPr>
              <w:t>37,3</w:t>
            </w:r>
          </w:p>
        </w:tc>
        <w:tc>
          <w:tcPr>
            <w:tcW w:w="697" w:type="dxa"/>
            <w:tcBorders>
              <w:top w:val="nil"/>
              <w:left w:val="nil"/>
              <w:bottom w:val="nil"/>
              <w:right w:val="nil"/>
            </w:tcBorders>
            <w:shd w:val="clear" w:color="auto" w:fill="auto"/>
            <w:noWrap/>
            <w:vAlign w:val="center"/>
            <w:hideMark/>
          </w:tcPr>
          <w:p w14:paraId="1E8D2A08" w14:textId="39AEADAC" w:rsidR="001E3AB8" w:rsidRPr="00D92E20" w:rsidRDefault="001E3AB8" w:rsidP="001E3AB8">
            <w:pPr>
              <w:spacing w:after="0" w:line="240" w:lineRule="auto"/>
              <w:jc w:val="center"/>
              <w:rPr>
                <w:rFonts w:cs="Arial"/>
                <w:color w:val="000000"/>
                <w:sz w:val="16"/>
                <w:szCs w:val="16"/>
              </w:rPr>
            </w:pPr>
            <w:r>
              <w:rPr>
                <w:rFonts w:cs="Arial"/>
                <w:color w:val="000000"/>
                <w:sz w:val="16"/>
                <w:szCs w:val="16"/>
              </w:rPr>
              <w:t>50,4</w:t>
            </w:r>
          </w:p>
        </w:tc>
      </w:tr>
      <w:tr w:rsidR="001E3AB8" w:rsidRPr="00D92E20" w14:paraId="1628DC7C"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0F2EAF36"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Karlovarský kraj</w:t>
            </w:r>
          </w:p>
        </w:tc>
        <w:tc>
          <w:tcPr>
            <w:tcW w:w="697" w:type="dxa"/>
            <w:tcBorders>
              <w:top w:val="nil"/>
              <w:left w:val="nil"/>
              <w:bottom w:val="nil"/>
              <w:right w:val="nil"/>
            </w:tcBorders>
            <w:shd w:val="clear" w:color="auto" w:fill="auto"/>
            <w:noWrap/>
            <w:vAlign w:val="center"/>
            <w:hideMark/>
          </w:tcPr>
          <w:p w14:paraId="0D0454BB" w14:textId="074FF05D" w:rsidR="001E3AB8" w:rsidRPr="00D92E20" w:rsidRDefault="001E3AB8" w:rsidP="001E3AB8">
            <w:pPr>
              <w:spacing w:after="0" w:line="240" w:lineRule="auto"/>
              <w:jc w:val="center"/>
              <w:rPr>
                <w:rFonts w:cs="Arial"/>
                <w:color w:val="000000"/>
                <w:sz w:val="16"/>
                <w:szCs w:val="16"/>
              </w:rPr>
            </w:pPr>
            <w:r>
              <w:rPr>
                <w:rFonts w:cs="Arial"/>
                <w:sz w:val="16"/>
                <w:szCs w:val="16"/>
              </w:rPr>
              <w:t>15,3</w:t>
            </w:r>
          </w:p>
        </w:tc>
        <w:tc>
          <w:tcPr>
            <w:tcW w:w="697" w:type="dxa"/>
            <w:tcBorders>
              <w:top w:val="nil"/>
              <w:left w:val="nil"/>
              <w:bottom w:val="nil"/>
              <w:right w:val="nil"/>
            </w:tcBorders>
            <w:shd w:val="clear" w:color="auto" w:fill="auto"/>
            <w:noWrap/>
            <w:vAlign w:val="center"/>
            <w:hideMark/>
          </w:tcPr>
          <w:p w14:paraId="7A33408E" w14:textId="37B61C5C" w:rsidR="001E3AB8" w:rsidRPr="00D92E20" w:rsidRDefault="001E3AB8" w:rsidP="001E3AB8">
            <w:pPr>
              <w:spacing w:after="0" w:line="240" w:lineRule="auto"/>
              <w:jc w:val="center"/>
              <w:rPr>
                <w:rFonts w:cs="Arial"/>
                <w:color w:val="000000"/>
                <w:sz w:val="16"/>
                <w:szCs w:val="16"/>
              </w:rPr>
            </w:pPr>
            <w:r>
              <w:rPr>
                <w:rFonts w:cs="Arial"/>
                <w:sz w:val="16"/>
                <w:szCs w:val="16"/>
              </w:rPr>
              <w:t>18,4</w:t>
            </w:r>
          </w:p>
        </w:tc>
        <w:tc>
          <w:tcPr>
            <w:tcW w:w="697" w:type="dxa"/>
            <w:tcBorders>
              <w:top w:val="nil"/>
              <w:left w:val="nil"/>
              <w:bottom w:val="nil"/>
              <w:right w:val="nil"/>
            </w:tcBorders>
            <w:shd w:val="clear" w:color="auto" w:fill="auto"/>
            <w:noWrap/>
            <w:vAlign w:val="center"/>
            <w:hideMark/>
          </w:tcPr>
          <w:p w14:paraId="1B407163" w14:textId="7CDD4C2A" w:rsidR="001E3AB8" w:rsidRPr="00D92E20" w:rsidRDefault="001E3AB8" w:rsidP="001E3AB8">
            <w:pPr>
              <w:spacing w:after="0" w:line="240" w:lineRule="auto"/>
              <w:jc w:val="center"/>
              <w:rPr>
                <w:rFonts w:cs="Arial"/>
                <w:color w:val="000000"/>
                <w:sz w:val="16"/>
                <w:szCs w:val="16"/>
              </w:rPr>
            </w:pPr>
            <w:r>
              <w:rPr>
                <w:rFonts w:cs="Arial"/>
                <w:sz w:val="16"/>
                <w:szCs w:val="16"/>
              </w:rPr>
              <w:t>17,7</w:t>
            </w:r>
          </w:p>
        </w:tc>
        <w:tc>
          <w:tcPr>
            <w:tcW w:w="697" w:type="dxa"/>
            <w:tcBorders>
              <w:top w:val="nil"/>
              <w:left w:val="nil"/>
              <w:bottom w:val="nil"/>
              <w:right w:val="nil"/>
            </w:tcBorders>
            <w:shd w:val="clear" w:color="auto" w:fill="auto"/>
            <w:noWrap/>
            <w:vAlign w:val="center"/>
            <w:hideMark/>
          </w:tcPr>
          <w:p w14:paraId="124AA8BA" w14:textId="6AF78471" w:rsidR="001E3AB8" w:rsidRPr="00D92E20" w:rsidRDefault="001E3AB8" w:rsidP="001E3AB8">
            <w:pPr>
              <w:spacing w:after="0" w:line="240" w:lineRule="auto"/>
              <w:jc w:val="center"/>
              <w:rPr>
                <w:rFonts w:cs="Arial"/>
                <w:color w:val="000000"/>
                <w:sz w:val="16"/>
                <w:szCs w:val="16"/>
              </w:rPr>
            </w:pPr>
            <w:r>
              <w:rPr>
                <w:rFonts w:cs="Arial"/>
                <w:sz w:val="16"/>
                <w:szCs w:val="16"/>
              </w:rPr>
              <w:t>23,2</w:t>
            </w:r>
          </w:p>
        </w:tc>
        <w:tc>
          <w:tcPr>
            <w:tcW w:w="697" w:type="dxa"/>
            <w:tcBorders>
              <w:top w:val="nil"/>
              <w:left w:val="nil"/>
              <w:bottom w:val="nil"/>
              <w:right w:val="nil"/>
            </w:tcBorders>
            <w:shd w:val="clear" w:color="auto" w:fill="auto"/>
            <w:noWrap/>
            <w:vAlign w:val="center"/>
            <w:hideMark/>
          </w:tcPr>
          <w:p w14:paraId="55379F2B" w14:textId="1A0D3404" w:rsidR="001E3AB8" w:rsidRPr="00D92E20" w:rsidRDefault="001E3AB8" w:rsidP="001E3AB8">
            <w:pPr>
              <w:spacing w:after="0" w:line="240" w:lineRule="auto"/>
              <w:jc w:val="center"/>
              <w:rPr>
                <w:rFonts w:cs="Arial"/>
                <w:color w:val="000000"/>
                <w:sz w:val="16"/>
                <w:szCs w:val="16"/>
              </w:rPr>
            </w:pPr>
            <w:r>
              <w:rPr>
                <w:rFonts w:cs="Arial"/>
                <w:color w:val="000000"/>
                <w:sz w:val="16"/>
                <w:szCs w:val="16"/>
              </w:rPr>
              <w:t>22,1</w:t>
            </w:r>
          </w:p>
        </w:tc>
        <w:tc>
          <w:tcPr>
            <w:tcW w:w="697" w:type="dxa"/>
            <w:tcBorders>
              <w:top w:val="nil"/>
              <w:left w:val="nil"/>
              <w:bottom w:val="nil"/>
              <w:right w:val="nil"/>
            </w:tcBorders>
            <w:shd w:val="clear" w:color="auto" w:fill="auto"/>
            <w:noWrap/>
            <w:vAlign w:val="center"/>
            <w:hideMark/>
          </w:tcPr>
          <w:p w14:paraId="51E205EB" w14:textId="6BAF625C" w:rsidR="001E3AB8" w:rsidRPr="00D92E20" w:rsidRDefault="001E3AB8" w:rsidP="001E3AB8">
            <w:pPr>
              <w:spacing w:after="0" w:line="240" w:lineRule="auto"/>
              <w:jc w:val="center"/>
              <w:rPr>
                <w:rFonts w:cs="Arial"/>
                <w:color w:val="000000"/>
                <w:sz w:val="16"/>
                <w:szCs w:val="16"/>
              </w:rPr>
            </w:pPr>
            <w:r>
              <w:rPr>
                <w:rFonts w:cs="Arial"/>
                <w:color w:val="000000"/>
                <w:sz w:val="16"/>
                <w:szCs w:val="16"/>
              </w:rPr>
              <w:t>23,2</w:t>
            </w:r>
          </w:p>
        </w:tc>
        <w:tc>
          <w:tcPr>
            <w:tcW w:w="697" w:type="dxa"/>
            <w:tcBorders>
              <w:top w:val="nil"/>
              <w:left w:val="nil"/>
              <w:bottom w:val="nil"/>
              <w:right w:val="nil"/>
            </w:tcBorders>
            <w:shd w:val="clear" w:color="auto" w:fill="auto"/>
            <w:noWrap/>
            <w:vAlign w:val="center"/>
            <w:hideMark/>
          </w:tcPr>
          <w:p w14:paraId="6709E548" w14:textId="0FB051BF" w:rsidR="001E3AB8" w:rsidRPr="00D92E20" w:rsidRDefault="001E3AB8" w:rsidP="001E3AB8">
            <w:pPr>
              <w:spacing w:after="0" w:line="240" w:lineRule="auto"/>
              <w:jc w:val="center"/>
              <w:rPr>
                <w:rFonts w:cs="Arial"/>
                <w:color w:val="000000"/>
                <w:sz w:val="16"/>
                <w:szCs w:val="16"/>
              </w:rPr>
            </w:pPr>
            <w:r>
              <w:rPr>
                <w:rFonts w:cs="Arial"/>
                <w:color w:val="000000"/>
                <w:sz w:val="16"/>
                <w:szCs w:val="16"/>
              </w:rPr>
              <w:t>25,4</w:t>
            </w:r>
          </w:p>
        </w:tc>
        <w:tc>
          <w:tcPr>
            <w:tcW w:w="697" w:type="dxa"/>
            <w:tcBorders>
              <w:top w:val="nil"/>
              <w:left w:val="nil"/>
              <w:bottom w:val="nil"/>
              <w:right w:val="nil"/>
            </w:tcBorders>
            <w:shd w:val="clear" w:color="auto" w:fill="auto"/>
            <w:noWrap/>
            <w:vAlign w:val="center"/>
            <w:hideMark/>
          </w:tcPr>
          <w:p w14:paraId="01ADDDFE" w14:textId="077F7420" w:rsidR="001E3AB8" w:rsidRPr="00D92E20" w:rsidRDefault="001E3AB8" w:rsidP="001E3AB8">
            <w:pPr>
              <w:spacing w:after="0" w:line="240" w:lineRule="auto"/>
              <w:jc w:val="center"/>
              <w:rPr>
                <w:rFonts w:cs="Arial"/>
                <w:color w:val="000000"/>
                <w:sz w:val="16"/>
                <w:szCs w:val="16"/>
              </w:rPr>
            </w:pPr>
            <w:r>
              <w:rPr>
                <w:rFonts w:cs="Arial"/>
                <w:color w:val="000000"/>
                <w:sz w:val="16"/>
                <w:szCs w:val="16"/>
              </w:rPr>
              <w:t>23,3</w:t>
            </w:r>
          </w:p>
        </w:tc>
        <w:tc>
          <w:tcPr>
            <w:tcW w:w="697" w:type="dxa"/>
            <w:tcBorders>
              <w:top w:val="nil"/>
              <w:left w:val="nil"/>
              <w:bottom w:val="nil"/>
              <w:right w:val="nil"/>
            </w:tcBorders>
            <w:shd w:val="clear" w:color="auto" w:fill="auto"/>
            <w:noWrap/>
            <w:vAlign w:val="center"/>
            <w:hideMark/>
          </w:tcPr>
          <w:p w14:paraId="0629FCCB" w14:textId="10BCB0F7" w:rsidR="001E3AB8" w:rsidRPr="00D92E20" w:rsidRDefault="001E3AB8" w:rsidP="001E3AB8">
            <w:pPr>
              <w:spacing w:after="0" w:line="240" w:lineRule="auto"/>
              <w:jc w:val="center"/>
              <w:rPr>
                <w:rFonts w:cs="Arial"/>
                <w:color w:val="000000"/>
                <w:sz w:val="16"/>
                <w:szCs w:val="16"/>
              </w:rPr>
            </w:pPr>
            <w:r>
              <w:rPr>
                <w:rFonts w:cs="Arial"/>
                <w:color w:val="000000"/>
                <w:sz w:val="16"/>
                <w:szCs w:val="16"/>
              </w:rPr>
              <w:t>24,3</w:t>
            </w:r>
          </w:p>
        </w:tc>
        <w:tc>
          <w:tcPr>
            <w:tcW w:w="697" w:type="dxa"/>
            <w:tcBorders>
              <w:top w:val="nil"/>
              <w:left w:val="nil"/>
              <w:bottom w:val="nil"/>
              <w:right w:val="nil"/>
            </w:tcBorders>
            <w:shd w:val="clear" w:color="auto" w:fill="auto"/>
            <w:noWrap/>
            <w:vAlign w:val="center"/>
            <w:hideMark/>
          </w:tcPr>
          <w:p w14:paraId="13D3AEF9" w14:textId="2169D6A6" w:rsidR="001E3AB8" w:rsidRPr="00D92E20" w:rsidRDefault="001E3AB8" w:rsidP="001E3AB8">
            <w:pPr>
              <w:spacing w:after="0" w:line="240" w:lineRule="auto"/>
              <w:jc w:val="center"/>
              <w:rPr>
                <w:rFonts w:cs="Arial"/>
                <w:color w:val="000000"/>
                <w:sz w:val="16"/>
                <w:szCs w:val="16"/>
              </w:rPr>
            </w:pPr>
            <w:r>
              <w:rPr>
                <w:rFonts w:cs="Arial"/>
                <w:color w:val="000000"/>
                <w:sz w:val="16"/>
                <w:szCs w:val="16"/>
              </w:rPr>
              <w:t>36,7</w:t>
            </w:r>
          </w:p>
        </w:tc>
        <w:tc>
          <w:tcPr>
            <w:tcW w:w="697" w:type="dxa"/>
            <w:tcBorders>
              <w:top w:val="nil"/>
              <w:left w:val="nil"/>
              <w:bottom w:val="nil"/>
              <w:right w:val="nil"/>
            </w:tcBorders>
            <w:shd w:val="clear" w:color="auto" w:fill="auto"/>
            <w:noWrap/>
            <w:vAlign w:val="center"/>
            <w:hideMark/>
          </w:tcPr>
          <w:p w14:paraId="3AEC4BE8" w14:textId="187A4C23" w:rsidR="001E3AB8" w:rsidRPr="00D92E20" w:rsidRDefault="001E3AB8" w:rsidP="001E3AB8">
            <w:pPr>
              <w:spacing w:after="0" w:line="240" w:lineRule="auto"/>
              <w:jc w:val="center"/>
              <w:rPr>
                <w:rFonts w:cs="Arial"/>
                <w:color w:val="000000"/>
                <w:sz w:val="16"/>
                <w:szCs w:val="16"/>
              </w:rPr>
            </w:pPr>
            <w:r>
              <w:rPr>
                <w:rFonts w:cs="Arial"/>
                <w:color w:val="000000"/>
                <w:sz w:val="16"/>
                <w:szCs w:val="16"/>
              </w:rPr>
              <w:t>46,9</w:t>
            </w:r>
          </w:p>
        </w:tc>
      </w:tr>
      <w:tr w:rsidR="001E3AB8" w:rsidRPr="00D92E20" w14:paraId="76EFBC19"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389F5112"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Ústecký kraj</w:t>
            </w:r>
          </w:p>
        </w:tc>
        <w:tc>
          <w:tcPr>
            <w:tcW w:w="697" w:type="dxa"/>
            <w:tcBorders>
              <w:top w:val="nil"/>
              <w:left w:val="nil"/>
              <w:bottom w:val="nil"/>
              <w:right w:val="nil"/>
            </w:tcBorders>
            <w:shd w:val="clear" w:color="auto" w:fill="auto"/>
            <w:noWrap/>
            <w:vAlign w:val="center"/>
            <w:hideMark/>
          </w:tcPr>
          <w:p w14:paraId="52F5F914" w14:textId="5147B83B" w:rsidR="001E3AB8" w:rsidRPr="00D92E20" w:rsidRDefault="001E3AB8" w:rsidP="001E3AB8">
            <w:pPr>
              <w:spacing w:after="0" w:line="240" w:lineRule="auto"/>
              <w:jc w:val="center"/>
              <w:rPr>
                <w:rFonts w:cs="Arial"/>
                <w:color w:val="000000"/>
                <w:sz w:val="16"/>
                <w:szCs w:val="16"/>
              </w:rPr>
            </w:pPr>
            <w:r>
              <w:rPr>
                <w:rFonts w:cs="Arial"/>
                <w:sz w:val="16"/>
                <w:szCs w:val="16"/>
              </w:rPr>
              <w:t>13,6</w:t>
            </w:r>
          </w:p>
        </w:tc>
        <w:tc>
          <w:tcPr>
            <w:tcW w:w="697" w:type="dxa"/>
            <w:tcBorders>
              <w:top w:val="nil"/>
              <w:left w:val="nil"/>
              <w:bottom w:val="nil"/>
              <w:right w:val="nil"/>
            </w:tcBorders>
            <w:shd w:val="clear" w:color="auto" w:fill="auto"/>
            <w:noWrap/>
            <w:vAlign w:val="center"/>
            <w:hideMark/>
          </w:tcPr>
          <w:p w14:paraId="4161506D" w14:textId="363DD5EA" w:rsidR="001E3AB8" w:rsidRPr="00D92E20" w:rsidRDefault="001E3AB8" w:rsidP="001E3AB8">
            <w:pPr>
              <w:spacing w:after="0" w:line="240" w:lineRule="auto"/>
              <w:jc w:val="center"/>
              <w:rPr>
                <w:rFonts w:cs="Arial"/>
                <w:color w:val="000000"/>
                <w:sz w:val="16"/>
                <w:szCs w:val="16"/>
              </w:rPr>
            </w:pPr>
            <w:r>
              <w:rPr>
                <w:rFonts w:cs="Arial"/>
                <w:sz w:val="16"/>
                <w:szCs w:val="16"/>
              </w:rPr>
              <w:t>17,5</w:t>
            </w:r>
          </w:p>
        </w:tc>
        <w:tc>
          <w:tcPr>
            <w:tcW w:w="697" w:type="dxa"/>
            <w:tcBorders>
              <w:top w:val="nil"/>
              <w:left w:val="nil"/>
              <w:bottom w:val="nil"/>
              <w:right w:val="nil"/>
            </w:tcBorders>
            <w:shd w:val="clear" w:color="auto" w:fill="auto"/>
            <w:noWrap/>
            <w:vAlign w:val="center"/>
            <w:hideMark/>
          </w:tcPr>
          <w:p w14:paraId="4D574F79" w14:textId="3D333721" w:rsidR="001E3AB8" w:rsidRPr="00D92E20" w:rsidRDefault="001E3AB8" w:rsidP="001E3AB8">
            <w:pPr>
              <w:spacing w:after="0" w:line="240" w:lineRule="auto"/>
              <w:jc w:val="center"/>
              <w:rPr>
                <w:rFonts w:cs="Arial"/>
                <w:color w:val="000000"/>
                <w:sz w:val="16"/>
                <w:szCs w:val="16"/>
              </w:rPr>
            </w:pPr>
            <w:r>
              <w:rPr>
                <w:rFonts w:cs="Arial"/>
                <w:sz w:val="16"/>
                <w:szCs w:val="16"/>
              </w:rPr>
              <w:t>15,4</w:t>
            </w:r>
          </w:p>
        </w:tc>
        <w:tc>
          <w:tcPr>
            <w:tcW w:w="697" w:type="dxa"/>
            <w:tcBorders>
              <w:top w:val="nil"/>
              <w:left w:val="nil"/>
              <w:bottom w:val="nil"/>
              <w:right w:val="nil"/>
            </w:tcBorders>
            <w:shd w:val="clear" w:color="auto" w:fill="auto"/>
            <w:noWrap/>
            <w:vAlign w:val="center"/>
            <w:hideMark/>
          </w:tcPr>
          <w:p w14:paraId="2990A1AF" w14:textId="7A2389DB" w:rsidR="001E3AB8" w:rsidRPr="00D92E20" w:rsidRDefault="001E3AB8" w:rsidP="001E3AB8">
            <w:pPr>
              <w:spacing w:after="0" w:line="240" w:lineRule="auto"/>
              <w:jc w:val="center"/>
              <w:rPr>
                <w:rFonts w:cs="Arial"/>
                <w:color w:val="000000"/>
                <w:sz w:val="16"/>
                <w:szCs w:val="16"/>
              </w:rPr>
            </w:pPr>
            <w:r>
              <w:rPr>
                <w:rFonts w:cs="Arial"/>
                <w:sz w:val="16"/>
                <w:szCs w:val="16"/>
              </w:rPr>
              <w:t>19,9</w:t>
            </w:r>
          </w:p>
        </w:tc>
        <w:tc>
          <w:tcPr>
            <w:tcW w:w="697" w:type="dxa"/>
            <w:tcBorders>
              <w:top w:val="nil"/>
              <w:left w:val="nil"/>
              <w:bottom w:val="nil"/>
              <w:right w:val="nil"/>
            </w:tcBorders>
            <w:shd w:val="clear" w:color="auto" w:fill="auto"/>
            <w:noWrap/>
            <w:vAlign w:val="center"/>
            <w:hideMark/>
          </w:tcPr>
          <w:p w14:paraId="2C97906A" w14:textId="2289F573" w:rsidR="001E3AB8" w:rsidRPr="00D92E20" w:rsidRDefault="001E3AB8" w:rsidP="001E3AB8">
            <w:pPr>
              <w:spacing w:after="0" w:line="240" w:lineRule="auto"/>
              <w:jc w:val="center"/>
              <w:rPr>
                <w:rFonts w:cs="Arial"/>
                <w:color w:val="000000"/>
                <w:sz w:val="16"/>
                <w:szCs w:val="16"/>
              </w:rPr>
            </w:pPr>
            <w:r>
              <w:rPr>
                <w:rFonts w:cs="Arial"/>
                <w:color w:val="000000"/>
                <w:sz w:val="16"/>
                <w:szCs w:val="16"/>
              </w:rPr>
              <w:t>20,5</w:t>
            </w:r>
          </w:p>
        </w:tc>
        <w:tc>
          <w:tcPr>
            <w:tcW w:w="697" w:type="dxa"/>
            <w:tcBorders>
              <w:top w:val="nil"/>
              <w:left w:val="nil"/>
              <w:bottom w:val="nil"/>
              <w:right w:val="nil"/>
            </w:tcBorders>
            <w:shd w:val="clear" w:color="auto" w:fill="auto"/>
            <w:noWrap/>
            <w:vAlign w:val="center"/>
            <w:hideMark/>
          </w:tcPr>
          <w:p w14:paraId="4D8C042E" w14:textId="2B324D4F" w:rsidR="001E3AB8" w:rsidRPr="00D92E20" w:rsidRDefault="001E3AB8" w:rsidP="001E3AB8">
            <w:pPr>
              <w:spacing w:after="0" w:line="240" w:lineRule="auto"/>
              <w:jc w:val="center"/>
              <w:rPr>
                <w:rFonts w:cs="Arial"/>
                <w:color w:val="000000"/>
                <w:sz w:val="16"/>
                <w:szCs w:val="16"/>
              </w:rPr>
            </w:pPr>
            <w:r>
              <w:rPr>
                <w:rFonts w:cs="Arial"/>
                <w:color w:val="000000"/>
                <w:sz w:val="16"/>
                <w:szCs w:val="16"/>
              </w:rPr>
              <w:t>21,3</w:t>
            </w:r>
          </w:p>
        </w:tc>
        <w:tc>
          <w:tcPr>
            <w:tcW w:w="697" w:type="dxa"/>
            <w:tcBorders>
              <w:top w:val="nil"/>
              <w:left w:val="nil"/>
              <w:bottom w:val="nil"/>
              <w:right w:val="nil"/>
            </w:tcBorders>
            <w:shd w:val="clear" w:color="auto" w:fill="auto"/>
            <w:noWrap/>
            <w:vAlign w:val="center"/>
            <w:hideMark/>
          </w:tcPr>
          <w:p w14:paraId="0F89321B" w14:textId="1DE4410E" w:rsidR="001E3AB8" w:rsidRPr="00D92E20" w:rsidRDefault="001E3AB8" w:rsidP="001E3AB8">
            <w:pPr>
              <w:spacing w:after="0" w:line="240" w:lineRule="auto"/>
              <w:jc w:val="center"/>
              <w:rPr>
                <w:rFonts w:cs="Arial"/>
                <w:color w:val="000000"/>
                <w:sz w:val="16"/>
                <w:szCs w:val="16"/>
              </w:rPr>
            </w:pPr>
            <w:r>
              <w:rPr>
                <w:rFonts w:cs="Arial"/>
                <w:color w:val="000000"/>
                <w:sz w:val="16"/>
                <w:szCs w:val="16"/>
              </w:rPr>
              <w:t>24,2</w:t>
            </w:r>
          </w:p>
        </w:tc>
        <w:tc>
          <w:tcPr>
            <w:tcW w:w="697" w:type="dxa"/>
            <w:tcBorders>
              <w:top w:val="nil"/>
              <w:left w:val="nil"/>
              <w:bottom w:val="nil"/>
              <w:right w:val="nil"/>
            </w:tcBorders>
            <w:shd w:val="clear" w:color="auto" w:fill="auto"/>
            <w:noWrap/>
            <w:vAlign w:val="center"/>
            <w:hideMark/>
          </w:tcPr>
          <w:p w14:paraId="1D53DDAC" w14:textId="2203712E" w:rsidR="001E3AB8" w:rsidRPr="00D92E20" w:rsidRDefault="001E3AB8" w:rsidP="001E3AB8">
            <w:pPr>
              <w:spacing w:after="0" w:line="240" w:lineRule="auto"/>
              <w:jc w:val="center"/>
              <w:rPr>
                <w:rFonts w:cs="Arial"/>
                <w:color w:val="000000"/>
                <w:sz w:val="16"/>
                <w:szCs w:val="16"/>
              </w:rPr>
            </w:pPr>
            <w:r>
              <w:rPr>
                <w:rFonts w:cs="Arial"/>
                <w:color w:val="000000"/>
                <w:sz w:val="16"/>
                <w:szCs w:val="16"/>
              </w:rPr>
              <w:t>22,5</w:t>
            </w:r>
          </w:p>
        </w:tc>
        <w:tc>
          <w:tcPr>
            <w:tcW w:w="697" w:type="dxa"/>
            <w:tcBorders>
              <w:top w:val="nil"/>
              <w:left w:val="nil"/>
              <w:bottom w:val="nil"/>
              <w:right w:val="nil"/>
            </w:tcBorders>
            <w:shd w:val="clear" w:color="auto" w:fill="auto"/>
            <w:noWrap/>
            <w:vAlign w:val="center"/>
            <w:hideMark/>
          </w:tcPr>
          <w:p w14:paraId="356BDB3D" w14:textId="67B7D60C" w:rsidR="001E3AB8" w:rsidRPr="00D92E20" w:rsidRDefault="001E3AB8" w:rsidP="001E3AB8">
            <w:pPr>
              <w:spacing w:after="0" w:line="240" w:lineRule="auto"/>
              <w:jc w:val="center"/>
              <w:rPr>
                <w:rFonts w:cs="Arial"/>
                <w:color w:val="000000"/>
                <w:sz w:val="16"/>
                <w:szCs w:val="16"/>
              </w:rPr>
            </w:pPr>
            <w:r>
              <w:rPr>
                <w:rFonts w:cs="Arial"/>
                <w:color w:val="000000"/>
                <w:sz w:val="16"/>
                <w:szCs w:val="16"/>
              </w:rPr>
              <w:t>23,7</w:t>
            </w:r>
          </w:p>
        </w:tc>
        <w:tc>
          <w:tcPr>
            <w:tcW w:w="697" w:type="dxa"/>
            <w:tcBorders>
              <w:top w:val="nil"/>
              <w:left w:val="nil"/>
              <w:bottom w:val="nil"/>
              <w:right w:val="nil"/>
            </w:tcBorders>
            <w:shd w:val="clear" w:color="auto" w:fill="auto"/>
            <w:noWrap/>
            <w:vAlign w:val="center"/>
            <w:hideMark/>
          </w:tcPr>
          <w:p w14:paraId="05C67F24" w14:textId="71D5225D" w:rsidR="001E3AB8" w:rsidRPr="00D92E20" w:rsidRDefault="001E3AB8" w:rsidP="001E3AB8">
            <w:pPr>
              <w:spacing w:after="0" w:line="240" w:lineRule="auto"/>
              <w:jc w:val="center"/>
              <w:rPr>
                <w:rFonts w:cs="Arial"/>
                <w:color w:val="000000"/>
                <w:sz w:val="16"/>
                <w:szCs w:val="16"/>
              </w:rPr>
            </w:pPr>
            <w:r>
              <w:rPr>
                <w:rFonts w:cs="Arial"/>
                <w:color w:val="000000"/>
                <w:sz w:val="16"/>
                <w:szCs w:val="16"/>
              </w:rPr>
              <w:t>35,2</w:t>
            </w:r>
          </w:p>
        </w:tc>
        <w:tc>
          <w:tcPr>
            <w:tcW w:w="697" w:type="dxa"/>
            <w:tcBorders>
              <w:top w:val="nil"/>
              <w:left w:val="nil"/>
              <w:bottom w:val="nil"/>
              <w:right w:val="nil"/>
            </w:tcBorders>
            <w:shd w:val="clear" w:color="auto" w:fill="auto"/>
            <w:noWrap/>
            <w:vAlign w:val="center"/>
            <w:hideMark/>
          </w:tcPr>
          <w:p w14:paraId="2B084299" w14:textId="0B578720" w:rsidR="001E3AB8" w:rsidRPr="00D92E20" w:rsidRDefault="001E3AB8" w:rsidP="001E3AB8">
            <w:pPr>
              <w:spacing w:after="0" w:line="240" w:lineRule="auto"/>
              <w:jc w:val="center"/>
              <w:rPr>
                <w:rFonts w:cs="Arial"/>
                <w:color w:val="000000"/>
                <w:sz w:val="16"/>
                <w:szCs w:val="16"/>
              </w:rPr>
            </w:pPr>
            <w:r>
              <w:rPr>
                <w:rFonts w:cs="Arial"/>
                <w:color w:val="000000"/>
                <w:sz w:val="16"/>
                <w:szCs w:val="16"/>
              </w:rPr>
              <w:t>48,9</w:t>
            </w:r>
          </w:p>
        </w:tc>
      </w:tr>
      <w:tr w:rsidR="001E3AB8" w:rsidRPr="00D92E20" w14:paraId="06620123"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66100716"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Liberecký kraj</w:t>
            </w:r>
          </w:p>
        </w:tc>
        <w:tc>
          <w:tcPr>
            <w:tcW w:w="697" w:type="dxa"/>
            <w:tcBorders>
              <w:top w:val="nil"/>
              <w:left w:val="nil"/>
              <w:bottom w:val="nil"/>
              <w:right w:val="nil"/>
            </w:tcBorders>
            <w:shd w:val="clear" w:color="auto" w:fill="auto"/>
            <w:noWrap/>
            <w:vAlign w:val="center"/>
            <w:hideMark/>
          </w:tcPr>
          <w:p w14:paraId="0FECC883" w14:textId="4BC6154B" w:rsidR="001E3AB8" w:rsidRPr="00D92E20" w:rsidRDefault="001E3AB8" w:rsidP="001E3AB8">
            <w:pPr>
              <w:spacing w:after="0" w:line="240" w:lineRule="auto"/>
              <w:jc w:val="center"/>
              <w:rPr>
                <w:rFonts w:cs="Arial"/>
                <w:color w:val="000000"/>
                <w:sz w:val="16"/>
                <w:szCs w:val="16"/>
              </w:rPr>
            </w:pPr>
            <w:r>
              <w:rPr>
                <w:rFonts w:cs="Arial"/>
                <w:sz w:val="16"/>
                <w:szCs w:val="16"/>
              </w:rPr>
              <w:t>15,5</w:t>
            </w:r>
          </w:p>
        </w:tc>
        <w:tc>
          <w:tcPr>
            <w:tcW w:w="697" w:type="dxa"/>
            <w:tcBorders>
              <w:top w:val="nil"/>
              <w:left w:val="nil"/>
              <w:bottom w:val="nil"/>
              <w:right w:val="nil"/>
            </w:tcBorders>
            <w:shd w:val="clear" w:color="auto" w:fill="auto"/>
            <w:noWrap/>
            <w:vAlign w:val="center"/>
            <w:hideMark/>
          </w:tcPr>
          <w:p w14:paraId="09D50430" w14:textId="6E980646" w:rsidR="001E3AB8" w:rsidRPr="00D92E20" w:rsidRDefault="001E3AB8" w:rsidP="001E3AB8">
            <w:pPr>
              <w:spacing w:after="0" w:line="240" w:lineRule="auto"/>
              <w:jc w:val="center"/>
              <w:rPr>
                <w:rFonts w:cs="Arial"/>
                <w:color w:val="000000"/>
                <w:sz w:val="16"/>
                <w:szCs w:val="16"/>
              </w:rPr>
            </w:pPr>
            <w:r>
              <w:rPr>
                <w:rFonts w:cs="Arial"/>
                <w:sz w:val="16"/>
                <w:szCs w:val="16"/>
              </w:rPr>
              <w:t>20,5</w:t>
            </w:r>
          </w:p>
        </w:tc>
        <w:tc>
          <w:tcPr>
            <w:tcW w:w="697" w:type="dxa"/>
            <w:tcBorders>
              <w:top w:val="nil"/>
              <w:left w:val="nil"/>
              <w:bottom w:val="nil"/>
              <w:right w:val="nil"/>
            </w:tcBorders>
            <w:shd w:val="clear" w:color="auto" w:fill="auto"/>
            <w:noWrap/>
            <w:vAlign w:val="center"/>
            <w:hideMark/>
          </w:tcPr>
          <w:p w14:paraId="4C0E5A90" w14:textId="76744C28" w:rsidR="001E3AB8" w:rsidRPr="00D92E20" w:rsidRDefault="001E3AB8" w:rsidP="001E3AB8">
            <w:pPr>
              <w:spacing w:after="0" w:line="240" w:lineRule="auto"/>
              <w:jc w:val="center"/>
              <w:rPr>
                <w:rFonts w:cs="Arial"/>
                <w:color w:val="000000"/>
                <w:sz w:val="16"/>
                <w:szCs w:val="16"/>
              </w:rPr>
            </w:pPr>
            <w:r>
              <w:rPr>
                <w:rFonts w:cs="Arial"/>
                <w:sz w:val="16"/>
                <w:szCs w:val="16"/>
              </w:rPr>
              <w:t>17,7</w:t>
            </w:r>
          </w:p>
        </w:tc>
        <w:tc>
          <w:tcPr>
            <w:tcW w:w="697" w:type="dxa"/>
            <w:tcBorders>
              <w:top w:val="nil"/>
              <w:left w:val="nil"/>
              <w:bottom w:val="nil"/>
              <w:right w:val="nil"/>
            </w:tcBorders>
            <w:shd w:val="clear" w:color="auto" w:fill="auto"/>
            <w:noWrap/>
            <w:vAlign w:val="center"/>
            <w:hideMark/>
          </w:tcPr>
          <w:p w14:paraId="5DB517D5" w14:textId="5282A363" w:rsidR="001E3AB8" w:rsidRPr="00D92E20" w:rsidRDefault="001E3AB8" w:rsidP="001E3AB8">
            <w:pPr>
              <w:spacing w:after="0" w:line="240" w:lineRule="auto"/>
              <w:jc w:val="center"/>
              <w:rPr>
                <w:rFonts w:cs="Arial"/>
                <w:color w:val="000000"/>
                <w:sz w:val="16"/>
                <w:szCs w:val="16"/>
              </w:rPr>
            </w:pPr>
            <w:r>
              <w:rPr>
                <w:rFonts w:cs="Arial"/>
                <w:sz w:val="16"/>
                <w:szCs w:val="16"/>
              </w:rPr>
              <w:t>22,2</w:t>
            </w:r>
          </w:p>
        </w:tc>
        <w:tc>
          <w:tcPr>
            <w:tcW w:w="697" w:type="dxa"/>
            <w:tcBorders>
              <w:top w:val="nil"/>
              <w:left w:val="nil"/>
              <w:bottom w:val="nil"/>
              <w:right w:val="nil"/>
            </w:tcBorders>
            <w:shd w:val="clear" w:color="auto" w:fill="auto"/>
            <w:noWrap/>
            <w:vAlign w:val="center"/>
            <w:hideMark/>
          </w:tcPr>
          <w:p w14:paraId="07603833" w14:textId="6A2B46D7" w:rsidR="001E3AB8" w:rsidRPr="00D92E20" w:rsidRDefault="001E3AB8" w:rsidP="001E3AB8">
            <w:pPr>
              <w:spacing w:after="0" w:line="240" w:lineRule="auto"/>
              <w:jc w:val="center"/>
              <w:rPr>
                <w:rFonts w:cs="Arial"/>
                <w:color w:val="000000"/>
                <w:sz w:val="16"/>
                <w:szCs w:val="16"/>
              </w:rPr>
            </w:pPr>
            <w:r>
              <w:rPr>
                <w:rFonts w:cs="Arial"/>
                <w:color w:val="000000"/>
                <w:sz w:val="16"/>
                <w:szCs w:val="16"/>
              </w:rPr>
              <w:t>23,1</w:t>
            </w:r>
          </w:p>
        </w:tc>
        <w:tc>
          <w:tcPr>
            <w:tcW w:w="697" w:type="dxa"/>
            <w:tcBorders>
              <w:top w:val="nil"/>
              <w:left w:val="nil"/>
              <w:bottom w:val="nil"/>
              <w:right w:val="nil"/>
            </w:tcBorders>
            <w:shd w:val="clear" w:color="auto" w:fill="auto"/>
            <w:noWrap/>
            <w:vAlign w:val="center"/>
            <w:hideMark/>
          </w:tcPr>
          <w:p w14:paraId="1158ACA2" w14:textId="35A6E29A" w:rsidR="001E3AB8" w:rsidRPr="00D92E20" w:rsidRDefault="001E3AB8" w:rsidP="001E3AB8">
            <w:pPr>
              <w:spacing w:after="0" w:line="240" w:lineRule="auto"/>
              <w:jc w:val="center"/>
              <w:rPr>
                <w:rFonts w:cs="Arial"/>
                <w:color w:val="000000"/>
                <w:sz w:val="16"/>
                <w:szCs w:val="16"/>
              </w:rPr>
            </w:pPr>
            <w:r>
              <w:rPr>
                <w:rFonts w:cs="Arial"/>
                <w:color w:val="000000"/>
                <w:sz w:val="16"/>
                <w:szCs w:val="16"/>
              </w:rPr>
              <w:t>24,2</w:t>
            </w:r>
          </w:p>
        </w:tc>
        <w:tc>
          <w:tcPr>
            <w:tcW w:w="697" w:type="dxa"/>
            <w:tcBorders>
              <w:top w:val="nil"/>
              <w:left w:val="nil"/>
              <w:bottom w:val="nil"/>
              <w:right w:val="nil"/>
            </w:tcBorders>
            <w:shd w:val="clear" w:color="auto" w:fill="auto"/>
            <w:noWrap/>
            <w:vAlign w:val="center"/>
            <w:hideMark/>
          </w:tcPr>
          <w:p w14:paraId="11E38DDC" w14:textId="3DB50DCC" w:rsidR="001E3AB8" w:rsidRPr="00D92E20" w:rsidRDefault="001E3AB8" w:rsidP="001E3AB8">
            <w:pPr>
              <w:spacing w:after="0" w:line="240" w:lineRule="auto"/>
              <w:jc w:val="center"/>
              <w:rPr>
                <w:rFonts w:cs="Arial"/>
                <w:color w:val="000000"/>
                <w:sz w:val="16"/>
                <w:szCs w:val="16"/>
              </w:rPr>
            </w:pPr>
            <w:r>
              <w:rPr>
                <w:rFonts w:cs="Arial"/>
                <w:color w:val="000000"/>
                <w:sz w:val="16"/>
                <w:szCs w:val="16"/>
              </w:rPr>
              <w:t>27,0</w:t>
            </w:r>
          </w:p>
        </w:tc>
        <w:tc>
          <w:tcPr>
            <w:tcW w:w="697" w:type="dxa"/>
            <w:tcBorders>
              <w:top w:val="nil"/>
              <w:left w:val="nil"/>
              <w:bottom w:val="nil"/>
              <w:right w:val="nil"/>
            </w:tcBorders>
            <w:shd w:val="clear" w:color="auto" w:fill="auto"/>
            <w:noWrap/>
            <w:vAlign w:val="center"/>
            <w:hideMark/>
          </w:tcPr>
          <w:p w14:paraId="61C5DD94" w14:textId="3CC18E24" w:rsidR="001E3AB8" w:rsidRPr="00D92E20" w:rsidRDefault="001E3AB8" w:rsidP="001E3AB8">
            <w:pPr>
              <w:spacing w:after="0" w:line="240" w:lineRule="auto"/>
              <w:jc w:val="center"/>
              <w:rPr>
                <w:rFonts w:cs="Arial"/>
                <w:color w:val="000000"/>
                <w:sz w:val="16"/>
                <w:szCs w:val="16"/>
              </w:rPr>
            </w:pPr>
            <w:r>
              <w:rPr>
                <w:rFonts w:cs="Arial"/>
                <w:color w:val="000000"/>
                <w:sz w:val="16"/>
                <w:szCs w:val="16"/>
              </w:rPr>
              <w:t>25,1</w:t>
            </w:r>
          </w:p>
        </w:tc>
        <w:tc>
          <w:tcPr>
            <w:tcW w:w="697" w:type="dxa"/>
            <w:tcBorders>
              <w:top w:val="nil"/>
              <w:left w:val="nil"/>
              <w:bottom w:val="nil"/>
              <w:right w:val="nil"/>
            </w:tcBorders>
            <w:shd w:val="clear" w:color="auto" w:fill="auto"/>
            <w:noWrap/>
            <w:vAlign w:val="center"/>
            <w:hideMark/>
          </w:tcPr>
          <w:p w14:paraId="7ED25A7E" w14:textId="2EDC2F30" w:rsidR="001E3AB8" w:rsidRPr="00D92E20" w:rsidRDefault="001E3AB8" w:rsidP="001E3AB8">
            <w:pPr>
              <w:spacing w:after="0" w:line="240" w:lineRule="auto"/>
              <w:jc w:val="center"/>
              <w:rPr>
                <w:rFonts w:cs="Arial"/>
                <w:color w:val="000000"/>
                <w:sz w:val="16"/>
                <w:szCs w:val="16"/>
              </w:rPr>
            </w:pPr>
            <w:r>
              <w:rPr>
                <w:rFonts w:cs="Arial"/>
                <w:color w:val="000000"/>
                <w:sz w:val="16"/>
                <w:szCs w:val="16"/>
              </w:rPr>
              <w:t>29,0</w:t>
            </w:r>
          </w:p>
        </w:tc>
        <w:tc>
          <w:tcPr>
            <w:tcW w:w="697" w:type="dxa"/>
            <w:tcBorders>
              <w:top w:val="nil"/>
              <w:left w:val="nil"/>
              <w:bottom w:val="nil"/>
              <w:right w:val="nil"/>
            </w:tcBorders>
            <w:shd w:val="clear" w:color="auto" w:fill="auto"/>
            <w:noWrap/>
            <w:vAlign w:val="center"/>
            <w:hideMark/>
          </w:tcPr>
          <w:p w14:paraId="66E68AE8" w14:textId="51D546A9" w:rsidR="001E3AB8" w:rsidRPr="00D92E20" w:rsidRDefault="001E3AB8" w:rsidP="001E3AB8">
            <w:pPr>
              <w:spacing w:after="0" w:line="240" w:lineRule="auto"/>
              <w:jc w:val="center"/>
              <w:rPr>
                <w:rFonts w:cs="Arial"/>
                <w:color w:val="000000"/>
                <w:sz w:val="16"/>
                <w:szCs w:val="16"/>
              </w:rPr>
            </w:pPr>
            <w:r>
              <w:rPr>
                <w:rFonts w:cs="Arial"/>
                <w:color w:val="000000"/>
                <w:sz w:val="16"/>
                <w:szCs w:val="16"/>
              </w:rPr>
              <w:t>39,1</w:t>
            </w:r>
          </w:p>
        </w:tc>
        <w:tc>
          <w:tcPr>
            <w:tcW w:w="697" w:type="dxa"/>
            <w:tcBorders>
              <w:top w:val="nil"/>
              <w:left w:val="nil"/>
              <w:bottom w:val="nil"/>
              <w:right w:val="nil"/>
            </w:tcBorders>
            <w:shd w:val="clear" w:color="auto" w:fill="auto"/>
            <w:noWrap/>
            <w:vAlign w:val="center"/>
            <w:hideMark/>
          </w:tcPr>
          <w:p w14:paraId="356BDF4B" w14:textId="1100A744" w:rsidR="001E3AB8" w:rsidRPr="00D92E20" w:rsidRDefault="001E3AB8" w:rsidP="001E3AB8">
            <w:pPr>
              <w:spacing w:after="0" w:line="240" w:lineRule="auto"/>
              <w:jc w:val="center"/>
              <w:rPr>
                <w:rFonts w:cs="Arial"/>
                <w:color w:val="000000"/>
                <w:sz w:val="16"/>
                <w:szCs w:val="16"/>
              </w:rPr>
            </w:pPr>
            <w:r>
              <w:rPr>
                <w:rFonts w:cs="Arial"/>
                <w:color w:val="000000"/>
                <w:sz w:val="16"/>
                <w:szCs w:val="16"/>
              </w:rPr>
              <w:t>54,0</w:t>
            </w:r>
          </w:p>
        </w:tc>
      </w:tr>
      <w:tr w:rsidR="001E3AB8" w:rsidRPr="00D92E20" w14:paraId="60B411BD"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78D25ABA"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Královéhradecký kraj</w:t>
            </w:r>
          </w:p>
        </w:tc>
        <w:tc>
          <w:tcPr>
            <w:tcW w:w="697" w:type="dxa"/>
            <w:tcBorders>
              <w:top w:val="nil"/>
              <w:left w:val="nil"/>
              <w:bottom w:val="nil"/>
              <w:right w:val="nil"/>
            </w:tcBorders>
            <w:shd w:val="clear" w:color="auto" w:fill="auto"/>
            <w:noWrap/>
            <w:vAlign w:val="center"/>
            <w:hideMark/>
          </w:tcPr>
          <w:p w14:paraId="38EF888F" w14:textId="47BF95BA" w:rsidR="001E3AB8" w:rsidRPr="00D92E20" w:rsidRDefault="001E3AB8" w:rsidP="001E3AB8">
            <w:pPr>
              <w:spacing w:after="0" w:line="240" w:lineRule="auto"/>
              <w:jc w:val="center"/>
              <w:rPr>
                <w:rFonts w:cs="Arial"/>
                <w:color w:val="000000"/>
                <w:sz w:val="16"/>
                <w:szCs w:val="16"/>
              </w:rPr>
            </w:pPr>
            <w:r>
              <w:rPr>
                <w:rFonts w:cs="Arial"/>
                <w:sz w:val="16"/>
                <w:szCs w:val="16"/>
              </w:rPr>
              <w:t>14,7</w:t>
            </w:r>
          </w:p>
        </w:tc>
        <w:tc>
          <w:tcPr>
            <w:tcW w:w="697" w:type="dxa"/>
            <w:tcBorders>
              <w:top w:val="nil"/>
              <w:left w:val="nil"/>
              <w:bottom w:val="nil"/>
              <w:right w:val="nil"/>
            </w:tcBorders>
            <w:shd w:val="clear" w:color="auto" w:fill="auto"/>
            <w:noWrap/>
            <w:vAlign w:val="center"/>
            <w:hideMark/>
          </w:tcPr>
          <w:p w14:paraId="58569A82" w14:textId="73D69651" w:rsidR="001E3AB8" w:rsidRPr="00D92E20" w:rsidRDefault="001E3AB8" w:rsidP="001E3AB8">
            <w:pPr>
              <w:spacing w:after="0" w:line="240" w:lineRule="auto"/>
              <w:jc w:val="center"/>
              <w:rPr>
                <w:rFonts w:cs="Arial"/>
                <w:color w:val="000000"/>
                <w:sz w:val="16"/>
                <w:szCs w:val="16"/>
              </w:rPr>
            </w:pPr>
            <w:r>
              <w:rPr>
                <w:rFonts w:cs="Arial"/>
                <w:sz w:val="16"/>
                <w:szCs w:val="16"/>
              </w:rPr>
              <w:t>18,3</w:t>
            </w:r>
          </w:p>
        </w:tc>
        <w:tc>
          <w:tcPr>
            <w:tcW w:w="697" w:type="dxa"/>
            <w:tcBorders>
              <w:top w:val="nil"/>
              <w:left w:val="nil"/>
              <w:bottom w:val="nil"/>
              <w:right w:val="nil"/>
            </w:tcBorders>
            <w:shd w:val="clear" w:color="auto" w:fill="auto"/>
            <w:noWrap/>
            <w:vAlign w:val="center"/>
            <w:hideMark/>
          </w:tcPr>
          <w:p w14:paraId="0D724EC9" w14:textId="76DB0471" w:rsidR="001E3AB8" w:rsidRPr="00D92E20" w:rsidRDefault="001E3AB8" w:rsidP="001E3AB8">
            <w:pPr>
              <w:spacing w:after="0" w:line="240" w:lineRule="auto"/>
              <w:jc w:val="center"/>
              <w:rPr>
                <w:rFonts w:cs="Arial"/>
                <w:color w:val="000000"/>
                <w:sz w:val="16"/>
                <w:szCs w:val="16"/>
              </w:rPr>
            </w:pPr>
            <w:r>
              <w:rPr>
                <w:rFonts w:cs="Arial"/>
                <w:sz w:val="16"/>
                <w:szCs w:val="16"/>
              </w:rPr>
              <w:t>15,7</w:t>
            </w:r>
          </w:p>
        </w:tc>
        <w:tc>
          <w:tcPr>
            <w:tcW w:w="697" w:type="dxa"/>
            <w:tcBorders>
              <w:top w:val="nil"/>
              <w:left w:val="nil"/>
              <w:bottom w:val="nil"/>
              <w:right w:val="nil"/>
            </w:tcBorders>
            <w:shd w:val="clear" w:color="auto" w:fill="auto"/>
            <w:noWrap/>
            <w:vAlign w:val="center"/>
            <w:hideMark/>
          </w:tcPr>
          <w:p w14:paraId="75453B86" w14:textId="65213488" w:rsidR="001E3AB8" w:rsidRPr="00D92E20" w:rsidRDefault="001E3AB8" w:rsidP="001E3AB8">
            <w:pPr>
              <w:spacing w:after="0" w:line="240" w:lineRule="auto"/>
              <w:jc w:val="center"/>
              <w:rPr>
                <w:rFonts w:cs="Arial"/>
                <w:color w:val="000000"/>
                <w:sz w:val="16"/>
                <w:szCs w:val="16"/>
              </w:rPr>
            </w:pPr>
            <w:r>
              <w:rPr>
                <w:rFonts w:cs="Arial"/>
                <w:sz w:val="16"/>
                <w:szCs w:val="16"/>
              </w:rPr>
              <w:t>20,2</w:t>
            </w:r>
          </w:p>
        </w:tc>
        <w:tc>
          <w:tcPr>
            <w:tcW w:w="697" w:type="dxa"/>
            <w:tcBorders>
              <w:top w:val="nil"/>
              <w:left w:val="nil"/>
              <w:bottom w:val="nil"/>
              <w:right w:val="nil"/>
            </w:tcBorders>
            <w:shd w:val="clear" w:color="auto" w:fill="auto"/>
            <w:noWrap/>
            <w:vAlign w:val="center"/>
            <w:hideMark/>
          </w:tcPr>
          <w:p w14:paraId="7C0980F5" w14:textId="1BB9A18D" w:rsidR="001E3AB8" w:rsidRPr="00D92E20" w:rsidRDefault="001E3AB8" w:rsidP="001E3AB8">
            <w:pPr>
              <w:spacing w:after="0" w:line="240" w:lineRule="auto"/>
              <w:jc w:val="center"/>
              <w:rPr>
                <w:rFonts w:cs="Arial"/>
                <w:color w:val="000000"/>
                <w:sz w:val="16"/>
                <w:szCs w:val="16"/>
              </w:rPr>
            </w:pPr>
            <w:r>
              <w:rPr>
                <w:rFonts w:cs="Arial"/>
                <w:color w:val="000000"/>
                <w:sz w:val="16"/>
                <w:szCs w:val="16"/>
              </w:rPr>
              <w:t>21,2</w:t>
            </w:r>
          </w:p>
        </w:tc>
        <w:tc>
          <w:tcPr>
            <w:tcW w:w="697" w:type="dxa"/>
            <w:tcBorders>
              <w:top w:val="nil"/>
              <w:left w:val="nil"/>
              <w:bottom w:val="nil"/>
              <w:right w:val="nil"/>
            </w:tcBorders>
            <w:shd w:val="clear" w:color="auto" w:fill="auto"/>
            <w:noWrap/>
            <w:vAlign w:val="center"/>
            <w:hideMark/>
          </w:tcPr>
          <w:p w14:paraId="13A52BD2" w14:textId="6F4EC61D" w:rsidR="001E3AB8" w:rsidRPr="00D92E20" w:rsidRDefault="001E3AB8" w:rsidP="001E3AB8">
            <w:pPr>
              <w:spacing w:after="0" w:line="240" w:lineRule="auto"/>
              <w:jc w:val="center"/>
              <w:rPr>
                <w:rFonts w:cs="Arial"/>
                <w:color w:val="000000"/>
                <w:sz w:val="16"/>
                <w:szCs w:val="16"/>
              </w:rPr>
            </w:pPr>
            <w:r>
              <w:rPr>
                <w:rFonts w:cs="Arial"/>
                <w:color w:val="000000"/>
                <w:sz w:val="16"/>
                <w:szCs w:val="16"/>
              </w:rPr>
              <w:t>22,5</w:t>
            </w:r>
          </w:p>
        </w:tc>
        <w:tc>
          <w:tcPr>
            <w:tcW w:w="697" w:type="dxa"/>
            <w:tcBorders>
              <w:top w:val="nil"/>
              <w:left w:val="nil"/>
              <w:bottom w:val="nil"/>
              <w:right w:val="nil"/>
            </w:tcBorders>
            <w:shd w:val="clear" w:color="auto" w:fill="auto"/>
            <w:noWrap/>
            <w:vAlign w:val="center"/>
            <w:hideMark/>
          </w:tcPr>
          <w:p w14:paraId="428ED1A9" w14:textId="49544094" w:rsidR="001E3AB8" w:rsidRPr="00D92E20" w:rsidRDefault="001E3AB8" w:rsidP="001E3AB8">
            <w:pPr>
              <w:spacing w:after="0" w:line="240" w:lineRule="auto"/>
              <w:jc w:val="center"/>
              <w:rPr>
                <w:rFonts w:cs="Arial"/>
                <w:color w:val="000000"/>
                <w:sz w:val="16"/>
                <w:szCs w:val="16"/>
              </w:rPr>
            </w:pPr>
            <w:r>
              <w:rPr>
                <w:rFonts w:cs="Arial"/>
                <w:color w:val="000000"/>
                <w:sz w:val="16"/>
                <w:szCs w:val="16"/>
              </w:rPr>
              <w:t>25,0</w:t>
            </w:r>
          </w:p>
        </w:tc>
        <w:tc>
          <w:tcPr>
            <w:tcW w:w="697" w:type="dxa"/>
            <w:tcBorders>
              <w:top w:val="nil"/>
              <w:left w:val="nil"/>
              <w:bottom w:val="nil"/>
              <w:right w:val="nil"/>
            </w:tcBorders>
            <w:shd w:val="clear" w:color="auto" w:fill="auto"/>
            <w:noWrap/>
            <w:vAlign w:val="center"/>
            <w:hideMark/>
          </w:tcPr>
          <w:p w14:paraId="7C0E06F9" w14:textId="30A6F2F9" w:rsidR="001E3AB8" w:rsidRPr="00D92E20" w:rsidRDefault="001E3AB8" w:rsidP="001E3AB8">
            <w:pPr>
              <w:spacing w:after="0" w:line="240" w:lineRule="auto"/>
              <w:jc w:val="center"/>
              <w:rPr>
                <w:rFonts w:cs="Arial"/>
                <w:color w:val="000000"/>
                <w:sz w:val="16"/>
                <w:szCs w:val="16"/>
              </w:rPr>
            </w:pPr>
            <w:r>
              <w:rPr>
                <w:rFonts w:cs="Arial"/>
                <w:color w:val="000000"/>
                <w:sz w:val="16"/>
                <w:szCs w:val="16"/>
              </w:rPr>
              <w:t>23,6</w:t>
            </w:r>
          </w:p>
        </w:tc>
        <w:tc>
          <w:tcPr>
            <w:tcW w:w="697" w:type="dxa"/>
            <w:tcBorders>
              <w:top w:val="nil"/>
              <w:left w:val="nil"/>
              <w:bottom w:val="nil"/>
              <w:right w:val="nil"/>
            </w:tcBorders>
            <w:shd w:val="clear" w:color="auto" w:fill="auto"/>
            <w:noWrap/>
            <w:vAlign w:val="center"/>
            <w:hideMark/>
          </w:tcPr>
          <w:p w14:paraId="412E82B5" w14:textId="6E546FE9" w:rsidR="001E3AB8" w:rsidRPr="00D92E20" w:rsidRDefault="001E3AB8" w:rsidP="001E3AB8">
            <w:pPr>
              <w:spacing w:after="0" w:line="240" w:lineRule="auto"/>
              <w:jc w:val="center"/>
              <w:rPr>
                <w:rFonts w:cs="Arial"/>
                <w:color w:val="000000"/>
                <w:sz w:val="16"/>
                <w:szCs w:val="16"/>
              </w:rPr>
            </w:pPr>
            <w:r>
              <w:rPr>
                <w:rFonts w:cs="Arial"/>
                <w:color w:val="000000"/>
                <w:sz w:val="16"/>
                <w:szCs w:val="16"/>
              </w:rPr>
              <w:t>25,5</w:t>
            </w:r>
          </w:p>
        </w:tc>
        <w:tc>
          <w:tcPr>
            <w:tcW w:w="697" w:type="dxa"/>
            <w:tcBorders>
              <w:top w:val="nil"/>
              <w:left w:val="nil"/>
              <w:bottom w:val="nil"/>
              <w:right w:val="nil"/>
            </w:tcBorders>
            <w:shd w:val="clear" w:color="auto" w:fill="auto"/>
            <w:noWrap/>
            <w:vAlign w:val="center"/>
            <w:hideMark/>
          </w:tcPr>
          <w:p w14:paraId="30592429" w14:textId="5E562DC0" w:rsidR="001E3AB8" w:rsidRPr="00D92E20" w:rsidRDefault="001E3AB8" w:rsidP="001E3AB8">
            <w:pPr>
              <w:spacing w:after="0" w:line="240" w:lineRule="auto"/>
              <w:jc w:val="center"/>
              <w:rPr>
                <w:rFonts w:cs="Arial"/>
                <w:color w:val="000000"/>
                <w:sz w:val="16"/>
                <w:szCs w:val="16"/>
              </w:rPr>
            </w:pPr>
            <w:r>
              <w:rPr>
                <w:rFonts w:cs="Arial"/>
                <w:color w:val="000000"/>
                <w:sz w:val="16"/>
                <w:szCs w:val="16"/>
              </w:rPr>
              <w:t>37,5</w:t>
            </w:r>
          </w:p>
        </w:tc>
        <w:tc>
          <w:tcPr>
            <w:tcW w:w="697" w:type="dxa"/>
            <w:tcBorders>
              <w:top w:val="nil"/>
              <w:left w:val="nil"/>
              <w:bottom w:val="nil"/>
              <w:right w:val="nil"/>
            </w:tcBorders>
            <w:shd w:val="clear" w:color="auto" w:fill="auto"/>
            <w:noWrap/>
            <w:vAlign w:val="center"/>
            <w:hideMark/>
          </w:tcPr>
          <w:p w14:paraId="66CCFA88" w14:textId="6B17A684" w:rsidR="001E3AB8" w:rsidRPr="00D92E20" w:rsidRDefault="001E3AB8" w:rsidP="001E3AB8">
            <w:pPr>
              <w:spacing w:after="0" w:line="240" w:lineRule="auto"/>
              <w:jc w:val="center"/>
              <w:rPr>
                <w:rFonts w:cs="Arial"/>
                <w:color w:val="000000"/>
                <w:sz w:val="16"/>
                <w:szCs w:val="16"/>
              </w:rPr>
            </w:pPr>
            <w:r>
              <w:rPr>
                <w:rFonts w:cs="Arial"/>
                <w:color w:val="000000"/>
                <w:sz w:val="16"/>
                <w:szCs w:val="16"/>
              </w:rPr>
              <w:t>49,8</w:t>
            </w:r>
          </w:p>
        </w:tc>
      </w:tr>
      <w:tr w:rsidR="001E3AB8" w:rsidRPr="00D92E20" w14:paraId="42CC30AE"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771973CC"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Pardubický kraj</w:t>
            </w:r>
          </w:p>
        </w:tc>
        <w:tc>
          <w:tcPr>
            <w:tcW w:w="697" w:type="dxa"/>
            <w:tcBorders>
              <w:top w:val="nil"/>
              <w:left w:val="nil"/>
              <w:bottom w:val="nil"/>
              <w:right w:val="nil"/>
            </w:tcBorders>
            <w:shd w:val="clear" w:color="auto" w:fill="auto"/>
            <w:noWrap/>
            <w:vAlign w:val="center"/>
            <w:hideMark/>
          </w:tcPr>
          <w:p w14:paraId="267C47C8" w14:textId="36D3C4D6" w:rsidR="001E3AB8" w:rsidRPr="00D92E20" w:rsidRDefault="001E3AB8" w:rsidP="001E3AB8">
            <w:pPr>
              <w:spacing w:after="0" w:line="240" w:lineRule="auto"/>
              <w:jc w:val="center"/>
              <w:rPr>
                <w:rFonts w:cs="Arial"/>
                <w:color w:val="000000"/>
                <w:sz w:val="16"/>
                <w:szCs w:val="16"/>
              </w:rPr>
            </w:pPr>
            <w:r>
              <w:rPr>
                <w:rFonts w:cs="Arial"/>
                <w:sz w:val="16"/>
                <w:szCs w:val="16"/>
              </w:rPr>
              <w:t>14,3</w:t>
            </w:r>
          </w:p>
        </w:tc>
        <w:tc>
          <w:tcPr>
            <w:tcW w:w="697" w:type="dxa"/>
            <w:tcBorders>
              <w:top w:val="nil"/>
              <w:left w:val="nil"/>
              <w:bottom w:val="nil"/>
              <w:right w:val="nil"/>
            </w:tcBorders>
            <w:shd w:val="clear" w:color="auto" w:fill="auto"/>
            <w:noWrap/>
            <w:vAlign w:val="center"/>
            <w:hideMark/>
          </w:tcPr>
          <w:p w14:paraId="08DA8213" w14:textId="441616E6" w:rsidR="001E3AB8" w:rsidRPr="00D92E20" w:rsidRDefault="001E3AB8" w:rsidP="001E3AB8">
            <w:pPr>
              <w:spacing w:after="0" w:line="240" w:lineRule="auto"/>
              <w:jc w:val="center"/>
              <w:rPr>
                <w:rFonts w:cs="Arial"/>
                <w:color w:val="000000"/>
                <w:sz w:val="16"/>
                <w:szCs w:val="16"/>
              </w:rPr>
            </w:pPr>
            <w:r>
              <w:rPr>
                <w:rFonts w:cs="Arial"/>
                <w:sz w:val="16"/>
                <w:szCs w:val="16"/>
              </w:rPr>
              <w:t>17,8</w:t>
            </w:r>
          </w:p>
        </w:tc>
        <w:tc>
          <w:tcPr>
            <w:tcW w:w="697" w:type="dxa"/>
            <w:tcBorders>
              <w:top w:val="nil"/>
              <w:left w:val="nil"/>
              <w:bottom w:val="nil"/>
              <w:right w:val="nil"/>
            </w:tcBorders>
            <w:shd w:val="clear" w:color="auto" w:fill="auto"/>
            <w:noWrap/>
            <w:vAlign w:val="center"/>
            <w:hideMark/>
          </w:tcPr>
          <w:p w14:paraId="41BCD224" w14:textId="2D2CFB48" w:rsidR="001E3AB8" w:rsidRPr="00D92E20" w:rsidRDefault="001E3AB8" w:rsidP="001E3AB8">
            <w:pPr>
              <w:spacing w:after="0" w:line="240" w:lineRule="auto"/>
              <w:jc w:val="center"/>
              <w:rPr>
                <w:rFonts w:cs="Arial"/>
                <w:color w:val="000000"/>
                <w:sz w:val="16"/>
                <w:szCs w:val="16"/>
              </w:rPr>
            </w:pPr>
            <w:r>
              <w:rPr>
                <w:rFonts w:cs="Arial"/>
                <w:sz w:val="16"/>
                <w:szCs w:val="16"/>
              </w:rPr>
              <w:t>15,8</w:t>
            </w:r>
          </w:p>
        </w:tc>
        <w:tc>
          <w:tcPr>
            <w:tcW w:w="697" w:type="dxa"/>
            <w:tcBorders>
              <w:top w:val="nil"/>
              <w:left w:val="nil"/>
              <w:bottom w:val="nil"/>
              <w:right w:val="nil"/>
            </w:tcBorders>
            <w:shd w:val="clear" w:color="auto" w:fill="auto"/>
            <w:noWrap/>
            <w:vAlign w:val="center"/>
            <w:hideMark/>
          </w:tcPr>
          <w:p w14:paraId="03D6949C" w14:textId="64E97158" w:rsidR="001E3AB8" w:rsidRPr="00D92E20" w:rsidRDefault="001E3AB8" w:rsidP="001E3AB8">
            <w:pPr>
              <w:spacing w:after="0" w:line="240" w:lineRule="auto"/>
              <w:jc w:val="center"/>
              <w:rPr>
                <w:rFonts w:cs="Arial"/>
                <w:color w:val="000000"/>
                <w:sz w:val="16"/>
                <w:szCs w:val="16"/>
              </w:rPr>
            </w:pPr>
            <w:r>
              <w:rPr>
                <w:rFonts w:cs="Arial"/>
                <w:sz w:val="16"/>
                <w:szCs w:val="16"/>
              </w:rPr>
              <w:t>20,6</w:t>
            </w:r>
          </w:p>
        </w:tc>
        <w:tc>
          <w:tcPr>
            <w:tcW w:w="697" w:type="dxa"/>
            <w:tcBorders>
              <w:top w:val="nil"/>
              <w:left w:val="nil"/>
              <w:bottom w:val="nil"/>
              <w:right w:val="nil"/>
            </w:tcBorders>
            <w:shd w:val="clear" w:color="auto" w:fill="auto"/>
            <w:noWrap/>
            <w:vAlign w:val="center"/>
            <w:hideMark/>
          </w:tcPr>
          <w:p w14:paraId="5A0FDCDE" w14:textId="381A61EB" w:rsidR="001E3AB8" w:rsidRPr="00D92E20" w:rsidRDefault="001E3AB8" w:rsidP="001E3AB8">
            <w:pPr>
              <w:spacing w:after="0" w:line="240" w:lineRule="auto"/>
              <w:jc w:val="center"/>
              <w:rPr>
                <w:rFonts w:cs="Arial"/>
                <w:color w:val="000000"/>
                <w:sz w:val="16"/>
                <w:szCs w:val="16"/>
              </w:rPr>
            </w:pPr>
            <w:r>
              <w:rPr>
                <w:rFonts w:cs="Arial"/>
                <w:color w:val="000000"/>
                <w:sz w:val="16"/>
                <w:szCs w:val="16"/>
              </w:rPr>
              <w:t>20,3</w:t>
            </w:r>
          </w:p>
        </w:tc>
        <w:tc>
          <w:tcPr>
            <w:tcW w:w="697" w:type="dxa"/>
            <w:tcBorders>
              <w:top w:val="nil"/>
              <w:left w:val="nil"/>
              <w:bottom w:val="nil"/>
              <w:right w:val="nil"/>
            </w:tcBorders>
            <w:shd w:val="clear" w:color="auto" w:fill="auto"/>
            <w:noWrap/>
            <w:vAlign w:val="center"/>
            <w:hideMark/>
          </w:tcPr>
          <w:p w14:paraId="2D991355" w14:textId="0175D58A" w:rsidR="001E3AB8" w:rsidRPr="00D92E20" w:rsidRDefault="001E3AB8" w:rsidP="001E3AB8">
            <w:pPr>
              <w:spacing w:after="0" w:line="240" w:lineRule="auto"/>
              <w:jc w:val="center"/>
              <w:rPr>
                <w:rFonts w:cs="Arial"/>
                <w:color w:val="000000"/>
                <w:sz w:val="16"/>
                <w:szCs w:val="16"/>
              </w:rPr>
            </w:pPr>
            <w:r>
              <w:rPr>
                <w:rFonts w:cs="Arial"/>
                <w:color w:val="000000"/>
                <w:sz w:val="16"/>
                <w:szCs w:val="16"/>
              </w:rPr>
              <w:t>21,7</w:t>
            </w:r>
          </w:p>
        </w:tc>
        <w:tc>
          <w:tcPr>
            <w:tcW w:w="697" w:type="dxa"/>
            <w:tcBorders>
              <w:top w:val="nil"/>
              <w:left w:val="nil"/>
              <w:bottom w:val="nil"/>
              <w:right w:val="nil"/>
            </w:tcBorders>
            <w:shd w:val="clear" w:color="auto" w:fill="auto"/>
            <w:noWrap/>
            <w:vAlign w:val="center"/>
            <w:hideMark/>
          </w:tcPr>
          <w:p w14:paraId="64875FD2" w14:textId="765C0FC7" w:rsidR="001E3AB8" w:rsidRPr="00D92E20" w:rsidRDefault="001E3AB8" w:rsidP="001E3AB8">
            <w:pPr>
              <w:spacing w:after="0" w:line="240" w:lineRule="auto"/>
              <w:jc w:val="center"/>
              <w:rPr>
                <w:rFonts w:cs="Arial"/>
                <w:color w:val="000000"/>
                <w:sz w:val="16"/>
                <w:szCs w:val="16"/>
              </w:rPr>
            </w:pPr>
            <w:r>
              <w:rPr>
                <w:rFonts w:cs="Arial"/>
                <w:color w:val="000000"/>
                <w:sz w:val="16"/>
                <w:szCs w:val="16"/>
              </w:rPr>
              <w:t>24,0</w:t>
            </w:r>
          </w:p>
        </w:tc>
        <w:tc>
          <w:tcPr>
            <w:tcW w:w="697" w:type="dxa"/>
            <w:tcBorders>
              <w:top w:val="nil"/>
              <w:left w:val="nil"/>
              <w:bottom w:val="nil"/>
              <w:right w:val="nil"/>
            </w:tcBorders>
            <w:shd w:val="clear" w:color="auto" w:fill="auto"/>
            <w:noWrap/>
            <w:vAlign w:val="center"/>
            <w:hideMark/>
          </w:tcPr>
          <w:p w14:paraId="3873E11E" w14:textId="699B4D59" w:rsidR="001E3AB8" w:rsidRPr="00D92E20" w:rsidRDefault="001E3AB8" w:rsidP="001E3AB8">
            <w:pPr>
              <w:spacing w:after="0" w:line="240" w:lineRule="auto"/>
              <w:jc w:val="center"/>
              <w:rPr>
                <w:rFonts w:cs="Arial"/>
                <w:color w:val="000000"/>
                <w:sz w:val="16"/>
                <w:szCs w:val="16"/>
              </w:rPr>
            </w:pPr>
            <w:r>
              <w:rPr>
                <w:rFonts w:cs="Arial"/>
                <w:color w:val="000000"/>
                <w:sz w:val="16"/>
                <w:szCs w:val="16"/>
              </w:rPr>
              <w:t>22,1</w:t>
            </w:r>
          </w:p>
        </w:tc>
        <w:tc>
          <w:tcPr>
            <w:tcW w:w="697" w:type="dxa"/>
            <w:tcBorders>
              <w:top w:val="nil"/>
              <w:left w:val="nil"/>
              <w:bottom w:val="nil"/>
              <w:right w:val="nil"/>
            </w:tcBorders>
            <w:shd w:val="clear" w:color="auto" w:fill="auto"/>
            <w:noWrap/>
            <w:vAlign w:val="center"/>
            <w:hideMark/>
          </w:tcPr>
          <w:p w14:paraId="50900FF8" w14:textId="5FC3C905" w:rsidR="001E3AB8" w:rsidRPr="00D92E20" w:rsidRDefault="001E3AB8" w:rsidP="001E3AB8">
            <w:pPr>
              <w:spacing w:after="0" w:line="240" w:lineRule="auto"/>
              <w:jc w:val="center"/>
              <w:rPr>
                <w:rFonts w:cs="Arial"/>
                <w:color w:val="000000"/>
                <w:sz w:val="16"/>
                <w:szCs w:val="16"/>
              </w:rPr>
            </w:pPr>
            <w:r>
              <w:rPr>
                <w:rFonts w:cs="Arial"/>
                <w:color w:val="000000"/>
                <w:sz w:val="16"/>
                <w:szCs w:val="16"/>
              </w:rPr>
              <w:t>23,4</w:t>
            </w:r>
          </w:p>
        </w:tc>
        <w:tc>
          <w:tcPr>
            <w:tcW w:w="697" w:type="dxa"/>
            <w:tcBorders>
              <w:top w:val="nil"/>
              <w:left w:val="nil"/>
              <w:bottom w:val="nil"/>
              <w:right w:val="nil"/>
            </w:tcBorders>
            <w:shd w:val="clear" w:color="auto" w:fill="auto"/>
            <w:noWrap/>
            <w:vAlign w:val="center"/>
            <w:hideMark/>
          </w:tcPr>
          <w:p w14:paraId="41C16F4A" w14:textId="2B1A9477" w:rsidR="001E3AB8" w:rsidRPr="00D92E20" w:rsidRDefault="001E3AB8" w:rsidP="001E3AB8">
            <w:pPr>
              <w:spacing w:after="0" w:line="240" w:lineRule="auto"/>
              <w:jc w:val="center"/>
              <w:rPr>
                <w:rFonts w:cs="Arial"/>
                <w:color w:val="000000"/>
                <w:sz w:val="16"/>
                <w:szCs w:val="16"/>
              </w:rPr>
            </w:pPr>
            <w:r>
              <w:rPr>
                <w:rFonts w:cs="Arial"/>
                <w:color w:val="000000"/>
                <w:sz w:val="16"/>
                <w:szCs w:val="16"/>
              </w:rPr>
              <w:t>34,2</w:t>
            </w:r>
          </w:p>
        </w:tc>
        <w:tc>
          <w:tcPr>
            <w:tcW w:w="697" w:type="dxa"/>
            <w:tcBorders>
              <w:top w:val="nil"/>
              <w:left w:val="nil"/>
              <w:bottom w:val="nil"/>
              <w:right w:val="nil"/>
            </w:tcBorders>
            <w:shd w:val="clear" w:color="auto" w:fill="auto"/>
            <w:noWrap/>
            <w:vAlign w:val="center"/>
            <w:hideMark/>
          </w:tcPr>
          <w:p w14:paraId="34D74DB0" w14:textId="65DE5062" w:rsidR="001E3AB8" w:rsidRPr="00D92E20" w:rsidRDefault="001E3AB8" w:rsidP="001E3AB8">
            <w:pPr>
              <w:spacing w:after="0" w:line="240" w:lineRule="auto"/>
              <w:jc w:val="center"/>
              <w:rPr>
                <w:rFonts w:cs="Arial"/>
                <w:color w:val="000000"/>
                <w:sz w:val="16"/>
                <w:szCs w:val="16"/>
              </w:rPr>
            </w:pPr>
            <w:r>
              <w:rPr>
                <w:rFonts w:cs="Arial"/>
                <w:color w:val="000000"/>
                <w:sz w:val="16"/>
                <w:szCs w:val="16"/>
              </w:rPr>
              <w:t>48,9</w:t>
            </w:r>
          </w:p>
        </w:tc>
      </w:tr>
      <w:tr w:rsidR="001E3AB8" w:rsidRPr="00D92E20" w14:paraId="5EF84AB9"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2E745196"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Kraj Vysočina</w:t>
            </w:r>
          </w:p>
        </w:tc>
        <w:tc>
          <w:tcPr>
            <w:tcW w:w="697" w:type="dxa"/>
            <w:tcBorders>
              <w:top w:val="nil"/>
              <w:left w:val="nil"/>
              <w:bottom w:val="nil"/>
              <w:right w:val="nil"/>
            </w:tcBorders>
            <w:shd w:val="clear" w:color="auto" w:fill="auto"/>
            <w:noWrap/>
            <w:vAlign w:val="center"/>
            <w:hideMark/>
          </w:tcPr>
          <w:p w14:paraId="3F6AC12F" w14:textId="58B502D7" w:rsidR="001E3AB8" w:rsidRPr="00D92E20" w:rsidRDefault="001E3AB8" w:rsidP="001E3AB8">
            <w:pPr>
              <w:spacing w:after="0" w:line="240" w:lineRule="auto"/>
              <w:jc w:val="center"/>
              <w:rPr>
                <w:rFonts w:cs="Arial"/>
                <w:color w:val="000000"/>
                <w:sz w:val="16"/>
                <w:szCs w:val="16"/>
              </w:rPr>
            </w:pPr>
            <w:r>
              <w:rPr>
                <w:rFonts w:cs="Arial"/>
                <w:sz w:val="16"/>
                <w:szCs w:val="16"/>
              </w:rPr>
              <w:t>15,1</w:t>
            </w:r>
          </w:p>
        </w:tc>
        <w:tc>
          <w:tcPr>
            <w:tcW w:w="697" w:type="dxa"/>
            <w:tcBorders>
              <w:top w:val="nil"/>
              <w:left w:val="nil"/>
              <w:bottom w:val="nil"/>
              <w:right w:val="nil"/>
            </w:tcBorders>
            <w:shd w:val="clear" w:color="auto" w:fill="auto"/>
            <w:noWrap/>
            <w:vAlign w:val="center"/>
            <w:hideMark/>
          </w:tcPr>
          <w:p w14:paraId="7D81EBCE" w14:textId="736F4069" w:rsidR="001E3AB8" w:rsidRPr="00D92E20" w:rsidRDefault="001E3AB8" w:rsidP="001E3AB8">
            <w:pPr>
              <w:spacing w:after="0" w:line="240" w:lineRule="auto"/>
              <w:jc w:val="center"/>
              <w:rPr>
                <w:rFonts w:cs="Arial"/>
                <w:color w:val="000000"/>
                <w:sz w:val="16"/>
                <w:szCs w:val="16"/>
              </w:rPr>
            </w:pPr>
            <w:r>
              <w:rPr>
                <w:rFonts w:cs="Arial"/>
                <w:sz w:val="16"/>
                <w:szCs w:val="16"/>
              </w:rPr>
              <w:t>18,7</w:t>
            </w:r>
          </w:p>
        </w:tc>
        <w:tc>
          <w:tcPr>
            <w:tcW w:w="697" w:type="dxa"/>
            <w:tcBorders>
              <w:top w:val="nil"/>
              <w:left w:val="nil"/>
              <w:bottom w:val="nil"/>
              <w:right w:val="nil"/>
            </w:tcBorders>
            <w:shd w:val="clear" w:color="auto" w:fill="auto"/>
            <w:noWrap/>
            <w:vAlign w:val="center"/>
            <w:hideMark/>
          </w:tcPr>
          <w:p w14:paraId="7C4045D4" w14:textId="389F2709" w:rsidR="001E3AB8" w:rsidRPr="00D92E20" w:rsidRDefault="001E3AB8" w:rsidP="001E3AB8">
            <w:pPr>
              <w:spacing w:after="0" w:line="240" w:lineRule="auto"/>
              <w:jc w:val="center"/>
              <w:rPr>
                <w:rFonts w:cs="Arial"/>
                <w:color w:val="000000"/>
                <w:sz w:val="16"/>
                <w:szCs w:val="16"/>
              </w:rPr>
            </w:pPr>
            <w:r>
              <w:rPr>
                <w:rFonts w:cs="Arial"/>
                <w:sz w:val="16"/>
                <w:szCs w:val="16"/>
              </w:rPr>
              <w:t>16,5</w:t>
            </w:r>
          </w:p>
        </w:tc>
        <w:tc>
          <w:tcPr>
            <w:tcW w:w="697" w:type="dxa"/>
            <w:tcBorders>
              <w:top w:val="nil"/>
              <w:left w:val="nil"/>
              <w:bottom w:val="nil"/>
              <w:right w:val="nil"/>
            </w:tcBorders>
            <w:shd w:val="clear" w:color="auto" w:fill="auto"/>
            <w:noWrap/>
            <w:vAlign w:val="center"/>
            <w:hideMark/>
          </w:tcPr>
          <w:p w14:paraId="48C3C9EE" w14:textId="15A3AB58" w:rsidR="001E3AB8" w:rsidRPr="00D92E20" w:rsidRDefault="001E3AB8" w:rsidP="001E3AB8">
            <w:pPr>
              <w:spacing w:after="0" w:line="240" w:lineRule="auto"/>
              <w:jc w:val="center"/>
              <w:rPr>
                <w:rFonts w:cs="Arial"/>
                <w:color w:val="000000"/>
                <w:sz w:val="16"/>
                <w:szCs w:val="16"/>
              </w:rPr>
            </w:pPr>
            <w:r>
              <w:rPr>
                <w:rFonts w:cs="Arial"/>
                <w:sz w:val="16"/>
                <w:szCs w:val="16"/>
              </w:rPr>
              <w:t>21,9</w:t>
            </w:r>
          </w:p>
        </w:tc>
        <w:tc>
          <w:tcPr>
            <w:tcW w:w="697" w:type="dxa"/>
            <w:tcBorders>
              <w:top w:val="nil"/>
              <w:left w:val="nil"/>
              <w:bottom w:val="nil"/>
              <w:right w:val="nil"/>
            </w:tcBorders>
            <w:shd w:val="clear" w:color="auto" w:fill="auto"/>
            <w:noWrap/>
            <w:vAlign w:val="center"/>
            <w:hideMark/>
          </w:tcPr>
          <w:p w14:paraId="1A26894D" w14:textId="31E0CDA2" w:rsidR="001E3AB8" w:rsidRPr="00D92E20" w:rsidRDefault="001E3AB8" w:rsidP="001E3AB8">
            <w:pPr>
              <w:spacing w:after="0" w:line="240" w:lineRule="auto"/>
              <w:jc w:val="center"/>
              <w:rPr>
                <w:rFonts w:cs="Arial"/>
                <w:color w:val="000000"/>
                <w:sz w:val="16"/>
                <w:szCs w:val="16"/>
              </w:rPr>
            </w:pPr>
            <w:r>
              <w:rPr>
                <w:rFonts w:cs="Arial"/>
                <w:color w:val="000000"/>
                <w:sz w:val="16"/>
                <w:szCs w:val="16"/>
              </w:rPr>
              <w:t>21,0</w:t>
            </w:r>
          </w:p>
        </w:tc>
        <w:tc>
          <w:tcPr>
            <w:tcW w:w="697" w:type="dxa"/>
            <w:tcBorders>
              <w:top w:val="nil"/>
              <w:left w:val="nil"/>
              <w:bottom w:val="nil"/>
              <w:right w:val="nil"/>
            </w:tcBorders>
            <w:shd w:val="clear" w:color="auto" w:fill="auto"/>
            <w:noWrap/>
            <w:vAlign w:val="center"/>
            <w:hideMark/>
          </w:tcPr>
          <w:p w14:paraId="536E20A5" w14:textId="0AD6F429" w:rsidR="001E3AB8" w:rsidRPr="00D92E20" w:rsidRDefault="001E3AB8" w:rsidP="001E3AB8">
            <w:pPr>
              <w:spacing w:after="0" w:line="240" w:lineRule="auto"/>
              <w:jc w:val="center"/>
              <w:rPr>
                <w:rFonts w:cs="Arial"/>
                <w:color w:val="000000"/>
                <w:sz w:val="16"/>
                <w:szCs w:val="16"/>
              </w:rPr>
            </w:pPr>
            <w:r>
              <w:rPr>
                <w:rFonts w:cs="Arial"/>
                <w:color w:val="000000"/>
                <w:sz w:val="16"/>
                <w:szCs w:val="16"/>
              </w:rPr>
              <w:t>22,3</w:t>
            </w:r>
          </w:p>
        </w:tc>
        <w:tc>
          <w:tcPr>
            <w:tcW w:w="697" w:type="dxa"/>
            <w:tcBorders>
              <w:top w:val="nil"/>
              <w:left w:val="nil"/>
              <w:bottom w:val="nil"/>
              <w:right w:val="nil"/>
            </w:tcBorders>
            <w:shd w:val="clear" w:color="auto" w:fill="auto"/>
            <w:noWrap/>
            <w:vAlign w:val="center"/>
            <w:hideMark/>
          </w:tcPr>
          <w:p w14:paraId="42E73355" w14:textId="010396A0" w:rsidR="001E3AB8" w:rsidRPr="00D92E20" w:rsidRDefault="001E3AB8" w:rsidP="001E3AB8">
            <w:pPr>
              <w:spacing w:after="0" w:line="240" w:lineRule="auto"/>
              <w:jc w:val="center"/>
              <w:rPr>
                <w:rFonts w:cs="Arial"/>
                <w:color w:val="000000"/>
                <w:sz w:val="16"/>
                <w:szCs w:val="16"/>
              </w:rPr>
            </w:pPr>
            <w:r>
              <w:rPr>
                <w:rFonts w:cs="Arial"/>
                <w:color w:val="000000"/>
                <w:sz w:val="16"/>
                <w:szCs w:val="16"/>
              </w:rPr>
              <w:t>24,3</w:t>
            </w:r>
          </w:p>
        </w:tc>
        <w:tc>
          <w:tcPr>
            <w:tcW w:w="697" w:type="dxa"/>
            <w:tcBorders>
              <w:top w:val="nil"/>
              <w:left w:val="nil"/>
              <w:bottom w:val="nil"/>
              <w:right w:val="nil"/>
            </w:tcBorders>
            <w:shd w:val="clear" w:color="auto" w:fill="auto"/>
            <w:noWrap/>
            <w:vAlign w:val="center"/>
            <w:hideMark/>
          </w:tcPr>
          <w:p w14:paraId="3AA9121B" w14:textId="4188E917" w:rsidR="001E3AB8" w:rsidRPr="00D92E20" w:rsidRDefault="001E3AB8" w:rsidP="001E3AB8">
            <w:pPr>
              <w:spacing w:after="0" w:line="240" w:lineRule="auto"/>
              <w:jc w:val="center"/>
              <w:rPr>
                <w:rFonts w:cs="Arial"/>
                <w:color w:val="000000"/>
                <w:sz w:val="16"/>
                <w:szCs w:val="16"/>
              </w:rPr>
            </w:pPr>
            <w:r>
              <w:rPr>
                <w:rFonts w:cs="Arial"/>
                <w:color w:val="000000"/>
                <w:sz w:val="16"/>
                <w:szCs w:val="16"/>
              </w:rPr>
              <w:t>22,5</w:t>
            </w:r>
          </w:p>
        </w:tc>
        <w:tc>
          <w:tcPr>
            <w:tcW w:w="697" w:type="dxa"/>
            <w:tcBorders>
              <w:top w:val="nil"/>
              <w:left w:val="nil"/>
              <w:bottom w:val="nil"/>
              <w:right w:val="nil"/>
            </w:tcBorders>
            <w:shd w:val="clear" w:color="auto" w:fill="auto"/>
            <w:noWrap/>
            <w:vAlign w:val="center"/>
            <w:hideMark/>
          </w:tcPr>
          <w:p w14:paraId="03286191" w14:textId="3863319D" w:rsidR="001E3AB8" w:rsidRPr="00D92E20" w:rsidRDefault="001E3AB8" w:rsidP="001E3AB8">
            <w:pPr>
              <w:spacing w:after="0" w:line="240" w:lineRule="auto"/>
              <w:jc w:val="center"/>
              <w:rPr>
                <w:rFonts w:cs="Arial"/>
                <w:color w:val="000000"/>
                <w:sz w:val="16"/>
                <w:szCs w:val="16"/>
              </w:rPr>
            </w:pPr>
            <w:r>
              <w:rPr>
                <w:rFonts w:cs="Arial"/>
                <w:color w:val="000000"/>
                <w:sz w:val="16"/>
                <w:szCs w:val="16"/>
              </w:rPr>
              <w:t>23,8</w:t>
            </w:r>
          </w:p>
        </w:tc>
        <w:tc>
          <w:tcPr>
            <w:tcW w:w="697" w:type="dxa"/>
            <w:tcBorders>
              <w:top w:val="nil"/>
              <w:left w:val="nil"/>
              <w:bottom w:val="nil"/>
              <w:right w:val="nil"/>
            </w:tcBorders>
            <w:shd w:val="clear" w:color="auto" w:fill="auto"/>
            <w:noWrap/>
            <w:vAlign w:val="center"/>
            <w:hideMark/>
          </w:tcPr>
          <w:p w14:paraId="3F339D4A" w14:textId="6A020698" w:rsidR="001E3AB8" w:rsidRPr="00D92E20" w:rsidRDefault="001E3AB8" w:rsidP="001E3AB8">
            <w:pPr>
              <w:spacing w:after="0" w:line="240" w:lineRule="auto"/>
              <w:jc w:val="center"/>
              <w:rPr>
                <w:rFonts w:cs="Arial"/>
                <w:color w:val="000000"/>
                <w:sz w:val="16"/>
                <w:szCs w:val="16"/>
              </w:rPr>
            </w:pPr>
            <w:r>
              <w:rPr>
                <w:rFonts w:cs="Arial"/>
                <w:color w:val="000000"/>
                <w:sz w:val="16"/>
                <w:szCs w:val="16"/>
              </w:rPr>
              <w:t>31,0</w:t>
            </w:r>
          </w:p>
        </w:tc>
        <w:tc>
          <w:tcPr>
            <w:tcW w:w="697" w:type="dxa"/>
            <w:tcBorders>
              <w:top w:val="nil"/>
              <w:left w:val="nil"/>
              <w:bottom w:val="nil"/>
              <w:right w:val="nil"/>
            </w:tcBorders>
            <w:shd w:val="clear" w:color="auto" w:fill="auto"/>
            <w:noWrap/>
            <w:vAlign w:val="center"/>
            <w:hideMark/>
          </w:tcPr>
          <w:p w14:paraId="3A2600C5" w14:textId="76D10E43" w:rsidR="001E3AB8" w:rsidRPr="00D92E20" w:rsidRDefault="001E3AB8" w:rsidP="001E3AB8">
            <w:pPr>
              <w:spacing w:after="0" w:line="240" w:lineRule="auto"/>
              <w:jc w:val="center"/>
              <w:rPr>
                <w:rFonts w:cs="Arial"/>
                <w:color w:val="000000"/>
                <w:sz w:val="16"/>
                <w:szCs w:val="16"/>
              </w:rPr>
            </w:pPr>
            <w:r>
              <w:rPr>
                <w:rFonts w:cs="Arial"/>
                <w:color w:val="000000"/>
                <w:sz w:val="16"/>
                <w:szCs w:val="16"/>
              </w:rPr>
              <w:t>47,2</w:t>
            </w:r>
          </w:p>
        </w:tc>
      </w:tr>
      <w:tr w:rsidR="001E3AB8" w:rsidRPr="00D92E20" w14:paraId="512F85A8"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76578E25"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Jihomoravský kraj</w:t>
            </w:r>
          </w:p>
        </w:tc>
        <w:tc>
          <w:tcPr>
            <w:tcW w:w="697" w:type="dxa"/>
            <w:tcBorders>
              <w:top w:val="nil"/>
              <w:left w:val="nil"/>
              <w:bottom w:val="nil"/>
              <w:right w:val="nil"/>
            </w:tcBorders>
            <w:shd w:val="clear" w:color="auto" w:fill="auto"/>
            <w:noWrap/>
            <w:vAlign w:val="center"/>
            <w:hideMark/>
          </w:tcPr>
          <w:p w14:paraId="17F513B6" w14:textId="7081F14F" w:rsidR="001E3AB8" w:rsidRPr="00D92E20" w:rsidRDefault="001E3AB8" w:rsidP="001E3AB8">
            <w:pPr>
              <w:spacing w:after="0" w:line="240" w:lineRule="auto"/>
              <w:jc w:val="center"/>
              <w:rPr>
                <w:rFonts w:cs="Arial"/>
                <w:color w:val="000000"/>
                <w:sz w:val="16"/>
                <w:szCs w:val="16"/>
              </w:rPr>
            </w:pPr>
            <w:r>
              <w:rPr>
                <w:rFonts w:cs="Arial"/>
                <w:sz w:val="16"/>
                <w:szCs w:val="16"/>
              </w:rPr>
              <w:t>13,5</w:t>
            </w:r>
          </w:p>
        </w:tc>
        <w:tc>
          <w:tcPr>
            <w:tcW w:w="697" w:type="dxa"/>
            <w:tcBorders>
              <w:top w:val="nil"/>
              <w:left w:val="nil"/>
              <w:bottom w:val="nil"/>
              <w:right w:val="nil"/>
            </w:tcBorders>
            <w:shd w:val="clear" w:color="auto" w:fill="auto"/>
            <w:noWrap/>
            <w:vAlign w:val="center"/>
            <w:hideMark/>
          </w:tcPr>
          <w:p w14:paraId="3001E0BE" w14:textId="33F2A903" w:rsidR="001E3AB8" w:rsidRPr="00D92E20" w:rsidRDefault="001E3AB8" w:rsidP="001E3AB8">
            <w:pPr>
              <w:spacing w:after="0" w:line="240" w:lineRule="auto"/>
              <w:jc w:val="center"/>
              <w:rPr>
                <w:rFonts w:cs="Arial"/>
                <w:color w:val="000000"/>
                <w:sz w:val="16"/>
                <w:szCs w:val="16"/>
              </w:rPr>
            </w:pPr>
            <w:r>
              <w:rPr>
                <w:rFonts w:cs="Arial"/>
                <w:sz w:val="16"/>
                <w:szCs w:val="16"/>
              </w:rPr>
              <w:t>17,0</w:t>
            </w:r>
          </w:p>
        </w:tc>
        <w:tc>
          <w:tcPr>
            <w:tcW w:w="697" w:type="dxa"/>
            <w:tcBorders>
              <w:top w:val="nil"/>
              <w:left w:val="nil"/>
              <w:bottom w:val="nil"/>
              <w:right w:val="nil"/>
            </w:tcBorders>
            <w:shd w:val="clear" w:color="auto" w:fill="auto"/>
            <w:noWrap/>
            <w:vAlign w:val="center"/>
            <w:hideMark/>
          </w:tcPr>
          <w:p w14:paraId="5317B8A2" w14:textId="6E8D7528" w:rsidR="001E3AB8" w:rsidRPr="00D92E20" w:rsidRDefault="001E3AB8" w:rsidP="001E3AB8">
            <w:pPr>
              <w:spacing w:after="0" w:line="240" w:lineRule="auto"/>
              <w:jc w:val="center"/>
              <w:rPr>
                <w:rFonts w:cs="Arial"/>
                <w:color w:val="000000"/>
                <w:sz w:val="16"/>
                <w:szCs w:val="16"/>
              </w:rPr>
            </w:pPr>
            <w:r>
              <w:rPr>
                <w:rFonts w:cs="Arial"/>
                <w:sz w:val="16"/>
                <w:szCs w:val="16"/>
              </w:rPr>
              <w:t>14,7</w:t>
            </w:r>
          </w:p>
        </w:tc>
        <w:tc>
          <w:tcPr>
            <w:tcW w:w="697" w:type="dxa"/>
            <w:tcBorders>
              <w:top w:val="nil"/>
              <w:left w:val="nil"/>
              <w:bottom w:val="nil"/>
              <w:right w:val="nil"/>
            </w:tcBorders>
            <w:shd w:val="clear" w:color="auto" w:fill="auto"/>
            <w:noWrap/>
            <w:vAlign w:val="center"/>
            <w:hideMark/>
          </w:tcPr>
          <w:p w14:paraId="5012F000" w14:textId="4A186256" w:rsidR="001E3AB8" w:rsidRPr="00D92E20" w:rsidRDefault="001E3AB8" w:rsidP="001E3AB8">
            <w:pPr>
              <w:spacing w:after="0" w:line="240" w:lineRule="auto"/>
              <w:jc w:val="center"/>
              <w:rPr>
                <w:rFonts w:cs="Arial"/>
                <w:color w:val="000000"/>
                <w:sz w:val="16"/>
                <w:szCs w:val="16"/>
              </w:rPr>
            </w:pPr>
            <w:r>
              <w:rPr>
                <w:rFonts w:cs="Arial"/>
                <w:sz w:val="16"/>
                <w:szCs w:val="16"/>
              </w:rPr>
              <w:t>19,1</w:t>
            </w:r>
          </w:p>
        </w:tc>
        <w:tc>
          <w:tcPr>
            <w:tcW w:w="697" w:type="dxa"/>
            <w:tcBorders>
              <w:top w:val="nil"/>
              <w:left w:val="nil"/>
              <w:bottom w:val="nil"/>
              <w:right w:val="nil"/>
            </w:tcBorders>
            <w:shd w:val="clear" w:color="auto" w:fill="auto"/>
            <w:noWrap/>
            <w:vAlign w:val="center"/>
            <w:hideMark/>
          </w:tcPr>
          <w:p w14:paraId="018DFEFB" w14:textId="125DE223" w:rsidR="001E3AB8" w:rsidRPr="00D92E20" w:rsidRDefault="001E3AB8" w:rsidP="001E3AB8">
            <w:pPr>
              <w:spacing w:after="0" w:line="240" w:lineRule="auto"/>
              <w:jc w:val="center"/>
              <w:rPr>
                <w:rFonts w:cs="Arial"/>
                <w:color w:val="000000"/>
                <w:sz w:val="16"/>
                <w:szCs w:val="16"/>
              </w:rPr>
            </w:pPr>
            <w:r>
              <w:rPr>
                <w:rFonts w:cs="Arial"/>
                <w:color w:val="000000"/>
                <w:sz w:val="16"/>
                <w:szCs w:val="16"/>
              </w:rPr>
              <w:t>18,5</w:t>
            </w:r>
          </w:p>
        </w:tc>
        <w:tc>
          <w:tcPr>
            <w:tcW w:w="697" w:type="dxa"/>
            <w:tcBorders>
              <w:top w:val="nil"/>
              <w:left w:val="nil"/>
              <w:bottom w:val="nil"/>
              <w:right w:val="nil"/>
            </w:tcBorders>
            <w:shd w:val="clear" w:color="auto" w:fill="auto"/>
            <w:noWrap/>
            <w:vAlign w:val="center"/>
            <w:hideMark/>
          </w:tcPr>
          <w:p w14:paraId="3F7B8188" w14:textId="774E805A" w:rsidR="001E3AB8" w:rsidRPr="00D92E20" w:rsidRDefault="001E3AB8" w:rsidP="001E3AB8">
            <w:pPr>
              <w:spacing w:after="0" w:line="240" w:lineRule="auto"/>
              <w:jc w:val="center"/>
              <w:rPr>
                <w:rFonts w:cs="Arial"/>
                <w:color w:val="000000"/>
                <w:sz w:val="16"/>
                <w:szCs w:val="16"/>
              </w:rPr>
            </w:pPr>
            <w:r>
              <w:rPr>
                <w:rFonts w:cs="Arial"/>
                <w:color w:val="000000"/>
                <w:sz w:val="16"/>
                <w:szCs w:val="16"/>
              </w:rPr>
              <w:t>20,2</w:t>
            </w:r>
          </w:p>
        </w:tc>
        <w:tc>
          <w:tcPr>
            <w:tcW w:w="697" w:type="dxa"/>
            <w:tcBorders>
              <w:top w:val="nil"/>
              <w:left w:val="nil"/>
              <w:bottom w:val="nil"/>
              <w:right w:val="nil"/>
            </w:tcBorders>
            <w:shd w:val="clear" w:color="auto" w:fill="auto"/>
            <w:noWrap/>
            <w:vAlign w:val="center"/>
            <w:hideMark/>
          </w:tcPr>
          <w:p w14:paraId="0025078B" w14:textId="0441AAC1" w:rsidR="001E3AB8" w:rsidRPr="00D92E20" w:rsidRDefault="001E3AB8" w:rsidP="001E3AB8">
            <w:pPr>
              <w:spacing w:after="0" w:line="240" w:lineRule="auto"/>
              <w:jc w:val="center"/>
              <w:rPr>
                <w:rFonts w:cs="Arial"/>
                <w:color w:val="000000"/>
                <w:sz w:val="16"/>
                <w:szCs w:val="16"/>
              </w:rPr>
            </w:pPr>
            <w:r>
              <w:rPr>
                <w:rFonts w:cs="Arial"/>
                <w:color w:val="000000"/>
                <w:sz w:val="16"/>
                <w:szCs w:val="16"/>
              </w:rPr>
              <w:t>21,5</w:t>
            </w:r>
          </w:p>
        </w:tc>
        <w:tc>
          <w:tcPr>
            <w:tcW w:w="697" w:type="dxa"/>
            <w:tcBorders>
              <w:top w:val="nil"/>
              <w:left w:val="nil"/>
              <w:bottom w:val="nil"/>
              <w:right w:val="nil"/>
            </w:tcBorders>
            <w:shd w:val="clear" w:color="auto" w:fill="auto"/>
            <w:noWrap/>
            <w:vAlign w:val="center"/>
            <w:hideMark/>
          </w:tcPr>
          <w:p w14:paraId="279F02DD" w14:textId="50933C84" w:rsidR="001E3AB8" w:rsidRPr="00D92E20" w:rsidRDefault="001E3AB8" w:rsidP="001E3AB8">
            <w:pPr>
              <w:spacing w:after="0" w:line="240" w:lineRule="auto"/>
              <w:jc w:val="center"/>
              <w:rPr>
                <w:rFonts w:cs="Arial"/>
                <w:color w:val="000000"/>
                <w:sz w:val="16"/>
                <w:szCs w:val="16"/>
              </w:rPr>
            </w:pPr>
            <w:r>
              <w:rPr>
                <w:rFonts w:cs="Arial"/>
                <w:color w:val="000000"/>
                <w:sz w:val="16"/>
                <w:szCs w:val="16"/>
              </w:rPr>
              <w:t>19,7</w:t>
            </w:r>
          </w:p>
        </w:tc>
        <w:tc>
          <w:tcPr>
            <w:tcW w:w="697" w:type="dxa"/>
            <w:tcBorders>
              <w:top w:val="nil"/>
              <w:left w:val="nil"/>
              <w:bottom w:val="nil"/>
              <w:right w:val="nil"/>
            </w:tcBorders>
            <w:shd w:val="clear" w:color="auto" w:fill="auto"/>
            <w:noWrap/>
            <w:vAlign w:val="center"/>
            <w:hideMark/>
          </w:tcPr>
          <w:p w14:paraId="1A3DA7F0" w14:textId="09F4295C" w:rsidR="001E3AB8" w:rsidRPr="00D92E20" w:rsidRDefault="001E3AB8" w:rsidP="001E3AB8">
            <w:pPr>
              <w:spacing w:after="0" w:line="240" w:lineRule="auto"/>
              <w:jc w:val="center"/>
              <w:rPr>
                <w:rFonts w:cs="Arial"/>
                <w:color w:val="000000"/>
                <w:sz w:val="16"/>
                <w:szCs w:val="16"/>
              </w:rPr>
            </w:pPr>
            <w:r>
              <w:rPr>
                <w:rFonts w:cs="Arial"/>
                <w:color w:val="000000"/>
                <w:sz w:val="16"/>
                <w:szCs w:val="16"/>
              </w:rPr>
              <w:t>21,9</w:t>
            </w:r>
          </w:p>
        </w:tc>
        <w:tc>
          <w:tcPr>
            <w:tcW w:w="697" w:type="dxa"/>
            <w:tcBorders>
              <w:top w:val="nil"/>
              <w:left w:val="nil"/>
              <w:bottom w:val="nil"/>
              <w:right w:val="nil"/>
            </w:tcBorders>
            <w:shd w:val="clear" w:color="auto" w:fill="auto"/>
            <w:noWrap/>
            <w:vAlign w:val="center"/>
            <w:hideMark/>
          </w:tcPr>
          <w:p w14:paraId="4A606745" w14:textId="0CFB9D0C" w:rsidR="001E3AB8" w:rsidRPr="00D92E20" w:rsidRDefault="001E3AB8" w:rsidP="001E3AB8">
            <w:pPr>
              <w:spacing w:after="0" w:line="240" w:lineRule="auto"/>
              <w:jc w:val="center"/>
              <w:rPr>
                <w:rFonts w:cs="Arial"/>
                <w:color w:val="000000"/>
                <w:sz w:val="16"/>
                <w:szCs w:val="16"/>
              </w:rPr>
            </w:pPr>
            <w:r>
              <w:rPr>
                <w:rFonts w:cs="Arial"/>
                <w:color w:val="000000"/>
                <w:sz w:val="16"/>
                <w:szCs w:val="16"/>
              </w:rPr>
              <w:t>27,1</w:t>
            </w:r>
          </w:p>
        </w:tc>
        <w:tc>
          <w:tcPr>
            <w:tcW w:w="697" w:type="dxa"/>
            <w:tcBorders>
              <w:top w:val="nil"/>
              <w:left w:val="nil"/>
              <w:bottom w:val="nil"/>
              <w:right w:val="nil"/>
            </w:tcBorders>
            <w:shd w:val="clear" w:color="auto" w:fill="auto"/>
            <w:noWrap/>
            <w:vAlign w:val="center"/>
            <w:hideMark/>
          </w:tcPr>
          <w:p w14:paraId="6F66AE09" w14:textId="2FD8F35C" w:rsidR="001E3AB8" w:rsidRPr="00D92E20" w:rsidRDefault="001E3AB8" w:rsidP="001E3AB8">
            <w:pPr>
              <w:spacing w:after="0" w:line="240" w:lineRule="auto"/>
              <w:jc w:val="center"/>
              <w:rPr>
                <w:rFonts w:cs="Arial"/>
                <w:color w:val="000000"/>
                <w:sz w:val="16"/>
                <w:szCs w:val="16"/>
              </w:rPr>
            </w:pPr>
            <w:r>
              <w:rPr>
                <w:rFonts w:cs="Arial"/>
                <w:color w:val="000000"/>
                <w:sz w:val="16"/>
                <w:szCs w:val="16"/>
              </w:rPr>
              <w:t>42,6</w:t>
            </w:r>
          </w:p>
        </w:tc>
      </w:tr>
      <w:tr w:rsidR="001E3AB8" w:rsidRPr="00D92E20" w14:paraId="40F22C5C"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27275793"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Olomoucký kraj</w:t>
            </w:r>
          </w:p>
        </w:tc>
        <w:tc>
          <w:tcPr>
            <w:tcW w:w="697" w:type="dxa"/>
            <w:tcBorders>
              <w:top w:val="nil"/>
              <w:left w:val="nil"/>
              <w:bottom w:val="nil"/>
              <w:right w:val="nil"/>
            </w:tcBorders>
            <w:shd w:val="clear" w:color="auto" w:fill="auto"/>
            <w:noWrap/>
            <w:vAlign w:val="center"/>
            <w:hideMark/>
          </w:tcPr>
          <w:p w14:paraId="2B575834" w14:textId="71BF5D7E" w:rsidR="001E3AB8" w:rsidRPr="00D92E20" w:rsidRDefault="001E3AB8" w:rsidP="001E3AB8">
            <w:pPr>
              <w:spacing w:after="0" w:line="240" w:lineRule="auto"/>
              <w:jc w:val="center"/>
              <w:rPr>
                <w:rFonts w:cs="Arial"/>
                <w:color w:val="000000"/>
                <w:sz w:val="16"/>
                <w:szCs w:val="16"/>
              </w:rPr>
            </w:pPr>
            <w:r>
              <w:rPr>
                <w:rFonts w:cs="Arial"/>
                <w:sz w:val="16"/>
                <w:szCs w:val="16"/>
              </w:rPr>
              <w:t>13,0</w:t>
            </w:r>
          </w:p>
        </w:tc>
        <w:tc>
          <w:tcPr>
            <w:tcW w:w="697" w:type="dxa"/>
            <w:tcBorders>
              <w:top w:val="nil"/>
              <w:left w:val="nil"/>
              <w:bottom w:val="nil"/>
              <w:right w:val="nil"/>
            </w:tcBorders>
            <w:shd w:val="clear" w:color="auto" w:fill="auto"/>
            <w:noWrap/>
            <w:vAlign w:val="center"/>
            <w:hideMark/>
          </w:tcPr>
          <w:p w14:paraId="50DF8666" w14:textId="288C67CC" w:rsidR="001E3AB8" w:rsidRPr="00D92E20" w:rsidRDefault="001E3AB8" w:rsidP="001E3AB8">
            <w:pPr>
              <w:spacing w:after="0" w:line="240" w:lineRule="auto"/>
              <w:jc w:val="center"/>
              <w:rPr>
                <w:rFonts w:cs="Arial"/>
                <w:color w:val="000000"/>
                <w:sz w:val="16"/>
                <w:szCs w:val="16"/>
              </w:rPr>
            </w:pPr>
            <w:r>
              <w:rPr>
                <w:rFonts w:cs="Arial"/>
                <w:sz w:val="16"/>
                <w:szCs w:val="16"/>
              </w:rPr>
              <w:t>15,9</w:t>
            </w:r>
          </w:p>
        </w:tc>
        <w:tc>
          <w:tcPr>
            <w:tcW w:w="697" w:type="dxa"/>
            <w:tcBorders>
              <w:top w:val="nil"/>
              <w:left w:val="nil"/>
              <w:bottom w:val="nil"/>
              <w:right w:val="nil"/>
            </w:tcBorders>
            <w:shd w:val="clear" w:color="auto" w:fill="auto"/>
            <w:noWrap/>
            <w:vAlign w:val="center"/>
            <w:hideMark/>
          </w:tcPr>
          <w:p w14:paraId="2A33EA25" w14:textId="3FF37E8C" w:rsidR="001E3AB8" w:rsidRPr="00D92E20" w:rsidRDefault="001E3AB8" w:rsidP="001E3AB8">
            <w:pPr>
              <w:spacing w:after="0" w:line="240" w:lineRule="auto"/>
              <w:jc w:val="center"/>
              <w:rPr>
                <w:rFonts w:cs="Arial"/>
                <w:color w:val="000000"/>
                <w:sz w:val="16"/>
                <w:szCs w:val="16"/>
              </w:rPr>
            </w:pPr>
            <w:r>
              <w:rPr>
                <w:rFonts w:cs="Arial"/>
                <w:sz w:val="16"/>
                <w:szCs w:val="16"/>
              </w:rPr>
              <w:t>13,5</w:t>
            </w:r>
          </w:p>
        </w:tc>
        <w:tc>
          <w:tcPr>
            <w:tcW w:w="697" w:type="dxa"/>
            <w:tcBorders>
              <w:top w:val="nil"/>
              <w:left w:val="nil"/>
              <w:bottom w:val="nil"/>
              <w:right w:val="nil"/>
            </w:tcBorders>
            <w:shd w:val="clear" w:color="auto" w:fill="auto"/>
            <w:noWrap/>
            <w:vAlign w:val="center"/>
            <w:hideMark/>
          </w:tcPr>
          <w:p w14:paraId="24AA6748" w14:textId="7A599CF6" w:rsidR="001E3AB8" w:rsidRPr="00D92E20" w:rsidRDefault="001E3AB8" w:rsidP="001E3AB8">
            <w:pPr>
              <w:spacing w:after="0" w:line="240" w:lineRule="auto"/>
              <w:jc w:val="center"/>
              <w:rPr>
                <w:rFonts w:cs="Arial"/>
                <w:color w:val="000000"/>
                <w:sz w:val="16"/>
                <w:szCs w:val="16"/>
              </w:rPr>
            </w:pPr>
            <w:r>
              <w:rPr>
                <w:rFonts w:cs="Arial"/>
                <w:sz w:val="16"/>
                <w:szCs w:val="16"/>
              </w:rPr>
              <w:t>18,6</w:t>
            </w:r>
          </w:p>
        </w:tc>
        <w:tc>
          <w:tcPr>
            <w:tcW w:w="697" w:type="dxa"/>
            <w:tcBorders>
              <w:top w:val="nil"/>
              <w:left w:val="nil"/>
              <w:bottom w:val="nil"/>
              <w:right w:val="nil"/>
            </w:tcBorders>
            <w:shd w:val="clear" w:color="auto" w:fill="auto"/>
            <w:noWrap/>
            <w:vAlign w:val="center"/>
            <w:hideMark/>
          </w:tcPr>
          <w:p w14:paraId="384906D4" w14:textId="7D5C5164" w:rsidR="001E3AB8" w:rsidRPr="00D92E20" w:rsidRDefault="001E3AB8" w:rsidP="001E3AB8">
            <w:pPr>
              <w:spacing w:after="0" w:line="240" w:lineRule="auto"/>
              <w:jc w:val="center"/>
              <w:rPr>
                <w:rFonts w:cs="Arial"/>
                <w:color w:val="000000"/>
                <w:sz w:val="16"/>
                <w:szCs w:val="16"/>
              </w:rPr>
            </w:pPr>
            <w:r>
              <w:rPr>
                <w:rFonts w:cs="Arial"/>
                <w:color w:val="000000"/>
                <w:sz w:val="16"/>
                <w:szCs w:val="16"/>
              </w:rPr>
              <w:t>18,5</w:t>
            </w:r>
          </w:p>
        </w:tc>
        <w:tc>
          <w:tcPr>
            <w:tcW w:w="697" w:type="dxa"/>
            <w:tcBorders>
              <w:top w:val="nil"/>
              <w:left w:val="nil"/>
              <w:bottom w:val="nil"/>
              <w:right w:val="nil"/>
            </w:tcBorders>
            <w:shd w:val="clear" w:color="auto" w:fill="auto"/>
            <w:noWrap/>
            <w:vAlign w:val="center"/>
            <w:hideMark/>
          </w:tcPr>
          <w:p w14:paraId="6497CC67" w14:textId="1CC35D32" w:rsidR="001E3AB8" w:rsidRPr="00D92E20" w:rsidRDefault="001E3AB8" w:rsidP="001E3AB8">
            <w:pPr>
              <w:spacing w:after="0" w:line="240" w:lineRule="auto"/>
              <w:jc w:val="center"/>
              <w:rPr>
                <w:rFonts w:cs="Arial"/>
                <w:color w:val="000000"/>
                <w:sz w:val="16"/>
                <w:szCs w:val="16"/>
              </w:rPr>
            </w:pPr>
            <w:r>
              <w:rPr>
                <w:rFonts w:cs="Arial"/>
                <w:color w:val="000000"/>
                <w:sz w:val="16"/>
                <w:szCs w:val="16"/>
              </w:rPr>
              <w:t>19,9</w:t>
            </w:r>
          </w:p>
        </w:tc>
        <w:tc>
          <w:tcPr>
            <w:tcW w:w="697" w:type="dxa"/>
            <w:tcBorders>
              <w:top w:val="nil"/>
              <w:left w:val="nil"/>
              <w:bottom w:val="nil"/>
              <w:right w:val="nil"/>
            </w:tcBorders>
            <w:shd w:val="clear" w:color="auto" w:fill="auto"/>
            <w:noWrap/>
            <w:vAlign w:val="center"/>
            <w:hideMark/>
          </w:tcPr>
          <w:p w14:paraId="2E898002" w14:textId="2982A110" w:rsidR="001E3AB8" w:rsidRPr="00D92E20" w:rsidRDefault="001E3AB8" w:rsidP="001E3AB8">
            <w:pPr>
              <w:spacing w:after="0" w:line="240" w:lineRule="auto"/>
              <w:jc w:val="center"/>
              <w:rPr>
                <w:rFonts w:cs="Arial"/>
                <w:color w:val="000000"/>
                <w:sz w:val="16"/>
                <w:szCs w:val="16"/>
              </w:rPr>
            </w:pPr>
            <w:r>
              <w:rPr>
                <w:rFonts w:cs="Arial"/>
                <w:color w:val="000000"/>
                <w:sz w:val="16"/>
                <w:szCs w:val="16"/>
              </w:rPr>
              <w:t>21,4</w:t>
            </w:r>
          </w:p>
        </w:tc>
        <w:tc>
          <w:tcPr>
            <w:tcW w:w="697" w:type="dxa"/>
            <w:tcBorders>
              <w:top w:val="nil"/>
              <w:left w:val="nil"/>
              <w:bottom w:val="nil"/>
              <w:right w:val="nil"/>
            </w:tcBorders>
            <w:shd w:val="clear" w:color="auto" w:fill="auto"/>
            <w:noWrap/>
            <w:vAlign w:val="center"/>
            <w:hideMark/>
          </w:tcPr>
          <w:p w14:paraId="6C00987A" w14:textId="5A5785C3" w:rsidR="001E3AB8" w:rsidRPr="00D92E20" w:rsidRDefault="001E3AB8" w:rsidP="001E3AB8">
            <w:pPr>
              <w:spacing w:after="0" w:line="240" w:lineRule="auto"/>
              <w:jc w:val="center"/>
              <w:rPr>
                <w:rFonts w:cs="Arial"/>
                <w:color w:val="000000"/>
                <w:sz w:val="16"/>
                <w:szCs w:val="16"/>
              </w:rPr>
            </w:pPr>
            <w:r>
              <w:rPr>
                <w:rFonts w:cs="Arial"/>
                <w:color w:val="000000"/>
                <w:sz w:val="16"/>
                <w:szCs w:val="16"/>
              </w:rPr>
              <w:t>20,3</w:t>
            </w:r>
          </w:p>
        </w:tc>
        <w:tc>
          <w:tcPr>
            <w:tcW w:w="697" w:type="dxa"/>
            <w:tcBorders>
              <w:top w:val="nil"/>
              <w:left w:val="nil"/>
              <w:bottom w:val="nil"/>
              <w:right w:val="nil"/>
            </w:tcBorders>
            <w:shd w:val="clear" w:color="auto" w:fill="auto"/>
            <w:noWrap/>
            <w:vAlign w:val="center"/>
            <w:hideMark/>
          </w:tcPr>
          <w:p w14:paraId="6DE672A9" w14:textId="7FFDF0A1" w:rsidR="001E3AB8" w:rsidRPr="00D92E20" w:rsidRDefault="001E3AB8" w:rsidP="001E3AB8">
            <w:pPr>
              <w:spacing w:after="0" w:line="240" w:lineRule="auto"/>
              <w:jc w:val="center"/>
              <w:rPr>
                <w:rFonts w:cs="Arial"/>
                <w:color w:val="000000"/>
                <w:sz w:val="16"/>
                <w:szCs w:val="16"/>
              </w:rPr>
            </w:pPr>
            <w:r>
              <w:rPr>
                <w:rFonts w:cs="Arial"/>
                <w:color w:val="000000"/>
                <w:sz w:val="16"/>
                <w:szCs w:val="16"/>
              </w:rPr>
              <w:t>25,8</w:t>
            </w:r>
          </w:p>
        </w:tc>
        <w:tc>
          <w:tcPr>
            <w:tcW w:w="697" w:type="dxa"/>
            <w:tcBorders>
              <w:top w:val="nil"/>
              <w:left w:val="nil"/>
              <w:bottom w:val="nil"/>
              <w:right w:val="nil"/>
            </w:tcBorders>
            <w:shd w:val="clear" w:color="auto" w:fill="auto"/>
            <w:noWrap/>
            <w:vAlign w:val="center"/>
            <w:hideMark/>
          </w:tcPr>
          <w:p w14:paraId="3CC99E6D" w14:textId="00E75FA5" w:rsidR="001E3AB8" w:rsidRPr="00D92E20" w:rsidRDefault="001E3AB8" w:rsidP="001E3AB8">
            <w:pPr>
              <w:spacing w:after="0" w:line="240" w:lineRule="auto"/>
              <w:jc w:val="center"/>
              <w:rPr>
                <w:rFonts w:cs="Arial"/>
                <w:color w:val="000000"/>
                <w:sz w:val="16"/>
                <w:szCs w:val="16"/>
              </w:rPr>
            </w:pPr>
            <w:r>
              <w:rPr>
                <w:rFonts w:cs="Arial"/>
                <w:color w:val="000000"/>
                <w:sz w:val="16"/>
                <w:szCs w:val="16"/>
              </w:rPr>
              <w:t>30,1</w:t>
            </w:r>
          </w:p>
        </w:tc>
        <w:tc>
          <w:tcPr>
            <w:tcW w:w="697" w:type="dxa"/>
            <w:tcBorders>
              <w:top w:val="nil"/>
              <w:left w:val="nil"/>
              <w:bottom w:val="nil"/>
              <w:right w:val="nil"/>
            </w:tcBorders>
            <w:shd w:val="clear" w:color="auto" w:fill="auto"/>
            <w:noWrap/>
            <w:vAlign w:val="center"/>
            <w:hideMark/>
          </w:tcPr>
          <w:p w14:paraId="1DCF9E21" w14:textId="6BA7C1F3" w:rsidR="001E3AB8" w:rsidRPr="00D92E20" w:rsidRDefault="001E3AB8" w:rsidP="001E3AB8">
            <w:pPr>
              <w:spacing w:after="0" w:line="240" w:lineRule="auto"/>
              <w:jc w:val="center"/>
              <w:rPr>
                <w:rFonts w:cs="Arial"/>
                <w:color w:val="000000"/>
                <w:sz w:val="16"/>
                <w:szCs w:val="16"/>
              </w:rPr>
            </w:pPr>
            <w:r>
              <w:rPr>
                <w:rFonts w:cs="Arial"/>
                <w:color w:val="000000"/>
                <w:sz w:val="16"/>
                <w:szCs w:val="16"/>
              </w:rPr>
              <w:t>46,3</w:t>
            </w:r>
          </w:p>
        </w:tc>
      </w:tr>
      <w:tr w:rsidR="001E3AB8" w:rsidRPr="00D92E20" w14:paraId="5D483365"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259C8D21"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Zlínský kraj</w:t>
            </w:r>
          </w:p>
        </w:tc>
        <w:tc>
          <w:tcPr>
            <w:tcW w:w="697" w:type="dxa"/>
            <w:tcBorders>
              <w:top w:val="nil"/>
              <w:left w:val="nil"/>
              <w:bottom w:val="nil"/>
              <w:right w:val="nil"/>
            </w:tcBorders>
            <w:shd w:val="clear" w:color="auto" w:fill="auto"/>
            <w:noWrap/>
            <w:vAlign w:val="center"/>
            <w:hideMark/>
          </w:tcPr>
          <w:p w14:paraId="01DEFE50" w14:textId="2F759D47" w:rsidR="001E3AB8" w:rsidRPr="00D92E20" w:rsidRDefault="001E3AB8" w:rsidP="001E3AB8">
            <w:pPr>
              <w:spacing w:after="0" w:line="240" w:lineRule="auto"/>
              <w:jc w:val="center"/>
              <w:rPr>
                <w:rFonts w:cs="Arial"/>
                <w:color w:val="000000"/>
                <w:sz w:val="16"/>
                <w:szCs w:val="16"/>
              </w:rPr>
            </w:pPr>
            <w:r>
              <w:rPr>
                <w:rFonts w:cs="Arial"/>
                <w:sz w:val="16"/>
                <w:szCs w:val="16"/>
              </w:rPr>
              <w:t>14,3</w:t>
            </w:r>
          </w:p>
        </w:tc>
        <w:tc>
          <w:tcPr>
            <w:tcW w:w="697" w:type="dxa"/>
            <w:tcBorders>
              <w:top w:val="nil"/>
              <w:left w:val="nil"/>
              <w:bottom w:val="nil"/>
              <w:right w:val="nil"/>
            </w:tcBorders>
            <w:shd w:val="clear" w:color="auto" w:fill="auto"/>
            <w:noWrap/>
            <w:vAlign w:val="center"/>
            <w:hideMark/>
          </w:tcPr>
          <w:p w14:paraId="62CEF5F0" w14:textId="2A7426EA" w:rsidR="001E3AB8" w:rsidRPr="00D92E20" w:rsidRDefault="001E3AB8" w:rsidP="001E3AB8">
            <w:pPr>
              <w:spacing w:after="0" w:line="240" w:lineRule="auto"/>
              <w:jc w:val="center"/>
              <w:rPr>
                <w:rFonts w:cs="Arial"/>
                <w:color w:val="000000"/>
                <w:sz w:val="16"/>
                <w:szCs w:val="16"/>
              </w:rPr>
            </w:pPr>
            <w:r>
              <w:rPr>
                <w:rFonts w:cs="Arial"/>
                <w:sz w:val="16"/>
                <w:szCs w:val="16"/>
              </w:rPr>
              <w:t>17,4</w:t>
            </w:r>
          </w:p>
        </w:tc>
        <w:tc>
          <w:tcPr>
            <w:tcW w:w="697" w:type="dxa"/>
            <w:tcBorders>
              <w:top w:val="nil"/>
              <w:left w:val="nil"/>
              <w:bottom w:val="nil"/>
              <w:right w:val="nil"/>
            </w:tcBorders>
            <w:shd w:val="clear" w:color="auto" w:fill="auto"/>
            <w:noWrap/>
            <w:vAlign w:val="center"/>
            <w:hideMark/>
          </w:tcPr>
          <w:p w14:paraId="38BDDED8" w14:textId="039A7C29" w:rsidR="001E3AB8" w:rsidRPr="00D92E20" w:rsidRDefault="001E3AB8" w:rsidP="001E3AB8">
            <w:pPr>
              <w:spacing w:after="0" w:line="240" w:lineRule="auto"/>
              <w:jc w:val="center"/>
              <w:rPr>
                <w:rFonts w:cs="Arial"/>
                <w:color w:val="000000"/>
                <w:sz w:val="16"/>
                <w:szCs w:val="16"/>
              </w:rPr>
            </w:pPr>
            <w:r>
              <w:rPr>
                <w:rFonts w:cs="Arial"/>
                <w:sz w:val="16"/>
                <w:szCs w:val="16"/>
              </w:rPr>
              <w:t>14,7</w:t>
            </w:r>
          </w:p>
        </w:tc>
        <w:tc>
          <w:tcPr>
            <w:tcW w:w="697" w:type="dxa"/>
            <w:tcBorders>
              <w:top w:val="nil"/>
              <w:left w:val="nil"/>
              <w:bottom w:val="nil"/>
              <w:right w:val="nil"/>
            </w:tcBorders>
            <w:shd w:val="clear" w:color="auto" w:fill="auto"/>
            <w:noWrap/>
            <w:vAlign w:val="center"/>
            <w:hideMark/>
          </w:tcPr>
          <w:p w14:paraId="671AC91A" w14:textId="2253C844" w:rsidR="001E3AB8" w:rsidRPr="00D92E20" w:rsidRDefault="001E3AB8" w:rsidP="001E3AB8">
            <w:pPr>
              <w:spacing w:after="0" w:line="240" w:lineRule="auto"/>
              <w:jc w:val="center"/>
              <w:rPr>
                <w:rFonts w:cs="Arial"/>
                <w:color w:val="000000"/>
                <w:sz w:val="16"/>
                <w:szCs w:val="16"/>
              </w:rPr>
            </w:pPr>
            <w:r>
              <w:rPr>
                <w:rFonts w:cs="Arial"/>
                <w:sz w:val="16"/>
                <w:szCs w:val="16"/>
              </w:rPr>
              <w:t>20,4</w:t>
            </w:r>
          </w:p>
        </w:tc>
        <w:tc>
          <w:tcPr>
            <w:tcW w:w="697" w:type="dxa"/>
            <w:tcBorders>
              <w:top w:val="nil"/>
              <w:left w:val="nil"/>
              <w:bottom w:val="nil"/>
              <w:right w:val="nil"/>
            </w:tcBorders>
            <w:shd w:val="clear" w:color="auto" w:fill="auto"/>
            <w:noWrap/>
            <w:vAlign w:val="center"/>
            <w:hideMark/>
          </w:tcPr>
          <w:p w14:paraId="09A1D2F9" w14:textId="5EE32FED" w:rsidR="001E3AB8" w:rsidRPr="00D92E20" w:rsidRDefault="001E3AB8" w:rsidP="001E3AB8">
            <w:pPr>
              <w:spacing w:after="0" w:line="240" w:lineRule="auto"/>
              <w:jc w:val="center"/>
              <w:rPr>
                <w:rFonts w:cs="Arial"/>
                <w:color w:val="000000"/>
                <w:sz w:val="16"/>
                <w:szCs w:val="16"/>
              </w:rPr>
            </w:pPr>
            <w:r>
              <w:rPr>
                <w:rFonts w:cs="Arial"/>
                <w:color w:val="000000"/>
                <w:sz w:val="16"/>
                <w:szCs w:val="16"/>
              </w:rPr>
              <w:t>19,7</w:t>
            </w:r>
          </w:p>
        </w:tc>
        <w:tc>
          <w:tcPr>
            <w:tcW w:w="697" w:type="dxa"/>
            <w:tcBorders>
              <w:top w:val="nil"/>
              <w:left w:val="nil"/>
              <w:bottom w:val="nil"/>
              <w:right w:val="nil"/>
            </w:tcBorders>
            <w:shd w:val="clear" w:color="auto" w:fill="auto"/>
            <w:noWrap/>
            <w:vAlign w:val="center"/>
            <w:hideMark/>
          </w:tcPr>
          <w:p w14:paraId="20275CD9" w14:textId="7455F35A" w:rsidR="001E3AB8" w:rsidRPr="00D92E20" w:rsidRDefault="001E3AB8" w:rsidP="001E3AB8">
            <w:pPr>
              <w:spacing w:after="0" w:line="240" w:lineRule="auto"/>
              <w:jc w:val="center"/>
              <w:rPr>
                <w:rFonts w:cs="Arial"/>
                <w:color w:val="000000"/>
                <w:sz w:val="16"/>
                <w:szCs w:val="16"/>
              </w:rPr>
            </w:pPr>
            <w:r>
              <w:rPr>
                <w:rFonts w:cs="Arial"/>
                <w:color w:val="000000"/>
                <w:sz w:val="16"/>
                <w:szCs w:val="16"/>
              </w:rPr>
              <w:t>21,3</w:t>
            </w:r>
          </w:p>
        </w:tc>
        <w:tc>
          <w:tcPr>
            <w:tcW w:w="697" w:type="dxa"/>
            <w:tcBorders>
              <w:top w:val="nil"/>
              <w:left w:val="nil"/>
              <w:bottom w:val="nil"/>
              <w:right w:val="nil"/>
            </w:tcBorders>
            <w:shd w:val="clear" w:color="auto" w:fill="auto"/>
            <w:noWrap/>
            <w:vAlign w:val="center"/>
            <w:hideMark/>
          </w:tcPr>
          <w:p w14:paraId="2121A1C3" w14:textId="79197751" w:rsidR="001E3AB8" w:rsidRPr="00D92E20" w:rsidRDefault="001E3AB8" w:rsidP="001E3AB8">
            <w:pPr>
              <w:spacing w:after="0" w:line="240" w:lineRule="auto"/>
              <w:jc w:val="center"/>
              <w:rPr>
                <w:rFonts w:cs="Arial"/>
                <w:color w:val="000000"/>
                <w:sz w:val="16"/>
                <w:szCs w:val="16"/>
              </w:rPr>
            </w:pPr>
            <w:r>
              <w:rPr>
                <w:rFonts w:cs="Arial"/>
                <w:color w:val="000000"/>
                <w:sz w:val="16"/>
                <w:szCs w:val="16"/>
              </w:rPr>
              <w:t>22,1</w:t>
            </w:r>
          </w:p>
        </w:tc>
        <w:tc>
          <w:tcPr>
            <w:tcW w:w="697" w:type="dxa"/>
            <w:tcBorders>
              <w:top w:val="nil"/>
              <w:left w:val="nil"/>
              <w:bottom w:val="nil"/>
              <w:right w:val="nil"/>
            </w:tcBorders>
            <w:shd w:val="clear" w:color="auto" w:fill="auto"/>
            <w:noWrap/>
            <w:vAlign w:val="center"/>
            <w:hideMark/>
          </w:tcPr>
          <w:p w14:paraId="224780C5" w14:textId="5AFE64E4" w:rsidR="001E3AB8" w:rsidRPr="00D92E20" w:rsidRDefault="001E3AB8" w:rsidP="001E3AB8">
            <w:pPr>
              <w:spacing w:after="0" w:line="240" w:lineRule="auto"/>
              <w:jc w:val="center"/>
              <w:rPr>
                <w:rFonts w:cs="Arial"/>
                <w:color w:val="000000"/>
                <w:sz w:val="16"/>
                <w:szCs w:val="16"/>
              </w:rPr>
            </w:pPr>
            <w:r>
              <w:rPr>
                <w:rFonts w:cs="Arial"/>
                <w:color w:val="000000"/>
                <w:sz w:val="16"/>
                <w:szCs w:val="16"/>
              </w:rPr>
              <w:t>21,3</w:t>
            </w:r>
          </w:p>
        </w:tc>
        <w:tc>
          <w:tcPr>
            <w:tcW w:w="697" w:type="dxa"/>
            <w:tcBorders>
              <w:top w:val="nil"/>
              <w:left w:val="nil"/>
              <w:bottom w:val="nil"/>
              <w:right w:val="nil"/>
            </w:tcBorders>
            <w:shd w:val="clear" w:color="auto" w:fill="auto"/>
            <w:noWrap/>
            <w:vAlign w:val="center"/>
            <w:hideMark/>
          </w:tcPr>
          <w:p w14:paraId="2C23D19F" w14:textId="53498AF5" w:rsidR="001E3AB8" w:rsidRPr="00D92E20" w:rsidRDefault="001E3AB8" w:rsidP="001E3AB8">
            <w:pPr>
              <w:spacing w:after="0" w:line="240" w:lineRule="auto"/>
              <w:jc w:val="center"/>
              <w:rPr>
                <w:rFonts w:cs="Arial"/>
                <w:color w:val="000000"/>
                <w:sz w:val="16"/>
                <w:szCs w:val="16"/>
              </w:rPr>
            </w:pPr>
            <w:r>
              <w:rPr>
                <w:rFonts w:cs="Arial"/>
                <w:color w:val="000000"/>
                <w:sz w:val="16"/>
                <w:szCs w:val="16"/>
              </w:rPr>
              <w:t>24,9</w:t>
            </w:r>
          </w:p>
        </w:tc>
        <w:tc>
          <w:tcPr>
            <w:tcW w:w="697" w:type="dxa"/>
            <w:tcBorders>
              <w:top w:val="nil"/>
              <w:left w:val="nil"/>
              <w:bottom w:val="nil"/>
              <w:right w:val="nil"/>
            </w:tcBorders>
            <w:shd w:val="clear" w:color="auto" w:fill="auto"/>
            <w:noWrap/>
            <w:vAlign w:val="center"/>
            <w:hideMark/>
          </w:tcPr>
          <w:p w14:paraId="752D823F" w14:textId="7CEE9CFB" w:rsidR="001E3AB8" w:rsidRPr="00D92E20" w:rsidRDefault="001E3AB8" w:rsidP="001E3AB8">
            <w:pPr>
              <w:spacing w:after="0" w:line="240" w:lineRule="auto"/>
              <w:jc w:val="center"/>
              <w:rPr>
                <w:rFonts w:cs="Arial"/>
                <w:color w:val="000000"/>
                <w:sz w:val="16"/>
                <w:szCs w:val="16"/>
              </w:rPr>
            </w:pPr>
            <w:r>
              <w:rPr>
                <w:rFonts w:cs="Arial"/>
                <w:color w:val="000000"/>
                <w:sz w:val="16"/>
                <w:szCs w:val="16"/>
              </w:rPr>
              <w:t>29,9</w:t>
            </w:r>
          </w:p>
        </w:tc>
        <w:tc>
          <w:tcPr>
            <w:tcW w:w="697" w:type="dxa"/>
            <w:tcBorders>
              <w:top w:val="nil"/>
              <w:left w:val="nil"/>
              <w:bottom w:val="nil"/>
              <w:right w:val="nil"/>
            </w:tcBorders>
            <w:shd w:val="clear" w:color="auto" w:fill="auto"/>
            <w:noWrap/>
            <w:vAlign w:val="center"/>
            <w:hideMark/>
          </w:tcPr>
          <w:p w14:paraId="6DEAA1A5" w14:textId="2656956F" w:rsidR="001E3AB8" w:rsidRPr="00D92E20" w:rsidRDefault="001E3AB8" w:rsidP="001E3AB8">
            <w:pPr>
              <w:spacing w:after="0" w:line="240" w:lineRule="auto"/>
              <w:jc w:val="center"/>
              <w:rPr>
                <w:rFonts w:cs="Arial"/>
                <w:color w:val="000000"/>
                <w:sz w:val="16"/>
                <w:szCs w:val="16"/>
              </w:rPr>
            </w:pPr>
            <w:r>
              <w:rPr>
                <w:rFonts w:cs="Arial"/>
                <w:color w:val="000000"/>
                <w:sz w:val="16"/>
                <w:szCs w:val="16"/>
              </w:rPr>
              <w:t>48,2</w:t>
            </w:r>
          </w:p>
        </w:tc>
      </w:tr>
      <w:tr w:rsidR="001E3AB8" w:rsidRPr="00D92E20" w14:paraId="067173F3" w14:textId="77777777" w:rsidTr="00B0095F">
        <w:trPr>
          <w:trHeight w:val="300"/>
        </w:trPr>
        <w:tc>
          <w:tcPr>
            <w:tcW w:w="1960" w:type="dxa"/>
            <w:tcBorders>
              <w:top w:val="nil"/>
              <w:left w:val="nil"/>
              <w:bottom w:val="nil"/>
              <w:right w:val="single" w:sz="4" w:space="0" w:color="auto"/>
            </w:tcBorders>
            <w:shd w:val="clear" w:color="auto" w:fill="auto"/>
            <w:noWrap/>
            <w:vAlign w:val="center"/>
            <w:hideMark/>
          </w:tcPr>
          <w:p w14:paraId="35E89EA8" w14:textId="77777777" w:rsidR="001E3AB8" w:rsidRPr="00D92E20" w:rsidRDefault="001E3AB8" w:rsidP="001E3AB8">
            <w:pPr>
              <w:spacing w:after="0" w:line="240" w:lineRule="auto"/>
              <w:ind w:firstLineChars="100" w:firstLine="160"/>
              <w:rPr>
                <w:rFonts w:cs="Arial"/>
                <w:color w:val="000000"/>
                <w:sz w:val="16"/>
                <w:szCs w:val="16"/>
              </w:rPr>
            </w:pPr>
            <w:r w:rsidRPr="00D92E20">
              <w:rPr>
                <w:rFonts w:cs="Arial"/>
                <w:color w:val="000000"/>
                <w:sz w:val="16"/>
                <w:szCs w:val="16"/>
              </w:rPr>
              <w:t>Moravskoslezský kraj</w:t>
            </w:r>
          </w:p>
        </w:tc>
        <w:tc>
          <w:tcPr>
            <w:tcW w:w="697" w:type="dxa"/>
            <w:tcBorders>
              <w:top w:val="nil"/>
              <w:left w:val="nil"/>
              <w:bottom w:val="nil"/>
              <w:right w:val="nil"/>
            </w:tcBorders>
            <w:shd w:val="clear" w:color="auto" w:fill="auto"/>
            <w:noWrap/>
            <w:vAlign w:val="center"/>
            <w:hideMark/>
          </w:tcPr>
          <w:p w14:paraId="381B5B43" w14:textId="0538D0ED" w:rsidR="001E3AB8" w:rsidRPr="00D92E20" w:rsidRDefault="001E3AB8" w:rsidP="001E3AB8">
            <w:pPr>
              <w:spacing w:after="0" w:line="240" w:lineRule="auto"/>
              <w:jc w:val="center"/>
              <w:rPr>
                <w:rFonts w:cs="Arial"/>
                <w:color w:val="000000"/>
                <w:sz w:val="16"/>
                <w:szCs w:val="16"/>
              </w:rPr>
            </w:pPr>
            <w:r>
              <w:rPr>
                <w:rFonts w:cs="Arial"/>
                <w:sz w:val="16"/>
                <w:szCs w:val="16"/>
              </w:rPr>
              <w:t>14,8</w:t>
            </w:r>
          </w:p>
        </w:tc>
        <w:tc>
          <w:tcPr>
            <w:tcW w:w="697" w:type="dxa"/>
            <w:tcBorders>
              <w:top w:val="nil"/>
              <w:left w:val="nil"/>
              <w:bottom w:val="nil"/>
              <w:right w:val="nil"/>
            </w:tcBorders>
            <w:shd w:val="clear" w:color="auto" w:fill="auto"/>
            <w:noWrap/>
            <w:vAlign w:val="center"/>
            <w:hideMark/>
          </w:tcPr>
          <w:p w14:paraId="0C88F714" w14:textId="5FAB7C2F" w:rsidR="001E3AB8" w:rsidRPr="00D92E20" w:rsidRDefault="001E3AB8" w:rsidP="001E3AB8">
            <w:pPr>
              <w:spacing w:after="0" w:line="240" w:lineRule="auto"/>
              <w:jc w:val="center"/>
              <w:rPr>
                <w:rFonts w:cs="Arial"/>
                <w:color w:val="000000"/>
                <w:sz w:val="16"/>
                <w:szCs w:val="16"/>
              </w:rPr>
            </w:pPr>
            <w:r>
              <w:rPr>
                <w:rFonts w:cs="Arial"/>
                <w:sz w:val="16"/>
                <w:szCs w:val="16"/>
              </w:rPr>
              <w:t>17,9</w:t>
            </w:r>
          </w:p>
        </w:tc>
        <w:tc>
          <w:tcPr>
            <w:tcW w:w="697" w:type="dxa"/>
            <w:tcBorders>
              <w:top w:val="nil"/>
              <w:left w:val="nil"/>
              <w:bottom w:val="nil"/>
              <w:right w:val="nil"/>
            </w:tcBorders>
            <w:shd w:val="clear" w:color="auto" w:fill="auto"/>
            <w:noWrap/>
            <w:vAlign w:val="center"/>
            <w:hideMark/>
          </w:tcPr>
          <w:p w14:paraId="7D7B76A8" w14:textId="23F5F5B6" w:rsidR="001E3AB8" w:rsidRPr="00D92E20" w:rsidRDefault="001E3AB8" w:rsidP="001E3AB8">
            <w:pPr>
              <w:spacing w:after="0" w:line="240" w:lineRule="auto"/>
              <w:jc w:val="center"/>
              <w:rPr>
                <w:rFonts w:cs="Arial"/>
                <w:color w:val="000000"/>
                <w:sz w:val="16"/>
                <w:szCs w:val="16"/>
              </w:rPr>
            </w:pPr>
            <w:r>
              <w:rPr>
                <w:rFonts w:cs="Arial"/>
                <w:sz w:val="16"/>
                <w:szCs w:val="16"/>
              </w:rPr>
              <w:t>15,3</w:t>
            </w:r>
          </w:p>
        </w:tc>
        <w:tc>
          <w:tcPr>
            <w:tcW w:w="697" w:type="dxa"/>
            <w:tcBorders>
              <w:top w:val="nil"/>
              <w:left w:val="nil"/>
              <w:bottom w:val="nil"/>
              <w:right w:val="nil"/>
            </w:tcBorders>
            <w:shd w:val="clear" w:color="auto" w:fill="auto"/>
            <w:noWrap/>
            <w:vAlign w:val="center"/>
            <w:hideMark/>
          </w:tcPr>
          <w:p w14:paraId="0483F44F" w14:textId="09EFED98" w:rsidR="001E3AB8" w:rsidRPr="00D92E20" w:rsidRDefault="001E3AB8" w:rsidP="001E3AB8">
            <w:pPr>
              <w:spacing w:after="0" w:line="240" w:lineRule="auto"/>
              <w:jc w:val="center"/>
              <w:rPr>
                <w:rFonts w:cs="Arial"/>
                <w:color w:val="000000"/>
                <w:sz w:val="16"/>
                <w:szCs w:val="16"/>
              </w:rPr>
            </w:pPr>
            <w:r>
              <w:rPr>
                <w:rFonts w:cs="Arial"/>
                <w:sz w:val="16"/>
                <w:szCs w:val="16"/>
              </w:rPr>
              <w:t>20,0</w:t>
            </w:r>
          </w:p>
        </w:tc>
        <w:tc>
          <w:tcPr>
            <w:tcW w:w="697" w:type="dxa"/>
            <w:tcBorders>
              <w:top w:val="nil"/>
              <w:left w:val="nil"/>
              <w:bottom w:val="nil"/>
              <w:right w:val="nil"/>
            </w:tcBorders>
            <w:shd w:val="clear" w:color="auto" w:fill="auto"/>
            <w:noWrap/>
            <w:vAlign w:val="center"/>
            <w:hideMark/>
          </w:tcPr>
          <w:p w14:paraId="5540361E" w14:textId="7DE860AD" w:rsidR="001E3AB8" w:rsidRPr="00D92E20" w:rsidRDefault="001E3AB8" w:rsidP="001E3AB8">
            <w:pPr>
              <w:spacing w:after="0" w:line="240" w:lineRule="auto"/>
              <w:jc w:val="center"/>
              <w:rPr>
                <w:rFonts w:cs="Arial"/>
                <w:color w:val="000000"/>
                <w:sz w:val="16"/>
                <w:szCs w:val="16"/>
              </w:rPr>
            </w:pPr>
            <w:r>
              <w:rPr>
                <w:rFonts w:cs="Arial"/>
                <w:color w:val="000000"/>
                <w:sz w:val="16"/>
                <w:szCs w:val="16"/>
              </w:rPr>
              <w:t>20,2</w:t>
            </w:r>
          </w:p>
        </w:tc>
        <w:tc>
          <w:tcPr>
            <w:tcW w:w="697" w:type="dxa"/>
            <w:tcBorders>
              <w:top w:val="nil"/>
              <w:left w:val="nil"/>
              <w:bottom w:val="nil"/>
              <w:right w:val="nil"/>
            </w:tcBorders>
            <w:shd w:val="clear" w:color="auto" w:fill="auto"/>
            <w:noWrap/>
            <w:vAlign w:val="center"/>
            <w:hideMark/>
          </w:tcPr>
          <w:p w14:paraId="1B68F850" w14:textId="4A667573" w:rsidR="001E3AB8" w:rsidRPr="00D92E20" w:rsidRDefault="001E3AB8" w:rsidP="001E3AB8">
            <w:pPr>
              <w:spacing w:after="0" w:line="240" w:lineRule="auto"/>
              <w:jc w:val="center"/>
              <w:rPr>
                <w:rFonts w:cs="Arial"/>
                <w:color w:val="000000"/>
                <w:sz w:val="16"/>
                <w:szCs w:val="16"/>
              </w:rPr>
            </w:pPr>
            <w:r>
              <w:rPr>
                <w:rFonts w:cs="Arial"/>
                <w:color w:val="000000"/>
                <w:sz w:val="16"/>
                <w:szCs w:val="16"/>
              </w:rPr>
              <w:t>21,5</w:t>
            </w:r>
          </w:p>
        </w:tc>
        <w:tc>
          <w:tcPr>
            <w:tcW w:w="697" w:type="dxa"/>
            <w:tcBorders>
              <w:top w:val="nil"/>
              <w:left w:val="nil"/>
              <w:bottom w:val="nil"/>
              <w:right w:val="nil"/>
            </w:tcBorders>
            <w:shd w:val="clear" w:color="auto" w:fill="auto"/>
            <w:noWrap/>
            <w:vAlign w:val="center"/>
            <w:hideMark/>
          </w:tcPr>
          <w:p w14:paraId="250ADF9E" w14:textId="48F13B51" w:rsidR="001E3AB8" w:rsidRPr="00D92E20" w:rsidRDefault="001E3AB8" w:rsidP="001E3AB8">
            <w:pPr>
              <w:spacing w:after="0" w:line="240" w:lineRule="auto"/>
              <w:jc w:val="center"/>
              <w:rPr>
                <w:rFonts w:cs="Arial"/>
                <w:color w:val="000000"/>
                <w:sz w:val="16"/>
                <w:szCs w:val="16"/>
              </w:rPr>
            </w:pPr>
            <w:r>
              <w:rPr>
                <w:rFonts w:cs="Arial"/>
                <w:color w:val="000000"/>
                <w:sz w:val="16"/>
                <w:szCs w:val="16"/>
              </w:rPr>
              <w:t>23,1</w:t>
            </w:r>
          </w:p>
        </w:tc>
        <w:tc>
          <w:tcPr>
            <w:tcW w:w="697" w:type="dxa"/>
            <w:tcBorders>
              <w:top w:val="nil"/>
              <w:left w:val="nil"/>
              <w:bottom w:val="nil"/>
              <w:right w:val="nil"/>
            </w:tcBorders>
            <w:shd w:val="clear" w:color="auto" w:fill="auto"/>
            <w:noWrap/>
            <w:vAlign w:val="center"/>
            <w:hideMark/>
          </w:tcPr>
          <w:p w14:paraId="2D317FF9" w14:textId="0B67619D" w:rsidR="001E3AB8" w:rsidRPr="00D92E20" w:rsidRDefault="001E3AB8" w:rsidP="001E3AB8">
            <w:pPr>
              <w:spacing w:after="0" w:line="240" w:lineRule="auto"/>
              <w:jc w:val="center"/>
              <w:rPr>
                <w:rFonts w:cs="Arial"/>
                <w:color w:val="000000"/>
                <w:sz w:val="16"/>
                <w:szCs w:val="16"/>
              </w:rPr>
            </w:pPr>
            <w:r>
              <w:rPr>
                <w:rFonts w:cs="Arial"/>
                <w:color w:val="000000"/>
                <w:sz w:val="16"/>
                <w:szCs w:val="16"/>
              </w:rPr>
              <w:t>22,0</w:t>
            </w:r>
          </w:p>
        </w:tc>
        <w:tc>
          <w:tcPr>
            <w:tcW w:w="697" w:type="dxa"/>
            <w:tcBorders>
              <w:top w:val="nil"/>
              <w:left w:val="nil"/>
              <w:bottom w:val="nil"/>
              <w:right w:val="nil"/>
            </w:tcBorders>
            <w:shd w:val="clear" w:color="auto" w:fill="auto"/>
            <w:noWrap/>
            <w:vAlign w:val="center"/>
            <w:hideMark/>
          </w:tcPr>
          <w:p w14:paraId="5F07498C" w14:textId="7BCDA3DB" w:rsidR="001E3AB8" w:rsidRPr="00D92E20" w:rsidRDefault="001E3AB8" w:rsidP="001E3AB8">
            <w:pPr>
              <w:spacing w:after="0" w:line="240" w:lineRule="auto"/>
              <w:jc w:val="center"/>
              <w:rPr>
                <w:rFonts w:cs="Arial"/>
                <w:color w:val="000000"/>
                <w:sz w:val="16"/>
                <w:szCs w:val="16"/>
              </w:rPr>
            </w:pPr>
            <w:r>
              <w:rPr>
                <w:rFonts w:cs="Arial"/>
                <w:color w:val="000000"/>
                <w:sz w:val="16"/>
                <w:szCs w:val="16"/>
              </w:rPr>
              <w:t>26,9</w:t>
            </w:r>
          </w:p>
        </w:tc>
        <w:tc>
          <w:tcPr>
            <w:tcW w:w="697" w:type="dxa"/>
            <w:tcBorders>
              <w:top w:val="nil"/>
              <w:left w:val="nil"/>
              <w:bottom w:val="nil"/>
              <w:right w:val="nil"/>
            </w:tcBorders>
            <w:shd w:val="clear" w:color="auto" w:fill="auto"/>
            <w:noWrap/>
            <w:vAlign w:val="center"/>
            <w:hideMark/>
          </w:tcPr>
          <w:p w14:paraId="359D74C0" w14:textId="6A369772" w:rsidR="001E3AB8" w:rsidRPr="00D92E20" w:rsidRDefault="001E3AB8" w:rsidP="001E3AB8">
            <w:pPr>
              <w:spacing w:after="0" w:line="240" w:lineRule="auto"/>
              <w:jc w:val="center"/>
              <w:rPr>
                <w:rFonts w:cs="Arial"/>
                <w:color w:val="000000"/>
                <w:sz w:val="16"/>
                <w:szCs w:val="16"/>
              </w:rPr>
            </w:pPr>
            <w:r>
              <w:rPr>
                <w:rFonts w:cs="Arial"/>
                <w:color w:val="000000"/>
                <w:sz w:val="16"/>
                <w:szCs w:val="16"/>
              </w:rPr>
              <w:t>32,6</w:t>
            </w:r>
          </w:p>
        </w:tc>
        <w:tc>
          <w:tcPr>
            <w:tcW w:w="697" w:type="dxa"/>
            <w:tcBorders>
              <w:top w:val="nil"/>
              <w:left w:val="nil"/>
              <w:bottom w:val="nil"/>
              <w:right w:val="nil"/>
            </w:tcBorders>
            <w:shd w:val="clear" w:color="auto" w:fill="auto"/>
            <w:noWrap/>
            <w:vAlign w:val="center"/>
            <w:hideMark/>
          </w:tcPr>
          <w:p w14:paraId="7494AB02" w14:textId="43A7FBB0" w:rsidR="001E3AB8" w:rsidRPr="00D92E20" w:rsidRDefault="001E3AB8" w:rsidP="001E3AB8">
            <w:pPr>
              <w:spacing w:after="0" w:line="240" w:lineRule="auto"/>
              <w:jc w:val="center"/>
              <w:rPr>
                <w:rFonts w:cs="Arial"/>
                <w:color w:val="000000"/>
                <w:sz w:val="16"/>
                <w:szCs w:val="16"/>
              </w:rPr>
            </w:pPr>
            <w:r>
              <w:rPr>
                <w:rFonts w:cs="Arial"/>
                <w:color w:val="000000"/>
                <w:sz w:val="16"/>
                <w:szCs w:val="16"/>
              </w:rPr>
              <w:t>47,1</w:t>
            </w:r>
          </w:p>
        </w:tc>
      </w:tr>
    </w:tbl>
    <w:p w14:paraId="4979ED72" w14:textId="43D161DA" w:rsidR="00B0095F" w:rsidRPr="00D92E20" w:rsidRDefault="00B0095F" w:rsidP="00B0095F">
      <w:pPr>
        <w:spacing w:before="120"/>
        <w:rPr>
          <w:sz w:val="16"/>
        </w:rPr>
      </w:pPr>
      <w:r w:rsidRPr="00D92E20">
        <w:rPr>
          <w:sz w:val="16"/>
        </w:rPr>
        <w:t>Zdroj: ČSÚ</w:t>
      </w:r>
    </w:p>
    <w:p w14:paraId="659702C8" w14:textId="77777777" w:rsidR="0048385E" w:rsidRPr="00D92E20" w:rsidRDefault="0048385E" w:rsidP="00BA6B4E">
      <w:pPr>
        <w:pStyle w:val="Nadpis3"/>
        <w:numPr>
          <w:ilvl w:val="2"/>
          <w:numId w:val="21"/>
        </w:numPr>
        <w:spacing w:after="120"/>
        <w:ind w:left="709"/>
        <w:jc w:val="both"/>
      </w:pPr>
      <w:bookmarkStart w:id="25" w:name="_Toc70676750"/>
      <w:bookmarkStart w:id="26" w:name="_Toc70676872"/>
      <w:bookmarkStart w:id="27" w:name="_Toc70933090"/>
      <w:bookmarkStart w:id="28" w:name="_Toc70933155"/>
      <w:bookmarkStart w:id="29" w:name="_Toc70948573"/>
      <w:bookmarkStart w:id="30" w:name="_Toc70948602"/>
      <w:bookmarkStart w:id="31" w:name="_Toc70948631"/>
      <w:bookmarkStart w:id="32" w:name="_Toc70948675"/>
      <w:bookmarkStart w:id="33" w:name="_Toc70948904"/>
      <w:bookmarkStart w:id="34" w:name="_Toc54262801"/>
      <w:bookmarkStart w:id="35" w:name="_Toc117774429"/>
      <w:bookmarkEnd w:id="25"/>
      <w:bookmarkEnd w:id="26"/>
      <w:bookmarkEnd w:id="27"/>
      <w:bookmarkEnd w:id="28"/>
      <w:bookmarkEnd w:id="29"/>
      <w:bookmarkEnd w:id="30"/>
      <w:bookmarkEnd w:id="31"/>
      <w:bookmarkEnd w:id="32"/>
      <w:bookmarkEnd w:id="33"/>
      <w:r w:rsidRPr="00D92E20">
        <w:t>Délka trvání dočasné pracovní neschopnosti</w:t>
      </w:r>
      <w:bookmarkEnd w:id="34"/>
      <w:bookmarkEnd w:id="35"/>
    </w:p>
    <w:p w14:paraId="6D52A0B9" w14:textId="77777777" w:rsidR="0048385E" w:rsidRPr="00D92E20" w:rsidRDefault="0048385E" w:rsidP="00BA6B4E">
      <w:pPr>
        <w:spacing w:before="120" w:after="120"/>
        <w:jc w:val="both"/>
      </w:pPr>
      <w:r w:rsidRPr="00D92E20">
        <w:t>Pro posouzení vývoje pracovní neschopnosti je důležité nejen zjištění, jak často zaměstnanci do pracovní neschopnosti nastupují, ale i to, jak dlouho v pracovní neschopnosti zůstávají.</w:t>
      </w:r>
    </w:p>
    <w:p w14:paraId="15ECD2E5" w14:textId="452E480E" w:rsidR="00473D4E" w:rsidRDefault="0048385E" w:rsidP="00BA6B4E">
      <w:pPr>
        <w:pStyle w:val="Box1"/>
        <w:spacing w:before="120" w:after="120"/>
        <w:ind w:left="0"/>
        <w:contextualSpacing w:val="0"/>
        <w:jc w:val="both"/>
        <w:rPr>
          <w:i/>
        </w:rPr>
      </w:pPr>
      <w:r w:rsidRPr="00D92E20">
        <w:rPr>
          <w:b/>
          <w:i/>
        </w:rPr>
        <w:t>Počet kalendářních dnů pracovní neschopnosti</w:t>
      </w:r>
      <w:r w:rsidRPr="00D92E20">
        <w:rPr>
          <w:i/>
        </w:rPr>
        <w:t xml:space="preserve"> – ukazatel udává celkový počet kalendářních dnů, po které byli v daném období (</w:t>
      </w:r>
      <w:r w:rsidR="004B564D">
        <w:rPr>
          <w:i/>
        </w:rPr>
        <w:t>1. pololetí</w:t>
      </w:r>
      <w:r w:rsidRPr="00D92E20">
        <w:rPr>
          <w:i/>
        </w:rPr>
        <w:t>) nemocensky pojištění práce neschopni</w:t>
      </w:r>
      <w:r w:rsidR="007C6359">
        <w:rPr>
          <w:i/>
        </w:rPr>
        <w:t>.</w:t>
      </w:r>
      <w:r w:rsidRPr="00D92E20">
        <w:rPr>
          <w:i/>
        </w:rPr>
        <w:t xml:space="preserve"> Počet kalendářních dnů strávených v pracovní neschopnosti je zjišťován na základě hlášení o vzniku a ukončení pracovní neschopnosti. </w:t>
      </w:r>
      <w:r w:rsidR="00954E16" w:rsidRPr="00954E16">
        <w:rPr>
          <w:i/>
        </w:rPr>
        <w:t xml:space="preserve">Údaj zahrnuje dny pracovní neschopnosti vč. dnů u těch případů, které vznikly před sledovaným obdobím a v počtu nově hlášených případů dočasné pracovní neschopnosti za toto období zařazeny nejsou. Maximální doba zápočtu je délka sledovaného období (180 resp. 181 dnů za 1. pololetí) bez ohledu na délku trvání pracovní neschopnosti daného případu. </w:t>
      </w:r>
      <w:r w:rsidRPr="00D92E20">
        <w:rPr>
          <w:i/>
        </w:rPr>
        <w:t>Do počtu kalendářních dnů pracovní neschopnosti patří i pracovní neschopnost vzniklá po zániku pojištění v tzv. ochranné lhůtě sedmi kalendářních dnů.</w:t>
      </w:r>
    </w:p>
    <w:p w14:paraId="1B8F1156" w14:textId="77777777" w:rsidR="00473D4E" w:rsidRDefault="00473D4E">
      <w:pPr>
        <w:spacing w:after="0" w:line="240" w:lineRule="auto"/>
        <w:rPr>
          <w:rFonts w:eastAsia="Calibri" w:cs="Arial"/>
          <w:i/>
          <w:szCs w:val="20"/>
        </w:rPr>
      </w:pPr>
      <w:r>
        <w:rPr>
          <w:i/>
        </w:rPr>
        <w:br w:type="page"/>
      </w:r>
    </w:p>
    <w:p w14:paraId="39634E12" w14:textId="09C10A6F" w:rsidR="0048385E" w:rsidRPr="00D92E20" w:rsidRDefault="0048385E" w:rsidP="0048385E">
      <w:pPr>
        <w:pStyle w:val="Box1"/>
        <w:ind w:left="0"/>
        <w:jc w:val="both"/>
        <w:rPr>
          <w:i/>
        </w:rPr>
      </w:pPr>
      <w:r w:rsidRPr="00D92E20">
        <w:rPr>
          <w:b/>
          <w:i/>
        </w:rPr>
        <w:lastRenderedPageBreak/>
        <w:t>Průměrná délka trvání pracovní neschopnosti ve dnech</w:t>
      </w:r>
      <w:r w:rsidRPr="00D92E20">
        <w:rPr>
          <w:i/>
        </w:rPr>
        <w:t xml:space="preserve"> – ukazatel vyjadřuje, kolik kalendářních dnů pracovní neschopnosti v průměru připadá na jeden nově hlášený případ pracovní neschopnosti. </w:t>
      </w:r>
      <w:r w:rsidR="00954E16" w:rsidRPr="00954E16">
        <w:rPr>
          <w:i/>
        </w:rPr>
        <w:t>Nově hlášený případ musí být vzniklý ve sledovaném období, kdežto do dnů pracovní neschopnosti (maximálně v délce sledovaného období, tedy 180 resp. 181 dnů za 1. pol</w:t>
      </w:r>
      <w:r w:rsidR="00954E16">
        <w:rPr>
          <w:i/>
        </w:rPr>
        <w:t>oletí</w:t>
      </w:r>
      <w:r w:rsidR="00954E16" w:rsidRPr="00954E16">
        <w:rPr>
          <w:i/>
        </w:rPr>
        <w:t>) se započítávají i dny z případů PN, které mohly vzniknout již v předchozím období, ale byly ukončeny či nadále trvají v průběhu sledovaného období.</w:t>
      </w:r>
    </w:p>
    <w:p w14:paraId="31B6C8D4" w14:textId="77777777" w:rsidR="0048385E" w:rsidRPr="00D92E20" w:rsidRDefault="0048385E" w:rsidP="0048385E">
      <w:pPr>
        <w:pStyle w:val="Box1"/>
        <w:ind w:left="0"/>
        <w:jc w:val="both"/>
        <w:rPr>
          <w:i/>
          <w:u w:val="single"/>
        </w:rPr>
      </w:pPr>
      <w:r w:rsidRPr="00D92E20">
        <w:rPr>
          <w:i/>
          <w:u w:val="single"/>
        </w:rPr>
        <w:t>Způsob výpočtu:</w:t>
      </w:r>
    </w:p>
    <w:p w14:paraId="4C434103" w14:textId="77777777" w:rsidR="0048385E" w:rsidRPr="00D92E20" w:rsidRDefault="0048385E" w:rsidP="00BA6B4E">
      <w:pPr>
        <w:pStyle w:val="Box1"/>
        <w:spacing w:before="120" w:after="120"/>
        <w:ind w:left="0"/>
        <w:contextualSpacing w:val="0"/>
        <w:jc w:val="both"/>
        <w:rPr>
          <w:i/>
        </w:rPr>
      </w:pPr>
      <w:r w:rsidRPr="00D92E20">
        <w:rPr>
          <w:i/>
        </w:rPr>
        <w:t>Průměrná délka trvání pracovní neschopnosti ve dnech = počet kalendářních dnů dočasné pracovní neschopnosti / počet nově hlášených případů dočasné pracovní neschopnosti.</w:t>
      </w:r>
    </w:p>
    <w:p w14:paraId="131E20DE" w14:textId="40AA0CAF" w:rsidR="004A31C1" w:rsidRDefault="004A31C1" w:rsidP="004A31C1">
      <w:pPr>
        <w:spacing w:before="120" w:after="120"/>
        <w:jc w:val="both"/>
      </w:pPr>
      <w:r w:rsidRPr="00D92E20">
        <w:t>Počet kalendářních dnů dočasné pracovní neschopnosti</w:t>
      </w:r>
      <w:r w:rsidRPr="00D92E20">
        <w:rPr>
          <w:b/>
        </w:rPr>
        <w:t xml:space="preserve"> </w:t>
      </w:r>
      <w:r w:rsidRPr="00D92E20">
        <w:t xml:space="preserve">meziročně </w:t>
      </w:r>
      <w:r w:rsidR="008259FD">
        <w:t>poklesl</w:t>
      </w:r>
      <w:r w:rsidRPr="00D92E20">
        <w:t xml:space="preserve"> z</w:t>
      </w:r>
      <w:r>
        <w:t> </w:t>
      </w:r>
      <w:r w:rsidR="008259FD">
        <w:t>50 856</w:t>
      </w:r>
      <w:r w:rsidRPr="00D92E20">
        <w:t xml:space="preserve"> tis. prostonaných dnů v</w:t>
      </w:r>
      <w:r w:rsidR="008259FD">
        <w:t> 1. pol. 2021</w:t>
      </w:r>
      <w:r w:rsidRPr="00D92E20">
        <w:t xml:space="preserve"> na </w:t>
      </w:r>
      <w:r w:rsidR="008259FD">
        <w:t xml:space="preserve">50 387 </w:t>
      </w:r>
      <w:r w:rsidRPr="00D92E20">
        <w:t>tis. dnů v</w:t>
      </w:r>
      <w:r>
        <w:t> 1. pol. 202</w:t>
      </w:r>
      <w:r w:rsidR="008259FD">
        <w:t>2</w:t>
      </w:r>
      <w:r w:rsidRPr="00D92E20">
        <w:t xml:space="preserve"> (tj. o </w:t>
      </w:r>
      <w:r w:rsidR="008259FD">
        <w:t>necelé 1</w:t>
      </w:r>
      <w:r>
        <w:t xml:space="preserve"> </w:t>
      </w:r>
      <w:r w:rsidRPr="00D92E20">
        <w:t xml:space="preserve">%). </w:t>
      </w:r>
      <w:r w:rsidRPr="003B26E3">
        <w:t>V porovnání s 1. pol. 2019 došlo k nárůstu počtu prostonaných dnů o více než pětinu.</w:t>
      </w:r>
      <w:r>
        <w:t xml:space="preserve"> </w:t>
      </w:r>
    </w:p>
    <w:p w14:paraId="6D9F76DA" w14:textId="1F10099F" w:rsidR="004A31C1" w:rsidRDefault="004A31C1" w:rsidP="004A31C1">
      <w:pPr>
        <w:spacing w:before="120" w:after="120"/>
        <w:jc w:val="both"/>
        <w:rPr>
          <w:b/>
        </w:rPr>
      </w:pPr>
      <w:r w:rsidRPr="00D92E20">
        <w:t>Většina dnů pracovní neschopnosti (8</w:t>
      </w:r>
      <w:r w:rsidR="008259FD">
        <w:t>8</w:t>
      </w:r>
      <w:r w:rsidRPr="00D92E20">
        <w:t xml:space="preserve"> %) je způsobena nemocí, v absolutním počtu </w:t>
      </w:r>
      <w:r>
        <w:t>4</w:t>
      </w:r>
      <w:r w:rsidR="008259FD">
        <w:t xml:space="preserve">4 376 </w:t>
      </w:r>
      <w:r w:rsidRPr="00D92E20">
        <w:t>tis. za</w:t>
      </w:r>
      <w:r w:rsidR="00CD63E8">
        <w:t> </w:t>
      </w:r>
      <w:r>
        <w:t>1.</w:t>
      </w:r>
      <w:r w:rsidR="00CD63E8">
        <w:t> </w:t>
      </w:r>
      <w:r>
        <w:t>pol.</w:t>
      </w:r>
      <w:r w:rsidR="00CD63E8">
        <w:t> </w:t>
      </w:r>
      <w:r>
        <w:t>202</w:t>
      </w:r>
      <w:r w:rsidR="008259FD">
        <w:t>2</w:t>
      </w:r>
      <w:r w:rsidRPr="00D92E20">
        <w:t xml:space="preserve">. Ženy strávily v dočasné pracovní neschopnosti celkem </w:t>
      </w:r>
      <w:r>
        <w:t>2</w:t>
      </w:r>
      <w:r w:rsidR="008259FD">
        <w:t>7 542</w:t>
      </w:r>
      <w:r w:rsidRPr="00D92E20">
        <w:t xml:space="preserve"> tis. dnů, což je o </w:t>
      </w:r>
      <w:r w:rsidR="008259FD">
        <w:t>4 697</w:t>
      </w:r>
      <w:r w:rsidRPr="00D92E20">
        <w:t xml:space="preserve"> tis. dnů více než muži. To, že ženy stráví na neschopence delší dobu, potvrzuje i dlouhodobější vývoj průměrné délky trvání dočasné pracovní neschopnosti znázorněný v tab. 2.5 či grafu 2.9.</w:t>
      </w:r>
    </w:p>
    <w:p w14:paraId="0C194611" w14:textId="54A07393" w:rsidR="00EA098E" w:rsidRPr="00D92E20" w:rsidRDefault="0048385E" w:rsidP="00BA6B4E">
      <w:pPr>
        <w:spacing w:after="0"/>
        <w:jc w:val="both"/>
        <w:rPr>
          <w:b/>
        </w:rPr>
      </w:pPr>
      <w:r w:rsidRPr="00D92E20">
        <w:rPr>
          <w:b/>
        </w:rPr>
        <w:t xml:space="preserve">Tab. 2.4: </w:t>
      </w:r>
      <w:r w:rsidR="004B564D" w:rsidRPr="004B564D">
        <w:rPr>
          <w:b/>
        </w:rPr>
        <w:t xml:space="preserve">Kalendářní dny dočasné pracovní neschopnosti podle příčiny a pohlaví, </w:t>
      </w:r>
      <w:r w:rsidR="009F34CD" w:rsidRPr="0050059C">
        <w:rPr>
          <w:b/>
          <w:spacing w:val="-2"/>
        </w:rPr>
        <w:t>1. pol. 201</w:t>
      </w:r>
      <w:r w:rsidR="009F34CD">
        <w:rPr>
          <w:b/>
          <w:spacing w:val="-2"/>
        </w:rPr>
        <w:t>2</w:t>
      </w:r>
      <w:r w:rsidR="009F34CD" w:rsidRPr="0050059C">
        <w:rPr>
          <w:b/>
          <w:spacing w:val="-2"/>
        </w:rPr>
        <w:t xml:space="preserve"> až 1. pol. 202</w:t>
      </w:r>
      <w:r w:rsidR="009F34CD">
        <w:rPr>
          <w:b/>
          <w:spacing w:val="-2"/>
        </w:rPr>
        <w:t>2</w:t>
      </w:r>
      <w:r w:rsidR="009F34CD" w:rsidRPr="004B564D">
        <w:rPr>
          <w:b/>
        </w:rPr>
        <w:t xml:space="preserve"> </w:t>
      </w:r>
      <w:r w:rsidR="004B564D" w:rsidRPr="004B564D">
        <w:rPr>
          <w:b/>
        </w:rPr>
        <w:t>(v tis.)</w:t>
      </w:r>
    </w:p>
    <w:tbl>
      <w:tblPr>
        <w:tblW w:w="9542" w:type="dxa"/>
        <w:tblCellMar>
          <w:left w:w="70" w:type="dxa"/>
          <w:right w:w="70" w:type="dxa"/>
        </w:tblCellMar>
        <w:tblLook w:val="04A0" w:firstRow="1" w:lastRow="0" w:firstColumn="1" w:lastColumn="0" w:noHBand="0" w:noVBand="1"/>
      </w:tblPr>
      <w:tblGrid>
        <w:gridCol w:w="1010"/>
        <w:gridCol w:w="711"/>
        <w:gridCol w:w="703"/>
        <w:gridCol w:w="704"/>
        <w:gridCol w:w="707"/>
        <w:gridCol w:w="704"/>
        <w:gridCol w:w="704"/>
        <w:gridCol w:w="754"/>
        <w:gridCol w:w="709"/>
        <w:gridCol w:w="709"/>
        <w:gridCol w:w="709"/>
        <w:gridCol w:w="709"/>
        <w:gridCol w:w="709"/>
      </w:tblGrid>
      <w:tr w:rsidR="004B564D" w:rsidRPr="00D92E20" w14:paraId="022C4014" w14:textId="77777777" w:rsidTr="008259FD">
        <w:trPr>
          <w:trHeight w:val="300"/>
        </w:trPr>
        <w:tc>
          <w:tcPr>
            <w:tcW w:w="1010" w:type="dxa"/>
            <w:vMerge w:val="restart"/>
            <w:tcBorders>
              <w:top w:val="single" w:sz="4" w:space="0" w:color="auto"/>
              <w:left w:val="nil"/>
              <w:bottom w:val="nil"/>
              <w:right w:val="single" w:sz="4" w:space="0" w:color="auto"/>
            </w:tcBorders>
            <w:shd w:val="clear" w:color="000000" w:fill="F5DADD"/>
            <w:vAlign w:val="center"/>
            <w:hideMark/>
          </w:tcPr>
          <w:p w14:paraId="40A1A5DC" w14:textId="37AD99E9" w:rsidR="004B564D" w:rsidRPr="00D92E20" w:rsidRDefault="004B564D" w:rsidP="004B564D">
            <w:pPr>
              <w:spacing w:after="0" w:line="240" w:lineRule="auto"/>
              <w:jc w:val="center"/>
              <w:rPr>
                <w:rFonts w:cs="Arial"/>
                <w:color w:val="000000"/>
                <w:sz w:val="16"/>
                <w:szCs w:val="16"/>
              </w:rPr>
            </w:pPr>
            <w:r>
              <w:rPr>
                <w:rFonts w:cs="Arial"/>
                <w:sz w:val="16"/>
                <w:szCs w:val="16"/>
              </w:rPr>
              <w:t>Období</w:t>
            </w:r>
          </w:p>
        </w:tc>
        <w:tc>
          <w:tcPr>
            <w:tcW w:w="711" w:type="dxa"/>
            <w:vMerge w:val="restart"/>
            <w:tcBorders>
              <w:top w:val="single" w:sz="4" w:space="0" w:color="auto"/>
              <w:left w:val="single" w:sz="4" w:space="0" w:color="auto"/>
              <w:bottom w:val="single" w:sz="4" w:space="0" w:color="000000"/>
              <w:right w:val="single" w:sz="4" w:space="0" w:color="auto"/>
            </w:tcBorders>
            <w:shd w:val="clear" w:color="000000" w:fill="F2DBDB"/>
            <w:vAlign w:val="center"/>
            <w:hideMark/>
          </w:tcPr>
          <w:p w14:paraId="1464BECB" w14:textId="77777777" w:rsidR="004B564D" w:rsidRPr="00D92E20" w:rsidRDefault="004B564D" w:rsidP="004B564D">
            <w:pPr>
              <w:spacing w:after="0" w:line="240" w:lineRule="auto"/>
              <w:jc w:val="center"/>
              <w:rPr>
                <w:rFonts w:cs="Arial"/>
                <w:b/>
                <w:bCs/>
                <w:color w:val="000000"/>
                <w:sz w:val="16"/>
                <w:szCs w:val="16"/>
              </w:rPr>
            </w:pPr>
            <w:r w:rsidRPr="00D92E20">
              <w:rPr>
                <w:rFonts w:cs="Arial"/>
                <w:b/>
                <w:bCs/>
                <w:color w:val="000000"/>
                <w:sz w:val="16"/>
                <w:szCs w:val="16"/>
              </w:rPr>
              <w:t>Celkem</w:t>
            </w:r>
          </w:p>
        </w:tc>
        <w:tc>
          <w:tcPr>
            <w:tcW w:w="1407" w:type="dxa"/>
            <w:gridSpan w:val="2"/>
            <w:tcBorders>
              <w:top w:val="single" w:sz="4" w:space="0" w:color="auto"/>
              <w:left w:val="nil"/>
              <w:bottom w:val="single" w:sz="4" w:space="0" w:color="auto"/>
              <w:right w:val="single" w:sz="4" w:space="0" w:color="auto"/>
            </w:tcBorders>
            <w:shd w:val="clear" w:color="000000" w:fill="F2DBDB"/>
            <w:vAlign w:val="center"/>
            <w:hideMark/>
          </w:tcPr>
          <w:p w14:paraId="77F82B5D"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podle pohlaví</w:t>
            </w:r>
          </w:p>
        </w:tc>
        <w:tc>
          <w:tcPr>
            <w:tcW w:w="707" w:type="dxa"/>
            <w:vMerge w:val="restart"/>
            <w:tcBorders>
              <w:top w:val="single" w:sz="4" w:space="0" w:color="auto"/>
              <w:left w:val="single" w:sz="4" w:space="0" w:color="auto"/>
              <w:right w:val="single" w:sz="4" w:space="0" w:color="auto"/>
            </w:tcBorders>
            <w:shd w:val="clear" w:color="000000" w:fill="F2DBDB"/>
            <w:vAlign w:val="center"/>
            <w:hideMark/>
          </w:tcPr>
          <w:p w14:paraId="06A482C7"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Pro nemoc</w:t>
            </w:r>
          </w:p>
        </w:tc>
        <w:tc>
          <w:tcPr>
            <w:tcW w:w="1408" w:type="dxa"/>
            <w:gridSpan w:val="2"/>
            <w:tcBorders>
              <w:top w:val="single" w:sz="4" w:space="0" w:color="auto"/>
              <w:left w:val="nil"/>
              <w:bottom w:val="single" w:sz="4" w:space="0" w:color="auto"/>
              <w:right w:val="single" w:sz="4" w:space="0" w:color="auto"/>
            </w:tcBorders>
            <w:shd w:val="clear" w:color="000000" w:fill="F2DBDB"/>
            <w:vAlign w:val="center"/>
            <w:hideMark/>
          </w:tcPr>
          <w:p w14:paraId="7039C6A9"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podle pohlaví</w:t>
            </w:r>
          </w:p>
        </w:tc>
        <w:tc>
          <w:tcPr>
            <w:tcW w:w="754" w:type="dxa"/>
            <w:vMerge w:val="restart"/>
            <w:tcBorders>
              <w:top w:val="single" w:sz="4" w:space="0" w:color="auto"/>
              <w:left w:val="single" w:sz="4" w:space="0" w:color="auto"/>
              <w:right w:val="single" w:sz="4" w:space="0" w:color="auto"/>
            </w:tcBorders>
            <w:shd w:val="clear" w:color="000000" w:fill="F2DBDB"/>
            <w:vAlign w:val="center"/>
            <w:hideMark/>
          </w:tcPr>
          <w:p w14:paraId="73872E56"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Pro pracovní úrazy</w:t>
            </w:r>
          </w:p>
        </w:tc>
        <w:tc>
          <w:tcPr>
            <w:tcW w:w="1418" w:type="dxa"/>
            <w:gridSpan w:val="2"/>
            <w:tcBorders>
              <w:top w:val="single" w:sz="4" w:space="0" w:color="auto"/>
              <w:left w:val="nil"/>
              <w:bottom w:val="single" w:sz="4" w:space="0" w:color="auto"/>
              <w:right w:val="single" w:sz="4" w:space="0" w:color="auto"/>
            </w:tcBorders>
            <w:shd w:val="clear" w:color="000000" w:fill="F2DBDB"/>
            <w:vAlign w:val="center"/>
            <w:hideMark/>
          </w:tcPr>
          <w:p w14:paraId="24099DA4"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podle pohlaví</w:t>
            </w:r>
          </w:p>
        </w:tc>
        <w:tc>
          <w:tcPr>
            <w:tcW w:w="709" w:type="dxa"/>
            <w:vMerge w:val="restart"/>
            <w:tcBorders>
              <w:top w:val="single" w:sz="4" w:space="0" w:color="auto"/>
              <w:left w:val="single" w:sz="4" w:space="0" w:color="auto"/>
              <w:right w:val="single" w:sz="4" w:space="0" w:color="auto"/>
            </w:tcBorders>
            <w:shd w:val="clear" w:color="000000" w:fill="F2DBDB"/>
            <w:vAlign w:val="center"/>
            <w:hideMark/>
          </w:tcPr>
          <w:p w14:paraId="1FF174EC"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Pro ostatní úrazy</w:t>
            </w:r>
          </w:p>
        </w:tc>
        <w:tc>
          <w:tcPr>
            <w:tcW w:w="1418" w:type="dxa"/>
            <w:gridSpan w:val="2"/>
            <w:tcBorders>
              <w:top w:val="single" w:sz="4" w:space="0" w:color="auto"/>
              <w:left w:val="nil"/>
              <w:bottom w:val="single" w:sz="4" w:space="0" w:color="auto"/>
            </w:tcBorders>
            <w:shd w:val="clear" w:color="000000" w:fill="F2DBDB"/>
            <w:vAlign w:val="center"/>
            <w:hideMark/>
          </w:tcPr>
          <w:p w14:paraId="0D1F3B22"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podle pohlaví</w:t>
            </w:r>
          </w:p>
        </w:tc>
      </w:tr>
      <w:tr w:rsidR="004B564D" w:rsidRPr="00D92E20" w14:paraId="40A212C5" w14:textId="77777777" w:rsidTr="004B564D">
        <w:trPr>
          <w:trHeight w:val="300"/>
        </w:trPr>
        <w:tc>
          <w:tcPr>
            <w:tcW w:w="1010" w:type="dxa"/>
            <w:vMerge/>
            <w:tcBorders>
              <w:top w:val="single" w:sz="4" w:space="0" w:color="auto"/>
              <w:left w:val="nil"/>
              <w:bottom w:val="nil"/>
              <w:right w:val="single" w:sz="4" w:space="0" w:color="auto"/>
            </w:tcBorders>
            <w:vAlign w:val="center"/>
            <w:hideMark/>
          </w:tcPr>
          <w:p w14:paraId="76A2DFA2" w14:textId="77777777" w:rsidR="004B564D" w:rsidRPr="00D92E20" w:rsidRDefault="004B564D" w:rsidP="004B564D">
            <w:pPr>
              <w:spacing w:after="0" w:line="240" w:lineRule="auto"/>
              <w:rPr>
                <w:rFonts w:cs="Arial"/>
                <w:color w:val="000000"/>
                <w:sz w:val="16"/>
                <w:szCs w:val="16"/>
              </w:rPr>
            </w:pPr>
          </w:p>
        </w:tc>
        <w:tc>
          <w:tcPr>
            <w:tcW w:w="711" w:type="dxa"/>
            <w:vMerge/>
            <w:tcBorders>
              <w:top w:val="single" w:sz="4" w:space="0" w:color="auto"/>
              <w:left w:val="single" w:sz="4" w:space="0" w:color="auto"/>
              <w:bottom w:val="single" w:sz="4" w:space="0" w:color="000000"/>
              <w:right w:val="single" w:sz="4" w:space="0" w:color="auto"/>
            </w:tcBorders>
            <w:vAlign w:val="center"/>
            <w:hideMark/>
          </w:tcPr>
          <w:p w14:paraId="616A35AD" w14:textId="77777777" w:rsidR="004B564D" w:rsidRPr="00D92E20" w:rsidRDefault="004B564D" w:rsidP="004B564D">
            <w:pPr>
              <w:spacing w:after="0" w:line="240" w:lineRule="auto"/>
              <w:rPr>
                <w:rFonts w:cs="Arial"/>
                <w:b/>
                <w:bCs/>
                <w:color w:val="000000"/>
                <w:sz w:val="16"/>
                <w:szCs w:val="16"/>
              </w:rPr>
            </w:pPr>
          </w:p>
        </w:tc>
        <w:tc>
          <w:tcPr>
            <w:tcW w:w="703" w:type="dxa"/>
            <w:tcBorders>
              <w:top w:val="nil"/>
              <w:left w:val="nil"/>
              <w:bottom w:val="single" w:sz="4" w:space="0" w:color="auto"/>
              <w:right w:val="single" w:sz="4" w:space="0" w:color="auto"/>
            </w:tcBorders>
            <w:shd w:val="clear" w:color="000000" w:fill="F2DBDB"/>
            <w:vAlign w:val="center"/>
            <w:hideMark/>
          </w:tcPr>
          <w:p w14:paraId="429A06F0"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muži</w:t>
            </w:r>
          </w:p>
        </w:tc>
        <w:tc>
          <w:tcPr>
            <w:tcW w:w="704" w:type="dxa"/>
            <w:tcBorders>
              <w:top w:val="nil"/>
              <w:left w:val="nil"/>
              <w:bottom w:val="single" w:sz="4" w:space="0" w:color="auto"/>
              <w:right w:val="single" w:sz="4" w:space="0" w:color="auto"/>
            </w:tcBorders>
            <w:shd w:val="clear" w:color="000000" w:fill="F2DBDB"/>
            <w:vAlign w:val="center"/>
            <w:hideMark/>
          </w:tcPr>
          <w:p w14:paraId="2A08FDE7"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ženy</w:t>
            </w:r>
          </w:p>
        </w:tc>
        <w:tc>
          <w:tcPr>
            <w:tcW w:w="707" w:type="dxa"/>
            <w:vMerge/>
            <w:tcBorders>
              <w:left w:val="single" w:sz="4" w:space="0" w:color="auto"/>
              <w:bottom w:val="single" w:sz="4" w:space="0" w:color="000000"/>
              <w:right w:val="single" w:sz="4" w:space="0" w:color="auto"/>
            </w:tcBorders>
            <w:vAlign w:val="center"/>
            <w:hideMark/>
          </w:tcPr>
          <w:p w14:paraId="36016328" w14:textId="77777777" w:rsidR="004B564D" w:rsidRPr="00D92E20" w:rsidRDefault="004B564D" w:rsidP="004B564D">
            <w:pPr>
              <w:spacing w:after="0" w:line="240" w:lineRule="auto"/>
              <w:rPr>
                <w:rFonts w:cs="Arial"/>
                <w:color w:val="000000"/>
                <w:sz w:val="16"/>
                <w:szCs w:val="16"/>
              </w:rPr>
            </w:pPr>
          </w:p>
        </w:tc>
        <w:tc>
          <w:tcPr>
            <w:tcW w:w="704" w:type="dxa"/>
            <w:tcBorders>
              <w:top w:val="nil"/>
              <w:left w:val="nil"/>
              <w:bottom w:val="single" w:sz="4" w:space="0" w:color="auto"/>
              <w:right w:val="single" w:sz="4" w:space="0" w:color="auto"/>
            </w:tcBorders>
            <w:shd w:val="clear" w:color="000000" w:fill="F2DBDB"/>
            <w:vAlign w:val="center"/>
            <w:hideMark/>
          </w:tcPr>
          <w:p w14:paraId="6E45C002"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muži</w:t>
            </w:r>
          </w:p>
        </w:tc>
        <w:tc>
          <w:tcPr>
            <w:tcW w:w="704" w:type="dxa"/>
            <w:tcBorders>
              <w:top w:val="nil"/>
              <w:left w:val="nil"/>
              <w:bottom w:val="single" w:sz="4" w:space="0" w:color="auto"/>
              <w:right w:val="single" w:sz="4" w:space="0" w:color="auto"/>
            </w:tcBorders>
            <w:shd w:val="clear" w:color="000000" w:fill="F2DBDB"/>
            <w:vAlign w:val="center"/>
            <w:hideMark/>
          </w:tcPr>
          <w:p w14:paraId="04E3FBB3"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ženy</w:t>
            </w:r>
          </w:p>
        </w:tc>
        <w:tc>
          <w:tcPr>
            <w:tcW w:w="754" w:type="dxa"/>
            <w:vMerge/>
            <w:tcBorders>
              <w:left w:val="single" w:sz="4" w:space="0" w:color="auto"/>
              <w:bottom w:val="single" w:sz="4" w:space="0" w:color="000000"/>
              <w:right w:val="single" w:sz="4" w:space="0" w:color="auto"/>
            </w:tcBorders>
            <w:vAlign w:val="center"/>
            <w:hideMark/>
          </w:tcPr>
          <w:p w14:paraId="393BB5F4" w14:textId="77777777" w:rsidR="004B564D" w:rsidRPr="00D92E20" w:rsidRDefault="004B564D" w:rsidP="004B564D">
            <w:pPr>
              <w:spacing w:after="0" w:line="240" w:lineRule="auto"/>
              <w:rPr>
                <w:rFonts w:cs="Arial"/>
                <w:color w:val="000000"/>
                <w:sz w:val="16"/>
                <w:szCs w:val="16"/>
              </w:rPr>
            </w:pPr>
          </w:p>
        </w:tc>
        <w:tc>
          <w:tcPr>
            <w:tcW w:w="709" w:type="dxa"/>
            <w:tcBorders>
              <w:top w:val="nil"/>
              <w:left w:val="nil"/>
              <w:bottom w:val="single" w:sz="4" w:space="0" w:color="auto"/>
              <w:right w:val="single" w:sz="4" w:space="0" w:color="auto"/>
            </w:tcBorders>
            <w:shd w:val="clear" w:color="000000" w:fill="F2DBDB"/>
            <w:vAlign w:val="center"/>
            <w:hideMark/>
          </w:tcPr>
          <w:p w14:paraId="42C026C2"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muži</w:t>
            </w:r>
          </w:p>
        </w:tc>
        <w:tc>
          <w:tcPr>
            <w:tcW w:w="709" w:type="dxa"/>
            <w:tcBorders>
              <w:top w:val="nil"/>
              <w:left w:val="nil"/>
              <w:bottom w:val="single" w:sz="4" w:space="0" w:color="auto"/>
              <w:right w:val="single" w:sz="4" w:space="0" w:color="auto"/>
            </w:tcBorders>
            <w:shd w:val="clear" w:color="000000" w:fill="F2DBDB"/>
            <w:vAlign w:val="center"/>
            <w:hideMark/>
          </w:tcPr>
          <w:p w14:paraId="609BC780"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ženy</w:t>
            </w:r>
          </w:p>
        </w:tc>
        <w:tc>
          <w:tcPr>
            <w:tcW w:w="709" w:type="dxa"/>
            <w:vMerge/>
            <w:tcBorders>
              <w:left w:val="single" w:sz="4" w:space="0" w:color="auto"/>
              <w:bottom w:val="single" w:sz="4" w:space="0" w:color="000000"/>
              <w:right w:val="single" w:sz="4" w:space="0" w:color="auto"/>
            </w:tcBorders>
            <w:vAlign w:val="center"/>
            <w:hideMark/>
          </w:tcPr>
          <w:p w14:paraId="53417056" w14:textId="77777777" w:rsidR="004B564D" w:rsidRPr="00D92E20" w:rsidRDefault="004B564D" w:rsidP="004B564D">
            <w:pPr>
              <w:spacing w:after="0" w:line="240" w:lineRule="auto"/>
              <w:rPr>
                <w:rFonts w:cs="Arial"/>
                <w:color w:val="000000"/>
                <w:sz w:val="16"/>
                <w:szCs w:val="16"/>
              </w:rPr>
            </w:pPr>
          </w:p>
        </w:tc>
        <w:tc>
          <w:tcPr>
            <w:tcW w:w="709" w:type="dxa"/>
            <w:tcBorders>
              <w:top w:val="nil"/>
              <w:left w:val="nil"/>
              <w:bottom w:val="single" w:sz="4" w:space="0" w:color="auto"/>
              <w:right w:val="single" w:sz="4" w:space="0" w:color="auto"/>
            </w:tcBorders>
            <w:shd w:val="clear" w:color="000000" w:fill="F2DBDB"/>
            <w:vAlign w:val="center"/>
            <w:hideMark/>
          </w:tcPr>
          <w:p w14:paraId="107F703B"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muži</w:t>
            </w:r>
          </w:p>
        </w:tc>
        <w:tc>
          <w:tcPr>
            <w:tcW w:w="709" w:type="dxa"/>
            <w:tcBorders>
              <w:top w:val="nil"/>
              <w:left w:val="nil"/>
              <w:bottom w:val="single" w:sz="4" w:space="0" w:color="auto"/>
              <w:right w:val="nil"/>
            </w:tcBorders>
            <w:shd w:val="clear" w:color="000000" w:fill="F2DBDB"/>
            <w:vAlign w:val="center"/>
            <w:hideMark/>
          </w:tcPr>
          <w:p w14:paraId="04014ADF" w14:textId="77777777" w:rsidR="004B564D" w:rsidRPr="00D92E20" w:rsidRDefault="004B564D" w:rsidP="004B564D">
            <w:pPr>
              <w:spacing w:after="0" w:line="240" w:lineRule="auto"/>
              <w:jc w:val="center"/>
              <w:rPr>
                <w:rFonts w:cs="Arial"/>
                <w:color w:val="000000"/>
                <w:sz w:val="16"/>
                <w:szCs w:val="16"/>
              </w:rPr>
            </w:pPr>
            <w:r w:rsidRPr="00D92E20">
              <w:rPr>
                <w:rFonts w:cs="Arial"/>
                <w:color w:val="000000"/>
                <w:sz w:val="16"/>
                <w:szCs w:val="16"/>
              </w:rPr>
              <w:t>ženy</w:t>
            </w:r>
          </w:p>
        </w:tc>
      </w:tr>
      <w:tr w:rsidR="008259FD" w:rsidRPr="00D92E20" w14:paraId="4696E6BE" w14:textId="77777777" w:rsidTr="008259FD">
        <w:trPr>
          <w:trHeight w:val="300"/>
        </w:trPr>
        <w:tc>
          <w:tcPr>
            <w:tcW w:w="1010" w:type="dxa"/>
            <w:tcBorders>
              <w:top w:val="single" w:sz="4" w:space="0" w:color="auto"/>
              <w:left w:val="nil"/>
              <w:bottom w:val="nil"/>
              <w:right w:val="single" w:sz="4" w:space="0" w:color="auto"/>
            </w:tcBorders>
            <w:shd w:val="clear" w:color="auto" w:fill="auto"/>
            <w:vAlign w:val="center"/>
            <w:hideMark/>
          </w:tcPr>
          <w:p w14:paraId="24B6ED87" w14:textId="2908CCBF" w:rsidR="008259FD" w:rsidRPr="00D92E20" w:rsidRDefault="008259FD" w:rsidP="008259FD">
            <w:pPr>
              <w:spacing w:after="0" w:line="240" w:lineRule="auto"/>
              <w:jc w:val="center"/>
              <w:rPr>
                <w:rFonts w:cs="Arial"/>
                <w:color w:val="000000"/>
                <w:sz w:val="16"/>
                <w:szCs w:val="16"/>
              </w:rPr>
            </w:pPr>
            <w:r>
              <w:rPr>
                <w:rFonts w:cs="Arial"/>
                <w:sz w:val="16"/>
                <w:szCs w:val="16"/>
              </w:rPr>
              <w:t>1. pol. 2012</w:t>
            </w:r>
          </w:p>
        </w:tc>
        <w:tc>
          <w:tcPr>
            <w:tcW w:w="711" w:type="dxa"/>
            <w:tcBorders>
              <w:top w:val="single" w:sz="4" w:space="0" w:color="auto"/>
              <w:left w:val="nil"/>
              <w:bottom w:val="nil"/>
              <w:right w:val="nil"/>
            </w:tcBorders>
            <w:shd w:val="clear" w:color="auto" w:fill="auto"/>
            <w:vAlign w:val="center"/>
            <w:hideMark/>
          </w:tcPr>
          <w:p w14:paraId="18C32558" w14:textId="0A9DEF63" w:rsidR="008259FD" w:rsidRPr="00D92E20" w:rsidRDefault="008259FD" w:rsidP="008259FD">
            <w:pPr>
              <w:spacing w:after="0" w:line="240" w:lineRule="auto"/>
              <w:jc w:val="right"/>
              <w:rPr>
                <w:rFonts w:cs="Arial"/>
                <w:color w:val="000000"/>
                <w:sz w:val="16"/>
                <w:szCs w:val="16"/>
              </w:rPr>
            </w:pPr>
            <w:r>
              <w:rPr>
                <w:rFonts w:cs="Arial"/>
                <w:sz w:val="16"/>
                <w:szCs w:val="16"/>
              </w:rPr>
              <w:t>28 973</w:t>
            </w:r>
          </w:p>
        </w:tc>
        <w:tc>
          <w:tcPr>
            <w:tcW w:w="703" w:type="dxa"/>
            <w:tcBorders>
              <w:top w:val="single" w:sz="4" w:space="0" w:color="auto"/>
              <w:left w:val="nil"/>
              <w:bottom w:val="nil"/>
              <w:right w:val="nil"/>
            </w:tcBorders>
            <w:shd w:val="clear" w:color="auto" w:fill="auto"/>
            <w:vAlign w:val="center"/>
            <w:hideMark/>
          </w:tcPr>
          <w:p w14:paraId="117C5785" w14:textId="48EE437C" w:rsidR="008259FD" w:rsidRPr="00D92E20" w:rsidRDefault="008259FD" w:rsidP="008259FD">
            <w:pPr>
              <w:spacing w:after="0" w:line="240" w:lineRule="auto"/>
              <w:jc w:val="right"/>
              <w:rPr>
                <w:rFonts w:cs="Arial"/>
                <w:color w:val="000000"/>
                <w:sz w:val="16"/>
                <w:szCs w:val="16"/>
              </w:rPr>
            </w:pPr>
            <w:r>
              <w:rPr>
                <w:rFonts w:cs="Arial"/>
                <w:sz w:val="16"/>
                <w:szCs w:val="16"/>
              </w:rPr>
              <w:t>13 410</w:t>
            </w:r>
          </w:p>
        </w:tc>
        <w:tc>
          <w:tcPr>
            <w:tcW w:w="704" w:type="dxa"/>
            <w:tcBorders>
              <w:top w:val="single" w:sz="4" w:space="0" w:color="auto"/>
              <w:left w:val="nil"/>
              <w:bottom w:val="nil"/>
              <w:right w:val="nil"/>
            </w:tcBorders>
            <w:shd w:val="clear" w:color="auto" w:fill="auto"/>
            <w:vAlign w:val="center"/>
            <w:hideMark/>
          </w:tcPr>
          <w:p w14:paraId="6A3645C8" w14:textId="46DC2E1F" w:rsidR="008259FD" w:rsidRPr="00D92E20" w:rsidRDefault="008259FD" w:rsidP="008259FD">
            <w:pPr>
              <w:spacing w:after="0" w:line="240" w:lineRule="auto"/>
              <w:jc w:val="right"/>
              <w:rPr>
                <w:rFonts w:cs="Arial"/>
                <w:color w:val="000000"/>
                <w:sz w:val="16"/>
                <w:szCs w:val="16"/>
              </w:rPr>
            </w:pPr>
            <w:r>
              <w:rPr>
                <w:rFonts w:cs="Arial"/>
                <w:sz w:val="16"/>
                <w:szCs w:val="16"/>
              </w:rPr>
              <w:t>15 562</w:t>
            </w:r>
          </w:p>
        </w:tc>
        <w:tc>
          <w:tcPr>
            <w:tcW w:w="707" w:type="dxa"/>
            <w:tcBorders>
              <w:top w:val="single" w:sz="4" w:space="0" w:color="auto"/>
              <w:left w:val="single" w:sz="4" w:space="0" w:color="auto"/>
              <w:bottom w:val="nil"/>
              <w:right w:val="nil"/>
            </w:tcBorders>
            <w:shd w:val="clear" w:color="auto" w:fill="auto"/>
            <w:vAlign w:val="center"/>
            <w:hideMark/>
          </w:tcPr>
          <w:p w14:paraId="3F1FF9E6" w14:textId="0AE58617" w:rsidR="008259FD" w:rsidRPr="00D92E20" w:rsidRDefault="008259FD" w:rsidP="008259FD">
            <w:pPr>
              <w:spacing w:after="0" w:line="240" w:lineRule="auto"/>
              <w:jc w:val="right"/>
              <w:rPr>
                <w:rFonts w:cs="Arial"/>
                <w:color w:val="000000"/>
                <w:sz w:val="16"/>
                <w:szCs w:val="16"/>
              </w:rPr>
            </w:pPr>
            <w:r>
              <w:rPr>
                <w:rFonts w:cs="Arial"/>
                <w:sz w:val="16"/>
                <w:szCs w:val="16"/>
              </w:rPr>
              <w:t>24 670</w:t>
            </w:r>
          </w:p>
        </w:tc>
        <w:tc>
          <w:tcPr>
            <w:tcW w:w="704" w:type="dxa"/>
            <w:tcBorders>
              <w:top w:val="single" w:sz="4" w:space="0" w:color="auto"/>
              <w:left w:val="nil"/>
              <w:bottom w:val="nil"/>
              <w:right w:val="nil"/>
            </w:tcBorders>
            <w:shd w:val="clear" w:color="auto" w:fill="auto"/>
            <w:vAlign w:val="center"/>
            <w:hideMark/>
          </w:tcPr>
          <w:p w14:paraId="48C2CA24" w14:textId="4F50BF35" w:rsidR="008259FD" w:rsidRPr="00D92E20" w:rsidRDefault="008259FD" w:rsidP="008259FD">
            <w:pPr>
              <w:spacing w:after="0" w:line="240" w:lineRule="auto"/>
              <w:jc w:val="right"/>
              <w:rPr>
                <w:rFonts w:cs="Arial"/>
                <w:color w:val="000000"/>
                <w:sz w:val="16"/>
                <w:szCs w:val="16"/>
              </w:rPr>
            </w:pPr>
            <w:r>
              <w:rPr>
                <w:rFonts w:cs="Arial"/>
                <w:sz w:val="16"/>
                <w:szCs w:val="16"/>
              </w:rPr>
              <w:t>10 595</w:t>
            </w:r>
          </w:p>
        </w:tc>
        <w:tc>
          <w:tcPr>
            <w:tcW w:w="704" w:type="dxa"/>
            <w:tcBorders>
              <w:top w:val="single" w:sz="4" w:space="0" w:color="auto"/>
              <w:left w:val="nil"/>
              <w:bottom w:val="nil"/>
              <w:right w:val="single" w:sz="4" w:space="0" w:color="auto"/>
            </w:tcBorders>
            <w:shd w:val="clear" w:color="auto" w:fill="auto"/>
            <w:vAlign w:val="bottom"/>
            <w:hideMark/>
          </w:tcPr>
          <w:p w14:paraId="73D19BE5" w14:textId="6F4DFC2D" w:rsidR="008259FD" w:rsidRPr="00D92E20" w:rsidRDefault="008259FD" w:rsidP="008259FD">
            <w:pPr>
              <w:spacing w:after="0" w:line="240" w:lineRule="auto"/>
              <w:jc w:val="right"/>
              <w:rPr>
                <w:rFonts w:cs="Arial"/>
                <w:color w:val="000000"/>
                <w:sz w:val="16"/>
                <w:szCs w:val="16"/>
              </w:rPr>
            </w:pPr>
            <w:r>
              <w:rPr>
                <w:rFonts w:cs="Arial"/>
                <w:sz w:val="16"/>
                <w:szCs w:val="16"/>
              </w:rPr>
              <w:t>14 075</w:t>
            </w:r>
          </w:p>
        </w:tc>
        <w:tc>
          <w:tcPr>
            <w:tcW w:w="754" w:type="dxa"/>
            <w:tcBorders>
              <w:top w:val="single" w:sz="4" w:space="0" w:color="auto"/>
              <w:left w:val="nil"/>
              <w:bottom w:val="nil"/>
              <w:right w:val="nil"/>
            </w:tcBorders>
            <w:shd w:val="clear" w:color="auto" w:fill="auto"/>
            <w:vAlign w:val="center"/>
            <w:hideMark/>
          </w:tcPr>
          <w:p w14:paraId="4B5691B5" w14:textId="5A449AEB" w:rsidR="008259FD" w:rsidRPr="00D92E20" w:rsidRDefault="008259FD" w:rsidP="008259FD">
            <w:pPr>
              <w:spacing w:after="0" w:line="240" w:lineRule="auto"/>
              <w:jc w:val="right"/>
              <w:rPr>
                <w:rFonts w:cs="Arial"/>
                <w:color w:val="000000"/>
                <w:sz w:val="16"/>
                <w:szCs w:val="16"/>
              </w:rPr>
            </w:pPr>
            <w:r>
              <w:rPr>
                <w:rFonts w:cs="Arial"/>
                <w:sz w:val="16"/>
                <w:szCs w:val="16"/>
              </w:rPr>
              <w:t>1 256</w:t>
            </w:r>
          </w:p>
        </w:tc>
        <w:tc>
          <w:tcPr>
            <w:tcW w:w="709" w:type="dxa"/>
            <w:tcBorders>
              <w:top w:val="single" w:sz="4" w:space="0" w:color="auto"/>
              <w:left w:val="nil"/>
              <w:bottom w:val="nil"/>
              <w:right w:val="nil"/>
            </w:tcBorders>
            <w:shd w:val="clear" w:color="auto" w:fill="auto"/>
            <w:vAlign w:val="center"/>
            <w:hideMark/>
          </w:tcPr>
          <w:p w14:paraId="5320ADC9" w14:textId="0A43D8EC" w:rsidR="008259FD" w:rsidRPr="00D92E20" w:rsidRDefault="008259FD" w:rsidP="008259FD">
            <w:pPr>
              <w:spacing w:after="0" w:line="240" w:lineRule="auto"/>
              <w:jc w:val="right"/>
              <w:rPr>
                <w:rFonts w:cs="Arial"/>
                <w:color w:val="000000"/>
                <w:sz w:val="16"/>
                <w:szCs w:val="16"/>
              </w:rPr>
            </w:pPr>
            <w:r>
              <w:rPr>
                <w:rFonts w:cs="Arial"/>
                <w:sz w:val="16"/>
                <w:szCs w:val="16"/>
              </w:rPr>
              <w:t>899</w:t>
            </w:r>
          </w:p>
        </w:tc>
        <w:tc>
          <w:tcPr>
            <w:tcW w:w="709" w:type="dxa"/>
            <w:tcBorders>
              <w:top w:val="single" w:sz="4" w:space="0" w:color="auto"/>
              <w:left w:val="nil"/>
              <w:bottom w:val="nil"/>
              <w:right w:val="single" w:sz="4" w:space="0" w:color="auto"/>
            </w:tcBorders>
            <w:shd w:val="clear" w:color="auto" w:fill="auto"/>
            <w:vAlign w:val="center"/>
            <w:hideMark/>
          </w:tcPr>
          <w:p w14:paraId="27B7DA7A" w14:textId="6B075736" w:rsidR="008259FD" w:rsidRPr="00D92E20" w:rsidRDefault="008259FD" w:rsidP="008259FD">
            <w:pPr>
              <w:spacing w:after="0" w:line="240" w:lineRule="auto"/>
              <w:jc w:val="right"/>
              <w:rPr>
                <w:rFonts w:cs="Arial"/>
                <w:color w:val="000000"/>
                <w:sz w:val="16"/>
                <w:szCs w:val="16"/>
              </w:rPr>
            </w:pPr>
            <w:r>
              <w:rPr>
                <w:rFonts w:cs="Arial"/>
                <w:sz w:val="16"/>
                <w:szCs w:val="16"/>
              </w:rPr>
              <w:t>358</w:t>
            </w:r>
          </w:p>
        </w:tc>
        <w:tc>
          <w:tcPr>
            <w:tcW w:w="709" w:type="dxa"/>
            <w:tcBorders>
              <w:top w:val="single" w:sz="4" w:space="0" w:color="auto"/>
              <w:left w:val="nil"/>
              <w:bottom w:val="nil"/>
              <w:right w:val="nil"/>
            </w:tcBorders>
            <w:shd w:val="clear" w:color="auto" w:fill="auto"/>
            <w:vAlign w:val="center"/>
            <w:hideMark/>
          </w:tcPr>
          <w:p w14:paraId="534547B8" w14:textId="6CCB7BA9" w:rsidR="008259FD" w:rsidRPr="00D92E20" w:rsidRDefault="008259FD" w:rsidP="008259FD">
            <w:pPr>
              <w:spacing w:after="0" w:line="240" w:lineRule="auto"/>
              <w:jc w:val="right"/>
              <w:rPr>
                <w:rFonts w:cs="Arial"/>
                <w:color w:val="000000"/>
                <w:sz w:val="16"/>
                <w:szCs w:val="16"/>
              </w:rPr>
            </w:pPr>
            <w:r>
              <w:rPr>
                <w:rFonts w:cs="Arial"/>
                <w:sz w:val="16"/>
                <w:szCs w:val="16"/>
              </w:rPr>
              <w:t>3 046</w:t>
            </w:r>
          </w:p>
        </w:tc>
        <w:tc>
          <w:tcPr>
            <w:tcW w:w="709" w:type="dxa"/>
            <w:tcBorders>
              <w:top w:val="single" w:sz="4" w:space="0" w:color="auto"/>
              <w:left w:val="nil"/>
              <w:bottom w:val="nil"/>
              <w:right w:val="nil"/>
            </w:tcBorders>
            <w:shd w:val="clear" w:color="auto" w:fill="auto"/>
            <w:vAlign w:val="center"/>
            <w:hideMark/>
          </w:tcPr>
          <w:p w14:paraId="23DD5009" w14:textId="12C39B9B" w:rsidR="008259FD" w:rsidRPr="00D92E20" w:rsidRDefault="008259FD" w:rsidP="008259FD">
            <w:pPr>
              <w:spacing w:after="0" w:line="240" w:lineRule="auto"/>
              <w:jc w:val="right"/>
              <w:rPr>
                <w:rFonts w:cs="Arial"/>
                <w:color w:val="000000"/>
                <w:sz w:val="16"/>
                <w:szCs w:val="16"/>
              </w:rPr>
            </w:pPr>
            <w:r>
              <w:rPr>
                <w:rFonts w:cs="Arial"/>
                <w:sz w:val="16"/>
                <w:szCs w:val="16"/>
              </w:rPr>
              <w:t>1 917</w:t>
            </w:r>
          </w:p>
        </w:tc>
        <w:tc>
          <w:tcPr>
            <w:tcW w:w="709" w:type="dxa"/>
            <w:tcBorders>
              <w:top w:val="single" w:sz="4" w:space="0" w:color="auto"/>
              <w:left w:val="nil"/>
              <w:right w:val="nil"/>
            </w:tcBorders>
            <w:shd w:val="clear" w:color="auto" w:fill="auto"/>
            <w:vAlign w:val="center"/>
            <w:hideMark/>
          </w:tcPr>
          <w:p w14:paraId="7C543C36" w14:textId="176F50ED" w:rsidR="008259FD" w:rsidRPr="00D92E20" w:rsidRDefault="008259FD" w:rsidP="008259FD">
            <w:pPr>
              <w:spacing w:after="0" w:line="240" w:lineRule="auto"/>
              <w:jc w:val="right"/>
              <w:rPr>
                <w:rFonts w:cs="Arial"/>
                <w:color w:val="000000"/>
                <w:sz w:val="16"/>
                <w:szCs w:val="16"/>
              </w:rPr>
            </w:pPr>
            <w:r>
              <w:rPr>
                <w:rFonts w:cs="Arial"/>
                <w:sz w:val="16"/>
                <w:szCs w:val="16"/>
              </w:rPr>
              <w:t>1 129</w:t>
            </w:r>
          </w:p>
        </w:tc>
      </w:tr>
      <w:tr w:rsidR="008259FD" w:rsidRPr="00D92E20" w14:paraId="7A5E1111" w14:textId="77777777" w:rsidTr="008259FD">
        <w:trPr>
          <w:trHeight w:val="300"/>
        </w:trPr>
        <w:tc>
          <w:tcPr>
            <w:tcW w:w="1010" w:type="dxa"/>
            <w:tcBorders>
              <w:top w:val="nil"/>
              <w:left w:val="nil"/>
              <w:bottom w:val="nil"/>
              <w:right w:val="single" w:sz="4" w:space="0" w:color="auto"/>
            </w:tcBorders>
            <w:shd w:val="clear" w:color="auto" w:fill="auto"/>
            <w:vAlign w:val="center"/>
            <w:hideMark/>
          </w:tcPr>
          <w:p w14:paraId="261EDC12" w14:textId="6982D5D9" w:rsidR="008259FD" w:rsidRPr="00D92E20" w:rsidRDefault="008259FD" w:rsidP="008259FD">
            <w:pPr>
              <w:spacing w:after="0" w:line="240" w:lineRule="auto"/>
              <w:jc w:val="center"/>
              <w:rPr>
                <w:rFonts w:cs="Arial"/>
                <w:color w:val="000000"/>
                <w:sz w:val="16"/>
                <w:szCs w:val="16"/>
              </w:rPr>
            </w:pPr>
            <w:r>
              <w:rPr>
                <w:rFonts w:cs="Arial"/>
                <w:sz w:val="16"/>
                <w:szCs w:val="16"/>
              </w:rPr>
              <w:t>1. pol. 2013</w:t>
            </w:r>
          </w:p>
        </w:tc>
        <w:tc>
          <w:tcPr>
            <w:tcW w:w="711" w:type="dxa"/>
            <w:tcBorders>
              <w:top w:val="nil"/>
              <w:left w:val="nil"/>
              <w:bottom w:val="nil"/>
              <w:right w:val="nil"/>
            </w:tcBorders>
            <w:shd w:val="clear" w:color="auto" w:fill="auto"/>
            <w:vAlign w:val="center"/>
            <w:hideMark/>
          </w:tcPr>
          <w:p w14:paraId="08ED583D" w14:textId="118CEFC7" w:rsidR="008259FD" w:rsidRPr="00D92E20" w:rsidRDefault="008259FD" w:rsidP="008259FD">
            <w:pPr>
              <w:spacing w:after="0" w:line="240" w:lineRule="auto"/>
              <w:jc w:val="right"/>
              <w:rPr>
                <w:rFonts w:cs="Arial"/>
                <w:color w:val="000000"/>
                <w:sz w:val="16"/>
                <w:szCs w:val="16"/>
              </w:rPr>
            </w:pPr>
            <w:r>
              <w:rPr>
                <w:rFonts w:cs="Arial"/>
                <w:sz w:val="16"/>
                <w:szCs w:val="16"/>
              </w:rPr>
              <w:t>31 875</w:t>
            </w:r>
          </w:p>
        </w:tc>
        <w:tc>
          <w:tcPr>
            <w:tcW w:w="703" w:type="dxa"/>
            <w:tcBorders>
              <w:top w:val="nil"/>
              <w:left w:val="nil"/>
              <w:bottom w:val="nil"/>
              <w:right w:val="nil"/>
            </w:tcBorders>
            <w:shd w:val="clear" w:color="auto" w:fill="auto"/>
            <w:vAlign w:val="center"/>
            <w:hideMark/>
          </w:tcPr>
          <w:p w14:paraId="145ECA65" w14:textId="7188EBCD" w:rsidR="008259FD" w:rsidRPr="00D92E20" w:rsidRDefault="008259FD" w:rsidP="008259FD">
            <w:pPr>
              <w:spacing w:after="0" w:line="240" w:lineRule="auto"/>
              <w:jc w:val="right"/>
              <w:rPr>
                <w:rFonts w:cs="Arial"/>
                <w:color w:val="000000"/>
                <w:sz w:val="16"/>
                <w:szCs w:val="16"/>
              </w:rPr>
            </w:pPr>
            <w:r>
              <w:rPr>
                <w:rFonts w:cs="Arial"/>
                <w:sz w:val="16"/>
                <w:szCs w:val="16"/>
              </w:rPr>
              <w:t>14 774</w:t>
            </w:r>
          </w:p>
        </w:tc>
        <w:tc>
          <w:tcPr>
            <w:tcW w:w="704" w:type="dxa"/>
            <w:tcBorders>
              <w:top w:val="nil"/>
              <w:left w:val="nil"/>
              <w:bottom w:val="nil"/>
              <w:right w:val="nil"/>
            </w:tcBorders>
            <w:shd w:val="clear" w:color="auto" w:fill="auto"/>
            <w:vAlign w:val="center"/>
            <w:hideMark/>
          </w:tcPr>
          <w:p w14:paraId="13873AF1" w14:textId="03C8B716" w:rsidR="008259FD" w:rsidRPr="00D92E20" w:rsidRDefault="008259FD" w:rsidP="008259FD">
            <w:pPr>
              <w:spacing w:after="0" w:line="240" w:lineRule="auto"/>
              <w:jc w:val="right"/>
              <w:rPr>
                <w:rFonts w:cs="Arial"/>
                <w:color w:val="000000"/>
                <w:sz w:val="16"/>
                <w:szCs w:val="16"/>
              </w:rPr>
            </w:pPr>
            <w:r>
              <w:rPr>
                <w:rFonts w:cs="Arial"/>
                <w:sz w:val="16"/>
                <w:szCs w:val="16"/>
              </w:rPr>
              <w:t>17 102</w:t>
            </w:r>
          </w:p>
        </w:tc>
        <w:tc>
          <w:tcPr>
            <w:tcW w:w="707" w:type="dxa"/>
            <w:tcBorders>
              <w:top w:val="nil"/>
              <w:left w:val="single" w:sz="4" w:space="0" w:color="auto"/>
              <w:bottom w:val="nil"/>
              <w:right w:val="nil"/>
            </w:tcBorders>
            <w:shd w:val="clear" w:color="auto" w:fill="auto"/>
            <w:vAlign w:val="center"/>
            <w:hideMark/>
          </w:tcPr>
          <w:p w14:paraId="45ECF682" w14:textId="7E89D5A3" w:rsidR="008259FD" w:rsidRPr="00D92E20" w:rsidRDefault="008259FD" w:rsidP="008259FD">
            <w:pPr>
              <w:spacing w:after="0" w:line="240" w:lineRule="auto"/>
              <w:jc w:val="right"/>
              <w:rPr>
                <w:rFonts w:cs="Arial"/>
                <w:color w:val="000000"/>
                <w:sz w:val="16"/>
                <w:szCs w:val="16"/>
              </w:rPr>
            </w:pPr>
            <w:r>
              <w:rPr>
                <w:rFonts w:cs="Arial"/>
                <w:sz w:val="16"/>
                <w:szCs w:val="16"/>
              </w:rPr>
              <w:t>27 253</w:t>
            </w:r>
          </w:p>
        </w:tc>
        <w:tc>
          <w:tcPr>
            <w:tcW w:w="704" w:type="dxa"/>
            <w:tcBorders>
              <w:top w:val="nil"/>
              <w:left w:val="nil"/>
              <w:bottom w:val="nil"/>
              <w:right w:val="nil"/>
            </w:tcBorders>
            <w:shd w:val="clear" w:color="auto" w:fill="auto"/>
            <w:vAlign w:val="center"/>
            <w:hideMark/>
          </w:tcPr>
          <w:p w14:paraId="2EB9B397" w14:textId="0AE72CDE" w:rsidR="008259FD" w:rsidRPr="00D92E20" w:rsidRDefault="008259FD" w:rsidP="008259FD">
            <w:pPr>
              <w:spacing w:after="0" w:line="240" w:lineRule="auto"/>
              <w:jc w:val="right"/>
              <w:rPr>
                <w:rFonts w:cs="Arial"/>
                <w:color w:val="000000"/>
                <w:sz w:val="16"/>
                <w:szCs w:val="16"/>
              </w:rPr>
            </w:pPr>
            <w:r>
              <w:rPr>
                <w:rFonts w:cs="Arial"/>
                <w:sz w:val="16"/>
                <w:szCs w:val="16"/>
              </w:rPr>
              <w:t>11 805</w:t>
            </w:r>
          </w:p>
        </w:tc>
        <w:tc>
          <w:tcPr>
            <w:tcW w:w="704" w:type="dxa"/>
            <w:tcBorders>
              <w:top w:val="nil"/>
              <w:left w:val="nil"/>
              <w:bottom w:val="nil"/>
              <w:right w:val="single" w:sz="4" w:space="0" w:color="auto"/>
            </w:tcBorders>
            <w:shd w:val="clear" w:color="auto" w:fill="auto"/>
            <w:vAlign w:val="center"/>
            <w:hideMark/>
          </w:tcPr>
          <w:p w14:paraId="252B83F2" w14:textId="5F863F48" w:rsidR="008259FD" w:rsidRPr="00D92E20" w:rsidRDefault="008259FD" w:rsidP="008259FD">
            <w:pPr>
              <w:spacing w:after="0" w:line="240" w:lineRule="auto"/>
              <w:jc w:val="right"/>
              <w:rPr>
                <w:rFonts w:cs="Arial"/>
                <w:color w:val="000000"/>
                <w:sz w:val="16"/>
                <w:szCs w:val="16"/>
              </w:rPr>
            </w:pPr>
            <w:r>
              <w:rPr>
                <w:rFonts w:cs="Arial"/>
                <w:sz w:val="16"/>
                <w:szCs w:val="16"/>
              </w:rPr>
              <w:t>15 448</w:t>
            </w:r>
          </w:p>
        </w:tc>
        <w:tc>
          <w:tcPr>
            <w:tcW w:w="754" w:type="dxa"/>
            <w:tcBorders>
              <w:top w:val="nil"/>
              <w:left w:val="nil"/>
              <w:bottom w:val="nil"/>
              <w:right w:val="nil"/>
            </w:tcBorders>
            <w:shd w:val="clear" w:color="auto" w:fill="auto"/>
            <w:vAlign w:val="center"/>
            <w:hideMark/>
          </w:tcPr>
          <w:p w14:paraId="11719776" w14:textId="1721658E" w:rsidR="008259FD" w:rsidRPr="00D92E20" w:rsidRDefault="008259FD" w:rsidP="008259FD">
            <w:pPr>
              <w:spacing w:after="0" w:line="240" w:lineRule="auto"/>
              <w:jc w:val="right"/>
              <w:rPr>
                <w:rFonts w:cs="Arial"/>
                <w:color w:val="000000"/>
                <w:sz w:val="16"/>
                <w:szCs w:val="16"/>
              </w:rPr>
            </w:pPr>
            <w:r>
              <w:rPr>
                <w:rFonts w:cs="Arial"/>
                <w:sz w:val="16"/>
                <w:szCs w:val="16"/>
              </w:rPr>
              <w:t>1 237</w:t>
            </w:r>
          </w:p>
        </w:tc>
        <w:tc>
          <w:tcPr>
            <w:tcW w:w="709" w:type="dxa"/>
            <w:tcBorders>
              <w:top w:val="nil"/>
              <w:left w:val="nil"/>
              <w:bottom w:val="nil"/>
              <w:right w:val="nil"/>
            </w:tcBorders>
            <w:shd w:val="clear" w:color="auto" w:fill="auto"/>
            <w:vAlign w:val="center"/>
            <w:hideMark/>
          </w:tcPr>
          <w:p w14:paraId="4DCC345A" w14:textId="30443306" w:rsidR="008259FD" w:rsidRPr="00D92E20" w:rsidRDefault="008259FD" w:rsidP="008259FD">
            <w:pPr>
              <w:spacing w:after="0" w:line="240" w:lineRule="auto"/>
              <w:jc w:val="right"/>
              <w:rPr>
                <w:rFonts w:cs="Arial"/>
                <w:color w:val="000000"/>
                <w:sz w:val="16"/>
                <w:szCs w:val="16"/>
              </w:rPr>
            </w:pPr>
            <w:r>
              <w:rPr>
                <w:rFonts w:cs="Arial"/>
                <w:sz w:val="16"/>
                <w:szCs w:val="16"/>
              </w:rPr>
              <w:t>866</w:t>
            </w:r>
          </w:p>
        </w:tc>
        <w:tc>
          <w:tcPr>
            <w:tcW w:w="709" w:type="dxa"/>
            <w:tcBorders>
              <w:top w:val="nil"/>
              <w:left w:val="nil"/>
              <w:bottom w:val="nil"/>
              <w:right w:val="single" w:sz="4" w:space="0" w:color="auto"/>
            </w:tcBorders>
            <w:shd w:val="clear" w:color="auto" w:fill="auto"/>
            <w:vAlign w:val="center"/>
            <w:hideMark/>
          </w:tcPr>
          <w:p w14:paraId="2E013A29" w14:textId="45E79AAD" w:rsidR="008259FD" w:rsidRPr="00D92E20" w:rsidRDefault="008259FD" w:rsidP="008259FD">
            <w:pPr>
              <w:spacing w:after="0" w:line="240" w:lineRule="auto"/>
              <w:jc w:val="right"/>
              <w:rPr>
                <w:rFonts w:cs="Arial"/>
                <w:color w:val="000000"/>
                <w:sz w:val="16"/>
                <w:szCs w:val="16"/>
              </w:rPr>
            </w:pPr>
            <w:r>
              <w:rPr>
                <w:rFonts w:cs="Arial"/>
                <w:sz w:val="16"/>
                <w:szCs w:val="16"/>
              </w:rPr>
              <w:t>371</w:t>
            </w:r>
          </w:p>
        </w:tc>
        <w:tc>
          <w:tcPr>
            <w:tcW w:w="709" w:type="dxa"/>
            <w:tcBorders>
              <w:top w:val="nil"/>
              <w:left w:val="nil"/>
              <w:bottom w:val="nil"/>
              <w:right w:val="nil"/>
            </w:tcBorders>
            <w:shd w:val="clear" w:color="auto" w:fill="auto"/>
            <w:vAlign w:val="bottom"/>
            <w:hideMark/>
          </w:tcPr>
          <w:p w14:paraId="00210C18" w14:textId="01F3E98A" w:rsidR="008259FD" w:rsidRPr="00D92E20" w:rsidRDefault="008259FD" w:rsidP="008259FD">
            <w:pPr>
              <w:spacing w:after="0" w:line="240" w:lineRule="auto"/>
              <w:jc w:val="right"/>
              <w:rPr>
                <w:rFonts w:cs="Arial"/>
                <w:color w:val="000000"/>
                <w:sz w:val="16"/>
                <w:szCs w:val="16"/>
              </w:rPr>
            </w:pPr>
            <w:r>
              <w:rPr>
                <w:rFonts w:cs="Arial"/>
                <w:sz w:val="16"/>
                <w:szCs w:val="16"/>
              </w:rPr>
              <w:t>3 385</w:t>
            </w:r>
          </w:p>
        </w:tc>
        <w:tc>
          <w:tcPr>
            <w:tcW w:w="709" w:type="dxa"/>
            <w:tcBorders>
              <w:top w:val="nil"/>
              <w:left w:val="nil"/>
              <w:bottom w:val="nil"/>
              <w:right w:val="nil"/>
            </w:tcBorders>
            <w:shd w:val="clear" w:color="auto" w:fill="auto"/>
            <w:vAlign w:val="center"/>
            <w:hideMark/>
          </w:tcPr>
          <w:p w14:paraId="0ED995FE" w14:textId="5F310953" w:rsidR="008259FD" w:rsidRPr="00D92E20" w:rsidRDefault="008259FD" w:rsidP="008259FD">
            <w:pPr>
              <w:spacing w:after="0" w:line="240" w:lineRule="auto"/>
              <w:jc w:val="right"/>
              <w:rPr>
                <w:rFonts w:cs="Arial"/>
                <w:color w:val="000000"/>
                <w:sz w:val="16"/>
                <w:szCs w:val="16"/>
              </w:rPr>
            </w:pPr>
            <w:r>
              <w:rPr>
                <w:rFonts w:cs="Arial"/>
                <w:sz w:val="16"/>
                <w:szCs w:val="16"/>
              </w:rPr>
              <w:t>2 102</w:t>
            </w:r>
          </w:p>
        </w:tc>
        <w:tc>
          <w:tcPr>
            <w:tcW w:w="709" w:type="dxa"/>
            <w:tcBorders>
              <w:left w:val="nil"/>
              <w:bottom w:val="nil"/>
              <w:right w:val="nil"/>
            </w:tcBorders>
            <w:shd w:val="clear" w:color="auto" w:fill="auto"/>
            <w:vAlign w:val="center"/>
            <w:hideMark/>
          </w:tcPr>
          <w:p w14:paraId="4C5BD743" w14:textId="5F0C1D06" w:rsidR="008259FD" w:rsidRPr="00D92E20" w:rsidRDefault="008259FD" w:rsidP="008259FD">
            <w:pPr>
              <w:spacing w:after="0" w:line="240" w:lineRule="auto"/>
              <w:jc w:val="right"/>
              <w:rPr>
                <w:rFonts w:cs="Arial"/>
                <w:color w:val="000000"/>
                <w:sz w:val="16"/>
                <w:szCs w:val="16"/>
              </w:rPr>
            </w:pPr>
            <w:r>
              <w:rPr>
                <w:rFonts w:cs="Arial"/>
                <w:sz w:val="16"/>
                <w:szCs w:val="16"/>
              </w:rPr>
              <w:t>1 283</w:t>
            </w:r>
          </w:p>
        </w:tc>
      </w:tr>
      <w:tr w:rsidR="008259FD" w:rsidRPr="00D92E20" w14:paraId="7AFDC618" w14:textId="77777777" w:rsidTr="0050059C">
        <w:trPr>
          <w:trHeight w:val="300"/>
        </w:trPr>
        <w:tc>
          <w:tcPr>
            <w:tcW w:w="1010" w:type="dxa"/>
            <w:tcBorders>
              <w:top w:val="nil"/>
              <w:left w:val="nil"/>
              <w:bottom w:val="nil"/>
              <w:right w:val="single" w:sz="4" w:space="0" w:color="auto"/>
            </w:tcBorders>
            <w:shd w:val="clear" w:color="auto" w:fill="auto"/>
            <w:vAlign w:val="center"/>
            <w:hideMark/>
          </w:tcPr>
          <w:p w14:paraId="05C1A287" w14:textId="2FF94529" w:rsidR="008259FD" w:rsidRPr="00D92E20" w:rsidRDefault="008259FD" w:rsidP="008259FD">
            <w:pPr>
              <w:spacing w:after="0" w:line="240" w:lineRule="auto"/>
              <w:jc w:val="center"/>
              <w:rPr>
                <w:rFonts w:cs="Arial"/>
                <w:color w:val="000000"/>
                <w:sz w:val="16"/>
                <w:szCs w:val="16"/>
              </w:rPr>
            </w:pPr>
            <w:r>
              <w:rPr>
                <w:rFonts w:cs="Arial"/>
                <w:sz w:val="16"/>
                <w:szCs w:val="16"/>
              </w:rPr>
              <w:t>1. pol. 2014</w:t>
            </w:r>
          </w:p>
        </w:tc>
        <w:tc>
          <w:tcPr>
            <w:tcW w:w="711" w:type="dxa"/>
            <w:tcBorders>
              <w:top w:val="nil"/>
              <w:left w:val="nil"/>
              <w:bottom w:val="nil"/>
              <w:right w:val="nil"/>
            </w:tcBorders>
            <w:shd w:val="clear" w:color="auto" w:fill="auto"/>
            <w:vAlign w:val="center"/>
            <w:hideMark/>
          </w:tcPr>
          <w:p w14:paraId="7084D780" w14:textId="6E158BDE" w:rsidR="008259FD" w:rsidRPr="00D92E20" w:rsidRDefault="008259FD" w:rsidP="008259FD">
            <w:pPr>
              <w:spacing w:after="0" w:line="240" w:lineRule="auto"/>
              <w:jc w:val="right"/>
              <w:rPr>
                <w:rFonts w:cs="Arial"/>
                <w:color w:val="000000"/>
                <w:sz w:val="16"/>
                <w:szCs w:val="16"/>
              </w:rPr>
            </w:pPr>
            <w:r>
              <w:rPr>
                <w:rFonts w:cs="Arial"/>
                <w:sz w:val="16"/>
                <w:szCs w:val="16"/>
              </w:rPr>
              <w:t>30 512</w:t>
            </w:r>
          </w:p>
        </w:tc>
        <w:tc>
          <w:tcPr>
            <w:tcW w:w="703" w:type="dxa"/>
            <w:tcBorders>
              <w:top w:val="nil"/>
              <w:left w:val="nil"/>
              <w:bottom w:val="nil"/>
              <w:right w:val="nil"/>
            </w:tcBorders>
            <w:shd w:val="clear" w:color="auto" w:fill="auto"/>
            <w:vAlign w:val="center"/>
            <w:hideMark/>
          </w:tcPr>
          <w:p w14:paraId="334C4E20" w14:textId="60C6402B" w:rsidR="008259FD" w:rsidRPr="00D92E20" w:rsidRDefault="008259FD" w:rsidP="008259FD">
            <w:pPr>
              <w:spacing w:after="0" w:line="240" w:lineRule="auto"/>
              <w:jc w:val="right"/>
              <w:rPr>
                <w:rFonts w:cs="Arial"/>
                <w:color w:val="000000"/>
                <w:sz w:val="16"/>
                <w:szCs w:val="16"/>
              </w:rPr>
            </w:pPr>
            <w:r>
              <w:rPr>
                <w:rFonts w:cs="Arial"/>
                <w:sz w:val="16"/>
                <w:szCs w:val="16"/>
              </w:rPr>
              <w:t>13 910</w:t>
            </w:r>
          </w:p>
        </w:tc>
        <w:tc>
          <w:tcPr>
            <w:tcW w:w="704" w:type="dxa"/>
            <w:tcBorders>
              <w:top w:val="nil"/>
              <w:left w:val="nil"/>
              <w:bottom w:val="nil"/>
              <w:right w:val="nil"/>
            </w:tcBorders>
            <w:shd w:val="clear" w:color="auto" w:fill="auto"/>
            <w:vAlign w:val="center"/>
            <w:hideMark/>
          </w:tcPr>
          <w:p w14:paraId="115DE896" w14:textId="6C63A366" w:rsidR="008259FD" w:rsidRPr="00D92E20" w:rsidRDefault="008259FD" w:rsidP="008259FD">
            <w:pPr>
              <w:spacing w:after="0" w:line="240" w:lineRule="auto"/>
              <w:jc w:val="right"/>
              <w:rPr>
                <w:rFonts w:cs="Arial"/>
                <w:color w:val="000000"/>
                <w:sz w:val="16"/>
                <w:szCs w:val="16"/>
              </w:rPr>
            </w:pPr>
            <w:r>
              <w:rPr>
                <w:rFonts w:cs="Arial"/>
                <w:sz w:val="16"/>
                <w:szCs w:val="16"/>
              </w:rPr>
              <w:t>16 603</w:t>
            </w:r>
          </w:p>
        </w:tc>
        <w:tc>
          <w:tcPr>
            <w:tcW w:w="707" w:type="dxa"/>
            <w:tcBorders>
              <w:top w:val="nil"/>
              <w:left w:val="single" w:sz="4" w:space="0" w:color="auto"/>
              <w:bottom w:val="nil"/>
              <w:right w:val="nil"/>
            </w:tcBorders>
            <w:shd w:val="clear" w:color="auto" w:fill="auto"/>
            <w:vAlign w:val="center"/>
            <w:hideMark/>
          </w:tcPr>
          <w:p w14:paraId="5AB0767E" w14:textId="6DFBD357" w:rsidR="008259FD" w:rsidRPr="00D92E20" w:rsidRDefault="008259FD" w:rsidP="008259FD">
            <w:pPr>
              <w:spacing w:after="0" w:line="240" w:lineRule="auto"/>
              <w:jc w:val="right"/>
              <w:rPr>
                <w:rFonts w:cs="Arial"/>
                <w:color w:val="000000"/>
                <w:sz w:val="16"/>
                <w:szCs w:val="16"/>
              </w:rPr>
            </w:pPr>
            <w:r>
              <w:rPr>
                <w:rFonts w:cs="Arial"/>
                <w:sz w:val="16"/>
                <w:szCs w:val="16"/>
              </w:rPr>
              <w:t>26 003</w:t>
            </w:r>
          </w:p>
        </w:tc>
        <w:tc>
          <w:tcPr>
            <w:tcW w:w="704" w:type="dxa"/>
            <w:tcBorders>
              <w:top w:val="nil"/>
              <w:left w:val="nil"/>
              <w:bottom w:val="nil"/>
              <w:right w:val="nil"/>
            </w:tcBorders>
            <w:shd w:val="clear" w:color="auto" w:fill="auto"/>
            <w:vAlign w:val="center"/>
            <w:hideMark/>
          </w:tcPr>
          <w:p w14:paraId="3EBE9BDC" w14:textId="7F8014AB" w:rsidR="008259FD" w:rsidRPr="00D92E20" w:rsidRDefault="008259FD" w:rsidP="008259FD">
            <w:pPr>
              <w:spacing w:after="0" w:line="240" w:lineRule="auto"/>
              <w:jc w:val="right"/>
              <w:rPr>
                <w:rFonts w:cs="Arial"/>
                <w:color w:val="000000"/>
                <w:sz w:val="16"/>
                <w:szCs w:val="16"/>
              </w:rPr>
            </w:pPr>
            <w:r>
              <w:rPr>
                <w:rFonts w:cs="Arial"/>
                <w:sz w:val="16"/>
                <w:szCs w:val="16"/>
              </w:rPr>
              <w:t>10 966</w:t>
            </w:r>
          </w:p>
        </w:tc>
        <w:tc>
          <w:tcPr>
            <w:tcW w:w="704" w:type="dxa"/>
            <w:tcBorders>
              <w:top w:val="nil"/>
              <w:left w:val="nil"/>
              <w:bottom w:val="nil"/>
              <w:right w:val="single" w:sz="4" w:space="0" w:color="auto"/>
            </w:tcBorders>
            <w:shd w:val="clear" w:color="auto" w:fill="auto"/>
            <w:vAlign w:val="center"/>
            <w:hideMark/>
          </w:tcPr>
          <w:p w14:paraId="316E29D4" w14:textId="4BC783CB" w:rsidR="008259FD" w:rsidRPr="00D92E20" w:rsidRDefault="008259FD" w:rsidP="008259FD">
            <w:pPr>
              <w:spacing w:after="0" w:line="240" w:lineRule="auto"/>
              <w:jc w:val="right"/>
              <w:rPr>
                <w:rFonts w:cs="Arial"/>
                <w:color w:val="000000"/>
                <w:sz w:val="16"/>
                <w:szCs w:val="16"/>
              </w:rPr>
            </w:pPr>
            <w:r>
              <w:rPr>
                <w:rFonts w:cs="Arial"/>
                <w:sz w:val="16"/>
                <w:szCs w:val="16"/>
              </w:rPr>
              <w:t>15 037</w:t>
            </w:r>
          </w:p>
        </w:tc>
        <w:tc>
          <w:tcPr>
            <w:tcW w:w="754" w:type="dxa"/>
            <w:tcBorders>
              <w:top w:val="nil"/>
              <w:left w:val="nil"/>
              <w:bottom w:val="nil"/>
              <w:right w:val="nil"/>
            </w:tcBorders>
            <w:shd w:val="clear" w:color="auto" w:fill="auto"/>
            <w:vAlign w:val="center"/>
            <w:hideMark/>
          </w:tcPr>
          <w:p w14:paraId="6A477ADC" w14:textId="6F39AF5E" w:rsidR="008259FD" w:rsidRPr="00D92E20" w:rsidRDefault="008259FD" w:rsidP="008259FD">
            <w:pPr>
              <w:spacing w:after="0" w:line="240" w:lineRule="auto"/>
              <w:jc w:val="right"/>
              <w:rPr>
                <w:rFonts w:cs="Arial"/>
                <w:color w:val="000000"/>
                <w:sz w:val="16"/>
                <w:szCs w:val="16"/>
              </w:rPr>
            </w:pPr>
            <w:r>
              <w:rPr>
                <w:rFonts w:cs="Arial"/>
                <w:sz w:val="16"/>
                <w:szCs w:val="16"/>
              </w:rPr>
              <w:t>1 192</w:t>
            </w:r>
          </w:p>
        </w:tc>
        <w:tc>
          <w:tcPr>
            <w:tcW w:w="709" w:type="dxa"/>
            <w:tcBorders>
              <w:top w:val="nil"/>
              <w:left w:val="nil"/>
              <w:bottom w:val="nil"/>
              <w:right w:val="nil"/>
            </w:tcBorders>
            <w:shd w:val="clear" w:color="auto" w:fill="auto"/>
            <w:vAlign w:val="center"/>
            <w:hideMark/>
          </w:tcPr>
          <w:p w14:paraId="534149C0" w14:textId="72E10864" w:rsidR="008259FD" w:rsidRPr="00D92E20" w:rsidRDefault="008259FD" w:rsidP="008259FD">
            <w:pPr>
              <w:spacing w:after="0" w:line="240" w:lineRule="auto"/>
              <w:jc w:val="right"/>
              <w:rPr>
                <w:rFonts w:cs="Arial"/>
                <w:color w:val="000000"/>
                <w:sz w:val="16"/>
                <w:szCs w:val="16"/>
              </w:rPr>
            </w:pPr>
            <w:r>
              <w:rPr>
                <w:rFonts w:cs="Arial"/>
                <w:sz w:val="16"/>
                <w:szCs w:val="16"/>
              </w:rPr>
              <w:t>840</w:t>
            </w:r>
          </w:p>
        </w:tc>
        <w:tc>
          <w:tcPr>
            <w:tcW w:w="709" w:type="dxa"/>
            <w:tcBorders>
              <w:top w:val="nil"/>
              <w:left w:val="nil"/>
              <w:bottom w:val="nil"/>
              <w:right w:val="single" w:sz="4" w:space="0" w:color="auto"/>
            </w:tcBorders>
            <w:shd w:val="clear" w:color="auto" w:fill="auto"/>
            <w:vAlign w:val="center"/>
            <w:hideMark/>
          </w:tcPr>
          <w:p w14:paraId="0AB71FF2" w14:textId="66D58366" w:rsidR="008259FD" w:rsidRPr="00D92E20" w:rsidRDefault="008259FD" w:rsidP="008259FD">
            <w:pPr>
              <w:spacing w:after="0" w:line="240" w:lineRule="auto"/>
              <w:jc w:val="right"/>
              <w:rPr>
                <w:rFonts w:cs="Arial"/>
                <w:color w:val="000000"/>
                <w:sz w:val="16"/>
                <w:szCs w:val="16"/>
              </w:rPr>
            </w:pPr>
            <w:r>
              <w:rPr>
                <w:rFonts w:cs="Arial"/>
                <w:sz w:val="16"/>
                <w:szCs w:val="16"/>
              </w:rPr>
              <w:t>352</w:t>
            </w:r>
          </w:p>
        </w:tc>
        <w:tc>
          <w:tcPr>
            <w:tcW w:w="709" w:type="dxa"/>
            <w:tcBorders>
              <w:top w:val="nil"/>
              <w:left w:val="nil"/>
              <w:bottom w:val="nil"/>
              <w:right w:val="nil"/>
            </w:tcBorders>
            <w:shd w:val="clear" w:color="auto" w:fill="auto"/>
            <w:vAlign w:val="center"/>
            <w:hideMark/>
          </w:tcPr>
          <w:p w14:paraId="2E514E8C" w14:textId="40C255DA" w:rsidR="008259FD" w:rsidRPr="00D92E20" w:rsidRDefault="008259FD" w:rsidP="008259FD">
            <w:pPr>
              <w:spacing w:after="0" w:line="240" w:lineRule="auto"/>
              <w:jc w:val="right"/>
              <w:rPr>
                <w:rFonts w:cs="Arial"/>
                <w:color w:val="000000"/>
                <w:sz w:val="16"/>
                <w:szCs w:val="16"/>
              </w:rPr>
            </w:pPr>
            <w:r>
              <w:rPr>
                <w:rFonts w:cs="Arial"/>
                <w:sz w:val="16"/>
                <w:szCs w:val="16"/>
              </w:rPr>
              <w:t>3 318</w:t>
            </w:r>
          </w:p>
        </w:tc>
        <w:tc>
          <w:tcPr>
            <w:tcW w:w="709" w:type="dxa"/>
            <w:tcBorders>
              <w:top w:val="nil"/>
              <w:left w:val="nil"/>
              <w:bottom w:val="nil"/>
              <w:right w:val="nil"/>
            </w:tcBorders>
            <w:shd w:val="clear" w:color="auto" w:fill="auto"/>
            <w:vAlign w:val="center"/>
            <w:hideMark/>
          </w:tcPr>
          <w:p w14:paraId="003F1D37" w14:textId="77272A66" w:rsidR="008259FD" w:rsidRPr="00D92E20" w:rsidRDefault="008259FD" w:rsidP="008259FD">
            <w:pPr>
              <w:spacing w:after="0" w:line="240" w:lineRule="auto"/>
              <w:jc w:val="right"/>
              <w:rPr>
                <w:rFonts w:cs="Arial"/>
                <w:color w:val="000000"/>
                <w:sz w:val="16"/>
                <w:szCs w:val="16"/>
              </w:rPr>
            </w:pPr>
            <w:r>
              <w:rPr>
                <w:rFonts w:cs="Arial"/>
                <w:sz w:val="16"/>
                <w:szCs w:val="16"/>
              </w:rPr>
              <w:t>2 104</w:t>
            </w:r>
          </w:p>
        </w:tc>
        <w:tc>
          <w:tcPr>
            <w:tcW w:w="709" w:type="dxa"/>
            <w:tcBorders>
              <w:top w:val="nil"/>
              <w:left w:val="nil"/>
              <w:bottom w:val="nil"/>
              <w:right w:val="nil"/>
            </w:tcBorders>
            <w:shd w:val="clear" w:color="auto" w:fill="auto"/>
            <w:vAlign w:val="center"/>
            <w:hideMark/>
          </w:tcPr>
          <w:p w14:paraId="10507DFB" w14:textId="7209D658" w:rsidR="008259FD" w:rsidRPr="00D92E20" w:rsidRDefault="008259FD" w:rsidP="008259FD">
            <w:pPr>
              <w:spacing w:after="0" w:line="240" w:lineRule="auto"/>
              <w:jc w:val="right"/>
              <w:rPr>
                <w:rFonts w:cs="Arial"/>
                <w:color w:val="000000"/>
                <w:sz w:val="16"/>
                <w:szCs w:val="16"/>
              </w:rPr>
            </w:pPr>
            <w:r>
              <w:rPr>
                <w:rFonts w:cs="Arial"/>
                <w:sz w:val="16"/>
                <w:szCs w:val="16"/>
              </w:rPr>
              <w:t>1 214</w:t>
            </w:r>
          </w:p>
        </w:tc>
      </w:tr>
      <w:tr w:rsidR="008259FD" w:rsidRPr="00D92E20" w14:paraId="4B1D7E83" w14:textId="77777777" w:rsidTr="0050059C">
        <w:trPr>
          <w:trHeight w:val="300"/>
        </w:trPr>
        <w:tc>
          <w:tcPr>
            <w:tcW w:w="1010" w:type="dxa"/>
            <w:tcBorders>
              <w:top w:val="nil"/>
              <w:left w:val="nil"/>
              <w:bottom w:val="nil"/>
              <w:right w:val="single" w:sz="4" w:space="0" w:color="auto"/>
            </w:tcBorders>
            <w:shd w:val="clear" w:color="auto" w:fill="auto"/>
            <w:vAlign w:val="center"/>
            <w:hideMark/>
          </w:tcPr>
          <w:p w14:paraId="74A592F7" w14:textId="4E007936" w:rsidR="008259FD" w:rsidRPr="00D92E20" w:rsidRDefault="008259FD" w:rsidP="008259FD">
            <w:pPr>
              <w:spacing w:after="0" w:line="240" w:lineRule="auto"/>
              <w:jc w:val="center"/>
              <w:rPr>
                <w:rFonts w:cs="Arial"/>
                <w:color w:val="000000"/>
                <w:sz w:val="16"/>
                <w:szCs w:val="16"/>
              </w:rPr>
            </w:pPr>
            <w:r>
              <w:rPr>
                <w:rFonts w:cs="Arial"/>
                <w:sz w:val="16"/>
                <w:szCs w:val="16"/>
              </w:rPr>
              <w:t>1. pol. 2015</w:t>
            </w:r>
          </w:p>
        </w:tc>
        <w:tc>
          <w:tcPr>
            <w:tcW w:w="711" w:type="dxa"/>
            <w:tcBorders>
              <w:top w:val="nil"/>
              <w:left w:val="nil"/>
              <w:bottom w:val="nil"/>
              <w:right w:val="nil"/>
            </w:tcBorders>
            <w:shd w:val="clear" w:color="auto" w:fill="auto"/>
            <w:vAlign w:val="center"/>
            <w:hideMark/>
          </w:tcPr>
          <w:p w14:paraId="0F03F0B7" w14:textId="6B7BF073" w:rsidR="008259FD" w:rsidRPr="00D92E20" w:rsidRDefault="008259FD" w:rsidP="008259FD">
            <w:pPr>
              <w:spacing w:after="0" w:line="240" w:lineRule="auto"/>
              <w:jc w:val="right"/>
              <w:rPr>
                <w:rFonts w:cs="Arial"/>
                <w:color w:val="000000"/>
                <w:sz w:val="16"/>
                <w:szCs w:val="16"/>
              </w:rPr>
            </w:pPr>
            <w:r>
              <w:rPr>
                <w:rFonts w:cs="Arial"/>
                <w:sz w:val="16"/>
                <w:szCs w:val="16"/>
              </w:rPr>
              <w:t>35 052</w:t>
            </w:r>
          </w:p>
        </w:tc>
        <w:tc>
          <w:tcPr>
            <w:tcW w:w="703" w:type="dxa"/>
            <w:tcBorders>
              <w:top w:val="nil"/>
              <w:left w:val="nil"/>
              <w:bottom w:val="nil"/>
              <w:right w:val="nil"/>
            </w:tcBorders>
            <w:shd w:val="clear" w:color="auto" w:fill="auto"/>
            <w:vAlign w:val="center"/>
            <w:hideMark/>
          </w:tcPr>
          <w:p w14:paraId="25364E03" w14:textId="65A62DE9" w:rsidR="008259FD" w:rsidRPr="00D92E20" w:rsidRDefault="008259FD" w:rsidP="008259FD">
            <w:pPr>
              <w:spacing w:after="0" w:line="240" w:lineRule="auto"/>
              <w:jc w:val="right"/>
              <w:rPr>
                <w:rFonts w:cs="Arial"/>
                <w:color w:val="000000"/>
                <w:sz w:val="16"/>
                <w:szCs w:val="16"/>
              </w:rPr>
            </w:pPr>
            <w:r>
              <w:rPr>
                <w:rFonts w:cs="Arial"/>
                <w:sz w:val="16"/>
                <w:szCs w:val="16"/>
              </w:rPr>
              <w:t>15 885</w:t>
            </w:r>
          </w:p>
        </w:tc>
        <w:tc>
          <w:tcPr>
            <w:tcW w:w="704" w:type="dxa"/>
            <w:tcBorders>
              <w:top w:val="nil"/>
              <w:left w:val="nil"/>
              <w:bottom w:val="nil"/>
              <w:right w:val="nil"/>
            </w:tcBorders>
            <w:shd w:val="clear" w:color="auto" w:fill="auto"/>
            <w:vAlign w:val="center"/>
            <w:hideMark/>
          </w:tcPr>
          <w:p w14:paraId="2F5B7F0A" w14:textId="25D37DBF" w:rsidR="008259FD" w:rsidRPr="00D92E20" w:rsidRDefault="008259FD" w:rsidP="008259FD">
            <w:pPr>
              <w:spacing w:after="0" w:line="240" w:lineRule="auto"/>
              <w:jc w:val="right"/>
              <w:rPr>
                <w:rFonts w:cs="Arial"/>
                <w:color w:val="000000"/>
                <w:sz w:val="16"/>
                <w:szCs w:val="16"/>
              </w:rPr>
            </w:pPr>
            <w:r>
              <w:rPr>
                <w:rFonts w:cs="Arial"/>
                <w:sz w:val="16"/>
                <w:szCs w:val="16"/>
              </w:rPr>
              <w:t>19 167</w:t>
            </w:r>
          </w:p>
        </w:tc>
        <w:tc>
          <w:tcPr>
            <w:tcW w:w="707" w:type="dxa"/>
            <w:tcBorders>
              <w:top w:val="nil"/>
              <w:left w:val="single" w:sz="4" w:space="0" w:color="auto"/>
              <w:bottom w:val="nil"/>
              <w:right w:val="nil"/>
            </w:tcBorders>
            <w:shd w:val="clear" w:color="auto" w:fill="auto"/>
            <w:vAlign w:val="center"/>
            <w:hideMark/>
          </w:tcPr>
          <w:p w14:paraId="64257414" w14:textId="35063B35" w:rsidR="008259FD" w:rsidRPr="00D92E20" w:rsidRDefault="008259FD" w:rsidP="008259FD">
            <w:pPr>
              <w:spacing w:after="0" w:line="240" w:lineRule="auto"/>
              <w:jc w:val="right"/>
              <w:rPr>
                <w:rFonts w:cs="Arial"/>
                <w:color w:val="000000"/>
                <w:sz w:val="16"/>
                <w:szCs w:val="16"/>
              </w:rPr>
            </w:pPr>
            <w:r>
              <w:rPr>
                <w:rFonts w:cs="Arial"/>
                <w:sz w:val="16"/>
                <w:szCs w:val="16"/>
              </w:rPr>
              <w:t>30 184</w:t>
            </w:r>
          </w:p>
        </w:tc>
        <w:tc>
          <w:tcPr>
            <w:tcW w:w="704" w:type="dxa"/>
            <w:tcBorders>
              <w:top w:val="nil"/>
              <w:left w:val="nil"/>
              <w:bottom w:val="nil"/>
              <w:right w:val="nil"/>
            </w:tcBorders>
            <w:shd w:val="clear" w:color="auto" w:fill="auto"/>
            <w:vAlign w:val="center"/>
            <w:hideMark/>
          </w:tcPr>
          <w:p w14:paraId="0BE30E1E" w14:textId="4778A4CC" w:rsidR="008259FD" w:rsidRPr="00D92E20" w:rsidRDefault="008259FD" w:rsidP="008259FD">
            <w:pPr>
              <w:spacing w:after="0" w:line="240" w:lineRule="auto"/>
              <w:jc w:val="right"/>
              <w:rPr>
                <w:rFonts w:cs="Arial"/>
                <w:color w:val="000000"/>
                <w:sz w:val="16"/>
                <w:szCs w:val="16"/>
              </w:rPr>
            </w:pPr>
            <w:r>
              <w:rPr>
                <w:rFonts w:cs="Arial"/>
                <w:sz w:val="16"/>
                <w:szCs w:val="16"/>
              </w:rPr>
              <w:t>12 792</w:t>
            </w:r>
          </w:p>
        </w:tc>
        <w:tc>
          <w:tcPr>
            <w:tcW w:w="704" w:type="dxa"/>
            <w:tcBorders>
              <w:top w:val="nil"/>
              <w:left w:val="nil"/>
              <w:bottom w:val="nil"/>
              <w:right w:val="single" w:sz="4" w:space="0" w:color="auto"/>
            </w:tcBorders>
            <w:shd w:val="clear" w:color="auto" w:fill="auto"/>
            <w:vAlign w:val="center"/>
            <w:hideMark/>
          </w:tcPr>
          <w:p w14:paraId="20A14920" w14:textId="767AC0E3" w:rsidR="008259FD" w:rsidRPr="00D92E20" w:rsidRDefault="008259FD" w:rsidP="008259FD">
            <w:pPr>
              <w:spacing w:after="0" w:line="240" w:lineRule="auto"/>
              <w:jc w:val="right"/>
              <w:rPr>
                <w:rFonts w:cs="Arial"/>
                <w:color w:val="000000"/>
                <w:sz w:val="16"/>
                <w:szCs w:val="16"/>
              </w:rPr>
            </w:pPr>
            <w:r>
              <w:rPr>
                <w:rFonts w:cs="Arial"/>
                <w:sz w:val="16"/>
                <w:szCs w:val="16"/>
              </w:rPr>
              <w:t>17 392</w:t>
            </w:r>
          </w:p>
        </w:tc>
        <w:tc>
          <w:tcPr>
            <w:tcW w:w="754" w:type="dxa"/>
            <w:tcBorders>
              <w:top w:val="nil"/>
              <w:left w:val="nil"/>
              <w:bottom w:val="nil"/>
              <w:right w:val="nil"/>
            </w:tcBorders>
            <w:shd w:val="clear" w:color="auto" w:fill="auto"/>
            <w:vAlign w:val="center"/>
            <w:hideMark/>
          </w:tcPr>
          <w:p w14:paraId="667F1B40" w14:textId="59A94040" w:rsidR="008259FD" w:rsidRPr="00D92E20" w:rsidRDefault="008259FD" w:rsidP="008259FD">
            <w:pPr>
              <w:spacing w:after="0" w:line="240" w:lineRule="auto"/>
              <w:jc w:val="right"/>
              <w:rPr>
                <w:rFonts w:cs="Arial"/>
                <w:color w:val="000000"/>
                <w:sz w:val="16"/>
                <w:szCs w:val="16"/>
              </w:rPr>
            </w:pPr>
            <w:r>
              <w:rPr>
                <w:rFonts w:cs="Arial"/>
                <w:sz w:val="16"/>
                <w:szCs w:val="16"/>
              </w:rPr>
              <w:t>1 304</w:t>
            </w:r>
          </w:p>
        </w:tc>
        <w:tc>
          <w:tcPr>
            <w:tcW w:w="709" w:type="dxa"/>
            <w:tcBorders>
              <w:top w:val="nil"/>
              <w:left w:val="nil"/>
              <w:bottom w:val="nil"/>
              <w:right w:val="nil"/>
            </w:tcBorders>
            <w:shd w:val="clear" w:color="auto" w:fill="auto"/>
            <w:vAlign w:val="center"/>
            <w:hideMark/>
          </w:tcPr>
          <w:p w14:paraId="35456328" w14:textId="619C2B77" w:rsidR="008259FD" w:rsidRPr="00D92E20" w:rsidRDefault="008259FD" w:rsidP="008259FD">
            <w:pPr>
              <w:spacing w:after="0" w:line="240" w:lineRule="auto"/>
              <w:jc w:val="right"/>
              <w:rPr>
                <w:rFonts w:cs="Arial"/>
                <w:color w:val="000000"/>
                <w:sz w:val="16"/>
                <w:szCs w:val="16"/>
              </w:rPr>
            </w:pPr>
            <w:r>
              <w:rPr>
                <w:rFonts w:cs="Arial"/>
                <w:sz w:val="16"/>
                <w:szCs w:val="16"/>
              </w:rPr>
              <w:t>895</w:t>
            </w:r>
          </w:p>
        </w:tc>
        <w:tc>
          <w:tcPr>
            <w:tcW w:w="709" w:type="dxa"/>
            <w:tcBorders>
              <w:top w:val="nil"/>
              <w:left w:val="nil"/>
              <w:bottom w:val="nil"/>
              <w:right w:val="single" w:sz="4" w:space="0" w:color="auto"/>
            </w:tcBorders>
            <w:shd w:val="clear" w:color="auto" w:fill="auto"/>
            <w:vAlign w:val="center"/>
            <w:hideMark/>
          </w:tcPr>
          <w:p w14:paraId="41F9C781" w14:textId="09AB21C6" w:rsidR="008259FD" w:rsidRPr="00D92E20" w:rsidRDefault="008259FD" w:rsidP="008259FD">
            <w:pPr>
              <w:spacing w:after="0" w:line="240" w:lineRule="auto"/>
              <w:jc w:val="right"/>
              <w:rPr>
                <w:rFonts w:cs="Arial"/>
                <w:color w:val="000000"/>
                <w:sz w:val="16"/>
                <w:szCs w:val="16"/>
              </w:rPr>
            </w:pPr>
            <w:r>
              <w:rPr>
                <w:rFonts w:cs="Arial"/>
                <w:sz w:val="16"/>
                <w:szCs w:val="16"/>
              </w:rPr>
              <w:t>409</w:t>
            </w:r>
          </w:p>
        </w:tc>
        <w:tc>
          <w:tcPr>
            <w:tcW w:w="709" w:type="dxa"/>
            <w:tcBorders>
              <w:top w:val="nil"/>
              <w:left w:val="nil"/>
              <w:bottom w:val="nil"/>
              <w:right w:val="nil"/>
            </w:tcBorders>
            <w:shd w:val="clear" w:color="auto" w:fill="auto"/>
            <w:vAlign w:val="center"/>
            <w:hideMark/>
          </w:tcPr>
          <w:p w14:paraId="26676EC4" w14:textId="4F860846" w:rsidR="008259FD" w:rsidRPr="00D92E20" w:rsidRDefault="008259FD" w:rsidP="008259FD">
            <w:pPr>
              <w:spacing w:after="0" w:line="240" w:lineRule="auto"/>
              <w:jc w:val="right"/>
              <w:rPr>
                <w:rFonts w:cs="Arial"/>
                <w:color w:val="000000"/>
                <w:sz w:val="16"/>
                <w:szCs w:val="16"/>
              </w:rPr>
            </w:pPr>
            <w:r>
              <w:rPr>
                <w:rFonts w:cs="Arial"/>
                <w:sz w:val="16"/>
                <w:szCs w:val="16"/>
              </w:rPr>
              <w:t>3 563</w:t>
            </w:r>
          </w:p>
        </w:tc>
        <w:tc>
          <w:tcPr>
            <w:tcW w:w="709" w:type="dxa"/>
            <w:tcBorders>
              <w:top w:val="nil"/>
              <w:left w:val="nil"/>
              <w:bottom w:val="nil"/>
              <w:right w:val="nil"/>
            </w:tcBorders>
            <w:shd w:val="clear" w:color="auto" w:fill="auto"/>
            <w:vAlign w:val="center"/>
            <w:hideMark/>
          </w:tcPr>
          <w:p w14:paraId="691112F1" w14:textId="4740D8FC" w:rsidR="008259FD" w:rsidRPr="00D92E20" w:rsidRDefault="008259FD" w:rsidP="008259FD">
            <w:pPr>
              <w:spacing w:after="0" w:line="240" w:lineRule="auto"/>
              <w:jc w:val="right"/>
              <w:rPr>
                <w:rFonts w:cs="Arial"/>
                <w:color w:val="000000"/>
                <w:sz w:val="16"/>
                <w:szCs w:val="16"/>
              </w:rPr>
            </w:pPr>
            <w:r>
              <w:rPr>
                <w:rFonts w:cs="Arial"/>
                <w:sz w:val="16"/>
                <w:szCs w:val="16"/>
              </w:rPr>
              <w:t>2 198</w:t>
            </w:r>
          </w:p>
        </w:tc>
        <w:tc>
          <w:tcPr>
            <w:tcW w:w="709" w:type="dxa"/>
            <w:tcBorders>
              <w:top w:val="nil"/>
              <w:left w:val="nil"/>
              <w:bottom w:val="nil"/>
              <w:right w:val="nil"/>
            </w:tcBorders>
            <w:shd w:val="clear" w:color="auto" w:fill="auto"/>
            <w:vAlign w:val="center"/>
            <w:hideMark/>
          </w:tcPr>
          <w:p w14:paraId="4F109B2A" w14:textId="7B8CCD58" w:rsidR="008259FD" w:rsidRPr="00D92E20" w:rsidRDefault="008259FD" w:rsidP="008259FD">
            <w:pPr>
              <w:spacing w:after="0" w:line="240" w:lineRule="auto"/>
              <w:jc w:val="right"/>
              <w:rPr>
                <w:rFonts w:cs="Arial"/>
                <w:color w:val="000000"/>
                <w:sz w:val="16"/>
                <w:szCs w:val="16"/>
              </w:rPr>
            </w:pPr>
            <w:r>
              <w:rPr>
                <w:rFonts w:cs="Arial"/>
                <w:sz w:val="16"/>
                <w:szCs w:val="16"/>
              </w:rPr>
              <w:t>1 365</w:t>
            </w:r>
          </w:p>
        </w:tc>
      </w:tr>
      <w:tr w:rsidR="008259FD" w:rsidRPr="00D92E20" w14:paraId="0A244595" w14:textId="77777777" w:rsidTr="0050059C">
        <w:trPr>
          <w:trHeight w:val="300"/>
        </w:trPr>
        <w:tc>
          <w:tcPr>
            <w:tcW w:w="1010" w:type="dxa"/>
            <w:tcBorders>
              <w:top w:val="nil"/>
              <w:left w:val="nil"/>
              <w:bottom w:val="nil"/>
              <w:right w:val="single" w:sz="4" w:space="0" w:color="auto"/>
            </w:tcBorders>
            <w:shd w:val="clear" w:color="auto" w:fill="auto"/>
            <w:vAlign w:val="center"/>
            <w:hideMark/>
          </w:tcPr>
          <w:p w14:paraId="458B42C7" w14:textId="40771951" w:rsidR="008259FD" w:rsidRPr="00D92E20" w:rsidRDefault="008259FD" w:rsidP="008259FD">
            <w:pPr>
              <w:spacing w:after="0" w:line="240" w:lineRule="auto"/>
              <w:jc w:val="center"/>
              <w:rPr>
                <w:rFonts w:cs="Arial"/>
                <w:color w:val="000000"/>
                <w:sz w:val="16"/>
                <w:szCs w:val="16"/>
              </w:rPr>
            </w:pPr>
            <w:r>
              <w:rPr>
                <w:rFonts w:cs="Arial"/>
                <w:sz w:val="16"/>
                <w:szCs w:val="16"/>
              </w:rPr>
              <w:t>1. pol. 2016</w:t>
            </w:r>
          </w:p>
        </w:tc>
        <w:tc>
          <w:tcPr>
            <w:tcW w:w="711" w:type="dxa"/>
            <w:tcBorders>
              <w:top w:val="nil"/>
              <w:left w:val="nil"/>
              <w:bottom w:val="nil"/>
              <w:right w:val="nil"/>
            </w:tcBorders>
            <w:shd w:val="clear" w:color="auto" w:fill="auto"/>
            <w:vAlign w:val="center"/>
            <w:hideMark/>
          </w:tcPr>
          <w:p w14:paraId="0A8DA84F" w14:textId="5C349AEA" w:rsidR="008259FD" w:rsidRPr="00D92E20" w:rsidRDefault="008259FD" w:rsidP="008259FD">
            <w:pPr>
              <w:spacing w:after="0" w:line="240" w:lineRule="auto"/>
              <w:jc w:val="right"/>
              <w:rPr>
                <w:rFonts w:cs="Arial"/>
                <w:color w:val="000000"/>
                <w:sz w:val="16"/>
                <w:szCs w:val="16"/>
              </w:rPr>
            </w:pPr>
            <w:r>
              <w:rPr>
                <w:rFonts w:cs="Arial"/>
                <w:sz w:val="16"/>
                <w:szCs w:val="16"/>
              </w:rPr>
              <w:t>36 787</w:t>
            </w:r>
          </w:p>
        </w:tc>
        <w:tc>
          <w:tcPr>
            <w:tcW w:w="703" w:type="dxa"/>
            <w:tcBorders>
              <w:top w:val="nil"/>
              <w:left w:val="nil"/>
              <w:bottom w:val="nil"/>
              <w:right w:val="nil"/>
            </w:tcBorders>
            <w:shd w:val="clear" w:color="auto" w:fill="auto"/>
            <w:vAlign w:val="center"/>
            <w:hideMark/>
          </w:tcPr>
          <w:p w14:paraId="777E9445" w14:textId="3C1C024D" w:rsidR="008259FD" w:rsidRPr="00D92E20" w:rsidRDefault="008259FD" w:rsidP="008259FD">
            <w:pPr>
              <w:spacing w:after="0" w:line="240" w:lineRule="auto"/>
              <w:jc w:val="right"/>
              <w:rPr>
                <w:rFonts w:cs="Arial"/>
                <w:color w:val="000000"/>
                <w:sz w:val="16"/>
                <w:szCs w:val="16"/>
              </w:rPr>
            </w:pPr>
            <w:r>
              <w:rPr>
                <w:rFonts w:cs="Arial"/>
                <w:sz w:val="16"/>
                <w:szCs w:val="16"/>
              </w:rPr>
              <w:t>16 662</w:t>
            </w:r>
          </w:p>
        </w:tc>
        <w:tc>
          <w:tcPr>
            <w:tcW w:w="704" w:type="dxa"/>
            <w:tcBorders>
              <w:top w:val="nil"/>
              <w:left w:val="nil"/>
              <w:bottom w:val="nil"/>
              <w:right w:val="nil"/>
            </w:tcBorders>
            <w:shd w:val="clear" w:color="auto" w:fill="auto"/>
            <w:vAlign w:val="center"/>
            <w:hideMark/>
          </w:tcPr>
          <w:p w14:paraId="4E0B1666" w14:textId="70931653" w:rsidR="008259FD" w:rsidRPr="00D92E20" w:rsidRDefault="008259FD" w:rsidP="008259FD">
            <w:pPr>
              <w:spacing w:after="0" w:line="240" w:lineRule="auto"/>
              <w:jc w:val="right"/>
              <w:rPr>
                <w:rFonts w:cs="Arial"/>
                <w:color w:val="000000"/>
                <w:sz w:val="16"/>
                <w:szCs w:val="16"/>
              </w:rPr>
            </w:pPr>
            <w:r>
              <w:rPr>
                <w:rFonts w:cs="Arial"/>
                <w:sz w:val="16"/>
                <w:szCs w:val="16"/>
              </w:rPr>
              <w:t>20 125</w:t>
            </w:r>
          </w:p>
        </w:tc>
        <w:tc>
          <w:tcPr>
            <w:tcW w:w="707" w:type="dxa"/>
            <w:tcBorders>
              <w:top w:val="nil"/>
              <w:left w:val="single" w:sz="4" w:space="0" w:color="auto"/>
              <w:bottom w:val="nil"/>
              <w:right w:val="nil"/>
            </w:tcBorders>
            <w:shd w:val="clear" w:color="auto" w:fill="auto"/>
            <w:vAlign w:val="center"/>
            <w:hideMark/>
          </w:tcPr>
          <w:p w14:paraId="1A67204C" w14:textId="1D67D99B" w:rsidR="008259FD" w:rsidRPr="00D92E20" w:rsidRDefault="008259FD" w:rsidP="008259FD">
            <w:pPr>
              <w:spacing w:after="0" w:line="240" w:lineRule="auto"/>
              <w:jc w:val="right"/>
              <w:rPr>
                <w:rFonts w:cs="Arial"/>
                <w:color w:val="000000"/>
                <w:sz w:val="16"/>
                <w:szCs w:val="16"/>
              </w:rPr>
            </w:pPr>
            <w:r>
              <w:rPr>
                <w:rFonts w:cs="Arial"/>
                <w:sz w:val="16"/>
                <w:szCs w:val="16"/>
              </w:rPr>
              <w:t>31 662</w:t>
            </w:r>
          </w:p>
        </w:tc>
        <w:tc>
          <w:tcPr>
            <w:tcW w:w="704" w:type="dxa"/>
            <w:tcBorders>
              <w:top w:val="nil"/>
              <w:left w:val="nil"/>
              <w:bottom w:val="nil"/>
              <w:right w:val="nil"/>
            </w:tcBorders>
            <w:shd w:val="clear" w:color="auto" w:fill="auto"/>
            <w:vAlign w:val="center"/>
            <w:hideMark/>
          </w:tcPr>
          <w:p w14:paraId="014EC3E7" w14:textId="771B740E" w:rsidR="008259FD" w:rsidRPr="00D92E20" w:rsidRDefault="008259FD" w:rsidP="008259FD">
            <w:pPr>
              <w:spacing w:after="0" w:line="240" w:lineRule="auto"/>
              <w:jc w:val="right"/>
              <w:rPr>
                <w:rFonts w:cs="Arial"/>
                <w:color w:val="000000"/>
                <w:sz w:val="16"/>
                <w:szCs w:val="16"/>
              </w:rPr>
            </w:pPr>
            <w:r>
              <w:rPr>
                <w:rFonts w:cs="Arial"/>
                <w:sz w:val="16"/>
                <w:szCs w:val="16"/>
              </w:rPr>
              <w:t>13 413</w:t>
            </w:r>
          </w:p>
        </w:tc>
        <w:tc>
          <w:tcPr>
            <w:tcW w:w="704" w:type="dxa"/>
            <w:tcBorders>
              <w:top w:val="nil"/>
              <w:left w:val="nil"/>
              <w:bottom w:val="nil"/>
              <w:right w:val="single" w:sz="4" w:space="0" w:color="auto"/>
            </w:tcBorders>
            <w:shd w:val="clear" w:color="auto" w:fill="auto"/>
            <w:vAlign w:val="center"/>
            <w:hideMark/>
          </w:tcPr>
          <w:p w14:paraId="45BE228D" w14:textId="0392E504" w:rsidR="008259FD" w:rsidRPr="00D92E20" w:rsidRDefault="008259FD" w:rsidP="008259FD">
            <w:pPr>
              <w:spacing w:after="0" w:line="240" w:lineRule="auto"/>
              <w:jc w:val="right"/>
              <w:rPr>
                <w:rFonts w:cs="Arial"/>
                <w:color w:val="000000"/>
                <w:sz w:val="16"/>
                <w:szCs w:val="16"/>
              </w:rPr>
            </w:pPr>
            <w:r>
              <w:rPr>
                <w:rFonts w:cs="Arial"/>
                <w:sz w:val="16"/>
                <w:szCs w:val="16"/>
              </w:rPr>
              <w:t>18 249</w:t>
            </w:r>
          </w:p>
        </w:tc>
        <w:tc>
          <w:tcPr>
            <w:tcW w:w="754" w:type="dxa"/>
            <w:tcBorders>
              <w:top w:val="nil"/>
              <w:left w:val="nil"/>
              <w:bottom w:val="nil"/>
              <w:right w:val="nil"/>
            </w:tcBorders>
            <w:shd w:val="clear" w:color="auto" w:fill="auto"/>
            <w:vAlign w:val="center"/>
            <w:hideMark/>
          </w:tcPr>
          <w:p w14:paraId="2A404674" w14:textId="023B8197" w:rsidR="008259FD" w:rsidRPr="00D92E20" w:rsidRDefault="008259FD" w:rsidP="008259FD">
            <w:pPr>
              <w:spacing w:after="0" w:line="240" w:lineRule="auto"/>
              <w:jc w:val="right"/>
              <w:rPr>
                <w:rFonts w:cs="Arial"/>
                <w:color w:val="000000"/>
                <w:sz w:val="16"/>
                <w:szCs w:val="16"/>
              </w:rPr>
            </w:pPr>
            <w:r>
              <w:rPr>
                <w:rFonts w:cs="Arial"/>
                <w:sz w:val="16"/>
                <w:szCs w:val="16"/>
              </w:rPr>
              <w:t>1 320</w:t>
            </w:r>
          </w:p>
        </w:tc>
        <w:tc>
          <w:tcPr>
            <w:tcW w:w="709" w:type="dxa"/>
            <w:tcBorders>
              <w:top w:val="nil"/>
              <w:left w:val="nil"/>
              <w:bottom w:val="nil"/>
              <w:right w:val="nil"/>
            </w:tcBorders>
            <w:shd w:val="clear" w:color="auto" w:fill="auto"/>
            <w:vAlign w:val="center"/>
            <w:hideMark/>
          </w:tcPr>
          <w:p w14:paraId="7EDB9D2A" w14:textId="212EB4A5" w:rsidR="008259FD" w:rsidRPr="00D92E20" w:rsidRDefault="008259FD" w:rsidP="008259FD">
            <w:pPr>
              <w:spacing w:after="0" w:line="240" w:lineRule="auto"/>
              <w:jc w:val="right"/>
              <w:rPr>
                <w:rFonts w:cs="Arial"/>
                <w:color w:val="000000"/>
                <w:sz w:val="16"/>
                <w:szCs w:val="16"/>
              </w:rPr>
            </w:pPr>
            <w:r>
              <w:rPr>
                <w:rFonts w:cs="Arial"/>
                <w:sz w:val="16"/>
                <w:szCs w:val="16"/>
              </w:rPr>
              <w:t>900</w:t>
            </w:r>
          </w:p>
        </w:tc>
        <w:tc>
          <w:tcPr>
            <w:tcW w:w="709" w:type="dxa"/>
            <w:tcBorders>
              <w:top w:val="nil"/>
              <w:left w:val="nil"/>
              <w:bottom w:val="nil"/>
              <w:right w:val="single" w:sz="4" w:space="0" w:color="auto"/>
            </w:tcBorders>
            <w:shd w:val="clear" w:color="auto" w:fill="auto"/>
            <w:vAlign w:val="center"/>
            <w:hideMark/>
          </w:tcPr>
          <w:p w14:paraId="4A2949F8" w14:textId="5CE84B38" w:rsidR="008259FD" w:rsidRPr="00D92E20" w:rsidRDefault="008259FD" w:rsidP="008259FD">
            <w:pPr>
              <w:spacing w:after="0" w:line="240" w:lineRule="auto"/>
              <w:jc w:val="right"/>
              <w:rPr>
                <w:rFonts w:cs="Arial"/>
                <w:color w:val="000000"/>
                <w:sz w:val="16"/>
                <w:szCs w:val="16"/>
              </w:rPr>
            </w:pPr>
            <w:r>
              <w:rPr>
                <w:rFonts w:cs="Arial"/>
                <w:sz w:val="16"/>
                <w:szCs w:val="16"/>
              </w:rPr>
              <w:t>421</w:t>
            </w:r>
          </w:p>
        </w:tc>
        <w:tc>
          <w:tcPr>
            <w:tcW w:w="709" w:type="dxa"/>
            <w:tcBorders>
              <w:top w:val="nil"/>
              <w:left w:val="nil"/>
              <w:bottom w:val="nil"/>
              <w:right w:val="nil"/>
            </w:tcBorders>
            <w:shd w:val="clear" w:color="auto" w:fill="auto"/>
            <w:vAlign w:val="center"/>
            <w:hideMark/>
          </w:tcPr>
          <w:p w14:paraId="2D0796B9" w14:textId="026A871A" w:rsidR="008259FD" w:rsidRPr="00D92E20" w:rsidRDefault="008259FD" w:rsidP="008259FD">
            <w:pPr>
              <w:spacing w:after="0" w:line="240" w:lineRule="auto"/>
              <w:jc w:val="right"/>
              <w:rPr>
                <w:rFonts w:cs="Arial"/>
                <w:color w:val="000000"/>
                <w:sz w:val="16"/>
                <w:szCs w:val="16"/>
              </w:rPr>
            </w:pPr>
            <w:r>
              <w:rPr>
                <w:rFonts w:cs="Arial"/>
                <w:sz w:val="16"/>
                <w:szCs w:val="16"/>
              </w:rPr>
              <w:t>3 805</w:t>
            </w:r>
          </w:p>
        </w:tc>
        <w:tc>
          <w:tcPr>
            <w:tcW w:w="709" w:type="dxa"/>
            <w:tcBorders>
              <w:top w:val="nil"/>
              <w:left w:val="nil"/>
              <w:bottom w:val="nil"/>
              <w:right w:val="nil"/>
            </w:tcBorders>
            <w:shd w:val="clear" w:color="auto" w:fill="auto"/>
            <w:vAlign w:val="center"/>
            <w:hideMark/>
          </w:tcPr>
          <w:p w14:paraId="172DF2B4" w14:textId="2861A594" w:rsidR="008259FD" w:rsidRPr="00D92E20" w:rsidRDefault="008259FD" w:rsidP="008259FD">
            <w:pPr>
              <w:spacing w:after="0" w:line="240" w:lineRule="auto"/>
              <w:jc w:val="right"/>
              <w:rPr>
                <w:rFonts w:cs="Arial"/>
                <w:color w:val="000000"/>
                <w:sz w:val="16"/>
                <w:szCs w:val="16"/>
              </w:rPr>
            </w:pPr>
            <w:r>
              <w:rPr>
                <w:rFonts w:cs="Arial"/>
                <w:sz w:val="16"/>
                <w:szCs w:val="16"/>
              </w:rPr>
              <w:t>2 349</w:t>
            </w:r>
          </w:p>
        </w:tc>
        <w:tc>
          <w:tcPr>
            <w:tcW w:w="709" w:type="dxa"/>
            <w:tcBorders>
              <w:top w:val="nil"/>
              <w:left w:val="nil"/>
              <w:bottom w:val="nil"/>
              <w:right w:val="nil"/>
            </w:tcBorders>
            <w:shd w:val="clear" w:color="auto" w:fill="auto"/>
            <w:vAlign w:val="center"/>
            <w:hideMark/>
          </w:tcPr>
          <w:p w14:paraId="58C49F68" w14:textId="0D60C6A5" w:rsidR="008259FD" w:rsidRPr="00D92E20" w:rsidRDefault="008259FD" w:rsidP="008259FD">
            <w:pPr>
              <w:spacing w:after="0" w:line="240" w:lineRule="auto"/>
              <w:jc w:val="right"/>
              <w:rPr>
                <w:rFonts w:cs="Arial"/>
                <w:color w:val="000000"/>
                <w:sz w:val="16"/>
                <w:szCs w:val="16"/>
              </w:rPr>
            </w:pPr>
            <w:r>
              <w:rPr>
                <w:rFonts w:cs="Arial"/>
                <w:sz w:val="16"/>
                <w:szCs w:val="16"/>
              </w:rPr>
              <w:t>1 455</w:t>
            </w:r>
          </w:p>
        </w:tc>
      </w:tr>
      <w:tr w:rsidR="008259FD" w:rsidRPr="00D92E20" w14:paraId="30696A73" w14:textId="77777777" w:rsidTr="0050059C">
        <w:trPr>
          <w:trHeight w:val="300"/>
        </w:trPr>
        <w:tc>
          <w:tcPr>
            <w:tcW w:w="1010" w:type="dxa"/>
            <w:tcBorders>
              <w:top w:val="nil"/>
              <w:left w:val="nil"/>
              <w:bottom w:val="nil"/>
              <w:right w:val="single" w:sz="4" w:space="0" w:color="auto"/>
            </w:tcBorders>
            <w:shd w:val="clear" w:color="auto" w:fill="auto"/>
            <w:vAlign w:val="center"/>
            <w:hideMark/>
          </w:tcPr>
          <w:p w14:paraId="2C8E0EB7" w14:textId="31C5384A" w:rsidR="008259FD" w:rsidRPr="00D92E20" w:rsidRDefault="008259FD" w:rsidP="008259FD">
            <w:pPr>
              <w:spacing w:after="0" w:line="240" w:lineRule="auto"/>
              <w:jc w:val="center"/>
              <w:rPr>
                <w:rFonts w:cs="Arial"/>
                <w:color w:val="000000"/>
                <w:sz w:val="16"/>
                <w:szCs w:val="16"/>
              </w:rPr>
            </w:pPr>
            <w:r>
              <w:rPr>
                <w:rFonts w:cs="Arial"/>
                <w:sz w:val="16"/>
                <w:szCs w:val="16"/>
              </w:rPr>
              <w:t>1. pol. 2017</w:t>
            </w:r>
          </w:p>
        </w:tc>
        <w:tc>
          <w:tcPr>
            <w:tcW w:w="711" w:type="dxa"/>
            <w:tcBorders>
              <w:top w:val="nil"/>
              <w:left w:val="nil"/>
              <w:bottom w:val="nil"/>
              <w:right w:val="nil"/>
            </w:tcBorders>
            <w:shd w:val="clear" w:color="auto" w:fill="auto"/>
            <w:vAlign w:val="center"/>
            <w:hideMark/>
          </w:tcPr>
          <w:p w14:paraId="60D7550D" w14:textId="7244E592" w:rsidR="008259FD" w:rsidRPr="00D92E20" w:rsidRDefault="008259FD" w:rsidP="008259FD">
            <w:pPr>
              <w:spacing w:after="0" w:line="240" w:lineRule="auto"/>
              <w:jc w:val="right"/>
              <w:rPr>
                <w:rFonts w:cs="Arial"/>
                <w:color w:val="000000"/>
                <w:sz w:val="16"/>
                <w:szCs w:val="16"/>
              </w:rPr>
            </w:pPr>
            <w:r>
              <w:rPr>
                <w:rFonts w:cs="Arial"/>
                <w:sz w:val="16"/>
                <w:szCs w:val="16"/>
              </w:rPr>
              <w:t>38 709</w:t>
            </w:r>
          </w:p>
        </w:tc>
        <w:tc>
          <w:tcPr>
            <w:tcW w:w="703" w:type="dxa"/>
            <w:tcBorders>
              <w:top w:val="nil"/>
              <w:left w:val="nil"/>
              <w:bottom w:val="nil"/>
              <w:right w:val="nil"/>
            </w:tcBorders>
            <w:shd w:val="clear" w:color="auto" w:fill="auto"/>
            <w:vAlign w:val="center"/>
            <w:hideMark/>
          </w:tcPr>
          <w:p w14:paraId="3FE6B401" w14:textId="14E61F8C" w:rsidR="008259FD" w:rsidRPr="00D92E20" w:rsidRDefault="008259FD" w:rsidP="008259FD">
            <w:pPr>
              <w:spacing w:after="0" w:line="240" w:lineRule="auto"/>
              <w:jc w:val="right"/>
              <w:rPr>
                <w:rFonts w:cs="Arial"/>
                <w:color w:val="000000"/>
                <w:sz w:val="16"/>
                <w:szCs w:val="16"/>
              </w:rPr>
            </w:pPr>
            <w:r>
              <w:rPr>
                <w:rFonts w:cs="Arial"/>
                <w:sz w:val="16"/>
                <w:szCs w:val="16"/>
              </w:rPr>
              <w:t>17 570</w:t>
            </w:r>
          </w:p>
        </w:tc>
        <w:tc>
          <w:tcPr>
            <w:tcW w:w="704" w:type="dxa"/>
            <w:tcBorders>
              <w:top w:val="nil"/>
              <w:left w:val="nil"/>
              <w:bottom w:val="nil"/>
              <w:right w:val="nil"/>
            </w:tcBorders>
            <w:shd w:val="clear" w:color="auto" w:fill="auto"/>
            <w:vAlign w:val="center"/>
            <w:hideMark/>
          </w:tcPr>
          <w:p w14:paraId="109473DE" w14:textId="6816BB3E" w:rsidR="008259FD" w:rsidRPr="00D92E20" w:rsidRDefault="008259FD" w:rsidP="008259FD">
            <w:pPr>
              <w:spacing w:after="0" w:line="240" w:lineRule="auto"/>
              <w:jc w:val="right"/>
              <w:rPr>
                <w:rFonts w:cs="Arial"/>
                <w:color w:val="000000"/>
                <w:sz w:val="16"/>
                <w:szCs w:val="16"/>
              </w:rPr>
            </w:pPr>
            <w:r>
              <w:rPr>
                <w:rFonts w:cs="Arial"/>
                <w:sz w:val="16"/>
                <w:szCs w:val="16"/>
              </w:rPr>
              <w:t>21 138</w:t>
            </w:r>
          </w:p>
        </w:tc>
        <w:tc>
          <w:tcPr>
            <w:tcW w:w="707" w:type="dxa"/>
            <w:tcBorders>
              <w:top w:val="nil"/>
              <w:left w:val="single" w:sz="4" w:space="0" w:color="auto"/>
              <w:bottom w:val="nil"/>
              <w:right w:val="nil"/>
            </w:tcBorders>
            <w:shd w:val="clear" w:color="auto" w:fill="auto"/>
            <w:vAlign w:val="center"/>
            <w:hideMark/>
          </w:tcPr>
          <w:p w14:paraId="2A2DB589" w14:textId="4764CEE8" w:rsidR="008259FD" w:rsidRPr="00D92E20" w:rsidRDefault="008259FD" w:rsidP="008259FD">
            <w:pPr>
              <w:spacing w:after="0" w:line="240" w:lineRule="auto"/>
              <w:jc w:val="right"/>
              <w:rPr>
                <w:rFonts w:cs="Arial"/>
                <w:color w:val="000000"/>
                <w:sz w:val="16"/>
                <w:szCs w:val="16"/>
              </w:rPr>
            </w:pPr>
            <w:r>
              <w:rPr>
                <w:rFonts w:cs="Arial"/>
                <w:sz w:val="16"/>
                <w:szCs w:val="16"/>
              </w:rPr>
              <w:t>33 259</w:t>
            </w:r>
          </w:p>
        </w:tc>
        <w:tc>
          <w:tcPr>
            <w:tcW w:w="704" w:type="dxa"/>
            <w:tcBorders>
              <w:top w:val="nil"/>
              <w:left w:val="nil"/>
              <w:bottom w:val="nil"/>
              <w:right w:val="nil"/>
            </w:tcBorders>
            <w:shd w:val="clear" w:color="auto" w:fill="auto"/>
            <w:vAlign w:val="center"/>
            <w:hideMark/>
          </w:tcPr>
          <w:p w14:paraId="369A10DA" w14:textId="3A1EAEA6" w:rsidR="008259FD" w:rsidRPr="00D92E20" w:rsidRDefault="008259FD" w:rsidP="008259FD">
            <w:pPr>
              <w:spacing w:after="0" w:line="240" w:lineRule="auto"/>
              <w:jc w:val="right"/>
              <w:rPr>
                <w:rFonts w:cs="Arial"/>
                <w:color w:val="000000"/>
                <w:sz w:val="16"/>
                <w:szCs w:val="16"/>
              </w:rPr>
            </w:pPr>
            <w:r>
              <w:rPr>
                <w:rFonts w:cs="Arial"/>
                <w:sz w:val="16"/>
                <w:szCs w:val="16"/>
              </w:rPr>
              <w:t>14 211</w:t>
            </w:r>
          </w:p>
        </w:tc>
        <w:tc>
          <w:tcPr>
            <w:tcW w:w="704" w:type="dxa"/>
            <w:tcBorders>
              <w:top w:val="nil"/>
              <w:left w:val="nil"/>
              <w:bottom w:val="nil"/>
              <w:right w:val="single" w:sz="4" w:space="0" w:color="auto"/>
            </w:tcBorders>
            <w:shd w:val="clear" w:color="auto" w:fill="auto"/>
            <w:vAlign w:val="center"/>
            <w:hideMark/>
          </w:tcPr>
          <w:p w14:paraId="4F854AFE" w14:textId="2AB086EF" w:rsidR="008259FD" w:rsidRPr="00D92E20" w:rsidRDefault="008259FD" w:rsidP="008259FD">
            <w:pPr>
              <w:spacing w:after="0" w:line="240" w:lineRule="auto"/>
              <w:jc w:val="right"/>
              <w:rPr>
                <w:rFonts w:cs="Arial"/>
                <w:color w:val="000000"/>
                <w:sz w:val="16"/>
                <w:szCs w:val="16"/>
              </w:rPr>
            </w:pPr>
            <w:r>
              <w:rPr>
                <w:rFonts w:cs="Arial"/>
                <w:sz w:val="16"/>
                <w:szCs w:val="16"/>
              </w:rPr>
              <w:t>19 048</w:t>
            </w:r>
          </w:p>
        </w:tc>
        <w:tc>
          <w:tcPr>
            <w:tcW w:w="754" w:type="dxa"/>
            <w:tcBorders>
              <w:top w:val="nil"/>
              <w:left w:val="nil"/>
              <w:bottom w:val="nil"/>
              <w:right w:val="nil"/>
            </w:tcBorders>
            <w:shd w:val="clear" w:color="auto" w:fill="auto"/>
            <w:vAlign w:val="center"/>
            <w:hideMark/>
          </w:tcPr>
          <w:p w14:paraId="479ADD45" w14:textId="04E25717" w:rsidR="008259FD" w:rsidRPr="00D92E20" w:rsidRDefault="008259FD" w:rsidP="008259FD">
            <w:pPr>
              <w:spacing w:after="0" w:line="240" w:lineRule="auto"/>
              <w:jc w:val="right"/>
              <w:rPr>
                <w:rFonts w:cs="Arial"/>
                <w:color w:val="000000"/>
                <w:sz w:val="16"/>
                <w:szCs w:val="16"/>
              </w:rPr>
            </w:pPr>
            <w:r>
              <w:rPr>
                <w:rFonts w:cs="Arial"/>
                <w:sz w:val="16"/>
                <w:szCs w:val="16"/>
              </w:rPr>
              <w:t>1 343</w:t>
            </w:r>
          </w:p>
        </w:tc>
        <w:tc>
          <w:tcPr>
            <w:tcW w:w="709" w:type="dxa"/>
            <w:tcBorders>
              <w:top w:val="nil"/>
              <w:left w:val="nil"/>
              <w:bottom w:val="nil"/>
              <w:right w:val="nil"/>
            </w:tcBorders>
            <w:shd w:val="clear" w:color="auto" w:fill="auto"/>
            <w:vAlign w:val="center"/>
            <w:hideMark/>
          </w:tcPr>
          <w:p w14:paraId="1B278898" w14:textId="304B281A" w:rsidR="008259FD" w:rsidRPr="00D92E20" w:rsidRDefault="008259FD" w:rsidP="008259FD">
            <w:pPr>
              <w:spacing w:after="0" w:line="240" w:lineRule="auto"/>
              <w:jc w:val="right"/>
              <w:rPr>
                <w:rFonts w:cs="Arial"/>
                <w:color w:val="000000"/>
                <w:sz w:val="16"/>
                <w:szCs w:val="16"/>
              </w:rPr>
            </w:pPr>
            <w:r>
              <w:rPr>
                <w:rFonts w:cs="Arial"/>
                <w:sz w:val="16"/>
                <w:szCs w:val="16"/>
              </w:rPr>
              <w:t>914</w:t>
            </w:r>
          </w:p>
        </w:tc>
        <w:tc>
          <w:tcPr>
            <w:tcW w:w="709" w:type="dxa"/>
            <w:tcBorders>
              <w:top w:val="nil"/>
              <w:left w:val="nil"/>
              <w:bottom w:val="nil"/>
              <w:right w:val="single" w:sz="4" w:space="0" w:color="auto"/>
            </w:tcBorders>
            <w:shd w:val="clear" w:color="auto" w:fill="auto"/>
            <w:vAlign w:val="center"/>
            <w:hideMark/>
          </w:tcPr>
          <w:p w14:paraId="56AFF19B" w14:textId="29B0289C" w:rsidR="008259FD" w:rsidRPr="00D92E20" w:rsidRDefault="008259FD" w:rsidP="008259FD">
            <w:pPr>
              <w:spacing w:after="0" w:line="240" w:lineRule="auto"/>
              <w:jc w:val="right"/>
              <w:rPr>
                <w:rFonts w:cs="Arial"/>
                <w:color w:val="000000"/>
                <w:sz w:val="16"/>
                <w:szCs w:val="16"/>
              </w:rPr>
            </w:pPr>
            <w:r>
              <w:rPr>
                <w:rFonts w:cs="Arial"/>
                <w:sz w:val="16"/>
                <w:szCs w:val="16"/>
              </w:rPr>
              <w:t>428</w:t>
            </w:r>
          </w:p>
        </w:tc>
        <w:tc>
          <w:tcPr>
            <w:tcW w:w="709" w:type="dxa"/>
            <w:tcBorders>
              <w:top w:val="nil"/>
              <w:left w:val="nil"/>
              <w:bottom w:val="nil"/>
              <w:right w:val="nil"/>
            </w:tcBorders>
            <w:shd w:val="clear" w:color="auto" w:fill="auto"/>
            <w:vAlign w:val="center"/>
            <w:hideMark/>
          </w:tcPr>
          <w:p w14:paraId="36D49E9A" w14:textId="775E3D09" w:rsidR="008259FD" w:rsidRPr="00D92E20" w:rsidRDefault="008259FD" w:rsidP="008259FD">
            <w:pPr>
              <w:spacing w:after="0" w:line="240" w:lineRule="auto"/>
              <w:jc w:val="right"/>
              <w:rPr>
                <w:rFonts w:cs="Arial"/>
                <w:color w:val="000000"/>
                <w:sz w:val="16"/>
                <w:szCs w:val="16"/>
              </w:rPr>
            </w:pPr>
            <w:r>
              <w:rPr>
                <w:rFonts w:cs="Arial"/>
                <w:sz w:val="16"/>
                <w:szCs w:val="16"/>
              </w:rPr>
              <w:t>4 107</w:t>
            </w:r>
          </w:p>
        </w:tc>
        <w:tc>
          <w:tcPr>
            <w:tcW w:w="709" w:type="dxa"/>
            <w:tcBorders>
              <w:top w:val="nil"/>
              <w:left w:val="nil"/>
              <w:bottom w:val="nil"/>
              <w:right w:val="nil"/>
            </w:tcBorders>
            <w:shd w:val="clear" w:color="auto" w:fill="auto"/>
            <w:vAlign w:val="center"/>
            <w:hideMark/>
          </w:tcPr>
          <w:p w14:paraId="15D544E0" w14:textId="601C277F" w:rsidR="008259FD" w:rsidRPr="00D92E20" w:rsidRDefault="008259FD" w:rsidP="008259FD">
            <w:pPr>
              <w:spacing w:after="0" w:line="240" w:lineRule="auto"/>
              <w:jc w:val="right"/>
              <w:rPr>
                <w:rFonts w:cs="Arial"/>
                <w:color w:val="000000"/>
                <w:sz w:val="16"/>
                <w:szCs w:val="16"/>
              </w:rPr>
            </w:pPr>
            <w:r>
              <w:rPr>
                <w:rFonts w:cs="Arial"/>
                <w:sz w:val="16"/>
                <w:szCs w:val="16"/>
              </w:rPr>
              <w:t>2 445</w:t>
            </w:r>
          </w:p>
        </w:tc>
        <w:tc>
          <w:tcPr>
            <w:tcW w:w="709" w:type="dxa"/>
            <w:tcBorders>
              <w:top w:val="nil"/>
              <w:left w:val="nil"/>
              <w:bottom w:val="nil"/>
              <w:right w:val="nil"/>
            </w:tcBorders>
            <w:shd w:val="clear" w:color="auto" w:fill="auto"/>
            <w:vAlign w:val="center"/>
            <w:hideMark/>
          </w:tcPr>
          <w:p w14:paraId="31C0116E" w14:textId="0929A376" w:rsidR="008259FD" w:rsidRPr="00D92E20" w:rsidRDefault="008259FD" w:rsidP="008259FD">
            <w:pPr>
              <w:spacing w:after="0" w:line="240" w:lineRule="auto"/>
              <w:jc w:val="right"/>
              <w:rPr>
                <w:rFonts w:cs="Arial"/>
                <w:color w:val="000000"/>
                <w:sz w:val="16"/>
                <w:szCs w:val="16"/>
              </w:rPr>
            </w:pPr>
            <w:r>
              <w:rPr>
                <w:rFonts w:cs="Arial"/>
                <w:sz w:val="16"/>
                <w:szCs w:val="16"/>
              </w:rPr>
              <w:t>1 662</w:t>
            </w:r>
          </w:p>
        </w:tc>
      </w:tr>
      <w:tr w:rsidR="008259FD" w:rsidRPr="00D92E20" w14:paraId="42551B74" w14:textId="77777777" w:rsidTr="0050059C">
        <w:trPr>
          <w:trHeight w:val="300"/>
        </w:trPr>
        <w:tc>
          <w:tcPr>
            <w:tcW w:w="1010" w:type="dxa"/>
            <w:tcBorders>
              <w:top w:val="nil"/>
              <w:left w:val="nil"/>
              <w:bottom w:val="nil"/>
              <w:right w:val="single" w:sz="4" w:space="0" w:color="auto"/>
            </w:tcBorders>
            <w:shd w:val="clear" w:color="auto" w:fill="auto"/>
            <w:vAlign w:val="center"/>
            <w:hideMark/>
          </w:tcPr>
          <w:p w14:paraId="57258E2D" w14:textId="04754E1C" w:rsidR="008259FD" w:rsidRPr="00D92E20" w:rsidRDefault="008259FD" w:rsidP="008259FD">
            <w:pPr>
              <w:spacing w:after="0" w:line="240" w:lineRule="auto"/>
              <w:jc w:val="center"/>
              <w:rPr>
                <w:rFonts w:cs="Arial"/>
                <w:color w:val="000000"/>
                <w:sz w:val="16"/>
                <w:szCs w:val="16"/>
              </w:rPr>
            </w:pPr>
            <w:r>
              <w:rPr>
                <w:rFonts w:cs="Arial"/>
                <w:sz w:val="16"/>
                <w:szCs w:val="16"/>
              </w:rPr>
              <w:t>1. pol. 2018</w:t>
            </w:r>
          </w:p>
        </w:tc>
        <w:tc>
          <w:tcPr>
            <w:tcW w:w="711" w:type="dxa"/>
            <w:tcBorders>
              <w:top w:val="nil"/>
              <w:left w:val="nil"/>
              <w:bottom w:val="nil"/>
              <w:right w:val="nil"/>
            </w:tcBorders>
            <w:shd w:val="clear" w:color="auto" w:fill="auto"/>
            <w:vAlign w:val="center"/>
            <w:hideMark/>
          </w:tcPr>
          <w:p w14:paraId="56CC2A5D" w14:textId="3E61A7B4" w:rsidR="008259FD" w:rsidRPr="00D92E20" w:rsidRDefault="008259FD" w:rsidP="008259FD">
            <w:pPr>
              <w:spacing w:after="0" w:line="240" w:lineRule="auto"/>
              <w:jc w:val="right"/>
              <w:rPr>
                <w:rFonts w:cs="Arial"/>
                <w:color w:val="000000"/>
                <w:sz w:val="16"/>
                <w:szCs w:val="16"/>
              </w:rPr>
            </w:pPr>
            <w:r>
              <w:rPr>
                <w:rFonts w:cs="Arial"/>
                <w:sz w:val="16"/>
                <w:szCs w:val="16"/>
              </w:rPr>
              <w:t>40 624</w:t>
            </w:r>
          </w:p>
        </w:tc>
        <w:tc>
          <w:tcPr>
            <w:tcW w:w="703" w:type="dxa"/>
            <w:tcBorders>
              <w:top w:val="nil"/>
              <w:left w:val="nil"/>
              <w:bottom w:val="nil"/>
              <w:right w:val="nil"/>
            </w:tcBorders>
            <w:shd w:val="clear" w:color="auto" w:fill="auto"/>
            <w:vAlign w:val="center"/>
            <w:hideMark/>
          </w:tcPr>
          <w:p w14:paraId="71821FB4" w14:textId="0B63CB4D" w:rsidR="008259FD" w:rsidRPr="00D92E20" w:rsidRDefault="008259FD" w:rsidP="008259FD">
            <w:pPr>
              <w:spacing w:after="0" w:line="240" w:lineRule="auto"/>
              <w:jc w:val="right"/>
              <w:rPr>
                <w:rFonts w:cs="Arial"/>
                <w:color w:val="000000"/>
                <w:sz w:val="16"/>
                <w:szCs w:val="16"/>
              </w:rPr>
            </w:pPr>
            <w:r>
              <w:rPr>
                <w:rFonts w:cs="Arial"/>
                <w:sz w:val="16"/>
                <w:szCs w:val="16"/>
              </w:rPr>
              <w:t>18 437</w:t>
            </w:r>
          </w:p>
        </w:tc>
        <w:tc>
          <w:tcPr>
            <w:tcW w:w="704" w:type="dxa"/>
            <w:tcBorders>
              <w:top w:val="nil"/>
              <w:left w:val="nil"/>
              <w:bottom w:val="nil"/>
              <w:right w:val="nil"/>
            </w:tcBorders>
            <w:shd w:val="clear" w:color="auto" w:fill="auto"/>
            <w:vAlign w:val="center"/>
            <w:hideMark/>
          </w:tcPr>
          <w:p w14:paraId="28072824" w14:textId="21897E8D" w:rsidR="008259FD" w:rsidRPr="00D92E20" w:rsidRDefault="008259FD" w:rsidP="008259FD">
            <w:pPr>
              <w:spacing w:after="0" w:line="240" w:lineRule="auto"/>
              <w:jc w:val="right"/>
              <w:rPr>
                <w:rFonts w:cs="Arial"/>
                <w:color w:val="000000"/>
                <w:sz w:val="16"/>
                <w:szCs w:val="16"/>
              </w:rPr>
            </w:pPr>
            <w:r>
              <w:rPr>
                <w:rFonts w:cs="Arial"/>
                <w:sz w:val="16"/>
                <w:szCs w:val="16"/>
              </w:rPr>
              <w:t>22 187</w:t>
            </w:r>
          </w:p>
        </w:tc>
        <w:tc>
          <w:tcPr>
            <w:tcW w:w="707" w:type="dxa"/>
            <w:tcBorders>
              <w:top w:val="nil"/>
              <w:left w:val="single" w:sz="4" w:space="0" w:color="auto"/>
              <w:bottom w:val="nil"/>
              <w:right w:val="nil"/>
            </w:tcBorders>
            <w:shd w:val="clear" w:color="auto" w:fill="auto"/>
            <w:vAlign w:val="center"/>
            <w:hideMark/>
          </w:tcPr>
          <w:p w14:paraId="359BA859" w14:textId="58982C05" w:rsidR="008259FD" w:rsidRPr="00D92E20" w:rsidRDefault="008259FD" w:rsidP="008259FD">
            <w:pPr>
              <w:spacing w:after="0" w:line="240" w:lineRule="auto"/>
              <w:jc w:val="right"/>
              <w:rPr>
                <w:rFonts w:cs="Arial"/>
                <w:color w:val="000000"/>
                <w:sz w:val="16"/>
                <w:szCs w:val="16"/>
              </w:rPr>
            </w:pPr>
            <w:r>
              <w:rPr>
                <w:rFonts w:cs="Arial"/>
                <w:sz w:val="16"/>
                <w:szCs w:val="16"/>
              </w:rPr>
              <w:t>35 167</w:t>
            </w:r>
          </w:p>
        </w:tc>
        <w:tc>
          <w:tcPr>
            <w:tcW w:w="704" w:type="dxa"/>
            <w:tcBorders>
              <w:top w:val="nil"/>
              <w:left w:val="nil"/>
              <w:bottom w:val="nil"/>
              <w:right w:val="nil"/>
            </w:tcBorders>
            <w:shd w:val="clear" w:color="auto" w:fill="auto"/>
            <w:vAlign w:val="center"/>
            <w:hideMark/>
          </w:tcPr>
          <w:p w14:paraId="2F962BCF" w14:textId="32DC7C03" w:rsidR="008259FD" w:rsidRPr="00D92E20" w:rsidRDefault="008259FD" w:rsidP="008259FD">
            <w:pPr>
              <w:spacing w:after="0" w:line="240" w:lineRule="auto"/>
              <w:jc w:val="right"/>
              <w:rPr>
                <w:rFonts w:cs="Arial"/>
                <w:color w:val="000000"/>
                <w:sz w:val="16"/>
                <w:szCs w:val="16"/>
              </w:rPr>
            </w:pPr>
            <w:r>
              <w:rPr>
                <w:rFonts w:cs="Arial"/>
                <w:sz w:val="16"/>
                <w:szCs w:val="16"/>
              </w:rPr>
              <w:t>15 078</w:t>
            </w:r>
          </w:p>
        </w:tc>
        <w:tc>
          <w:tcPr>
            <w:tcW w:w="704" w:type="dxa"/>
            <w:tcBorders>
              <w:top w:val="nil"/>
              <w:left w:val="nil"/>
              <w:bottom w:val="nil"/>
              <w:right w:val="single" w:sz="4" w:space="0" w:color="auto"/>
            </w:tcBorders>
            <w:shd w:val="clear" w:color="auto" w:fill="auto"/>
            <w:vAlign w:val="center"/>
            <w:hideMark/>
          </w:tcPr>
          <w:p w14:paraId="2F1B76FF" w14:textId="1F2ADFD9" w:rsidR="008259FD" w:rsidRPr="00D92E20" w:rsidRDefault="008259FD" w:rsidP="008259FD">
            <w:pPr>
              <w:spacing w:after="0" w:line="240" w:lineRule="auto"/>
              <w:jc w:val="right"/>
              <w:rPr>
                <w:rFonts w:cs="Arial"/>
                <w:color w:val="000000"/>
                <w:sz w:val="16"/>
                <w:szCs w:val="16"/>
              </w:rPr>
            </w:pPr>
            <w:r>
              <w:rPr>
                <w:rFonts w:cs="Arial"/>
                <w:sz w:val="16"/>
                <w:szCs w:val="16"/>
              </w:rPr>
              <w:t>20 089</w:t>
            </w:r>
          </w:p>
        </w:tc>
        <w:tc>
          <w:tcPr>
            <w:tcW w:w="754" w:type="dxa"/>
            <w:tcBorders>
              <w:top w:val="nil"/>
              <w:left w:val="nil"/>
              <w:bottom w:val="nil"/>
              <w:right w:val="nil"/>
            </w:tcBorders>
            <w:shd w:val="clear" w:color="auto" w:fill="auto"/>
            <w:vAlign w:val="center"/>
            <w:hideMark/>
          </w:tcPr>
          <w:p w14:paraId="4BB0E376" w14:textId="32D703B7" w:rsidR="008259FD" w:rsidRPr="00D92E20" w:rsidRDefault="008259FD" w:rsidP="008259FD">
            <w:pPr>
              <w:spacing w:after="0" w:line="240" w:lineRule="auto"/>
              <w:jc w:val="right"/>
              <w:rPr>
                <w:rFonts w:cs="Arial"/>
                <w:color w:val="000000"/>
                <w:sz w:val="16"/>
                <w:szCs w:val="16"/>
              </w:rPr>
            </w:pPr>
            <w:r>
              <w:rPr>
                <w:rFonts w:cs="Arial"/>
                <w:sz w:val="16"/>
                <w:szCs w:val="16"/>
              </w:rPr>
              <w:t>1 312</w:t>
            </w:r>
          </w:p>
        </w:tc>
        <w:tc>
          <w:tcPr>
            <w:tcW w:w="709" w:type="dxa"/>
            <w:tcBorders>
              <w:top w:val="nil"/>
              <w:left w:val="nil"/>
              <w:bottom w:val="nil"/>
              <w:right w:val="nil"/>
            </w:tcBorders>
            <w:shd w:val="clear" w:color="auto" w:fill="auto"/>
            <w:vAlign w:val="center"/>
            <w:hideMark/>
          </w:tcPr>
          <w:p w14:paraId="5C130300" w14:textId="5632BAF6" w:rsidR="008259FD" w:rsidRPr="00D92E20" w:rsidRDefault="008259FD" w:rsidP="008259FD">
            <w:pPr>
              <w:spacing w:after="0" w:line="240" w:lineRule="auto"/>
              <w:jc w:val="right"/>
              <w:rPr>
                <w:rFonts w:cs="Arial"/>
                <w:color w:val="000000"/>
                <w:sz w:val="16"/>
                <w:szCs w:val="16"/>
              </w:rPr>
            </w:pPr>
            <w:r>
              <w:rPr>
                <w:rFonts w:cs="Arial"/>
                <w:sz w:val="16"/>
                <w:szCs w:val="16"/>
              </w:rPr>
              <w:t>882</w:t>
            </w:r>
          </w:p>
        </w:tc>
        <w:tc>
          <w:tcPr>
            <w:tcW w:w="709" w:type="dxa"/>
            <w:tcBorders>
              <w:top w:val="nil"/>
              <w:left w:val="nil"/>
              <w:bottom w:val="nil"/>
              <w:right w:val="single" w:sz="4" w:space="0" w:color="auto"/>
            </w:tcBorders>
            <w:shd w:val="clear" w:color="auto" w:fill="auto"/>
            <w:vAlign w:val="center"/>
            <w:hideMark/>
          </w:tcPr>
          <w:p w14:paraId="60670EBC" w14:textId="485C9AEC" w:rsidR="008259FD" w:rsidRPr="00D92E20" w:rsidRDefault="008259FD" w:rsidP="008259FD">
            <w:pPr>
              <w:spacing w:after="0" w:line="240" w:lineRule="auto"/>
              <w:jc w:val="right"/>
              <w:rPr>
                <w:rFonts w:cs="Arial"/>
                <w:color w:val="000000"/>
                <w:sz w:val="16"/>
                <w:szCs w:val="16"/>
              </w:rPr>
            </w:pPr>
            <w:r>
              <w:rPr>
                <w:rFonts w:cs="Arial"/>
                <w:sz w:val="16"/>
                <w:szCs w:val="16"/>
              </w:rPr>
              <w:t>430</w:t>
            </w:r>
          </w:p>
        </w:tc>
        <w:tc>
          <w:tcPr>
            <w:tcW w:w="709" w:type="dxa"/>
            <w:tcBorders>
              <w:top w:val="nil"/>
              <w:left w:val="nil"/>
              <w:bottom w:val="nil"/>
              <w:right w:val="nil"/>
            </w:tcBorders>
            <w:shd w:val="clear" w:color="auto" w:fill="auto"/>
            <w:vAlign w:val="center"/>
            <w:hideMark/>
          </w:tcPr>
          <w:p w14:paraId="6CAD262D" w14:textId="35F8D7F1" w:rsidR="008259FD" w:rsidRPr="00D92E20" w:rsidRDefault="008259FD" w:rsidP="008259FD">
            <w:pPr>
              <w:spacing w:after="0" w:line="240" w:lineRule="auto"/>
              <w:jc w:val="right"/>
              <w:rPr>
                <w:rFonts w:cs="Arial"/>
                <w:color w:val="000000"/>
                <w:sz w:val="16"/>
                <w:szCs w:val="16"/>
              </w:rPr>
            </w:pPr>
            <w:r>
              <w:rPr>
                <w:rFonts w:cs="Arial"/>
                <w:sz w:val="16"/>
                <w:szCs w:val="16"/>
              </w:rPr>
              <w:t>4 144</w:t>
            </w:r>
          </w:p>
        </w:tc>
        <w:tc>
          <w:tcPr>
            <w:tcW w:w="709" w:type="dxa"/>
            <w:tcBorders>
              <w:top w:val="nil"/>
              <w:left w:val="nil"/>
              <w:bottom w:val="nil"/>
              <w:right w:val="nil"/>
            </w:tcBorders>
            <w:shd w:val="clear" w:color="auto" w:fill="auto"/>
            <w:vAlign w:val="center"/>
            <w:hideMark/>
          </w:tcPr>
          <w:p w14:paraId="499E6B0F" w14:textId="3DA33AEB" w:rsidR="008259FD" w:rsidRPr="00D92E20" w:rsidRDefault="008259FD" w:rsidP="008259FD">
            <w:pPr>
              <w:spacing w:after="0" w:line="240" w:lineRule="auto"/>
              <w:jc w:val="right"/>
              <w:rPr>
                <w:rFonts w:cs="Arial"/>
                <w:color w:val="000000"/>
                <w:sz w:val="16"/>
                <w:szCs w:val="16"/>
              </w:rPr>
            </w:pPr>
            <w:r>
              <w:rPr>
                <w:rFonts w:cs="Arial"/>
                <w:sz w:val="16"/>
                <w:szCs w:val="16"/>
              </w:rPr>
              <w:t>2 477</w:t>
            </w:r>
          </w:p>
        </w:tc>
        <w:tc>
          <w:tcPr>
            <w:tcW w:w="709" w:type="dxa"/>
            <w:tcBorders>
              <w:top w:val="nil"/>
              <w:left w:val="nil"/>
              <w:bottom w:val="nil"/>
              <w:right w:val="nil"/>
            </w:tcBorders>
            <w:shd w:val="clear" w:color="auto" w:fill="auto"/>
            <w:vAlign w:val="center"/>
            <w:hideMark/>
          </w:tcPr>
          <w:p w14:paraId="5D7DE8B4" w14:textId="4B0020CE" w:rsidR="008259FD" w:rsidRPr="00D92E20" w:rsidRDefault="008259FD" w:rsidP="008259FD">
            <w:pPr>
              <w:spacing w:after="0" w:line="240" w:lineRule="auto"/>
              <w:jc w:val="right"/>
              <w:rPr>
                <w:rFonts w:cs="Arial"/>
                <w:color w:val="000000"/>
                <w:sz w:val="16"/>
                <w:szCs w:val="16"/>
              </w:rPr>
            </w:pPr>
            <w:r>
              <w:rPr>
                <w:rFonts w:cs="Arial"/>
                <w:sz w:val="16"/>
                <w:szCs w:val="16"/>
              </w:rPr>
              <w:t>1 667</w:t>
            </w:r>
          </w:p>
        </w:tc>
      </w:tr>
      <w:tr w:rsidR="008259FD" w:rsidRPr="00D92E20" w14:paraId="6914002C" w14:textId="77777777" w:rsidTr="0050059C">
        <w:trPr>
          <w:trHeight w:val="300"/>
        </w:trPr>
        <w:tc>
          <w:tcPr>
            <w:tcW w:w="1010" w:type="dxa"/>
            <w:tcBorders>
              <w:top w:val="nil"/>
              <w:left w:val="nil"/>
              <w:bottom w:val="nil"/>
              <w:right w:val="single" w:sz="4" w:space="0" w:color="auto"/>
            </w:tcBorders>
            <w:shd w:val="clear" w:color="auto" w:fill="auto"/>
            <w:vAlign w:val="center"/>
            <w:hideMark/>
          </w:tcPr>
          <w:p w14:paraId="560B17B7" w14:textId="5478DAD8" w:rsidR="008259FD" w:rsidRPr="00D92E20" w:rsidRDefault="008259FD" w:rsidP="008259FD">
            <w:pPr>
              <w:spacing w:after="0" w:line="240" w:lineRule="auto"/>
              <w:jc w:val="center"/>
              <w:rPr>
                <w:rFonts w:cs="Arial"/>
                <w:color w:val="000000"/>
                <w:sz w:val="16"/>
                <w:szCs w:val="16"/>
              </w:rPr>
            </w:pPr>
            <w:r>
              <w:rPr>
                <w:rFonts w:cs="Arial"/>
                <w:sz w:val="16"/>
                <w:szCs w:val="16"/>
              </w:rPr>
              <w:t>1. pol. 2019</w:t>
            </w:r>
          </w:p>
        </w:tc>
        <w:tc>
          <w:tcPr>
            <w:tcW w:w="711" w:type="dxa"/>
            <w:tcBorders>
              <w:top w:val="nil"/>
              <w:left w:val="nil"/>
              <w:bottom w:val="nil"/>
              <w:right w:val="nil"/>
            </w:tcBorders>
            <w:shd w:val="clear" w:color="auto" w:fill="auto"/>
            <w:vAlign w:val="center"/>
            <w:hideMark/>
          </w:tcPr>
          <w:p w14:paraId="0299BAE0" w14:textId="62AB2A5F" w:rsidR="008259FD" w:rsidRPr="00D92E20" w:rsidRDefault="008259FD" w:rsidP="008259FD">
            <w:pPr>
              <w:spacing w:after="0" w:line="240" w:lineRule="auto"/>
              <w:jc w:val="right"/>
              <w:rPr>
                <w:rFonts w:cs="Arial"/>
                <w:color w:val="000000"/>
                <w:sz w:val="16"/>
                <w:szCs w:val="16"/>
              </w:rPr>
            </w:pPr>
            <w:r>
              <w:rPr>
                <w:rFonts w:cs="Arial"/>
                <w:sz w:val="16"/>
                <w:szCs w:val="16"/>
              </w:rPr>
              <w:t>41 578</w:t>
            </w:r>
          </w:p>
        </w:tc>
        <w:tc>
          <w:tcPr>
            <w:tcW w:w="703" w:type="dxa"/>
            <w:tcBorders>
              <w:top w:val="nil"/>
              <w:left w:val="nil"/>
              <w:bottom w:val="nil"/>
              <w:right w:val="nil"/>
            </w:tcBorders>
            <w:shd w:val="clear" w:color="auto" w:fill="auto"/>
            <w:vAlign w:val="center"/>
            <w:hideMark/>
          </w:tcPr>
          <w:p w14:paraId="5EA2CC5C" w14:textId="258A0725" w:rsidR="008259FD" w:rsidRPr="00D92E20" w:rsidRDefault="008259FD" w:rsidP="008259FD">
            <w:pPr>
              <w:spacing w:after="0" w:line="240" w:lineRule="auto"/>
              <w:jc w:val="right"/>
              <w:rPr>
                <w:rFonts w:cs="Arial"/>
                <w:color w:val="000000"/>
                <w:sz w:val="16"/>
                <w:szCs w:val="16"/>
              </w:rPr>
            </w:pPr>
            <w:r>
              <w:rPr>
                <w:rFonts w:cs="Arial"/>
                <w:sz w:val="16"/>
                <w:szCs w:val="16"/>
              </w:rPr>
              <w:t>18 828</w:t>
            </w:r>
          </w:p>
        </w:tc>
        <w:tc>
          <w:tcPr>
            <w:tcW w:w="704" w:type="dxa"/>
            <w:tcBorders>
              <w:top w:val="nil"/>
              <w:left w:val="nil"/>
              <w:bottom w:val="nil"/>
              <w:right w:val="nil"/>
            </w:tcBorders>
            <w:shd w:val="clear" w:color="auto" w:fill="auto"/>
            <w:vAlign w:val="center"/>
            <w:hideMark/>
          </w:tcPr>
          <w:p w14:paraId="2686CCFA" w14:textId="43326424" w:rsidR="008259FD" w:rsidRPr="00D92E20" w:rsidRDefault="008259FD" w:rsidP="008259FD">
            <w:pPr>
              <w:spacing w:after="0" w:line="240" w:lineRule="auto"/>
              <w:jc w:val="right"/>
              <w:rPr>
                <w:rFonts w:cs="Arial"/>
                <w:color w:val="000000"/>
                <w:sz w:val="16"/>
                <w:szCs w:val="16"/>
              </w:rPr>
            </w:pPr>
            <w:r>
              <w:rPr>
                <w:rFonts w:cs="Arial"/>
                <w:sz w:val="16"/>
                <w:szCs w:val="16"/>
              </w:rPr>
              <w:t>22 750</w:t>
            </w:r>
          </w:p>
        </w:tc>
        <w:tc>
          <w:tcPr>
            <w:tcW w:w="707" w:type="dxa"/>
            <w:tcBorders>
              <w:top w:val="nil"/>
              <w:left w:val="single" w:sz="4" w:space="0" w:color="auto"/>
              <w:bottom w:val="nil"/>
              <w:right w:val="nil"/>
            </w:tcBorders>
            <w:shd w:val="clear" w:color="auto" w:fill="auto"/>
            <w:vAlign w:val="center"/>
            <w:hideMark/>
          </w:tcPr>
          <w:p w14:paraId="1C725E5A" w14:textId="397746E3" w:rsidR="008259FD" w:rsidRPr="00D92E20" w:rsidRDefault="008259FD" w:rsidP="008259FD">
            <w:pPr>
              <w:spacing w:after="0" w:line="240" w:lineRule="auto"/>
              <w:jc w:val="right"/>
              <w:rPr>
                <w:rFonts w:cs="Arial"/>
                <w:color w:val="000000"/>
                <w:sz w:val="16"/>
                <w:szCs w:val="16"/>
              </w:rPr>
            </w:pPr>
            <w:r>
              <w:rPr>
                <w:rFonts w:cs="Arial"/>
                <w:sz w:val="16"/>
                <w:szCs w:val="16"/>
              </w:rPr>
              <w:t>35 860</w:t>
            </w:r>
          </w:p>
        </w:tc>
        <w:tc>
          <w:tcPr>
            <w:tcW w:w="704" w:type="dxa"/>
            <w:tcBorders>
              <w:top w:val="nil"/>
              <w:left w:val="nil"/>
              <w:bottom w:val="nil"/>
              <w:right w:val="nil"/>
            </w:tcBorders>
            <w:shd w:val="clear" w:color="auto" w:fill="auto"/>
            <w:vAlign w:val="center"/>
            <w:hideMark/>
          </w:tcPr>
          <w:p w14:paraId="6A9A59C4" w14:textId="56C62540" w:rsidR="008259FD" w:rsidRPr="00D92E20" w:rsidRDefault="008259FD" w:rsidP="008259FD">
            <w:pPr>
              <w:spacing w:after="0" w:line="240" w:lineRule="auto"/>
              <w:jc w:val="right"/>
              <w:rPr>
                <w:rFonts w:cs="Arial"/>
                <w:color w:val="000000"/>
                <w:sz w:val="16"/>
                <w:szCs w:val="16"/>
              </w:rPr>
            </w:pPr>
            <w:r>
              <w:rPr>
                <w:rFonts w:cs="Arial"/>
                <w:sz w:val="16"/>
                <w:szCs w:val="16"/>
              </w:rPr>
              <w:t>15 325</w:t>
            </w:r>
          </w:p>
        </w:tc>
        <w:tc>
          <w:tcPr>
            <w:tcW w:w="704" w:type="dxa"/>
            <w:tcBorders>
              <w:top w:val="nil"/>
              <w:left w:val="nil"/>
              <w:bottom w:val="nil"/>
              <w:right w:val="single" w:sz="4" w:space="0" w:color="auto"/>
            </w:tcBorders>
            <w:shd w:val="clear" w:color="auto" w:fill="auto"/>
            <w:vAlign w:val="center"/>
            <w:hideMark/>
          </w:tcPr>
          <w:p w14:paraId="3E72A173" w14:textId="4CE71DC5" w:rsidR="008259FD" w:rsidRPr="00D92E20" w:rsidRDefault="008259FD" w:rsidP="008259FD">
            <w:pPr>
              <w:spacing w:after="0" w:line="240" w:lineRule="auto"/>
              <w:jc w:val="right"/>
              <w:rPr>
                <w:rFonts w:cs="Arial"/>
                <w:color w:val="000000"/>
                <w:sz w:val="16"/>
                <w:szCs w:val="16"/>
              </w:rPr>
            </w:pPr>
            <w:r>
              <w:rPr>
                <w:rFonts w:cs="Arial"/>
                <w:sz w:val="16"/>
                <w:szCs w:val="16"/>
              </w:rPr>
              <w:t>20 536</w:t>
            </w:r>
          </w:p>
        </w:tc>
        <w:tc>
          <w:tcPr>
            <w:tcW w:w="754" w:type="dxa"/>
            <w:tcBorders>
              <w:top w:val="nil"/>
              <w:left w:val="nil"/>
              <w:bottom w:val="nil"/>
              <w:right w:val="nil"/>
            </w:tcBorders>
            <w:shd w:val="clear" w:color="auto" w:fill="auto"/>
            <w:vAlign w:val="center"/>
            <w:hideMark/>
          </w:tcPr>
          <w:p w14:paraId="4EA88C2C" w14:textId="672C3E74" w:rsidR="008259FD" w:rsidRPr="00D92E20" w:rsidRDefault="008259FD" w:rsidP="008259FD">
            <w:pPr>
              <w:spacing w:after="0" w:line="240" w:lineRule="auto"/>
              <w:jc w:val="right"/>
              <w:rPr>
                <w:rFonts w:cs="Arial"/>
                <w:color w:val="000000"/>
                <w:sz w:val="16"/>
                <w:szCs w:val="16"/>
              </w:rPr>
            </w:pPr>
            <w:r>
              <w:rPr>
                <w:rFonts w:cs="Arial"/>
                <w:sz w:val="16"/>
                <w:szCs w:val="16"/>
              </w:rPr>
              <w:t>1 325</w:t>
            </w:r>
          </w:p>
        </w:tc>
        <w:tc>
          <w:tcPr>
            <w:tcW w:w="709" w:type="dxa"/>
            <w:tcBorders>
              <w:top w:val="nil"/>
              <w:left w:val="nil"/>
              <w:bottom w:val="nil"/>
              <w:right w:val="nil"/>
            </w:tcBorders>
            <w:shd w:val="clear" w:color="auto" w:fill="auto"/>
            <w:vAlign w:val="center"/>
            <w:hideMark/>
          </w:tcPr>
          <w:p w14:paraId="33165432" w14:textId="6207AE1C" w:rsidR="008259FD" w:rsidRPr="00D92E20" w:rsidRDefault="008259FD" w:rsidP="008259FD">
            <w:pPr>
              <w:spacing w:after="0" w:line="240" w:lineRule="auto"/>
              <w:jc w:val="right"/>
              <w:rPr>
                <w:rFonts w:cs="Arial"/>
                <w:color w:val="000000"/>
                <w:sz w:val="16"/>
                <w:szCs w:val="16"/>
              </w:rPr>
            </w:pPr>
            <w:r>
              <w:rPr>
                <w:rFonts w:cs="Arial"/>
                <w:sz w:val="16"/>
                <w:szCs w:val="16"/>
              </w:rPr>
              <w:t>888</w:t>
            </w:r>
          </w:p>
        </w:tc>
        <w:tc>
          <w:tcPr>
            <w:tcW w:w="709" w:type="dxa"/>
            <w:tcBorders>
              <w:top w:val="nil"/>
              <w:left w:val="nil"/>
              <w:bottom w:val="nil"/>
              <w:right w:val="single" w:sz="4" w:space="0" w:color="auto"/>
            </w:tcBorders>
            <w:shd w:val="clear" w:color="auto" w:fill="auto"/>
            <w:vAlign w:val="center"/>
            <w:hideMark/>
          </w:tcPr>
          <w:p w14:paraId="7AA8BE54" w14:textId="6F222C23" w:rsidR="008259FD" w:rsidRPr="00D92E20" w:rsidRDefault="008259FD" w:rsidP="008259FD">
            <w:pPr>
              <w:spacing w:after="0" w:line="240" w:lineRule="auto"/>
              <w:jc w:val="right"/>
              <w:rPr>
                <w:rFonts w:cs="Arial"/>
                <w:color w:val="000000"/>
                <w:sz w:val="16"/>
                <w:szCs w:val="16"/>
              </w:rPr>
            </w:pPr>
            <w:r>
              <w:rPr>
                <w:rFonts w:cs="Arial"/>
                <w:sz w:val="16"/>
                <w:szCs w:val="16"/>
              </w:rPr>
              <w:t>437</w:t>
            </w:r>
          </w:p>
        </w:tc>
        <w:tc>
          <w:tcPr>
            <w:tcW w:w="709" w:type="dxa"/>
            <w:tcBorders>
              <w:top w:val="nil"/>
              <w:left w:val="nil"/>
              <w:bottom w:val="nil"/>
              <w:right w:val="nil"/>
            </w:tcBorders>
            <w:shd w:val="clear" w:color="auto" w:fill="auto"/>
            <w:vAlign w:val="center"/>
            <w:hideMark/>
          </w:tcPr>
          <w:p w14:paraId="369A9740" w14:textId="7391FAEE" w:rsidR="008259FD" w:rsidRPr="00D92E20" w:rsidRDefault="008259FD" w:rsidP="008259FD">
            <w:pPr>
              <w:spacing w:after="0" w:line="240" w:lineRule="auto"/>
              <w:jc w:val="right"/>
              <w:rPr>
                <w:rFonts w:cs="Arial"/>
                <w:color w:val="000000"/>
                <w:sz w:val="16"/>
                <w:szCs w:val="16"/>
              </w:rPr>
            </w:pPr>
            <w:r>
              <w:rPr>
                <w:rFonts w:cs="Arial"/>
                <w:sz w:val="16"/>
                <w:szCs w:val="16"/>
              </w:rPr>
              <w:t>4 392</w:t>
            </w:r>
          </w:p>
        </w:tc>
        <w:tc>
          <w:tcPr>
            <w:tcW w:w="709" w:type="dxa"/>
            <w:tcBorders>
              <w:top w:val="nil"/>
              <w:left w:val="nil"/>
              <w:bottom w:val="nil"/>
              <w:right w:val="nil"/>
            </w:tcBorders>
            <w:shd w:val="clear" w:color="auto" w:fill="auto"/>
            <w:vAlign w:val="center"/>
            <w:hideMark/>
          </w:tcPr>
          <w:p w14:paraId="63A93A1B" w14:textId="3BEC5233" w:rsidR="008259FD" w:rsidRPr="00D92E20" w:rsidRDefault="008259FD" w:rsidP="008259FD">
            <w:pPr>
              <w:spacing w:after="0" w:line="240" w:lineRule="auto"/>
              <w:jc w:val="right"/>
              <w:rPr>
                <w:rFonts w:cs="Arial"/>
                <w:color w:val="000000"/>
                <w:sz w:val="16"/>
                <w:szCs w:val="16"/>
              </w:rPr>
            </w:pPr>
            <w:r>
              <w:rPr>
                <w:rFonts w:cs="Arial"/>
                <w:sz w:val="16"/>
                <w:szCs w:val="16"/>
              </w:rPr>
              <w:t>2 615</w:t>
            </w:r>
          </w:p>
        </w:tc>
        <w:tc>
          <w:tcPr>
            <w:tcW w:w="709" w:type="dxa"/>
            <w:tcBorders>
              <w:top w:val="nil"/>
              <w:left w:val="nil"/>
              <w:bottom w:val="nil"/>
              <w:right w:val="nil"/>
            </w:tcBorders>
            <w:shd w:val="clear" w:color="auto" w:fill="auto"/>
            <w:vAlign w:val="center"/>
            <w:hideMark/>
          </w:tcPr>
          <w:p w14:paraId="6E26FF10" w14:textId="30A1A0F3" w:rsidR="008259FD" w:rsidRPr="00D92E20" w:rsidRDefault="008259FD" w:rsidP="008259FD">
            <w:pPr>
              <w:spacing w:after="0" w:line="240" w:lineRule="auto"/>
              <w:jc w:val="right"/>
              <w:rPr>
                <w:rFonts w:cs="Arial"/>
                <w:color w:val="000000"/>
                <w:sz w:val="16"/>
                <w:szCs w:val="16"/>
              </w:rPr>
            </w:pPr>
            <w:r>
              <w:rPr>
                <w:rFonts w:cs="Arial"/>
                <w:sz w:val="16"/>
                <w:szCs w:val="16"/>
              </w:rPr>
              <w:t>1 777</w:t>
            </w:r>
          </w:p>
        </w:tc>
      </w:tr>
      <w:tr w:rsidR="008259FD" w:rsidRPr="00D92E20" w14:paraId="24C88A49" w14:textId="77777777" w:rsidTr="0050059C">
        <w:trPr>
          <w:trHeight w:val="300"/>
        </w:trPr>
        <w:tc>
          <w:tcPr>
            <w:tcW w:w="1010" w:type="dxa"/>
            <w:tcBorders>
              <w:top w:val="nil"/>
              <w:left w:val="nil"/>
              <w:bottom w:val="nil"/>
              <w:right w:val="single" w:sz="4" w:space="0" w:color="auto"/>
            </w:tcBorders>
            <w:shd w:val="clear" w:color="auto" w:fill="auto"/>
            <w:vAlign w:val="center"/>
            <w:hideMark/>
          </w:tcPr>
          <w:p w14:paraId="3F577F76" w14:textId="2BFEFCA0" w:rsidR="008259FD" w:rsidRPr="00D92E20" w:rsidRDefault="008259FD" w:rsidP="008259FD">
            <w:pPr>
              <w:spacing w:after="0" w:line="240" w:lineRule="auto"/>
              <w:jc w:val="center"/>
              <w:rPr>
                <w:rFonts w:cs="Arial"/>
                <w:color w:val="000000"/>
                <w:sz w:val="16"/>
                <w:szCs w:val="16"/>
              </w:rPr>
            </w:pPr>
            <w:r>
              <w:rPr>
                <w:rFonts w:cs="Arial"/>
                <w:sz w:val="16"/>
                <w:szCs w:val="16"/>
              </w:rPr>
              <w:t>1. pol. 2020</w:t>
            </w:r>
          </w:p>
        </w:tc>
        <w:tc>
          <w:tcPr>
            <w:tcW w:w="711" w:type="dxa"/>
            <w:tcBorders>
              <w:top w:val="nil"/>
              <w:left w:val="nil"/>
              <w:bottom w:val="nil"/>
              <w:right w:val="nil"/>
            </w:tcBorders>
            <w:shd w:val="clear" w:color="auto" w:fill="auto"/>
            <w:vAlign w:val="center"/>
            <w:hideMark/>
          </w:tcPr>
          <w:p w14:paraId="1AC1A5CA" w14:textId="3DF65A79" w:rsidR="008259FD" w:rsidRPr="00D92E20" w:rsidRDefault="008259FD" w:rsidP="008259FD">
            <w:pPr>
              <w:spacing w:after="0" w:line="240" w:lineRule="auto"/>
              <w:jc w:val="right"/>
              <w:rPr>
                <w:rFonts w:cs="Arial"/>
                <w:color w:val="000000"/>
                <w:sz w:val="16"/>
                <w:szCs w:val="16"/>
              </w:rPr>
            </w:pPr>
            <w:r>
              <w:rPr>
                <w:rFonts w:cs="Arial"/>
                <w:sz w:val="16"/>
                <w:szCs w:val="16"/>
              </w:rPr>
              <w:t>47 402</w:t>
            </w:r>
          </w:p>
        </w:tc>
        <w:tc>
          <w:tcPr>
            <w:tcW w:w="703" w:type="dxa"/>
            <w:tcBorders>
              <w:top w:val="nil"/>
              <w:left w:val="nil"/>
              <w:bottom w:val="nil"/>
              <w:right w:val="nil"/>
            </w:tcBorders>
            <w:shd w:val="clear" w:color="auto" w:fill="auto"/>
            <w:vAlign w:val="center"/>
            <w:hideMark/>
          </w:tcPr>
          <w:p w14:paraId="1201FAA5" w14:textId="39E3CFEC" w:rsidR="008259FD" w:rsidRPr="00D92E20" w:rsidRDefault="008259FD" w:rsidP="008259FD">
            <w:pPr>
              <w:spacing w:after="0" w:line="240" w:lineRule="auto"/>
              <w:jc w:val="right"/>
              <w:rPr>
                <w:rFonts w:cs="Arial"/>
                <w:color w:val="000000"/>
                <w:sz w:val="16"/>
                <w:szCs w:val="16"/>
              </w:rPr>
            </w:pPr>
            <w:r>
              <w:rPr>
                <w:rFonts w:cs="Arial"/>
                <w:sz w:val="16"/>
                <w:szCs w:val="16"/>
              </w:rPr>
              <w:t>21 697</w:t>
            </w:r>
          </w:p>
        </w:tc>
        <w:tc>
          <w:tcPr>
            <w:tcW w:w="704" w:type="dxa"/>
            <w:tcBorders>
              <w:top w:val="nil"/>
              <w:left w:val="nil"/>
              <w:bottom w:val="nil"/>
              <w:right w:val="nil"/>
            </w:tcBorders>
            <w:shd w:val="clear" w:color="auto" w:fill="auto"/>
            <w:vAlign w:val="center"/>
            <w:hideMark/>
          </w:tcPr>
          <w:p w14:paraId="70F9519F" w14:textId="37DAA293" w:rsidR="008259FD" w:rsidRPr="00D92E20" w:rsidRDefault="008259FD" w:rsidP="008259FD">
            <w:pPr>
              <w:spacing w:after="0" w:line="240" w:lineRule="auto"/>
              <w:jc w:val="right"/>
              <w:rPr>
                <w:rFonts w:cs="Arial"/>
                <w:color w:val="000000"/>
                <w:sz w:val="16"/>
                <w:szCs w:val="16"/>
              </w:rPr>
            </w:pPr>
            <w:r>
              <w:rPr>
                <w:rFonts w:cs="Arial"/>
                <w:sz w:val="16"/>
                <w:szCs w:val="16"/>
              </w:rPr>
              <w:t>25 705</w:t>
            </w:r>
          </w:p>
        </w:tc>
        <w:tc>
          <w:tcPr>
            <w:tcW w:w="707" w:type="dxa"/>
            <w:tcBorders>
              <w:top w:val="nil"/>
              <w:left w:val="single" w:sz="4" w:space="0" w:color="auto"/>
              <w:bottom w:val="nil"/>
              <w:right w:val="nil"/>
            </w:tcBorders>
            <w:shd w:val="clear" w:color="auto" w:fill="auto"/>
            <w:vAlign w:val="center"/>
            <w:hideMark/>
          </w:tcPr>
          <w:p w14:paraId="27BD3E1E" w14:textId="47ACFCB6" w:rsidR="008259FD" w:rsidRPr="00D92E20" w:rsidRDefault="008259FD" w:rsidP="008259FD">
            <w:pPr>
              <w:spacing w:after="0" w:line="240" w:lineRule="auto"/>
              <w:jc w:val="right"/>
              <w:rPr>
                <w:rFonts w:cs="Arial"/>
                <w:color w:val="000000"/>
                <w:sz w:val="16"/>
                <w:szCs w:val="16"/>
              </w:rPr>
            </w:pPr>
            <w:r>
              <w:rPr>
                <w:rFonts w:cs="Arial"/>
                <w:sz w:val="16"/>
                <w:szCs w:val="16"/>
              </w:rPr>
              <w:t>41 551</w:t>
            </w:r>
          </w:p>
        </w:tc>
        <w:tc>
          <w:tcPr>
            <w:tcW w:w="704" w:type="dxa"/>
            <w:tcBorders>
              <w:top w:val="nil"/>
              <w:left w:val="nil"/>
              <w:bottom w:val="nil"/>
              <w:right w:val="nil"/>
            </w:tcBorders>
            <w:shd w:val="clear" w:color="auto" w:fill="auto"/>
            <w:vAlign w:val="center"/>
            <w:hideMark/>
          </w:tcPr>
          <w:p w14:paraId="2204DA65" w14:textId="6DFD6A85" w:rsidR="008259FD" w:rsidRPr="00D92E20" w:rsidRDefault="008259FD" w:rsidP="008259FD">
            <w:pPr>
              <w:spacing w:after="0" w:line="240" w:lineRule="auto"/>
              <w:jc w:val="right"/>
              <w:rPr>
                <w:rFonts w:cs="Arial"/>
                <w:color w:val="000000"/>
                <w:sz w:val="16"/>
                <w:szCs w:val="16"/>
              </w:rPr>
            </w:pPr>
            <w:r>
              <w:rPr>
                <w:rFonts w:cs="Arial"/>
                <w:sz w:val="16"/>
                <w:szCs w:val="16"/>
              </w:rPr>
              <w:t>18 098</w:t>
            </w:r>
          </w:p>
        </w:tc>
        <w:tc>
          <w:tcPr>
            <w:tcW w:w="704" w:type="dxa"/>
            <w:tcBorders>
              <w:top w:val="nil"/>
              <w:left w:val="nil"/>
              <w:bottom w:val="nil"/>
              <w:right w:val="single" w:sz="4" w:space="0" w:color="auto"/>
            </w:tcBorders>
            <w:shd w:val="clear" w:color="auto" w:fill="auto"/>
            <w:vAlign w:val="center"/>
            <w:hideMark/>
          </w:tcPr>
          <w:p w14:paraId="2F3B11D6" w14:textId="5EEB1AFF" w:rsidR="008259FD" w:rsidRPr="00D92E20" w:rsidRDefault="008259FD" w:rsidP="008259FD">
            <w:pPr>
              <w:spacing w:after="0" w:line="240" w:lineRule="auto"/>
              <w:jc w:val="right"/>
              <w:rPr>
                <w:rFonts w:cs="Arial"/>
                <w:color w:val="000000"/>
                <w:sz w:val="16"/>
                <w:szCs w:val="16"/>
              </w:rPr>
            </w:pPr>
            <w:r>
              <w:rPr>
                <w:rFonts w:cs="Arial"/>
                <w:sz w:val="16"/>
                <w:szCs w:val="16"/>
              </w:rPr>
              <w:t>23 453</w:t>
            </w:r>
          </w:p>
        </w:tc>
        <w:tc>
          <w:tcPr>
            <w:tcW w:w="754" w:type="dxa"/>
            <w:tcBorders>
              <w:top w:val="nil"/>
              <w:left w:val="nil"/>
              <w:bottom w:val="nil"/>
              <w:right w:val="nil"/>
            </w:tcBorders>
            <w:shd w:val="clear" w:color="auto" w:fill="auto"/>
            <w:vAlign w:val="center"/>
            <w:hideMark/>
          </w:tcPr>
          <w:p w14:paraId="0827FA9D" w14:textId="14A0BCC6" w:rsidR="008259FD" w:rsidRPr="00D92E20" w:rsidRDefault="008259FD" w:rsidP="008259FD">
            <w:pPr>
              <w:spacing w:after="0" w:line="240" w:lineRule="auto"/>
              <w:jc w:val="right"/>
              <w:rPr>
                <w:rFonts w:cs="Arial"/>
                <w:color w:val="000000"/>
                <w:sz w:val="16"/>
                <w:szCs w:val="16"/>
              </w:rPr>
            </w:pPr>
            <w:r>
              <w:rPr>
                <w:rFonts w:cs="Arial"/>
                <w:sz w:val="16"/>
                <w:szCs w:val="16"/>
              </w:rPr>
              <w:t>1 285</w:t>
            </w:r>
          </w:p>
        </w:tc>
        <w:tc>
          <w:tcPr>
            <w:tcW w:w="709" w:type="dxa"/>
            <w:tcBorders>
              <w:top w:val="nil"/>
              <w:left w:val="nil"/>
              <w:bottom w:val="nil"/>
              <w:right w:val="nil"/>
            </w:tcBorders>
            <w:shd w:val="clear" w:color="auto" w:fill="auto"/>
            <w:vAlign w:val="center"/>
            <w:hideMark/>
          </w:tcPr>
          <w:p w14:paraId="00C61189" w14:textId="654CBE6F" w:rsidR="008259FD" w:rsidRPr="00D92E20" w:rsidRDefault="008259FD" w:rsidP="008259FD">
            <w:pPr>
              <w:spacing w:after="0" w:line="240" w:lineRule="auto"/>
              <w:jc w:val="right"/>
              <w:rPr>
                <w:rFonts w:cs="Arial"/>
                <w:color w:val="000000"/>
                <w:sz w:val="16"/>
                <w:szCs w:val="16"/>
              </w:rPr>
            </w:pPr>
            <w:r>
              <w:rPr>
                <w:rFonts w:cs="Arial"/>
                <w:sz w:val="16"/>
                <w:szCs w:val="16"/>
              </w:rPr>
              <w:t>876</w:t>
            </w:r>
          </w:p>
        </w:tc>
        <w:tc>
          <w:tcPr>
            <w:tcW w:w="709" w:type="dxa"/>
            <w:tcBorders>
              <w:top w:val="nil"/>
              <w:left w:val="nil"/>
              <w:bottom w:val="nil"/>
              <w:right w:val="single" w:sz="4" w:space="0" w:color="auto"/>
            </w:tcBorders>
            <w:shd w:val="clear" w:color="auto" w:fill="auto"/>
            <w:vAlign w:val="center"/>
            <w:hideMark/>
          </w:tcPr>
          <w:p w14:paraId="499B6699" w14:textId="4A9B4134" w:rsidR="008259FD" w:rsidRPr="00D92E20" w:rsidRDefault="008259FD" w:rsidP="008259FD">
            <w:pPr>
              <w:spacing w:after="0" w:line="240" w:lineRule="auto"/>
              <w:jc w:val="right"/>
              <w:rPr>
                <w:rFonts w:cs="Arial"/>
                <w:color w:val="000000"/>
                <w:sz w:val="16"/>
                <w:szCs w:val="16"/>
              </w:rPr>
            </w:pPr>
            <w:r>
              <w:rPr>
                <w:rFonts w:cs="Arial"/>
                <w:sz w:val="16"/>
                <w:szCs w:val="16"/>
              </w:rPr>
              <w:t>409</w:t>
            </w:r>
          </w:p>
        </w:tc>
        <w:tc>
          <w:tcPr>
            <w:tcW w:w="709" w:type="dxa"/>
            <w:tcBorders>
              <w:top w:val="nil"/>
              <w:left w:val="nil"/>
              <w:bottom w:val="nil"/>
              <w:right w:val="nil"/>
            </w:tcBorders>
            <w:shd w:val="clear" w:color="auto" w:fill="auto"/>
            <w:vAlign w:val="center"/>
            <w:hideMark/>
          </w:tcPr>
          <w:p w14:paraId="69BBCD67" w14:textId="338D387C" w:rsidR="008259FD" w:rsidRPr="00D92E20" w:rsidRDefault="008259FD" w:rsidP="008259FD">
            <w:pPr>
              <w:spacing w:after="0" w:line="240" w:lineRule="auto"/>
              <w:jc w:val="right"/>
              <w:rPr>
                <w:rFonts w:cs="Arial"/>
                <w:color w:val="000000"/>
                <w:sz w:val="16"/>
                <w:szCs w:val="16"/>
              </w:rPr>
            </w:pPr>
            <w:r>
              <w:rPr>
                <w:rFonts w:cs="Arial"/>
                <w:sz w:val="16"/>
                <w:szCs w:val="16"/>
              </w:rPr>
              <w:t>4 565</w:t>
            </w:r>
          </w:p>
        </w:tc>
        <w:tc>
          <w:tcPr>
            <w:tcW w:w="709" w:type="dxa"/>
            <w:tcBorders>
              <w:top w:val="nil"/>
              <w:left w:val="nil"/>
              <w:bottom w:val="nil"/>
              <w:right w:val="nil"/>
            </w:tcBorders>
            <w:shd w:val="clear" w:color="auto" w:fill="auto"/>
            <w:vAlign w:val="center"/>
            <w:hideMark/>
          </w:tcPr>
          <w:p w14:paraId="64C3DB35" w14:textId="255D362C" w:rsidR="008259FD" w:rsidRPr="00D92E20" w:rsidRDefault="008259FD" w:rsidP="008259FD">
            <w:pPr>
              <w:spacing w:after="0" w:line="240" w:lineRule="auto"/>
              <w:jc w:val="right"/>
              <w:rPr>
                <w:rFonts w:cs="Arial"/>
                <w:color w:val="000000"/>
                <w:sz w:val="16"/>
                <w:szCs w:val="16"/>
              </w:rPr>
            </w:pPr>
            <w:r>
              <w:rPr>
                <w:rFonts w:cs="Arial"/>
                <w:sz w:val="16"/>
                <w:szCs w:val="16"/>
              </w:rPr>
              <w:t>2 723</w:t>
            </w:r>
          </w:p>
        </w:tc>
        <w:tc>
          <w:tcPr>
            <w:tcW w:w="709" w:type="dxa"/>
            <w:tcBorders>
              <w:top w:val="nil"/>
              <w:left w:val="nil"/>
              <w:bottom w:val="nil"/>
              <w:right w:val="nil"/>
            </w:tcBorders>
            <w:shd w:val="clear" w:color="auto" w:fill="auto"/>
            <w:vAlign w:val="center"/>
            <w:hideMark/>
          </w:tcPr>
          <w:p w14:paraId="48BD6495" w14:textId="41894BEF" w:rsidR="008259FD" w:rsidRPr="00D92E20" w:rsidRDefault="008259FD" w:rsidP="008259FD">
            <w:pPr>
              <w:spacing w:after="0" w:line="240" w:lineRule="auto"/>
              <w:jc w:val="right"/>
              <w:rPr>
                <w:rFonts w:cs="Arial"/>
                <w:color w:val="000000"/>
                <w:sz w:val="16"/>
                <w:szCs w:val="16"/>
              </w:rPr>
            </w:pPr>
            <w:r>
              <w:rPr>
                <w:rFonts w:cs="Arial"/>
                <w:sz w:val="16"/>
                <w:szCs w:val="16"/>
              </w:rPr>
              <w:t>1 843</w:t>
            </w:r>
          </w:p>
        </w:tc>
      </w:tr>
      <w:tr w:rsidR="008259FD" w:rsidRPr="00D92E20" w14:paraId="0F30FE5A" w14:textId="77777777" w:rsidTr="0050059C">
        <w:trPr>
          <w:trHeight w:val="300"/>
        </w:trPr>
        <w:tc>
          <w:tcPr>
            <w:tcW w:w="1010" w:type="dxa"/>
            <w:tcBorders>
              <w:top w:val="nil"/>
              <w:left w:val="nil"/>
              <w:bottom w:val="nil"/>
              <w:right w:val="single" w:sz="4" w:space="0" w:color="auto"/>
            </w:tcBorders>
            <w:shd w:val="clear" w:color="auto" w:fill="auto"/>
            <w:vAlign w:val="center"/>
            <w:hideMark/>
          </w:tcPr>
          <w:p w14:paraId="3C6DEA69" w14:textId="799D030D" w:rsidR="008259FD" w:rsidRPr="00D92E20" w:rsidRDefault="008259FD" w:rsidP="008259FD">
            <w:pPr>
              <w:spacing w:after="0" w:line="240" w:lineRule="auto"/>
              <w:jc w:val="center"/>
              <w:rPr>
                <w:rFonts w:cs="Arial"/>
                <w:color w:val="000000"/>
                <w:sz w:val="16"/>
                <w:szCs w:val="16"/>
              </w:rPr>
            </w:pPr>
            <w:r>
              <w:rPr>
                <w:rFonts w:cs="Arial"/>
                <w:sz w:val="16"/>
                <w:szCs w:val="16"/>
              </w:rPr>
              <w:t>1. pol. 2021</w:t>
            </w:r>
          </w:p>
        </w:tc>
        <w:tc>
          <w:tcPr>
            <w:tcW w:w="711" w:type="dxa"/>
            <w:tcBorders>
              <w:top w:val="nil"/>
              <w:left w:val="nil"/>
              <w:bottom w:val="nil"/>
              <w:right w:val="nil"/>
            </w:tcBorders>
            <w:shd w:val="clear" w:color="auto" w:fill="auto"/>
            <w:vAlign w:val="center"/>
            <w:hideMark/>
          </w:tcPr>
          <w:p w14:paraId="5FC69A74" w14:textId="48E97ECC" w:rsidR="008259FD" w:rsidRPr="00D92E20" w:rsidRDefault="008259FD" w:rsidP="008259FD">
            <w:pPr>
              <w:spacing w:after="0" w:line="240" w:lineRule="auto"/>
              <w:jc w:val="right"/>
              <w:rPr>
                <w:rFonts w:cs="Arial"/>
                <w:color w:val="000000"/>
                <w:sz w:val="16"/>
                <w:szCs w:val="16"/>
              </w:rPr>
            </w:pPr>
            <w:r>
              <w:rPr>
                <w:rFonts w:cs="Arial"/>
                <w:sz w:val="16"/>
                <w:szCs w:val="16"/>
              </w:rPr>
              <w:t>50 856</w:t>
            </w:r>
          </w:p>
        </w:tc>
        <w:tc>
          <w:tcPr>
            <w:tcW w:w="703" w:type="dxa"/>
            <w:tcBorders>
              <w:top w:val="nil"/>
              <w:left w:val="nil"/>
              <w:bottom w:val="nil"/>
              <w:right w:val="nil"/>
            </w:tcBorders>
            <w:shd w:val="clear" w:color="auto" w:fill="auto"/>
            <w:vAlign w:val="center"/>
            <w:hideMark/>
          </w:tcPr>
          <w:p w14:paraId="61204BF3" w14:textId="0F63E6C1" w:rsidR="008259FD" w:rsidRPr="00D92E20" w:rsidRDefault="008259FD" w:rsidP="008259FD">
            <w:pPr>
              <w:spacing w:after="0" w:line="240" w:lineRule="auto"/>
              <w:jc w:val="right"/>
              <w:rPr>
                <w:rFonts w:cs="Arial"/>
                <w:color w:val="000000"/>
                <w:sz w:val="16"/>
                <w:szCs w:val="16"/>
              </w:rPr>
            </w:pPr>
            <w:r>
              <w:rPr>
                <w:rFonts w:cs="Arial"/>
                <w:sz w:val="16"/>
                <w:szCs w:val="16"/>
              </w:rPr>
              <w:t>23 906</w:t>
            </w:r>
          </w:p>
        </w:tc>
        <w:tc>
          <w:tcPr>
            <w:tcW w:w="704" w:type="dxa"/>
            <w:tcBorders>
              <w:top w:val="nil"/>
              <w:left w:val="nil"/>
              <w:bottom w:val="nil"/>
              <w:right w:val="nil"/>
            </w:tcBorders>
            <w:shd w:val="clear" w:color="auto" w:fill="auto"/>
            <w:vAlign w:val="center"/>
            <w:hideMark/>
          </w:tcPr>
          <w:p w14:paraId="2F0E9420" w14:textId="180860CC" w:rsidR="008259FD" w:rsidRPr="00D92E20" w:rsidRDefault="008259FD" w:rsidP="008259FD">
            <w:pPr>
              <w:spacing w:after="0" w:line="240" w:lineRule="auto"/>
              <w:jc w:val="right"/>
              <w:rPr>
                <w:rFonts w:cs="Arial"/>
                <w:color w:val="000000"/>
                <w:sz w:val="16"/>
                <w:szCs w:val="16"/>
              </w:rPr>
            </w:pPr>
            <w:r>
              <w:rPr>
                <w:rFonts w:cs="Arial"/>
                <w:sz w:val="16"/>
                <w:szCs w:val="16"/>
              </w:rPr>
              <w:t>26 950</w:t>
            </w:r>
          </w:p>
        </w:tc>
        <w:tc>
          <w:tcPr>
            <w:tcW w:w="707" w:type="dxa"/>
            <w:tcBorders>
              <w:top w:val="nil"/>
              <w:left w:val="single" w:sz="4" w:space="0" w:color="auto"/>
              <w:bottom w:val="nil"/>
              <w:right w:val="nil"/>
            </w:tcBorders>
            <w:shd w:val="clear" w:color="auto" w:fill="auto"/>
            <w:vAlign w:val="center"/>
            <w:hideMark/>
          </w:tcPr>
          <w:p w14:paraId="5D556A36" w14:textId="13F71862" w:rsidR="008259FD" w:rsidRPr="00D92E20" w:rsidRDefault="008259FD" w:rsidP="008259FD">
            <w:pPr>
              <w:spacing w:after="0" w:line="240" w:lineRule="auto"/>
              <w:jc w:val="right"/>
              <w:rPr>
                <w:rFonts w:cs="Arial"/>
                <w:color w:val="000000"/>
                <w:sz w:val="16"/>
                <w:szCs w:val="16"/>
              </w:rPr>
            </w:pPr>
            <w:r>
              <w:rPr>
                <w:rFonts w:cs="Arial"/>
                <w:sz w:val="16"/>
                <w:szCs w:val="16"/>
              </w:rPr>
              <w:t>45 205</w:t>
            </w:r>
          </w:p>
        </w:tc>
        <w:tc>
          <w:tcPr>
            <w:tcW w:w="704" w:type="dxa"/>
            <w:tcBorders>
              <w:top w:val="nil"/>
              <w:left w:val="nil"/>
              <w:bottom w:val="nil"/>
              <w:right w:val="nil"/>
            </w:tcBorders>
            <w:shd w:val="clear" w:color="auto" w:fill="auto"/>
            <w:vAlign w:val="center"/>
            <w:hideMark/>
          </w:tcPr>
          <w:p w14:paraId="30D88A9C" w14:textId="0682BF09" w:rsidR="008259FD" w:rsidRPr="00D92E20" w:rsidRDefault="008259FD" w:rsidP="008259FD">
            <w:pPr>
              <w:spacing w:after="0" w:line="240" w:lineRule="auto"/>
              <w:jc w:val="right"/>
              <w:rPr>
                <w:rFonts w:cs="Arial"/>
                <w:color w:val="000000"/>
                <w:sz w:val="16"/>
                <w:szCs w:val="16"/>
              </w:rPr>
            </w:pPr>
            <w:r>
              <w:rPr>
                <w:rFonts w:cs="Arial"/>
                <w:sz w:val="16"/>
                <w:szCs w:val="16"/>
              </w:rPr>
              <w:t>20 513</w:t>
            </w:r>
          </w:p>
        </w:tc>
        <w:tc>
          <w:tcPr>
            <w:tcW w:w="704" w:type="dxa"/>
            <w:tcBorders>
              <w:top w:val="nil"/>
              <w:left w:val="nil"/>
              <w:bottom w:val="nil"/>
              <w:right w:val="single" w:sz="4" w:space="0" w:color="auto"/>
            </w:tcBorders>
            <w:shd w:val="clear" w:color="auto" w:fill="auto"/>
            <w:vAlign w:val="center"/>
            <w:hideMark/>
          </w:tcPr>
          <w:p w14:paraId="7E4A5936" w14:textId="2B129469" w:rsidR="008259FD" w:rsidRPr="00D92E20" w:rsidRDefault="008259FD" w:rsidP="008259FD">
            <w:pPr>
              <w:spacing w:after="0" w:line="240" w:lineRule="auto"/>
              <w:jc w:val="right"/>
              <w:rPr>
                <w:rFonts w:cs="Arial"/>
                <w:color w:val="000000"/>
                <w:sz w:val="16"/>
                <w:szCs w:val="16"/>
              </w:rPr>
            </w:pPr>
            <w:r>
              <w:rPr>
                <w:rFonts w:cs="Arial"/>
                <w:sz w:val="16"/>
                <w:szCs w:val="16"/>
              </w:rPr>
              <w:t>24 692</w:t>
            </w:r>
          </w:p>
        </w:tc>
        <w:tc>
          <w:tcPr>
            <w:tcW w:w="754" w:type="dxa"/>
            <w:tcBorders>
              <w:top w:val="nil"/>
              <w:left w:val="nil"/>
              <w:bottom w:val="nil"/>
              <w:right w:val="nil"/>
            </w:tcBorders>
            <w:shd w:val="clear" w:color="auto" w:fill="auto"/>
            <w:vAlign w:val="center"/>
            <w:hideMark/>
          </w:tcPr>
          <w:p w14:paraId="054D64F5" w14:textId="277E8ADE" w:rsidR="008259FD" w:rsidRPr="00D92E20" w:rsidRDefault="008259FD" w:rsidP="008259FD">
            <w:pPr>
              <w:spacing w:after="0" w:line="240" w:lineRule="auto"/>
              <w:jc w:val="right"/>
              <w:rPr>
                <w:rFonts w:cs="Arial"/>
                <w:color w:val="000000"/>
                <w:sz w:val="16"/>
                <w:szCs w:val="16"/>
              </w:rPr>
            </w:pPr>
            <w:r>
              <w:rPr>
                <w:rFonts w:cs="Arial"/>
                <w:sz w:val="16"/>
                <w:szCs w:val="16"/>
              </w:rPr>
              <w:t>1 337</w:t>
            </w:r>
          </w:p>
        </w:tc>
        <w:tc>
          <w:tcPr>
            <w:tcW w:w="709" w:type="dxa"/>
            <w:tcBorders>
              <w:top w:val="nil"/>
              <w:left w:val="nil"/>
              <w:bottom w:val="nil"/>
              <w:right w:val="nil"/>
            </w:tcBorders>
            <w:shd w:val="clear" w:color="auto" w:fill="auto"/>
            <w:vAlign w:val="center"/>
            <w:hideMark/>
          </w:tcPr>
          <w:p w14:paraId="0526B3B2" w14:textId="34D66383" w:rsidR="008259FD" w:rsidRPr="00D92E20" w:rsidRDefault="008259FD" w:rsidP="008259FD">
            <w:pPr>
              <w:spacing w:after="0" w:line="240" w:lineRule="auto"/>
              <w:jc w:val="right"/>
              <w:rPr>
                <w:rFonts w:cs="Arial"/>
                <w:color w:val="000000"/>
                <w:sz w:val="16"/>
                <w:szCs w:val="16"/>
              </w:rPr>
            </w:pPr>
            <w:r>
              <w:rPr>
                <w:rFonts w:cs="Arial"/>
                <w:sz w:val="16"/>
                <w:szCs w:val="16"/>
              </w:rPr>
              <w:t>919</w:t>
            </w:r>
          </w:p>
        </w:tc>
        <w:tc>
          <w:tcPr>
            <w:tcW w:w="709" w:type="dxa"/>
            <w:tcBorders>
              <w:top w:val="nil"/>
              <w:left w:val="nil"/>
              <w:bottom w:val="nil"/>
              <w:right w:val="single" w:sz="4" w:space="0" w:color="auto"/>
            </w:tcBorders>
            <w:shd w:val="clear" w:color="auto" w:fill="auto"/>
            <w:vAlign w:val="center"/>
            <w:hideMark/>
          </w:tcPr>
          <w:p w14:paraId="38C858FB" w14:textId="67C20133" w:rsidR="008259FD" w:rsidRPr="00D92E20" w:rsidRDefault="008259FD" w:rsidP="008259FD">
            <w:pPr>
              <w:spacing w:after="0" w:line="240" w:lineRule="auto"/>
              <w:jc w:val="right"/>
              <w:rPr>
                <w:rFonts w:cs="Arial"/>
                <w:color w:val="000000"/>
                <w:sz w:val="16"/>
                <w:szCs w:val="16"/>
              </w:rPr>
            </w:pPr>
            <w:r>
              <w:rPr>
                <w:rFonts w:cs="Arial"/>
                <w:sz w:val="16"/>
                <w:szCs w:val="16"/>
              </w:rPr>
              <w:t>418</w:t>
            </w:r>
          </w:p>
        </w:tc>
        <w:tc>
          <w:tcPr>
            <w:tcW w:w="709" w:type="dxa"/>
            <w:tcBorders>
              <w:top w:val="nil"/>
              <w:left w:val="nil"/>
              <w:bottom w:val="nil"/>
              <w:right w:val="nil"/>
            </w:tcBorders>
            <w:shd w:val="clear" w:color="auto" w:fill="auto"/>
            <w:vAlign w:val="center"/>
            <w:hideMark/>
          </w:tcPr>
          <w:p w14:paraId="790A5A30" w14:textId="72B438BE" w:rsidR="008259FD" w:rsidRPr="00D92E20" w:rsidRDefault="008259FD" w:rsidP="008259FD">
            <w:pPr>
              <w:spacing w:after="0" w:line="240" w:lineRule="auto"/>
              <w:jc w:val="right"/>
              <w:rPr>
                <w:rFonts w:cs="Arial"/>
                <w:color w:val="000000"/>
                <w:sz w:val="16"/>
                <w:szCs w:val="16"/>
              </w:rPr>
            </w:pPr>
            <w:r>
              <w:rPr>
                <w:rFonts w:cs="Arial"/>
                <w:sz w:val="16"/>
                <w:szCs w:val="16"/>
              </w:rPr>
              <w:t>4 314</w:t>
            </w:r>
          </w:p>
        </w:tc>
        <w:tc>
          <w:tcPr>
            <w:tcW w:w="709" w:type="dxa"/>
            <w:tcBorders>
              <w:top w:val="nil"/>
              <w:left w:val="nil"/>
              <w:bottom w:val="nil"/>
              <w:right w:val="nil"/>
            </w:tcBorders>
            <w:shd w:val="clear" w:color="auto" w:fill="auto"/>
            <w:vAlign w:val="center"/>
            <w:hideMark/>
          </w:tcPr>
          <w:p w14:paraId="1D32EECE" w14:textId="02A755D8" w:rsidR="008259FD" w:rsidRPr="00D92E20" w:rsidRDefault="008259FD" w:rsidP="008259FD">
            <w:pPr>
              <w:spacing w:after="0" w:line="240" w:lineRule="auto"/>
              <w:jc w:val="right"/>
              <w:rPr>
                <w:rFonts w:cs="Arial"/>
                <w:color w:val="000000"/>
                <w:sz w:val="16"/>
                <w:szCs w:val="16"/>
              </w:rPr>
            </w:pPr>
            <w:r>
              <w:rPr>
                <w:rFonts w:cs="Arial"/>
                <w:sz w:val="16"/>
                <w:szCs w:val="16"/>
              </w:rPr>
              <w:t>2 474</w:t>
            </w:r>
          </w:p>
        </w:tc>
        <w:tc>
          <w:tcPr>
            <w:tcW w:w="709" w:type="dxa"/>
            <w:tcBorders>
              <w:top w:val="nil"/>
              <w:left w:val="nil"/>
              <w:bottom w:val="nil"/>
              <w:right w:val="nil"/>
            </w:tcBorders>
            <w:shd w:val="clear" w:color="auto" w:fill="auto"/>
            <w:vAlign w:val="center"/>
            <w:hideMark/>
          </w:tcPr>
          <w:p w14:paraId="460028FB" w14:textId="33CBF004" w:rsidR="008259FD" w:rsidRPr="00D92E20" w:rsidRDefault="008259FD" w:rsidP="008259FD">
            <w:pPr>
              <w:spacing w:after="0" w:line="240" w:lineRule="auto"/>
              <w:jc w:val="right"/>
              <w:rPr>
                <w:rFonts w:cs="Arial"/>
                <w:color w:val="000000"/>
                <w:sz w:val="16"/>
                <w:szCs w:val="16"/>
              </w:rPr>
            </w:pPr>
            <w:r>
              <w:rPr>
                <w:rFonts w:cs="Arial"/>
                <w:sz w:val="16"/>
                <w:szCs w:val="16"/>
              </w:rPr>
              <w:t>1 841</w:t>
            </w:r>
          </w:p>
        </w:tc>
      </w:tr>
      <w:tr w:rsidR="008259FD" w:rsidRPr="00D92E20" w14:paraId="362816CD" w14:textId="77777777" w:rsidTr="0050059C">
        <w:trPr>
          <w:trHeight w:val="300"/>
        </w:trPr>
        <w:tc>
          <w:tcPr>
            <w:tcW w:w="1010" w:type="dxa"/>
            <w:tcBorders>
              <w:top w:val="nil"/>
              <w:left w:val="nil"/>
              <w:bottom w:val="nil"/>
              <w:right w:val="single" w:sz="4" w:space="0" w:color="auto"/>
            </w:tcBorders>
            <w:shd w:val="clear" w:color="auto" w:fill="auto"/>
            <w:vAlign w:val="center"/>
            <w:hideMark/>
          </w:tcPr>
          <w:p w14:paraId="659A7C03" w14:textId="34EFB8E0" w:rsidR="008259FD" w:rsidRPr="00D92E20" w:rsidRDefault="008259FD" w:rsidP="008259FD">
            <w:pPr>
              <w:spacing w:after="0" w:line="240" w:lineRule="auto"/>
              <w:jc w:val="center"/>
              <w:rPr>
                <w:rFonts w:cs="Arial"/>
                <w:color w:val="000000"/>
                <w:sz w:val="16"/>
                <w:szCs w:val="16"/>
              </w:rPr>
            </w:pPr>
            <w:r>
              <w:rPr>
                <w:rFonts w:cs="Arial"/>
                <w:sz w:val="16"/>
                <w:szCs w:val="16"/>
              </w:rPr>
              <w:t>1. pol. 2022</w:t>
            </w:r>
          </w:p>
        </w:tc>
        <w:tc>
          <w:tcPr>
            <w:tcW w:w="711" w:type="dxa"/>
            <w:tcBorders>
              <w:top w:val="nil"/>
              <w:left w:val="nil"/>
              <w:bottom w:val="nil"/>
              <w:right w:val="nil"/>
            </w:tcBorders>
            <w:shd w:val="clear" w:color="auto" w:fill="auto"/>
            <w:vAlign w:val="center"/>
            <w:hideMark/>
          </w:tcPr>
          <w:p w14:paraId="72947D91" w14:textId="2DEF942D" w:rsidR="008259FD" w:rsidRPr="00D92E20" w:rsidRDefault="008259FD" w:rsidP="008259FD">
            <w:pPr>
              <w:spacing w:after="0" w:line="240" w:lineRule="auto"/>
              <w:jc w:val="right"/>
              <w:rPr>
                <w:rFonts w:cs="Arial"/>
                <w:color w:val="000000"/>
                <w:sz w:val="16"/>
                <w:szCs w:val="16"/>
              </w:rPr>
            </w:pPr>
            <w:r>
              <w:rPr>
                <w:rFonts w:cs="Arial"/>
                <w:sz w:val="16"/>
                <w:szCs w:val="16"/>
              </w:rPr>
              <w:t>50 387</w:t>
            </w:r>
          </w:p>
        </w:tc>
        <w:tc>
          <w:tcPr>
            <w:tcW w:w="703" w:type="dxa"/>
            <w:tcBorders>
              <w:top w:val="nil"/>
              <w:left w:val="nil"/>
              <w:bottom w:val="nil"/>
              <w:right w:val="nil"/>
            </w:tcBorders>
            <w:shd w:val="clear" w:color="auto" w:fill="auto"/>
            <w:vAlign w:val="center"/>
            <w:hideMark/>
          </w:tcPr>
          <w:p w14:paraId="45A214E4" w14:textId="3601FC0B" w:rsidR="008259FD" w:rsidRPr="00D92E20" w:rsidRDefault="008259FD" w:rsidP="008259FD">
            <w:pPr>
              <w:spacing w:after="0" w:line="240" w:lineRule="auto"/>
              <w:jc w:val="right"/>
              <w:rPr>
                <w:rFonts w:cs="Arial"/>
                <w:color w:val="000000"/>
                <w:sz w:val="16"/>
                <w:szCs w:val="16"/>
              </w:rPr>
            </w:pPr>
            <w:r>
              <w:rPr>
                <w:rFonts w:cs="Arial"/>
                <w:sz w:val="16"/>
                <w:szCs w:val="16"/>
              </w:rPr>
              <w:t>22 845</w:t>
            </w:r>
          </w:p>
        </w:tc>
        <w:tc>
          <w:tcPr>
            <w:tcW w:w="704" w:type="dxa"/>
            <w:tcBorders>
              <w:top w:val="nil"/>
              <w:left w:val="nil"/>
              <w:bottom w:val="nil"/>
              <w:right w:val="nil"/>
            </w:tcBorders>
            <w:shd w:val="clear" w:color="auto" w:fill="auto"/>
            <w:vAlign w:val="center"/>
            <w:hideMark/>
          </w:tcPr>
          <w:p w14:paraId="76085A59" w14:textId="77593442" w:rsidR="008259FD" w:rsidRPr="00D92E20" w:rsidRDefault="008259FD" w:rsidP="008259FD">
            <w:pPr>
              <w:spacing w:after="0" w:line="240" w:lineRule="auto"/>
              <w:jc w:val="right"/>
              <w:rPr>
                <w:rFonts w:cs="Arial"/>
                <w:color w:val="000000"/>
                <w:sz w:val="16"/>
                <w:szCs w:val="16"/>
              </w:rPr>
            </w:pPr>
            <w:r>
              <w:rPr>
                <w:rFonts w:cs="Arial"/>
                <w:sz w:val="16"/>
                <w:szCs w:val="16"/>
              </w:rPr>
              <w:t>27 542</w:t>
            </w:r>
          </w:p>
        </w:tc>
        <w:tc>
          <w:tcPr>
            <w:tcW w:w="707" w:type="dxa"/>
            <w:tcBorders>
              <w:top w:val="nil"/>
              <w:left w:val="single" w:sz="4" w:space="0" w:color="auto"/>
              <w:bottom w:val="nil"/>
              <w:right w:val="nil"/>
            </w:tcBorders>
            <w:shd w:val="clear" w:color="auto" w:fill="auto"/>
            <w:vAlign w:val="center"/>
            <w:hideMark/>
          </w:tcPr>
          <w:p w14:paraId="397EFB46" w14:textId="33966AE0" w:rsidR="008259FD" w:rsidRPr="00D92E20" w:rsidRDefault="008259FD" w:rsidP="008259FD">
            <w:pPr>
              <w:spacing w:after="0" w:line="240" w:lineRule="auto"/>
              <w:jc w:val="right"/>
              <w:rPr>
                <w:rFonts w:cs="Arial"/>
                <w:color w:val="000000"/>
                <w:sz w:val="16"/>
                <w:szCs w:val="16"/>
              </w:rPr>
            </w:pPr>
            <w:r>
              <w:rPr>
                <w:rFonts w:cs="Arial"/>
                <w:sz w:val="16"/>
                <w:szCs w:val="16"/>
              </w:rPr>
              <w:t>44 376</w:t>
            </w:r>
          </w:p>
        </w:tc>
        <w:tc>
          <w:tcPr>
            <w:tcW w:w="704" w:type="dxa"/>
            <w:tcBorders>
              <w:top w:val="nil"/>
              <w:left w:val="nil"/>
              <w:bottom w:val="nil"/>
              <w:right w:val="nil"/>
            </w:tcBorders>
            <w:shd w:val="clear" w:color="auto" w:fill="auto"/>
            <w:vAlign w:val="center"/>
            <w:hideMark/>
          </w:tcPr>
          <w:p w14:paraId="577A787B" w14:textId="7F356AEC" w:rsidR="008259FD" w:rsidRPr="00D92E20" w:rsidRDefault="008259FD" w:rsidP="008259FD">
            <w:pPr>
              <w:spacing w:after="0" w:line="240" w:lineRule="auto"/>
              <w:jc w:val="right"/>
              <w:rPr>
                <w:rFonts w:cs="Arial"/>
                <w:color w:val="000000"/>
                <w:sz w:val="16"/>
                <w:szCs w:val="16"/>
              </w:rPr>
            </w:pPr>
            <w:r>
              <w:rPr>
                <w:rFonts w:cs="Arial"/>
                <w:sz w:val="16"/>
                <w:szCs w:val="16"/>
              </w:rPr>
              <w:t>19 246</w:t>
            </w:r>
          </w:p>
        </w:tc>
        <w:tc>
          <w:tcPr>
            <w:tcW w:w="704" w:type="dxa"/>
            <w:tcBorders>
              <w:top w:val="nil"/>
              <w:left w:val="nil"/>
              <w:bottom w:val="nil"/>
              <w:right w:val="single" w:sz="4" w:space="0" w:color="auto"/>
            </w:tcBorders>
            <w:shd w:val="clear" w:color="auto" w:fill="auto"/>
            <w:vAlign w:val="center"/>
            <w:hideMark/>
          </w:tcPr>
          <w:p w14:paraId="106CEE8A" w14:textId="0CA0CFF2" w:rsidR="008259FD" w:rsidRPr="00D92E20" w:rsidRDefault="008259FD" w:rsidP="008259FD">
            <w:pPr>
              <w:spacing w:after="0" w:line="240" w:lineRule="auto"/>
              <w:jc w:val="right"/>
              <w:rPr>
                <w:rFonts w:cs="Arial"/>
                <w:color w:val="000000"/>
                <w:sz w:val="16"/>
                <w:szCs w:val="16"/>
              </w:rPr>
            </w:pPr>
            <w:r>
              <w:rPr>
                <w:rFonts w:cs="Arial"/>
                <w:sz w:val="16"/>
                <w:szCs w:val="16"/>
              </w:rPr>
              <w:t>25 130</w:t>
            </w:r>
          </w:p>
        </w:tc>
        <w:tc>
          <w:tcPr>
            <w:tcW w:w="754" w:type="dxa"/>
            <w:tcBorders>
              <w:top w:val="nil"/>
              <w:left w:val="nil"/>
              <w:bottom w:val="nil"/>
              <w:right w:val="nil"/>
            </w:tcBorders>
            <w:shd w:val="clear" w:color="auto" w:fill="auto"/>
            <w:vAlign w:val="center"/>
            <w:hideMark/>
          </w:tcPr>
          <w:p w14:paraId="3E07CE2B" w14:textId="5468B2B7" w:rsidR="008259FD" w:rsidRPr="00D92E20" w:rsidRDefault="008259FD" w:rsidP="008259FD">
            <w:pPr>
              <w:spacing w:after="0" w:line="240" w:lineRule="auto"/>
              <w:jc w:val="right"/>
              <w:rPr>
                <w:rFonts w:cs="Arial"/>
                <w:color w:val="000000"/>
                <w:sz w:val="16"/>
                <w:szCs w:val="16"/>
              </w:rPr>
            </w:pPr>
            <w:r>
              <w:rPr>
                <w:rFonts w:cs="Arial"/>
                <w:sz w:val="16"/>
                <w:szCs w:val="16"/>
              </w:rPr>
              <w:t>1 301</w:t>
            </w:r>
          </w:p>
        </w:tc>
        <w:tc>
          <w:tcPr>
            <w:tcW w:w="709" w:type="dxa"/>
            <w:tcBorders>
              <w:top w:val="nil"/>
              <w:left w:val="nil"/>
              <w:bottom w:val="nil"/>
              <w:right w:val="nil"/>
            </w:tcBorders>
            <w:shd w:val="clear" w:color="auto" w:fill="auto"/>
            <w:vAlign w:val="center"/>
            <w:hideMark/>
          </w:tcPr>
          <w:p w14:paraId="4C7D1DA3" w14:textId="54239B4B" w:rsidR="008259FD" w:rsidRPr="00D92E20" w:rsidRDefault="008259FD" w:rsidP="008259FD">
            <w:pPr>
              <w:spacing w:after="0" w:line="240" w:lineRule="auto"/>
              <w:jc w:val="right"/>
              <w:rPr>
                <w:rFonts w:cs="Arial"/>
                <w:color w:val="000000"/>
                <w:sz w:val="16"/>
                <w:szCs w:val="16"/>
              </w:rPr>
            </w:pPr>
            <w:r>
              <w:rPr>
                <w:rFonts w:cs="Arial"/>
                <w:sz w:val="16"/>
                <w:szCs w:val="16"/>
              </w:rPr>
              <w:t>876</w:t>
            </w:r>
          </w:p>
        </w:tc>
        <w:tc>
          <w:tcPr>
            <w:tcW w:w="709" w:type="dxa"/>
            <w:tcBorders>
              <w:top w:val="nil"/>
              <w:left w:val="nil"/>
              <w:bottom w:val="nil"/>
              <w:right w:val="single" w:sz="4" w:space="0" w:color="auto"/>
            </w:tcBorders>
            <w:shd w:val="clear" w:color="auto" w:fill="auto"/>
            <w:vAlign w:val="center"/>
            <w:hideMark/>
          </w:tcPr>
          <w:p w14:paraId="76E6E422" w14:textId="07D7268D" w:rsidR="008259FD" w:rsidRPr="00D92E20" w:rsidRDefault="008259FD" w:rsidP="008259FD">
            <w:pPr>
              <w:spacing w:after="0" w:line="240" w:lineRule="auto"/>
              <w:jc w:val="right"/>
              <w:rPr>
                <w:rFonts w:cs="Arial"/>
                <w:color w:val="000000"/>
                <w:sz w:val="16"/>
                <w:szCs w:val="16"/>
              </w:rPr>
            </w:pPr>
            <w:r>
              <w:rPr>
                <w:rFonts w:cs="Arial"/>
                <w:sz w:val="16"/>
                <w:szCs w:val="16"/>
              </w:rPr>
              <w:t>424</w:t>
            </w:r>
          </w:p>
        </w:tc>
        <w:tc>
          <w:tcPr>
            <w:tcW w:w="709" w:type="dxa"/>
            <w:tcBorders>
              <w:top w:val="nil"/>
              <w:left w:val="nil"/>
              <w:bottom w:val="nil"/>
              <w:right w:val="nil"/>
            </w:tcBorders>
            <w:shd w:val="clear" w:color="auto" w:fill="auto"/>
            <w:vAlign w:val="center"/>
            <w:hideMark/>
          </w:tcPr>
          <w:p w14:paraId="12CAD81A" w14:textId="55D03418" w:rsidR="008259FD" w:rsidRPr="00D92E20" w:rsidRDefault="008259FD" w:rsidP="008259FD">
            <w:pPr>
              <w:spacing w:after="0" w:line="240" w:lineRule="auto"/>
              <w:jc w:val="right"/>
              <w:rPr>
                <w:rFonts w:cs="Arial"/>
                <w:color w:val="000000"/>
                <w:sz w:val="16"/>
                <w:szCs w:val="16"/>
              </w:rPr>
            </w:pPr>
            <w:r>
              <w:rPr>
                <w:rFonts w:cs="Arial"/>
                <w:sz w:val="16"/>
                <w:szCs w:val="16"/>
              </w:rPr>
              <w:t>4 711</w:t>
            </w:r>
          </w:p>
        </w:tc>
        <w:tc>
          <w:tcPr>
            <w:tcW w:w="709" w:type="dxa"/>
            <w:tcBorders>
              <w:top w:val="nil"/>
              <w:left w:val="nil"/>
              <w:bottom w:val="nil"/>
              <w:right w:val="nil"/>
            </w:tcBorders>
            <w:shd w:val="clear" w:color="auto" w:fill="auto"/>
            <w:vAlign w:val="center"/>
            <w:hideMark/>
          </w:tcPr>
          <w:p w14:paraId="0AD118B8" w14:textId="44ECF1B9" w:rsidR="008259FD" w:rsidRPr="00D92E20" w:rsidRDefault="008259FD" w:rsidP="008259FD">
            <w:pPr>
              <w:spacing w:after="0" w:line="240" w:lineRule="auto"/>
              <w:jc w:val="right"/>
              <w:rPr>
                <w:rFonts w:cs="Arial"/>
                <w:color w:val="000000"/>
                <w:sz w:val="16"/>
                <w:szCs w:val="16"/>
              </w:rPr>
            </w:pPr>
            <w:r>
              <w:rPr>
                <w:rFonts w:cs="Arial"/>
                <w:sz w:val="16"/>
                <w:szCs w:val="16"/>
              </w:rPr>
              <w:t>2 723</w:t>
            </w:r>
          </w:p>
        </w:tc>
        <w:tc>
          <w:tcPr>
            <w:tcW w:w="709" w:type="dxa"/>
            <w:tcBorders>
              <w:top w:val="nil"/>
              <w:left w:val="nil"/>
              <w:bottom w:val="nil"/>
              <w:right w:val="nil"/>
            </w:tcBorders>
            <w:shd w:val="clear" w:color="auto" w:fill="auto"/>
            <w:vAlign w:val="center"/>
            <w:hideMark/>
          </w:tcPr>
          <w:p w14:paraId="12ADF1F6" w14:textId="5A2F770C" w:rsidR="008259FD" w:rsidRPr="00D92E20" w:rsidRDefault="008259FD" w:rsidP="008259FD">
            <w:pPr>
              <w:spacing w:after="0" w:line="240" w:lineRule="auto"/>
              <w:jc w:val="right"/>
              <w:rPr>
                <w:rFonts w:cs="Arial"/>
                <w:color w:val="000000"/>
                <w:sz w:val="16"/>
                <w:szCs w:val="16"/>
              </w:rPr>
            </w:pPr>
            <w:r>
              <w:rPr>
                <w:rFonts w:cs="Arial"/>
                <w:sz w:val="16"/>
                <w:szCs w:val="16"/>
              </w:rPr>
              <w:t>1 988</w:t>
            </w:r>
          </w:p>
        </w:tc>
      </w:tr>
    </w:tbl>
    <w:p w14:paraId="3AFF854C" w14:textId="77777777" w:rsidR="00461B62" w:rsidRPr="00D92E20" w:rsidRDefault="00461B62" w:rsidP="00BA6B4E">
      <w:pPr>
        <w:spacing w:before="120" w:after="120"/>
        <w:rPr>
          <w:sz w:val="16"/>
        </w:rPr>
      </w:pPr>
      <w:r w:rsidRPr="00D92E20">
        <w:rPr>
          <w:sz w:val="16"/>
        </w:rPr>
        <w:t>Zdroj: ČSÚ</w:t>
      </w:r>
    </w:p>
    <w:p w14:paraId="3F491DC2" w14:textId="35AB361E" w:rsidR="003F1873" w:rsidRDefault="00DE263C" w:rsidP="009208D0">
      <w:pPr>
        <w:spacing w:before="120" w:after="120"/>
        <w:jc w:val="both"/>
      </w:pPr>
      <w:r w:rsidRPr="00D92E20">
        <w:t xml:space="preserve">Počet prostonaných dnů v jednotlivých pololetích </w:t>
      </w:r>
      <w:r w:rsidR="00982C1D" w:rsidRPr="00D92E20">
        <w:t>dokresluje tvrzení o značně vyšším počtu nahlášených případů pro nemoc během první poloviny roku.</w:t>
      </w:r>
      <w:r w:rsidRPr="00D92E20">
        <w:t xml:space="preserve"> </w:t>
      </w:r>
      <w:r w:rsidR="008259FD" w:rsidRPr="00D92E20">
        <w:t xml:space="preserve">Největší rozdíl mezi 1. a 2. pololetím byl </w:t>
      </w:r>
      <w:r w:rsidR="008259FD">
        <w:t xml:space="preserve">do roku 2021 </w:t>
      </w:r>
      <w:r w:rsidR="008259FD" w:rsidRPr="00D92E20">
        <w:t>zaznamenán</w:t>
      </w:r>
      <w:r w:rsidR="00982C1D" w:rsidRPr="00D92E20">
        <w:t xml:space="preserve"> v roce 2017 a činil 4,4 mil. dnů.</w:t>
      </w:r>
      <w:r w:rsidR="000D642E" w:rsidRPr="00D92E20">
        <w:t xml:space="preserve"> Postupně se však snižoval. Ve </w:t>
      </w:r>
      <w:r w:rsidR="00A80D3E">
        <w:t>2.</w:t>
      </w:r>
      <w:r w:rsidR="000D642E" w:rsidRPr="00D92E20">
        <w:t xml:space="preserve"> pololetí roku 2019 se počet dnů v </w:t>
      </w:r>
      <w:r w:rsidR="00705162" w:rsidRPr="00D92E20">
        <w:t>pracovní</w:t>
      </w:r>
      <w:r w:rsidR="000D642E" w:rsidRPr="00D92E20">
        <w:t xml:space="preserve"> neschopnosti zvýšil z důvodu zrušení karenční doby.</w:t>
      </w:r>
      <w:r w:rsidR="00982C1D" w:rsidRPr="00D92E20">
        <w:t xml:space="preserve"> </w:t>
      </w:r>
      <w:r w:rsidR="000D642E" w:rsidRPr="00D92E20">
        <w:t xml:space="preserve">V roce 2020 se počet dnů v pracovní neschopnosti pro nemoc v 1. a 2. pololetí lišil </w:t>
      </w:r>
      <w:r w:rsidR="003F7F34" w:rsidRPr="00D92E20">
        <w:t xml:space="preserve">pouze </w:t>
      </w:r>
      <w:r w:rsidR="000D642E" w:rsidRPr="00D92E20">
        <w:t>o 800 tis. Graf 2.7 dále značí skokový nárůst počtu kalendářních dnů pracovní neschopnosti pro nemoc mezi rok</w:t>
      </w:r>
      <w:r w:rsidR="003F7F34" w:rsidRPr="00D92E20">
        <w:t>em</w:t>
      </w:r>
      <w:r w:rsidR="000D642E" w:rsidRPr="00D92E20">
        <w:t xml:space="preserve"> 2019 a 2020</w:t>
      </w:r>
      <w:r w:rsidR="00143513">
        <w:t>, který pokračoval</w:t>
      </w:r>
      <w:r w:rsidR="000A0257">
        <w:t xml:space="preserve"> i v 1. pol. 2021. Při srovnání 1.</w:t>
      </w:r>
      <w:r w:rsidR="00CD63E8">
        <w:t> </w:t>
      </w:r>
      <w:r w:rsidR="000A0257">
        <w:t>pol. 2021 s 1. pololetími v letech 2018 a 2019 přibylo 10 mil. dnů strávených v dočasné pracovní neschopnosti.</w:t>
      </w:r>
    </w:p>
    <w:p w14:paraId="6F4EF1E3" w14:textId="384EB182" w:rsidR="00473D4E" w:rsidRDefault="0059291F" w:rsidP="009208D0">
      <w:pPr>
        <w:spacing w:before="120" w:after="120"/>
        <w:jc w:val="both"/>
      </w:pPr>
      <w:r>
        <w:t>V roce 2021 byl rozdíl v počtu dnů pracovní neschopnosti pro nemoc mezi první a druhou polovinou roku více než 7 mil. dnů. V prvním pololetí bylo vykázáno 45 mil. dnů pracovní neschopnosti, v druhém pololetí 38 mil. Dá se usuzovat, že za enormním nárůstem v 1. pol. 2021 stojí případy související s onemocněním covid-19, konkrétně i opatření proti šíření nákazy, změny v nárocích na testy, doba trvání karantény, odlišné podmínky pro očkované a neočkované apod. Počet kalendářních dnů pro nemoc v 1. pol. 2022 oproti situaci před rokem víceméně stagnoval.</w:t>
      </w:r>
    </w:p>
    <w:p w14:paraId="3DFCA091" w14:textId="77777777" w:rsidR="00473D4E" w:rsidRDefault="00473D4E">
      <w:pPr>
        <w:spacing w:after="0" w:line="240" w:lineRule="auto"/>
      </w:pPr>
      <w:r>
        <w:br w:type="page"/>
      </w:r>
    </w:p>
    <w:p w14:paraId="73077F81" w14:textId="027500DB" w:rsidR="003F1873" w:rsidRPr="00D92E20" w:rsidRDefault="003F1873" w:rsidP="00BA6B4E">
      <w:pPr>
        <w:spacing w:after="0"/>
        <w:jc w:val="both"/>
        <w:rPr>
          <w:b/>
        </w:rPr>
      </w:pPr>
      <w:r w:rsidRPr="00D92E20">
        <w:rPr>
          <w:b/>
        </w:rPr>
        <w:lastRenderedPageBreak/>
        <w:t xml:space="preserve">Graf 2.7: Kalendářní dny dočasné pracovní neschopnosti pro nemoc, </w:t>
      </w:r>
      <w:r w:rsidR="000A0257" w:rsidRPr="000A0257">
        <w:rPr>
          <w:b/>
        </w:rPr>
        <w:t>201</w:t>
      </w:r>
      <w:r w:rsidR="008259FD">
        <w:rPr>
          <w:b/>
        </w:rPr>
        <w:t>7–1. pol. 2022</w:t>
      </w:r>
    </w:p>
    <w:p w14:paraId="01B36483" w14:textId="2B21787A" w:rsidR="003F1873" w:rsidRPr="00D92E20" w:rsidRDefault="008259FD" w:rsidP="00461B62">
      <w:pPr>
        <w:jc w:val="both"/>
      </w:pPr>
      <w:r>
        <w:rPr>
          <w:noProof/>
        </w:rPr>
        <w:drawing>
          <wp:inline distT="0" distB="0" distL="0" distR="0" wp14:anchorId="3E17B25E" wp14:editId="0D3C16A6">
            <wp:extent cx="6067425" cy="2686050"/>
            <wp:effectExtent l="0" t="0" r="9525" b="0"/>
            <wp:docPr id="14" name="Graf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5A23B7C0" w14:textId="77777777" w:rsidR="003F1873" w:rsidRPr="00D92E20" w:rsidRDefault="003F1873" w:rsidP="00BA6B4E">
      <w:pPr>
        <w:spacing w:before="120" w:after="120"/>
        <w:rPr>
          <w:sz w:val="16"/>
        </w:rPr>
      </w:pPr>
      <w:r w:rsidRPr="00D92E20">
        <w:rPr>
          <w:sz w:val="16"/>
        </w:rPr>
        <w:t>Zdroj: ČSÚ</w:t>
      </w:r>
    </w:p>
    <w:p w14:paraId="274D2981" w14:textId="72A1C7CF" w:rsidR="000D642E" w:rsidRDefault="000D642E" w:rsidP="00BA6B4E">
      <w:pPr>
        <w:spacing w:before="120" w:after="120"/>
        <w:jc w:val="both"/>
      </w:pPr>
      <w:r w:rsidRPr="00D92E20">
        <w:t xml:space="preserve">Při pohledu na relativní ukazatel, který </w:t>
      </w:r>
      <w:r w:rsidR="00964EAF">
        <w:t>říká</w:t>
      </w:r>
      <w:r w:rsidRPr="00D92E20">
        <w:t xml:space="preserve">, jak dlouho v průměru </w:t>
      </w:r>
      <w:r w:rsidRPr="00D92E20">
        <w:rPr>
          <w:b/>
        </w:rPr>
        <w:t>trval 1 případ pracovní neschopnosti pro nemoc</w:t>
      </w:r>
      <w:r w:rsidRPr="00D92E20">
        <w:t xml:space="preserve">, zjistíme, že v prvním pololetí </w:t>
      </w:r>
      <w:r w:rsidR="0059291F">
        <w:t>už druhý rok po sobě</w:t>
      </w:r>
      <w:r w:rsidR="00964EAF">
        <w:t xml:space="preserve"> jeho hodnota</w:t>
      </w:r>
      <w:r w:rsidR="0059291F">
        <w:t xml:space="preserve"> klesá. A sice z 34,8 dne v 1. pol. 2021 na 22,8 dne v 1. pol. 2022. </w:t>
      </w:r>
      <w:r w:rsidRPr="00D92E20">
        <w:t>Dá se říci, že přibylo krátkodobých pracovních neschopností z důvodu nemoci</w:t>
      </w:r>
      <w:r w:rsidR="00285F60">
        <w:t>, tedy vč.</w:t>
      </w:r>
      <w:r w:rsidR="00CD63E8">
        <w:t> </w:t>
      </w:r>
      <w:r w:rsidR="00285F60">
        <w:t>neschopenek z důvodu karantén</w:t>
      </w:r>
      <w:r w:rsidRPr="00D92E20">
        <w:t>.</w:t>
      </w:r>
    </w:p>
    <w:p w14:paraId="504D7785" w14:textId="2ABE8AE0" w:rsidR="00350B58" w:rsidRPr="00D92E20" w:rsidRDefault="00350B58" w:rsidP="00350B58">
      <w:pPr>
        <w:jc w:val="both"/>
      </w:pPr>
      <w:r w:rsidRPr="00D92E20">
        <w:t>Průměrná délka trvání jednoho případu pracovní neschopnosti</w:t>
      </w:r>
      <w:r w:rsidR="0050059C">
        <w:t>,</w:t>
      </w:r>
      <w:r w:rsidRPr="00D92E20">
        <w:t xml:space="preserve"> ať už pro nemoc či úraz</w:t>
      </w:r>
      <w:r w:rsidR="0050059C">
        <w:t>,</w:t>
      </w:r>
      <w:r w:rsidRPr="00D92E20">
        <w:t xml:space="preserve"> meziročně klesla </w:t>
      </w:r>
      <w:r w:rsidR="0059291F">
        <w:t xml:space="preserve">téměř </w:t>
      </w:r>
      <w:r w:rsidRPr="00D92E20">
        <w:t>o </w:t>
      </w:r>
      <w:r w:rsidR="0059291F">
        <w:t>12</w:t>
      </w:r>
      <w:r w:rsidRPr="00D92E20">
        <w:t> dn</w:t>
      </w:r>
      <w:r>
        <w:t>ů</w:t>
      </w:r>
      <w:r w:rsidRPr="00D92E20">
        <w:t xml:space="preserve">. Ze </w:t>
      </w:r>
      <w:r>
        <w:t>3</w:t>
      </w:r>
      <w:r w:rsidR="0059291F">
        <w:t>6,3</w:t>
      </w:r>
      <w:r w:rsidRPr="00D92E20">
        <w:t xml:space="preserve"> dne v</w:t>
      </w:r>
      <w:r>
        <w:t> 1. pol. 202</w:t>
      </w:r>
      <w:r w:rsidR="0059291F">
        <w:t>1</w:t>
      </w:r>
      <w:r w:rsidRPr="00D92E20">
        <w:t xml:space="preserve"> na </w:t>
      </w:r>
      <w:r w:rsidR="0059291F">
        <w:t>24,5</w:t>
      </w:r>
      <w:r w:rsidRPr="00D92E20">
        <w:t xml:space="preserve"> dne v</w:t>
      </w:r>
      <w:r>
        <w:t> 1. pol. 202</w:t>
      </w:r>
      <w:r w:rsidR="0059291F">
        <w:t>2</w:t>
      </w:r>
      <w:r w:rsidRPr="00D92E20">
        <w:t xml:space="preserve">. Nachází se tak na nejnižší úrovni za </w:t>
      </w:r>
      <w:r w:rsidR="009A2109">
        <w:t>více než dvacet let.</w:t>
      </w:r>
      <w:r w:rsidRPr="00D92E20">
        <w:t xml:space="preserve"> </w:t>
      </w:r>
      <w:r w:rsidRPr="00AE4AEB">
        <w:rPr>
          <w:b/>
        </w:rPr>
        <w:t>Nemoc</w:t>
      </w:r>
      <w:r w:rsidRPr="00AE4AEB">
        <w:t xml:space="preserve"> </w:t>
      </w:r>
      <w:r w:rsidR="0050059C">
        <w:t xml:space="preserve">v </w:t>
      </w:r>
      <w:r w:rsidRPr="00AE4AEB">
        <w:t>1. pol. 202</w:t>
      </w:r>
      <w:r w:rsidR="0059291F">
        <w:t>2</w:t>
      </w:r>
      <w:r w:rsidRPr="00AE4AEB">
        <w:t xml:space="preserve"> způsobila pracovní neschopnost o průměrné délce </w:t>
      </w:r>
      <w:r w:rsidR="00BC1D43">
        <w:t>23</w:t>
      </w:r>
      <w:r w:rsidRPr="00AE4AEB">
        <w:t xml:space="preserve"> dnů, neschopnost pro</w:t>
      </w:r>
      <w:r w:rsidR="00CD63E8">
        <w:t> </w:t>
      </w:r>
      <w:r w:rsidRPr="00AE4AEB">
        <w:rPr>
          <w:b/>
        </w:rPr>
        <w:t>pracovní i mimopracovní úraz</w:t>
      </w:r>
      <w:r w:rsidRPr="00AE4AEB">
        <w:t xml:space="preserve"> trvala v prů</w:t>
      </w:r>
      <w:r w:rsidR="00BC1D43">
        <w:t>měru zhruba o 3</w:t>
      </w:r>
      <w:r w:rsidRPr="00AE4AEB">
        <w:t>2 dnů déle.</w:t>
      </w:r>
      <w:r w:rsidR="00BC1D43">
        <w:t xml:space="preserve"> V 1. pol. 2021 byl rozdíl v délce pracovní neschopnosti pro nemoc oproti úrazu 22 dní. Lze vidět, že úrazy se, co se týče délky pracovní indispozice, příliš nezměnily, došlo pouze k poklesu v délce neschopností z důvodu nemoci.</w:t>
      </w:r>
    </w:p>
    <w:p w14:paraId="46EF03AE" w14:textId="229423E8" w:rsidR="00350B58" w:rsidRPr="0050059C" w:rsidRDefault="00350B58" w:rsidP="00350B58">
      <w:pPr>
        <w:spacing w:after="0"/>
        <w:jc w:val="both"/>
        <w:rPr>
          <w:b/>
          <w:spacing w:val="-2"/>
        </w:rPr>
      </w:pPr>
      <w:r w:rsidRPr="0050059C">
        <w:rPr>
          <w:b/>
          <w:spacing w:val="-2"/>
        </w:rPr>
        <w:t>Tab. 2.5: Průměrná délka trvání dočasné pracovní neschopnosti podle pohlaví, 1. pol. 201</w:t>
      </w:r>
      <w:r w:rsidR="0059291F">
        <w:rPr>
          <w:b/>
          <w:spacing w:val="-2"/>
        </w:rPr>
        <w:t>2</w:t>
      </w:r>
      <w:r w:rsidRPr="0050059C">
        <w:rPr>
          <w:b/>
          <w:spacing w:val="-2"/>
        </w:rPr>
        <w:t xml:space="preserve"> až 1. pol. 202</w:t>
      </w:r>
      <w:r w:rsidR="0059291F">
        <w:rPr>
          <w:b/>
          <w:spacing w:val="-2"/>
        </w:rPr>
        <w:t>2</w:t>
      </w:r>
    </w:p>
    <w:tbl>
      <w:tblPr>
        <w:tblW w:w="9641" w:type="dxa"/>
        <w:tblCellMar>
          <w:left w:w="70" w:type="dxa"/>
          <w:right w:w="70" w:type="dxa"/>
        </w:tblCellMar>
        <w:tblLook w:val="04A0" w:firstRow="1" w:lastRow="0" w:firstColumn="1" w:lastColumn="0" w:noHBand="0" w:noVBand="1"/>
      </w:tblPr>
      <w:tblGrid>
        <w:gridCol w:w="907"/>
        <w:gridCol w:w="794"/>
        <w:gridCol w:w="794"/>
        <w:gridCol w:w="794"/>
        <w:gridCol w:w="794"/>
        <w:gridCol w:w="794"/>
        <w:gridCol w:w="794"/>
        <w:gridCol w:w="794"/>
        <w:gridCol w:w="794"/>
        <w:gridCol w:w="794"/>
        <w:gridCol w:w="794"/>
        <w:gridCol w:w="794"/>
      </w:tblGrid>
      <w:tr w:rsidR="0059291F" w:rsidRPr="00D92E20" w14:paraId="64911219" w14:textId="77777777" w:rsidTr="00107D20">
        <w:trPr>
          <w:trHeight w:val="300"/>
        </w:trPr>
        <w:tc>
          <w:tcPr>
            <w:tcW w:w="907" w:type="dxa"/>
            <w:tcBorders>
              <w:top w:val="single" w:sz="4" w:space="0" w:color="auto"/>
              <w:left w:val="nil"/>
              <w:bottom w:val="single" w:sz="4" w:space="0" w:color="auto"/>
              <w:right w:val="single" w:sz="4" w:space="0" w:color="auto"/>
            </w:tcBorders>
            <w:shd w:val="clear" w:color="000000" w:fill="F5DADD"/>
            <w:vAlign w:val="center"/>
            <w:hideMark/>
          </w:tcPr>
          <w:p w14:paraId="5A6D064C" w14:textId="77777777" w:rsidR="0059291F" w:rsidRPr="00D92E20" w:rsidRDefault="0059291F" w:rsidP="0059291F">
            <w:pPr>
              <w:spacing w:after="0" w:line="240" w:lineRule="auto"/>
              <w:jc w:val="center"/>
              <w:rPr>
                <w:rFonts w:cs="Arial"/>
                <w:sz w:val="16"/>
                <w:szCs w:val="16"/>
              </w:rPr>
            </w:pPr>
            <w:r>
              <w:rPr>
                <w:rFonts w:cs="Arial"/>
                <w:sz w:val="16"/>
                <w:szCs w:val="16"/>
              </w:rPr>
              <w:t>Období</w:t>
            </w:r>
          </w:p>
        </w:tc>
        <w:tc>
          <w:tcPr>
            <w:tcW w:w="794" w:type="dxa"/>
            <w:tcBorders>
              <w:top w:val="single" w:sz="4" w:space="0" w:color="auto"/>
              <w:left w:val="nil"/>
              <w:bottom w:val="single" w:sz="4" w:space="0" w:color="auto"/>
              <w:right w:val="nil"/>
            </w:tcBorders>
            <w:shd w:val="clear" w:color="000000" w:fill="F5DADD"/>
            <w:vAlign w:val="center"/>
            <w:hideMark/>
          </w:tcPr>
          <w:p w14:paraId="23977484" w14:textId="5AD06E7B" w:rsidR="0059291F" w:rsidRPr="00D92E20" w:rsidRDefault="0059291F" w:rsidP="0059291F">
            <w:pPr>
              <w:spacing w:after="0" w:line="240" w:lineRule="auto"/>
              <w:jc w:val="center"/>
              <w:rPr>
                <w:rFonts w:cs="Arial"/>
                <w:sz w:val="16"/>
                <w:szCs w:val="16"/>
              </w:rPr>
            </w:pPr>
            <w:r>
              <w:rPr>
                <w:rFonts w:cs="Arial"/>
                <w:sz w:val="16"/>
                <w:szCs w:val="16"/>
              </w:rPr>
              <w:t xml:space="preserve">1. pol. </w:t>
            </w:r>
            <w:r>
              <w:rPr>
                <w:rFonts w:cs="Arial"/>
                <w:sz w:val="16"/>
                <w:szCs w:val="16"/>
              </w:rPr>
              <w:br/>
              <w:t>2012</w:t>
            </w:r>
          </w:p>
        </w:tc>
        <w:tc>
          <w:tcPr>
            <w:tcW w:w="794" w:type="dxa"/>
            <w:tcBorders>
              <w:top w:val="single" w:sz="4" w:space="0" w:color="auto"/>
              <w:left w:val="nil"/>
              <w:bottom w:val="single" w:sz="4" w:space="0" w:color="auto"/>
              <w:right w:val="nil"/>
            </w:tcBorders>
            <w:shd w:val="clear" w:color="000000" w:fill="F5DADD"/>
            <w:vAlign w:val="center"/>
            <w:hideMark/>
          </w:tcPr>
          <w:p w14:paraId="045DBCCE" w14:textId="5C383EC5" w:rsidR="0059291F" w:rsidRPr="00D92E20" w:rsidRDefault="0059291F" w:rsidP="0059291F">
            <w:pPr>
              <w:spacing w:after="0" w:line="240" w:lineRule="auto"/>
              <w:jc w:val="center"/>
              <w:rPr>
                <w:rFonts w:cs="Arial"/>
                <w:sz w:val="16"/>
                <w:szCs w:val="16"/>
              </w:rPr>
            </w:pPr>
            <w:r>
              <w:rPr>
                <w:rFonts w:cs="Arial"/>
                <w:sz w:val="16"/>
                <w:szCs w:val="16"/>
              </w:rPr>
              <w:t xml:space="preserve">1. pol. </w:t>
            </w:r>
            <w:r>
              <w:rPr>
                <w:rFonts w:cs="Arial"/>
                <w:sz w:val="16"/>
                <w:szCs w:val="16"/>
              </w:rPr>
              <w:br/>
              <w:t>2013</w:t>
            </w:r>
          </w:p>
        </w:tc>
        <w:tc>
          <w:tcPr>
            <w:tcW w:w="794" w:type="dxa"/>
            <w:tcBorders>
              <w:top w:val="single" w:sz="4" w:space="0" w:color="auto"/>
              <w:left w:val="nil"/>
              <w:bottom w:val="single" w:sz="4" w:space="0" w:color="auto"/>
              <w:right w:val="nil"/>
            </w:tcBorders>
            <w:shd w:val="clear" w:color="000000" w:fill="F5DADD"/>
            <w:vAlign w:val="center"/>
            <w:hideMark/>
          </w:tcPr>
          <w:p w14:paraId="1B20DDF1" w14:textId="779D0981" w:rsidR="0059291F" w:rsidRPr="00D92E20" w:rsidRDefault="0059291F" w:rsidP="0059291F">
            <w:pPr>
              <w:spacing w:after="0" w:line="240" w:lineRule="auto"/>
              <w:jc w:val="center"/>
              <w:rPr>
                <w:rFonts w:cs="Arial"/>
                <w:sz w:val="16"/>
                <w:szCs w:val="16"/>
              </w:rPr>
            </w:pPr>
            <w:r>
              <w:rPr>
                <w:rFonts w:cs="Arial"/>
                <w:sz w:val="16"/>
                <w:szCs w:val="16"/>
              </w:rPr>
              <w:t xml:space="preserve">1. pol. </w:t>
            </w:r>
            <w:r>
              <w:rPr>
                <w:rFonts w:cs="Arial"/>
                <w:sz w:val="16"/>
                <w:szCs w:val="16"/>
              </w:rPr>
              <w:br/>
              <w:t>2014</w:t>
            </w:r>
          </w:p>
        </w:tc>
        <w:tc>
          <w:tcPr>
            <w:tcW w:w="794" w:type="dxa"/>
            <w:tcBorders>
              <w:top w:val="single" w:sz="4" w:space="0" w:color="auto"/>
              <w:left w:val="nil"/>
              <w:bottom w:val="single" w:sz="4" w:space="0" w:color="auto"/>
              <w:right w:val="nil"/>
            </w:tcBorders>
            <w:shd w:val="clear" w:color="000000" w:fill="F5DADD"/>
            <w:vAlign w:val="center"/>
            <w:hideMark/>
          </w:tcPr>
          <w:p w14:paraId="56EF1561" w14:textId="5357902E" w:rsidR="0059291F" w:rsidRPr="00D92E20" w:rsidRDefault="0059291F" w:rsidP="0059291F">
            <w:pPr>
              <w:spacing w:after="0" w:line="240" w:lineRule="auto"/>
              <w:jc w:val="center"/>
              <w:rPr>
                <w:rFonts w:cs="Arial"/>
                <w:sz w:val="16"/>
                <w:szCs w:val="16"/>
              </w:rPr>
            </w:pPr>
            <w:r>
              <w:rPr>
                <w:rFonts w:cs="Arial"/>
                <w:sz w:val="16"/>
                <w:szCs w:val="16"/>
              </w:rPr>
              <w:t xml:space="preserve">1. pol. </w:t>
            </w:r>
            <w:r>
              <w:rPr>
                <w:rFonts w:cs="Arial"/>
                <w:sz w:val="16"/>
                <w:szCs w:val="16"/>
              </w:rPr>
              <w:br/>
              <w:t>2015</w:t>
            </w:r>
          </w:p>
        </w:tc>
        <w:tc>
          <w:tcPr>
            <w:tcW w:w="794" w:type="dxa"/>
            <w:tcBorders>
              <w:top w:val="single" w:sz="4" w:space="0" w:color="auto"/>
              <w:left w:val="nil"/>
              <w:bottom w:val="single" w:sz="4" w:space="0" w:color="auto"/>
              <w:right w:val="nil"/>
            </w:tcBorders>
            <w:shd w:val="clear" w:color="000000" w:fill="F5DADD"/>
            <w:vAlign w:val="center"/>
            <w:hideMark/>
          </w:tcPr>
          <w:p w14:paraId="2D14183C" w14:textId="66C84F6A" w:rsidR="0059291F" w:rsidRPr="00D92E20" w:rsidRDefault="0059291F" w:rsidP="0059291F">
            <w:pPr>
              <w:spacing w:after="0" w:line="240" w:lineRule="auto"/>
              <w:jc w:val="center"/>
              <w:rPr>
                <w:rFonts w:cs="Arial"/>
                <w:sz w:val="16"/>
                <w:szCs w:val="16"/>
              </w:rPr>
            </w:pPr>
            <w:r>
              <w:rPr>
                <w:rFonts w:cs="Arial"/>
                <w:sz w:val="16"/>
                <w:szCs w:val="16"/>
              </w:rPr>
              <w:t xml:space="preserve">1. pol. </w:t>
            </w:r>
            <w:r>
              <w:rPr>
                <w:rFonts w:cs="Arial"/>
                <w:sz w:val="16"/>
                <w:szCs w:val="16"/>
              </w:rPr>
              <w:br/>
              <w:t>2016</w:t>
            </w:r>
          </w:p>
        </w:tc>
        <w:tc>
          <w:tcPr>
            <w:tcW w:w="794" w:type="dxa"/>
            <w:tcBorders>
              <w:top w:val="single" w:sz="4" w:space="0" w:color="auto"/>
              <w:left w:val="nil"/>
              <w:bottom w:val="single" w:sz="4" w:space="0" w:color="auto"/>
              <w:right w:val="nil"/>
            </w:tcBorders>
            <w:shd w:val="clear" w:color="000000" w:fill="F5DADD"/>
            <w:vAlign w:val="center"/>
            <w:hideMark/>
          </w:tcPr>
          <w:p w14:paraId="76F28225" w14:textId="43CB644D" w:rsidR="0059291F" w:rsidRPr="00D92E20" w:rsidRDefault="0059291F" w:rsidP="0059291F">
            <w:pPr>
              <w:spacing w:after="0" w:line="240" w:lineRule="auto"/>
              <w:jc w:val="center"/>
              <w:rPr>
                <w:rFonts w:cs="Arial"/>
                <w:sz w:val="16"/>
                <w:szCs w:val="16"/>
              </w:rPr>
            </w:pPr>
            <w:r>
              <w:rPr>
                <w:rFonts w:cs="Arial"/>
                <w:sz w:val="16"/>
                <w:szCs w:val="16"/>
              </w:rPr>
              <w:t xml:space="preserve">1. pol. </w:t>
            </w:r>
            <w:r>
              <w:rPr>
                <w:rFonts w:cs="Arial"/>
                <w:sz w:val="16"/>
                <w:szCs w:val="16"/>
              </w:rPr>
              <w:br/>
              <w:t>2017</w:t>
            </w:r>
          </w:p>
        </w:tc>
        <w:tc>
          <w:tcPr>
            <w:tcW w:w="794" w:type="dxa"/>
            <w:tcBorders>
              <w:top w:val="single" w:sz="4" w:space="0" w:color="auto"/>
              <w:left w:val="nil"/>
              <w:bottom w:val="single" w:sz="4" w:space="0" w:color="auto"/>
              <w:right w:val="nil"/>
            </w:tcBorders>
            <w:shd w:val="clear" w:color="000000" w:fill="F5DADD"/>
            <w:vAlign w:val="center"/>
            <w:hideMark/>
          </w:tcPr>
          <w:p w14:paraId="5077C92A" w14:textId="0EA7761D" w:rsidR="0059291F" w:rsidRPr="00D92E20" w:rsidRDefault="0059291F" w:rsidP="0059291F">
            <w:pPr>
              <w:spacing w:after="0" w:line="240" w:lineRule="auto"/>
              <w:jc w:val="center"/>
              <w:rPr>
                <w:rFonts w:cs="Arial"/>
                <w:sz w:val="16"/>
                <w:szCs w:val="16"/>
              </w:rPr>
            </w:pPr>
            <w:r>
              <w:rPr>
                <w:rFonts w:cs="Arial"/>
                <w:sz w:val="16"/>
                <w:szCs w:val="16"/>
              </w:rPr>
              <w:t xml:space="preserve">1. pol. </w:t>
            </w:r>
            <w:r>
              <w:rPr>
                <w:rFonts w:cs="Arial"/>
                <w:sz w:val="16"/>
                <w:szCs w:val="16"/>
              </w:rPr>
              <w:br/>
              <w:t>2018</w:t>
            </w:r>
          </w:p>
        </w:tc>
        <w:tc>
          <w:tcPr>
            <w:tcW w:w="794" w:type="dxa"/>
            <w:tcBorders>
              <w:top w:val="single" w:sz="4" w:space="0" w:color="auto"/>
              <w:left w:val="nil"/>
              <w:bottom w:val="single" w:sz="4" w:space="0" w:color="auto"/>
              <w:right w:val="nil"/>
            </w:tcBorders>
            <w:shd w:val="clear" w:color="000000" w:fill="F5DADD"/>
            <w:vAlign w:val="center"/>
            <w:hideMark/>
          </w:tcPr>
          <w:p w14:paraId="1E6D36B0" w14:textId="2480D3B2" w:rsidR="0059291F" w:rsidRPr="00D92E20" w:rsidRDefault="0059291F" w:rsidP="0059291F">
            <w:pPr>
              <w:spacing w:after="0" w:line="240" w:lineRule="auto"/>
              <w:jc w:val="center"/>
              <w:rPr>
                <w:rFonts w:cs="Arial"/>
                <w:sz w:val="16"/>
                <w:szCs w:val="16"/>
              </w:rPr>
            </w:pPr>
            <w:r>
              <w:rPr>
                <w:rFonts w:cs="Arial"/>
                <w:sz w:val="16"/>
                <w:szCs w:val="16"/>
              </w:rPr>
              <w:t>1. pol. 2019</w:t>
            </w:r>
          </w:p>
        </w:tc>
        <w:tc>
          <w:tcPr>
            <w:tcW w:w="794" w:type="dxa"/>
            <w:tcBorders>
              <w:top w:val="single" w:sz="4" w:space="0" w:color="auto"/>
              <w:left w:val="nil"/>
              <w:bottom w:val="single" w:sz="4" w:space="0" w:color="auto"/>
              <w:right w:val="nil"/>
            </w:tcBorders>
            <w:shd w:val="clear" w:color="000000" w:fill="F5DADD"/>
            <w:vAlign w:val="center"/>
            <w:hideMark/>
          </w:tcPr>
          <w:p w14:paraId="5ED7BD07" w14:textId="06BFD163" w:rsidR="0059291F" w:rsidRPr="00D92E20" w:rsidRDefault="0059291F" w:rsidP="0059291F">
            <w:pPr>
              <w:spacing w:after="0" w:line="240" w:lineRule="auto"/>
              <w:jc w:val="center"/>
              <w:rPr>
                <w:rFonts w:cs="Arial"/>
                <w:sz w:val="16"/>
                <w:szCs w:val="16"/>
              </w:rPr>
            </w:pPr>
            <w:r>
              <w:rPr>
                <w:rFonts w:cs="Arial"/>
                <w:sz w:val="16"/>
                <w:szCs w:val="16"/>
              </w:rPr>
              <w:t>1. pol. 2020</w:t>
            </w:r>
          </w:p>
        </w:tc>
        <w:tc>
          <w:tcPr>
            <w:tcW w:w="794" w:type="dxa"/>
            <w:tcBorders>
              <w:top w:val="single" w:sz="4" w:space="0" w:color="auto"/>
              <w:left w:val="nil"/>
              <w:bottom w:val="single" w:sz="4" w:space="0" w:color="auto"/>
              <w:right w:val="nil"/>
            </w:tcBorders>
            <w:shd w:val="clear" w:color="000000" w:fill="F5DADD"/>
            <w:vAlign w:val="center"/>
            <w:hideMark/>
          </w:tcPr>
          <w:p w14:paraId="157B8D23" w14:textId="6248AB23" w:rsidR="0059291F" w:rsidRPr="00D92E20" w:rsidRDefault="0059291F" w:rsidP="0059291F">
            <w:pPr>
              <w:spacing w:after="0" w:line="240" w:lineRule="auto"/>
              <w:jc w:val="center"/>
              <w:rPr>
                <w:rFonts w:cs="Arial"/>
                <w:sz w:val="16"/>
                <w:szCs w:val="16"/>
              </w:rPr>
            </w:pPr>
            <w:r>
              <w:rPr>
                <w:rFonts w:cs="Arial"/>
                <w:sz w:val="16"/>
                <w:szCs w:val="16"/>
              </w:rPr>
              <w:t>1. pol. 2021</w:t>
            </w:r>
          </w:p>
        </w:tc>
        <w:tc>
          <w:tcPr>
            <w:tcW w:w="794" w:type="dxa"/>
            <w:tcBorders>
              <w:top w:val="single" w:sz="4" w:space="0" w:color="auto"/>
              <w:left w:val="nil"/>
              <w:bottom w:val="single" w:sz="4" w:space="0" w:color="auto"/>
              <w:right w:val="nil"/>
            </w:tcBorders>
            <w:shd w:val="clear" w:color="000000" w:fill="F5DADD"/>
            <w:vAlign w:val="center"/>
            <w:hideMark/>
          </w:tcPr>
          <w:p w14:paraId="3FE23827" w14:textId="084CC058" w:rsidR="0059291F" w:rsidRPr="00D92E20" w:rsidRDefault="0059291F" w:rsidP="0059291F">
            <w:pPr>
              <w:spacing w:after="0" w:line="240" w:lineRule="auto"/>
              <w:jc w:val="center"/>
              <w:rPr>
                <w:rFonts w:cs="Arial"/>
                <w:sz w:val="16"/>
                <w:szCs w:val="16"/>
              </w:rPr>
            </w:pPr>
            <w:r>
              <w:rPr>
                <w:rFonts w:cs="Arial"/>
                <w:sz w:val="16"/>
                <w:szCs w:val="16"/>
              </w:rPr>
              <w:t>1. pol. 2022</w:t>
            </w:r>
          </w:p>
        </w:tc>
      </w:tr>
      <w:tr w:rsidR="0059291F" w:rsidRPr="00D92E20" w14:paraId="2DCC17CD" w14:textId="77777777" w:rsidTr="0059291F">
        <w:trPr>
          <w:trHeight w:val="300"/>
        </w:trPr>
        <w:tc>
          <w:tcPr>
            <w:tcW w:w="907" w:type="dxa"/>
            <w:tcBorders>
              <w:top w:val="nil"/>
              <w:left w:val="nil"/>
              <w:bottom w:val="nil"/>
              <w:right w:val="single" w:sz="4" w:space="0" w:color="auto"/>
            </w:tcBorders>
            <w:shd w:val="clear" w:color="auto" w:fill="auto"/>
            <w:noWrap/>
            <w:vAlign w:val="center"/>
            <w:hideMark/>
          </w:tcPr>
          <w:p w14:paraId="2C70326F" w14:textId="77777777" w:rsidR="0059291F" w:rsidRPr="00D92E20" w:rsidRDefault="0059291F" w:rsidP="0059291F">
            <w:pPr>
              <w:spacing w:after="0" w:line="240" w:lineRule="auto"/>
              <w:jc w:val="center"/>
              <w:rPr>
                <w:rFonts w:cs="Arial"/>
                <w:b/>
                <w:bCs/>
                <w:color w:val="000000"/>
                <w:sz w:val="16"/>
                <w:szCs w:val="16"/>
              </w:rPr>
            </w:pPr>
            <w:r>
              <w:rPr>
                <w:rFonts w:cs="Arial"/>
                <w:b/>
                <w:bCs/>
                <w:color w:val="000000"/>
                <w:sz w:val="16"/>
                <w:szCs w:val="16"/>
              </w:rPr>
              <w:t>Celkem</w:t>
            </w:r>
          </w:p>
        </w:tc>
        <w:tc>
          <w:tcPr>
            <w:tcW w:w="794" w:type="dxa"/>
            <w:tcBorders>
              <w:top w:val="nil"/>
              <w:left w:val="nil"/>
              <w:bottom w:val="nil"/>
              <w:right w:val="nil"/>
            </w:tcBorders>
            <w:shd w:val="clear" w:color="auto" w:fill="auto"/>
            <w:noWrap/>
            <w:vAlign w:val="center"/>
            <w:hideMark/>
          </w:tcPr>
          <w:p w14:paraId="674B8EA2" w14:textId="3BC9809A" w:rsidR="0059291F" w:rsidRPr="00D92E20" w:rsidRDefault="0059291F" w:rsidP="0059291F">
            <w:pPr>
              <w:spacing w:after="0" w:line="240" w:lineRule="auto"/>
              <w:jc w:val="center"/>
              <w:rPr>
                <w:rFonts w:cs="Arial"/>
                <w:b/>
                <w:bCs/>
                <w:color w:val="000000"/>
                <w:sz w:val="16"/>
                <w:szCs w:val="16"/>
              </w:rPr>
            </w:pPr>
            <w:r>
              <w:rPr>
                <w:rFonts w:cs="Arial"/>
                <w:b/>
                <w:bCs/>
                <w:color w:val="000000"/>
                <w:sz w:val="16"/>
                <w:szCs w:val="16"/>
              </w:rPr>
              <w:t>47,7</w:t>
            </w:r>
          </w:p>
        </w:tc>
        <w:tc>
          <w:tcPr>
            <w:tcW w:w="794" w:type="dxa"/>
            <w:tcBorders>
              <w:top w:val="nil"/>
              <w:left w:val="nil"/>
              <w:bottom w:val="nil"/>
              <w:right w:val="nil"/>
            </w:tcBorders>
            <w:shd w:val="clear" w:color="auto" w:fill="auto"/>
            <w:noWrap/>
            <w:vAlign w:val="center"/>
            <w:hideMark/>
          </w:tcPr>
          <w:p w14:paraId="58ABD389" w14:textId="7E35EB0E" w:rsidR="0059291F" w:rsidRPr="00D92E20" w:rsidRDefault="0059291F" w:rsidP="0059291F">
            <w:pPr>
              <w:spacing w:after="0" w:line="240" w:lineRule="auto"/>
              <w:jc w:val="center"/>
              <w:rPr>
                <w:rFonts w:cs="Arial"/>
                <w:b/>
                <w:bCs/>
                <w:color w:val="000000"/>
                <w:sz w:val="16"/>
                <w:szCs w:val="16"/>
              </w:rPr>
            </w:pPr>
            <w:r>
              <w:rPr>
                <w:rFonts w:cs="Arial"/>
                <w:b/>
                <w:bCs/>
                <w:color w:val="000000"/>
                <w:sz w:val="16"/>
                <w:szCs w:val="16"/>
              </w:rPr>
              <w:t>42,2</w:t>
            </w:r>
          </w:p>
        </w:tc>
        <w:tc>
          <w:tcPr>
            <w:tcW w:w="794" w:type="dxa"/>
            <w:tcBorders>
              <w:top w:val="nil"/>
              <w:left w:val="nil"/>
              <w:bottom w:val="nil"/>
              <w:right w:val="nil"/>
            </w:tcBorders>
            <w:shd w:val="clear" w:color="auto" w:fill="auto"/>
            <w:noWrap/>
            <w:vAlign w:val="center"/>
            <w:hideMark/>
          </w:tcPr>
          <w:p w14:paraId="52DF242E" w14:textId="67699449" w:rsidR="0059291F" w:rsidRPr="00D92E20" w:rsidRDefault="0059291F" w:rsidP="0059291F">
            <w:pPr>
              <w:spacing w:after="0" w:line="240" w:lineRule="auto"/>
              <w:jc w:val="center"/>
              <w:rPr>
                <w:rFonts w:cs="Arial"/>
                <w:b/>
                <w:bCs/>
                <w:color w:val="000000"/>
                <w:sz w:val="16"/>
                <w:szCs w:val="16"/>
              </w:rPr>
            </w:pPr>
            <w:r>
              <w:rPr>
                <w:rFonts w:cs="Arial"/>
                <w:b/>
                <w:bCs/>
                <w:color w:val="000000"/>
                <w:sz w:val="16"/>
                <w:szCs w:val="16"/>
              </w:rPr>
              <w:t>45,9</w:t>
            </w:r>
          </w:p>
        </w:tc>
        <w:tc>
          <w:tcPr>
            <w:tcW w:w="794" w:type="dxa"/>
            <w:tcBorders>
              <w:top w:val="nil"/>
              <w:left w:val="nil"/>
              <w:bottom w:val="nil"/>
              <w:right w:val="nil"/>
            </w:tcBorders>
            <w:shd w:val="clear" w:color="auto" w:fill="auto"/>
            <w:noWrap/>
            <w:vAlign w:val="center"/>
            <w:hideMark/>
          </w:tcPr>
          <w:p w14:paraId="557BEAC0" w14:textId="0DC40FFD" w:rsidR="0059291F" w:rsidRPr="00D92E20" w:rsidRDefault="0059291F" w:rsidP="0059291F">
            <w:pPr>
              <w:spacing w:after="0" w:line="240" w:lineRule="auto"/>
              <w:jc w:val="center"/>
              <w:rPr>
                <w:rFonts w:cs="Arial"/>
                <w:b/>
                <w:bCs/>
                <w:color w:val="000000"/>
                <w:sz w:val="16"/>
                <w:szCs w:val="16"/>
              </w:rPr>
            </w:pPr>
            <w:r>
              <w:rPr>
                <w:rFonts w:cs="Arial"/>
                <w:b/>
                <w:bCs/>
                <w:color w:val="000000"/>
                <w:sz w:val="16"/>
                <w:szCs w:val="16"/>
              </w:rPr>
              <w:t>40,1</w:t>
            </w:r>
          </w:p>
        </w:tc>
        <w:tc>
          <w:tcPr>
            <w:tcW w:w="794" w:type="dxa"/>
            <w:tcBorders>
              <w:top w:val="nil"/>
              <w:left w:val="nil"/>
              <w:bottom w:val="nil"/>
              <w:right w:val="nil"/>
            </w:tcBorders>
            <w:shd w:val="clear" w:color="auto" w:fill="auto"/>
            <w:noWrap/>
            <w:vAlign w:val="center"/>
            <w:hideMark/>
          </w:tcPr>
          <w:p w14:paraId="0DE9B320" w14:textId="419E174E" w:rsidR="0059291F" w:rsidRPr="00D92E20" w:rsidRDefault="0059291F" w:rsidP="0059291F">
            <w:pPr>
              <w:spacing w:after="0" w:line="240" w:lineRule="auto"/>
              <w:jc w:val="center"/>
              <w:rPr>
                <w:rFonts w:cs="Arial"/>
                <w:b/>
                <w:bCs/>
                <w:color w:val="000000"/>
                <w:sz w:val="16"/>
                <w:szCs w:val="16"/>
              </w:rPr>
            </w:pPr>
            <w:r>
              <w:rPr>
                <w:rFonts w:cs="Arial"/>
                <w:b/>
                <w:bCs/>
                <w:color w:val="000000"/>
                <w:sz w:val="16"/>
                <w:szCs w:val="16"/>
              </w:rPr>
              <w:t>42,0</w:t>
            </w:r>
          </w:p>
        </w:tc>
        <w:tc>
          <w:tcPr>
            <w:tcW w:w="794" w:type="dxa"/>
            <w:tcBorders>
              <w:top w:val="nil"/>
              <w:left w:val="nil"/>
              <w:bottom w:val="nil"/>
              <w:right w:val="nil"/>
            </w:tcBorders>
            <w:shd w:val="clear" w:color="auto" w:fill="auto"/>
            <w:noWrap/>
            <w:vAlign w:val="center"/>
            <w:hideMark/>
          </w:tcPr>
          <w:p w14:paraId="59899144" w14:textId="7D583839" w:rsidR="0059291F" w:rsidRPr="00D92E20" w:rsidRDefault="0059291F" w:rsidP="0059291F">
            <w:pPr>
              <w:spacing w:after="0" w:line="240" w:lineRule="auto"/>
              <w:jc w:val="center"/>
              <w:rPr>
                <w:rFonts w:cs="Arial"/>
                <w:b/>
                <w:bCs/>
                <w:color w:val="000000"/>
                <w:sz w:val="16"/>
                <w:szCs w:val="16"/>
              </w:rPr>
            </w:pPr>
            <w:r>
              <w:rPr>
                <w:rFonts w:cs="Arial"/>
                <w:b/>
                <w:bCs/>
                <w:color w:val="000000"/>
                <w:sz w:val="16"/>
                <w:szCs w:val="16"/>
              </w:rPr>
              <w:t>41,0</w:t>
            </w:r>
          </w:p>
        </w:tc>
        <w:tc>
          <w:tcPr>
            <w:tcW w:w="794" w:type="dxa"/>
            <w:tcBorders>
              <w:top w:val="nil"/>
              <w:left w:val="nil"/>
              <w:bottom w:val="nil"/>
              <w:right w:val="nil"/>
            </w:tcBorders>
            <w:shd w:val="clear" w:color="auto" w:fill="auto"/>
            <w:noWrap/>
            <w:vAlign w:val="center"/>
            <w:hideMark/>
          </w:tcPr>
          <w:p w14:paraId="0D96B1DA" w14:textId="76492B57" w:rsidR="0059291F" w:rsidRPr="00D92E20" w:rsidRDefault="0059291F" w:rsidP="0059291F">
            <w:pPr>
              <w:spacing w:after="0" w:line="240" w:lineRule="auto"/>
              <w:jc w:val="center"/>
              <w:rPr>
                <w:rFonts w:cs="Arial"/>
                <w:b/>
                <w:bCs/>
                <w:color w:val="000000"/>
                <w:sz w:val="16"/>
                <w:szCs w:val="16"/>
              </w:rPr>
            </w:pPr>
            <w:r>
              <w:rPr>
                <w:rFonts w:cs="Arial"/>
                <w:b/>
                <w:bCs/>
                <w:color w:val="000000"/>
                <w:sz w:val="16"/>
                <w:szCs w:val="16"/>
              </w:rPr>
              <w:t>39,1</w:t>
            </w:r>
          </w:p>
        </w:tc>
        <w:tc>
          <w:tcPr>
            <w:tcW w:w="794" w:type="dxa"/>
            <w:tcBorders>
              <w:top w:val="nil"/>
              <w:left w:val="nil"/>
              <w:bottom w:val="nil"/>
              <w:right w:val="nil"/>
            </w:tcBorders>
            <w:shd w:val="clear" w:color="auto" w:fill="auto"/>
            <w:noWrap/>
            <w:vAlign w:val="center"/>
            <w:hideMark/>
          </w:tcPr>
          <w:p w14:paraId="6931AAFF" w14:textId="47B35B31" w:rsidR="0059291F" w:rsidRPr="00D92E20" w:rsidRDefault="0059291F" w:rsidP="0059291F">
            <w:pPr>
              <w:spacing w:after="0" w:line="240" w:lineRule="auto"/>
              <w:jc w:val="center"/>
              <w:rPr>
                <w:rFonts w:cs="Arial"/>
                <w:b/>
                <w:bCs/>
                <w:color w:val="000000"/>
                <w:sz w:val="16"/>
                <w:szCs w:val="16"/>
              </w:rPr>
            </w:pPr>
            <w:r>
              <w:rPr>
                <w:rFonts w:cs="Arial"/>
                <w:b/>
                <w:bCs/>
                <w:color w:val="000000"/>
                <w:sz w:val="16"/>
                <w:szCs w:val="16"/>
              </w:rPr>
              <w:t>42,6</w:t>
            </w:r>
          </w:p>
        </w:tc>
        <w:tc>
          <w:tcPr>
            <w:tcW w:w="794" w:type="dxa"/>
            <w:tcBorders>
              <w:top w:val="nil"/>
              <w:left w:val="nil"/>
              <w:bottom w:val="nil"/>
              <w:right w:val="nil"/>
            </w:tcBorders>
            <w:shd w:val="clear" w:color="auto" w:fill="auto"/>
            <w:noWrap/>
            <w:vAlign w:val="center"/>
            <w:hideMark/>
          </w:tcPr>
          <w:p w14:paraId="3179D852" w14:textId="0EB9831C" w:rsidR="0059291F" w:rsidRPr="00D92E20" w:rsidRDefault="0059291F" w:rsidP="0059291F">
            <w:pPr>
              <w:spacing w:after="0" w:line="240" w:lineRule="auto"/>
              <w:jc w:val="center"/>
              <w:rPr>
                <w:rFonts w:cs="Arial"/>
                <w:b/>
                <w:bCs/>
                <w:color w:val="000000"/>
                <w:sz w:val="16"/>
                <w:szCs w:val="16"/>
              </w:rPr>
            </w:pPr>
            <w:r>
              <w:rPr>
                <w:rFonts w:cs="Arial"/>
                <w:b/>
                <w:bCs/>
                <w:color w:val="000000"/>
                <w:sz w:val="16"/>
                <w:szCs w:val="16"/>
              </w:rPr>
              <w:t>44,3</w:t>
            </w:r>
          </w:p>
        </w:tc>
        <w:tc>
          <w:tcPr>
            <w:tcW w:w="794" w:type="dxa"/>
            <w:tcBorders>
              <w:top w:val="nil"/>
              <w:left w:val="nil"/>
              <w:bottom w:val="nil"/>
              <w:right w:val="nil"/>
            </w:tcBorders>
            <w:shd w:val="clear" w:color="auto" w:fill="auto"/>
            <w:noWrap/>
            <w:vAlign w:val="center"/>
            <w:hideMark/>
          </w:tcPr>
          <w:p w14:paraId="2A6C99E8" w14:textId="38435456" w:rsidR="0059291F" w:rsidRPr="00D92E20" w:rsidRDefault="0059291F" w:rsidP="0059291F">
            <w:pPr>
              <w:spacing w:after="0" w:line="240" w:lineRule="auto"/>
              <w:jc w:val="center"/>
              <w:rPr>
                <w:rFonts w:cs="Arial"/>
                <w:b/>
                <w:bCs/>
                <w:color w:val="000000"/>
                <w:sz w:val="16"/>
                <w:szCs w:val="16"/>
              </w:rPr>
            </w:pPr>
            <w:r>
              <w:rPr>
                <w:rFonts w:cs="Arial"/>
                <w:b/>
                <w:bCs/>
                <w:color w:val="000000"/>
                <w:sz w:val="16"/>
                <w:szCs w:val="16"/>
              </w:rPr>
              <w:t>36,3</w:t>
            </w:r>
          </w:p>
        </w:tc>
        <w:tc>
          <w:tcPr>
            <w:tcW w:w="794" w:type="dxa"/>
            <w:tcBorders>
              <w:top w:val="nil"/>
              <w:left w:val="nil"/>
              <w:bottom w:val="nil"/>
              <w:right w:val="nil"/>
            </w:tcBorders>
            <w:shd w:val="clear" w:color="auto" w:fill="auto"/>
            <w:noWrap/>
            <w:vAlign w:val="center"/>
            <w:hideMark/>
          </w:tcPr>
          <w:p w14:paraId="23592423" w14:textId="4FE33C22" w:rsidR="0059291F" w:rsidRPr="00D92E20" w:rsidRDefault="0059291F" w:rsidP="0059291F">
            <w:pPr>
              <w:spacing w:after="0" w:line="240" w:lineRule="auto"/>
              <w:jc w:val="center"/>
              <w:rPr>
                <w:rFonts w:cs="Arial"/>
                <w:b/>
                <w:bCs/>
                <w:color w:val="000000"/>
                <w:sz w:val="16"/>
                <w:szCs w:val="16"/>
              </w:rPr>
            </w:pPr>
            <w:r>
              <w:rPr>
                <w:rFonts w:cs="Arial"/>
                <w:b/>
                <w:bCs/>
                <w:color w:val="000000"/>
                <w:sz w:val="16"/>
                <w:szCs w:val="16"/>
              </w:rPr>
              <w:t>24,5</w:t>
            </w:r>
          </w:p>
        </w:tc>
      </w:tr>
      <w:tr w:rsidR="0059291F" w:rsidRPr="00D92E20" w14:paraId="3D357401" w14:textId="77777777" w:rsidTr="0059291F">
        <w:trPr>
          <w:trHeight w:val="300"/>
        </w:trPr>
        <w:tc>
          <w:tcPr>
            <w:tcW w:w="907" w:type="dxa"/>
            <w:tcBorders>
              <w:top w:val="nil"/>
              <w:left w:val="nil"/>
              <w:bottom w:val="nil"/>
              <w:right w:val="single" w:sz="4" w:space="0" w:color="auto"/>
            </w:tcBorders>
            <w:shd w:val="clear" w:color="auto" w:fill="auto"/>
            <w:noWrap/>
            <w:vAlign w:val="center"/>
            <w:hideMark/>
          </w:tcPr>
          <w:p w14:paraId="09B9D916" w14:textId="77777777" w:rsidR="0059291F" w:rsidRPr="00D92E20" w:rsidRDefault="0059291F" w:rsidP="0059291F">
            <w:pPr>
              <w:spacing w:after="0" w:line="240" w:lineRule="auto"/>
              <w:ind w:firstLineChars="100" w:firstLine="160"/>
              <w:jc w:val="center"/>
              <w:rPr>
                <w:rFonts w:cs="Arial"/>
                <w:color w:val="000000"/>
                <w:sz w:val="16"/>
                <w:szCs w:val="16"/>
              </w:rPr>
            </w:pPr>
            <w:r>
              <w:rPr>
                <w:rFonts w:cs="Arial"/>
                <w:color w:val="000000"/>
                <w:sz w:val="16"/>
                <w:szCs w:val="16"/>
              </w:rPr>
              <w:t>muži</w:t>
            </w:r>
          </w:p>
        </w:tc>
        <w:tc>
          <w:tcPr>
            <w:tcW w:w="794" w:type="dxa"/>
            <w:tcBorders>
              <w:top w:val="nil"/>
              <w:left w:val="nil"/>
              <w:bottom w:val="nil"/>
              <w:right w:val="nil"/>
            </w:tcBorders>
            <w:shd w:val="clear" w:color="auto" w:fill="auto"/>
            <w:noWrap/>
            <w:vAlign w:val="center"/>
            <w:hideMark/>
          </w:tcPr>
          <w:p w14:paraId="39C9CAA7" w14:textId="5BA86A8F" w:rsidR="0059291F" w:rsidRPr="00D92E20" w:rsidRDefault="0059291F" w:rsidP="0059291F">
            <w:pPr>
              <w:spacing w:after="0" w:line="240" w:lineRule="auto"/>
              <w:jc w:val="center"/>
              <w:rPr>
                <w:rFonts w:cs="Arial"/>
                <w:color w:val="000000"/>
                <w:sz w:val="16"/>
                <w:szCs w:val="16"/>
              </w:rPr>
            </w:pPr>
            <w:r>
              <w:rPr>
                <w:rFonts w:cs="Arial"/>
                <w:color w:val="000000"/>
                <w:sz w:val="16"/>
                <w:szCs w:val="16"/>
              </w:rPr>
              <w:t>46,3</w:t>
            </w:r>
          </w:p>
        </w:tc>
        <w:tc>
          <w:tcPr>
            <w:tcW w:w="794" w:type="dxa"/>
            <w:tcBorders>
              <w:top w:val="nil"/>
              <w:left w:val="nil"/>
              <w:bottom w:val="nil"/>
              <w:right w:val="nil"/>
            </w:tcBorders>
            <w:shd w:val="clear" w:color="auto" w:fill="auto"/>
            <w:noWrap/>
            <w:vAlign w:val="center"/>
            <w:hideMark/>
          </w:tcPr>
          <w:p w14:paraId="0D704236" w14:textId="701C2242" w:rsidR="0059291F" w:rsidRPr="00D92E20" w:rsidRDefault="0059291F" w:rsidP="0059291F">
            <w:pPr>
              <w:spacing w:after="0" w:line="240" w:lineRule="auto"/>
              <w:jc w:val="center"/>
              <w:rPr>
                <w:rFonts w:cs="Arial"/>
                <w:color w:val="000000"/>
                <w:sz w:val="16"/>
                <w:szCs w:val="16"/>
              </w:rPr>
            </w:pPr>
            <w:r>
              <w:rPr>
                <w:rFonts w:cs="Arial"/>
                <w:color w:val="000000"/>
                <w:sz w:val="16"/>
                <w:szCs w:val="16"/>
              </w:rPr>
              <w:t>41,6</w:t>
            </w:r>
          </w:p>
        </w:tc>
        <w:tc>
          <w:tcPr>
            <w:tcW w:w="794" w:type="dxa"/>
            <w:tcBorders>
              <w:top w:val="nil"/>
              <w:left w:val="nil"/>
              <w:bottom w:val="nil"/>
              <w:right w:val="nil"/>
            </w:tcBorders>
            <w:shd w:val="clear" w:color="auto" w:fill="auto"/>
            <w:noWrap/>
            <w:vAlign w:val="center"/>
            <w:hideMark/>
          </w:tcPr>
          <w:p w14:paraId="26A8C76B" w14:textId="0241F2E4" w:rsidR="0059291F" w:rsidRPr="00D92E20" w:rsidRDefault="0059291F" w:rsidP="0059291F">
            <w:pPr>
              <w:spacing w:after="0" w:line="240" w:lineRule="auto"/>
              <w:jc w:val="center"/>
              <w:rPr>
                <w:rFonts w:cs="Arial"/>
                <w:color w:val="000000"/>
                <w:sz w:val="16"/>
                <w:szCs w:val="16"/>
              </w:rPr>
            </w:pPr>
            <w:r>
              <w:rPr>
                <w:rFonts w:cs="Arial"/>
                <w:color w:val="000000"/>
                <w:sz w:val="16"/>
                <w:szCs w:val="16"/>
              </w:rPr>
              <w:t>44,4</w:t>
            </w:r>
          </w:p>
        </w:tc>
        <w:tc>
          <w:tcPr>
            <w:tcW w:w="794" w:type="dxa"/>
            <w:tcBorders>
              <w:top w:val="nil"/>
              <w:left w:val="nil"/>
              <w:bottom w:val="nil"/>
              <w:right w:val="nil"/>
            </w:tcBorders>
            <w:shd w:val="clear" w:color="auto" w:fill="auto"/>
            <w:noWrap/>
            <w:vAlign w:val="center"/>
            <w:hideMark/>
          </w:tcPr>
          <w:p w14:paraId="33F71762" w14:textId="74C91264" w:rsidR="0059291F" w:rsidRPr="00D92E20" w:rsidRDefault="0059291F" w:rsidP="0059291F">
            <w:pPr>
              <w:spacing w:after="0" w:line="240" w:lineRule="auto"/>
              <w:jc w:val="center"/>
              <w:rPr>
                <w:rFonts w:cs="Arial"/>
                <w:color w:val="000000"/>
                <w:sz w:val="16"/>
                <w:szCs w:val="16"/>
              </w:rPr>
            </w:pPr>
            <w:r>
              <w:rPr>
                <w:rFonts w:cs="Arial"/>
                <w:color w:val="000000"/>
                <w:sz w:val="16"/>
                <w:szCs w:val="16"/>
              </w:rPr>
              <w:t>38,5</w:t>
            </w:r>
          </w:p>
        </w:tc>
        <w:tc>
          <w:tcPr>
            <w:tcW w:w="794" w:type="dxa"/>
            <w:tcBorders>
              <w:top w:val="nil"/>
              <w:left w:val="nil"/>
              <w:bottom w:val="nil"/>
              <w:right w:val="nil"/>
            </w:tcBorders>
            <w:shd w:val="clear" w:color="auto" w:fill="auto"/>
            <w:noWrap/>
            <w:vAlign w:val="center"/>
            <w:hideMark/>
          </w:tcPr>
          <w:p w14:paraId="2948D754" w14:textId="2A7E87F4" w:rsidR="0059291F" w:rsidRPr="00D92E20" w:rsidRDefault="0059291F" w:rsidP="0059291F">
            <w:pPr>
              <w:spacing w:after="0" w:line="240" w:lineRule="auto"/>
              <w:jc w:val="center"/>
              <w:rPr>
                <w:rFonts w:cs="Arial"/>
                <w:color w:val="000000"/>
                <w:sz w:val="16"/>
                <w:szCs w:val="16"/>
              </w:rPr>
            </w:pPr>
            <w:r>
              <w:rPr>
                <w:rFonts w:cs="Arial"/>
                <w:color w:val="000000"/>
                <w:sz w:val="16"/>
                <w:szCs w:val="16"/>
              </w:rPr>
              <w:t>40,2</w:t>
            </w:r>
          </w:p>
        </w:tc>
        <w:tc>
          <w:tcPr>
            <w:tcW w:w="794" w:type="dxa"/>
            <w:tcBorders>
              <w:top w:val="nil"/>
              <w:left w:val="nil"/>
              <w:bottom w:val="nil"/>
              <w:right w:val="nil"/>
            </w:tcBorders>
            <w:shd w:val="clear" w:color="auto" w:fill="auto"/>
            <w:noWrap/>
            <w:vAlign w:val="center"/>
            <w:hideMark/>
          </w:tcPr>
          <w:p w14:paraId="6A798B5A" w14:textId="4E598951" w:rsidR="0059291F" w:rsidRPr="00D92E20" w:rsidRDefault="0059291F" w:rsidP="0059291F">
            <w:pPr>
              <w:spacing w:after="0" w:line="240" w:lineRule="auto"/>
              <w:jc w:val="center"/>
              <w:rPr>
                <w:rFonts w:cs="Arial"/>
                <w:color w:val="000000"/>
                <w:sz w:val="16"/>
                <w:szCs w:val="16"/>
              </w:rPr>
            </w:pPr>
            <w:r>
              <w:rPr>
                <w:rFonts w:cs="Arial"/>
                <w:color w:val="000000"/>
                <w:sz w:val="16"/>
                <w:szCs w:val="16"/>
              </w:rPr>
              <w:t>39,6</w:t>
            </w:r>
          </w:p>
        </w:tc>
        <w:tc>
          <w:tcPr>
            <w:tcW w:w="794" w:type="dxa"/>
            <w:tcBorders>
              <w:top w:val="nil"/>
              <w:left w:val="nil"/>
              <w:bottom w:val="nil"/>
              <w:right w:val="nil"/>
            </w:tcBorders>
            <w:shd w:val="clear" w:color="auto" w:fill="auto"/>
            <w:noWrap/>
            <w:vAlign w:val="center"/>
            <w:hideMark/>
          </w:tcPr>
          <w:p w14:paraId="53E3F3BB" w14:textId="7F35D058" w:rsidR="0059291F" w:rsidRPr="00D92E20" w:rsidRDefault="0059291F" w:rsidP="0059291F">
            <w:pPr>
              <w:spacing w:after="0" w:line="240" w:lineRule="auto"/>
              <w:jc w:val="center"/>
              <w:rPr>
                <w:rFonts w:cs="Arial"/>
                <w:color w:val="000000"/>
                <w:sz w:val="16"/>
                <w:szCs w:val="16"/>
              </w:rPr>
            </w:pPr>
            <w:r>
              <w:rPr>
                <w:rFonts w:cs="Arial"/>
                <w:color w:val="000000"/>
                <w:sz w:val="16"/>
                <w:szCs w:val="16"/>
              </w:rPr>
              <w:t>38,1</w:t>
            </w:r>
          </w:p>
        </w:tc>
        <w:tc>
          <w:tcPr>
            <w:tcW w:w="794" w:type="dxa"/>
            <w:tcBorders>
              <w:top w:val="nil"/>
              <w:left w:val="nil"/>
              <w:bottom w:val="nil"/>
              <w:right w:val="nil"/>
            </w:tcBorders>
            <w:shd w:val="clear" w:color="auto" w:fill="auto"/>
            <w:noWrap/>
            <w:vAlign w:val="center"/>
            <w:hideMark/>
          </w:tcPr>
          <w:p w14:paraId="6B0A2652" w14:textId="228449F0" w:rsidR="0059291F" w:rsidRPr="00D92E20" w:rsidRDefault="0059291F" w:rsidP="0059291F">
            <w:pPr>
              <w:spacing w:after="0" w:line="240" w:lineRule="auto"/>
              <w:jc w:val="center"/>
              <w:rPr>
                <w:rFonts w:cs="Arial"/>
                <w:color w:val="000000"/>
                <w:sz w:val="16"/>
                <w:szCs w:val="16"/>
              </w:rPr>
            </w:pPr>
            <w:r>
              <w:rPr>
                <w:rFonts w:cs="Arial"/>
                <w:color w:val="000000"/>
                <w:sz w:val="16"/>
                <w:szCs w:val="16"/>
              </w:rPr>
              <w:t>41,5</w:t>
            </w:r>
          </w:p>
        </w:tc>
        <w:tc>
          <w:tcPr>
            <w:tcW w:w="794" w:type="dxa"/>
            <w:tcBorders>
              <w:top w:val="nil"/>
              <w:left w:val="nil"/>
              <w:bottom w:val="nil"/>
              <w:right w:val="nil"/>
            </w:tcBorders>
            <w:shd w:val="clear" w:color="auto" w:fill="auto"/>
            <w:noWrap/>
            <w:vAlign w:val="center"/>
            <w:hideMark/>
          </w:tcPr>
          <w:p w14:paraId="7F6D0C60" w14:textId="7275E009" w:rsidR="0059291F" w:rsidRPr="00D92E20" w:rsidRDefault="0059291F" w:rsidP="0059291F">
            <w:pPr>
              <w:spacing w:after="0" w:line="240" w:lineRule="auto"/>
              <w:jc w:val="center"/>
              <w:rPr>
                <w:rFonts w:cs="Arial"/>
                <w:color w:val="000000"/>
                <w:sz w:val="16"/>
                <w:szCs w:val="16"/>
              </w:rPr>
            </w:pPr>
            <w:r>
              <w:rPr>
                <w:rFonts w:cs="Arial"/>
                <w:color w:val="000000"/>
                <w:sz w:val="16"/>
                <w:szCs w:val="16"/>
              </w:rPr>
              <w:t>42,5</w:t>
            </w:r>
          </w:p>
        </w:tc>
        <w:tc>
          <w:tcPr>
            <w:tcW w:w="794" w:type="dxa"/>
            <w:tcBorders>
              <w:top w:val="nil"/>
              <w:left w:val="nil"/>
              <w:bottom w:val="nil"/>
              <w:right w:val="nil"/>
            </w:tcBorders>
            <w:shd w:val="clear" w:color="auto" w:fill="auto"/>
            <w:noWrap/>
            <w:vAlign w:val="center"/>
            <w:hideMark/>
          </w:tcPr>
          <w:p w14:paraId="1580B0FE" w14:textId="13FF9993" w:rsidR="0059291F" w:rsidRPr="00D92E20" w:rsidRDefault="0059291F" w:rsidP="0059291F">
            <w:pPr>
              <w:spacing w:after="0" w:line="240" w:lineRule="auto"/>
              <w:jc w:val="center"/>
              <w:rPr>
                <w:rFonts w:cs="Arial"/>
                <w:color w:val="000000"/>
                <w:sz w:val="16"/>
                <w:szCs w:val="16"/>
              </w:rPr>
            </w:pPr>
            <w:r>
              <w:rPr>
                <w:rFonts w:cs="Arial"/>
                <w:color w:val="000000"/>
                <w:sz w:val="16"/>
                <w:szCs w:val="16"/>
              </w:rPr>
              <w:t>34,1</w:t>
            </w:r>
          </w:p>
        </w:tc>
        <w:tc>
          <w:tcPr>
            <w:tcW w:w="794" w:type="dxa"/>
            <w:tcBorders>
              <w:top w:val="nil"/>
              <w:left w:val="nil"/>
              <w:bottom w:val="nil"/>
              <w:right w:val="nil"/>
            </w:tcBorders>
            <w:shd w:val="clear" w:color="auto" w:fill="auto"/>
            <w:noWrap/>
            <w:vAlign w:val="center"/>
            <w:hideMark/>
          </w:tcPr>
          <w:p w14:paraId="0512CC54" w14:textId="2D655867" w:rsidR="0059291F" w:rsidRPr="00D92E20" w:rsidRDefault="0059291F" w:rsidP="0059291F">
            <w:pPr>
              <w:spacing w:after="0" w:line="240" w:lineRule="auto"/>
              <w:jc w:val="center"/>
              <w:rPr>
                <w:rFonts w:cs="Arial"/>
                <w:color w:val="000000"/>
                <w:sz w:val="16"/>
                <w:szCs w:val="16"/>
              </w:rPr>
            </w:pPr>
            <w:r>
              <w:rPr>
                <w:rFonts w:cs="Arial"/>
                <w:color w:val="000000"/>
                <w:sz w:val="16"/>
                <w:szCs w:val="16"/>
              </w:rPr>
              <w:t>24,1</w:t>
            </w:r>
          </w:p>
        </w:tc>
      </w:tr>
      <w:tr w:rsidR="0059291F" w:rsidRPr="00D92E20" w14:paraId="08E1DDAB" w14:textId="77777777" w:rsidTr="0059291F">
        <w:trPr>
          <w:trHeight w:val="300"/>
        </w:trPr>
        <w:tc>
          <w:tcPr>
            <w:tcW w:w="907" w:type="dxa"/>
            <w:tcBorders>
              <w:top w:val="nil"/>
              <w:left w:val="nil"/>
              <w:bottom w:val="nil"/>
              <w:right w:val="single" w:sz="4" w:space="0" w:color="auto"/>
            </w:tcBorders>
            <w:shd w:val="clear" w:color="auto" w:fill="auto"/>
            <w:noWrap/>
            <w:vAlign w:val="center"/>
            <w:hideMark/>
          </w:tcPr>
          <w:p w14:paraId="46B01AC3" w14:textId="77777777" w:rsidR="0059291F" w:rsidRPr="00D92E20" w:rsidRDefault="0059291F" w:rsidP="0059291F">
            <w:pPr>
              <w:spacing w:after="0" w:line="240" w:lineRule="auto"/>
              <w:ind w:firstLineChars="100" w:firstLine="160"/>
              <w:jc w:val="center"/>
              <w:rPr>
                <w:rFonts w:cs="Arial"/>
                <w:color w:val="000000"/>
                <w:sz w:val="16"/>
                <w:szCs w:val="16"/>
              </w:rPr>
            </w:pPr>
            <w:r>
              <w:rPr>
                <w:rFonts w:cs="Arial"/>
                <w:color w:val="000000"/>
                <w:sz w:val="16"/>
                <w:szCs w:val="16"/>
              </w:rPr>
              <w:t>ženy</w:t>
            </w:r>
          </w:p>
        </w:tc>
        <w:tc>
          <w:tcPr>
            <w:tcW w:w="794" w:type="dxa"/>
            <w:tcBorders>
              <w:top w:val="nil"/>
              <w:left w:val="nil"/>
              <w:bottom w:val="nil"/>
              <w:right w:val="nil"/>
            </w:tcBorders>
            <w:shd w:val="clear" w:color="auto" w:fill="auto"/>
            <w:noWrap/>
            <w:vAlign w:val="center"/>
            <w:hideMark/>
          </w:tcPr>
          <w:p w14:paraId="6CFF80DB" w14:textId="43C64948" w:rsidR="0059291F" w:rsidRPr="00D92E20" w:rsidRDefault="0059291F" w:rsidP="0059291F">
            <w:pPr>
              <w:spacing w:after="0" w:line="240" w:lineRule="auto"/>
              <w:jc w:val="center"/>
              <w:rPr>
                <w:rFonts w:cs="Arial"/>
                <w:color w:val="000000"/>
                <w:sz w:val="16"/>
                <w:szCs w:val="16"/>
              </w:rPr>
            </w:pPr>
            <w:r>
              <w:rPr>
                <w:rFonts w:cs="Arial"/>
                <w:color w:val="000000"/>
                <w:sz w:val="16"/>
                <w:szCs w:val="16"/>
              </w:rPr>
              <w:t>49,0</w:t>
            </w:r>
          </w:p>
        </w:tc>
        <w:tc>
          <w:tcPr>
            <w:tcW w:w="794" w:type="dxa"/>
            <w:tcBorders>
              <w:top w:val="nil"/>
              <w:left w:val="nil"/>
              <w:bottom w:val="nil"/>
              <w:right w:val="nil"/>
            </w:tcBorders>
            <w:shd w:val="clear" w:color="auto" w:fill="auto"/>
            <w:noWrap/>
            <w:vAlign w:val="center"/>
            <w:hideMark/>
          </w:tcPr>
          <w:p w14:paraId="20FF3F7B" w14:textId="05563E69" w:rsidR="0059291F" w:rsidRPr="00D92E20" w:rsidRDefault="0059291F" w:rsidP="0059291F">
            <w:pPr>
              <w:spacing w:after="0" w:line="240" w:lineRule="auto"/>
              <w:jc w:val="center"/>
              <w:rPr>
                <w:rFonts w:cs="Arial"/>
                <w:color w:val="000000"/>
                <w:sz w:val="16"/>
                <w:szCs w:val="16"/>
              </w:rPr>
            </w:pPr>
            <w:r>
              <w:rPr>
                <w:rFonts w:cs="Arial"/>
                <w:color w:val="000000"/>
                <w:sz w:val="16"/>
                <w:szCs w:val="16"/>
              </w:rPr>
              <w:t>42,8</w:t>
            </w:r>
          </w:p>
        </w:tc>
        <w:tc>
          <w:tcPr>
            <w:tcW w:w="794" w:type="dxa"/>
            <w:tcBorders>
              <w:top w:val="nil"/>
              <w:left w:val="nil"/>
              <w:bottom w:val="nil"/>
              <w:right w:val="nil"/>
            </w:tcBorders>
            <w:shd w:val="clear" w:color="auto" w:fill="auto"/>
            <w:noWrap/>
            <w:vAlign w:val="center"/>
            <w:hideMark/>
          </w:tcPr>
          <w:p w14:paraId="7B331724" w14:textId="49B21A7B" w:rsidR="0059291F" w:rsidRPr="00D92E20" w:rsidRDefault="0059291F" w:rsidP="0059291F">
            <w:pPr>
              <w:spacing w:after="0" w:line="240" w:lineRule="auto"/>
              <w:jc w:val="center"/>
              <w:rPr>
                <w:rFonts w:cs="Arial"/>
                <w:color w:val="000000"/>
                <w:sz w:val="16"/>
                <w:szCs w:val="16"/>
              </w:rPr>
            </w:pPr>
            <w:r>
              <w:rPr>
                <w:rFonts w:cs="Arial"/>
                <w:color w:val="000000"/>
                <w:sz w:val="16"/>
                <w:szCs w:val="16"/>
              </w:rPr>
              <w:t>47,4</w:t>
            </w:r>
          </w:p>
        </w:tc>
        <w:tc>
          <w:tcPr>
            <w:tcW w:w="794" w:type="dxa"/>
            <w:tcBorders>
              <w:top w:val="nil"/>
              <w:left w:val="nil"/>
              <w:bottom w:val="nil"/>
              <w:right w:val="nil"/>
            </w:tcBorders>
            <w:shd w:val="clear" w:color="auto" w:fill="auto"/>
            <w:noWrap/>
            <w:vAlign w:val="center"/>
            <w:hideMark/>
          </w:tcPr>
          <w:p w14:paraId="720BA887" w14:textId="5822B047" w:rsidR="0059291F" w:rsidRPr="00D92E20" w:rsidRDefault="0059291F" w:rsidP="0059291F">
            <w:pPr>
              <w:spacing w:after="0" w:line="240" w:lineRule="auto"/>
              <w:jc w:val="center"/>
              <w:rPr>
                <w:rFonts w:cs="Arial"/>
                <w:color w:val="000000"/>
                <w:sz w:val="16"/>
                <w:szCs w:val="16"/>
              </w:rPr>
            </w:pPr>
            <w:r>
              <w:rPr>
                <w:rFonts w:cs="Arial"/>
                <w:color w:val="000000"/>
                <w:sz w:val="16"/>
                <w:szCs w:val="16"/>
              </w:rPr>
              <w:t>41,5</w:t>
            </w:r>
          </w:p>
        </w:tc>
        <w:tc>
          <w:tcPr>
            <w:tcW w:w="794" w:type="dxa"/>
            <w:tcBorders>
              <w:top w:val="nil"/>
              <w:left w:val="nil"/>
              <w:bottom w:val="nil"/>
              <w:right w:val="nil"/>
            </w:tcBorders>
            <w:shd w:val="clear" w:color="auto" w:fill="auto"/>
            <w:noWrap/>
            <w:vAlign w:val="center"/>
            <w:hideMark/>
          </w:tcPr>
          <w:p w14:paraId="444D24F9" w14:textId="0D9B9AB5" w:rsidR="0059291F" w:rsidRPr="00D92E20" w:rsidRDefault="0059291F" w:rsidP="0059291F">
            <w:pPr>
              <w:spacing w:after="0" w:line="240" w:lineRule="auto"/>
              <w:jc w:val="center"/>
              <w:rPr>
                <w:rFonts w:cs="Arial"/>
                <w:color w:val="000000"/>
                <w:sz w:val="16"/>
                <w:szCs w:val="16"/>
              </w:rPr>
            </w:pPr>
            <w:r>
              <w:rPr>
                <w:rFonts w:cs="Arial"/>
                <w:color w:val="000000"/>
                <w:sz w:val="16"/>
                <w:szCs w:val="16"/>
              </w:rPr>
              <w:t>43,5</w:t>
            </w:r>
          </w:p>
        </w:tc>
        <w:tc>
          <w:tcPr>
            <w:tcW w:w="794" w:type="dxa"/>
            <w:tcBorders>
              <w:top w:val="nil"/>
              <w:left w:val="nil"/>
              <w:bottom w:val="nil"/>
              <w:right w:val="nil"/>
            </w:tcBorders>
            <w:shd w:val="clear" w:color="auto" w:fill="auto"/>
            <w:noWrap/>
            <w:vAlign w:val="center"/>
            <w:hideMark/>
          </w:tcPr>
          <w:p w14:paraId="5E904DE1" w14:textId="5B46B15E" w:rsidR="0059291F" w:rsidRPr="00D92E20" w:rsidRDefault="0059291F" w:rsidP="0059291F">
            <w:pPr>
              <w:spacing w:after="0" w:line="240" w:lineRule="auto"/>
              <w:jc w:val="center"/>
              <w:rPr>
                <w:rFonts w:cs="Arial"/>
                <w:color w:val="000000"/>
                <w:sz w:val="16"/>
                <w:szCs w:val="16"/>
              </w:rPr>
            </w:pPr>
            <w:r>
              <w:rPr>
                <w:rFonts w:cs="Arial"/>
                <w:color w:val="000000"/>
                <w:sz w:val="16"/>
                <w:szCs w:val="16"/>
              </w:rPr>
              <w:t>42,2</w:t>
            </w:r>
          </w:p>
        </w:tc>
        <w:tc>
          <w:tcPr>
            <w:tcW w:w="794" w:type="dxa"/>
            <w:tcBorders>
              <w:top w:val="nil"/>
              <w:left w:val="nil"/>
              <w:bottom w:val="nil"/>
              <w:right w:val="nil"/>
            </w:tcBorders>
            <w:shd w:val="clear" w:color="auto" w:fill="auto"/>
            <w:noWrap/>
            <w:vAlign w:val="center"/>
            <w:hideMark/>
          </w:tcPr>
          <w:p w14:paraId="6108A061" w14:textId="5E80DD9F" w:rsidR="0059291F" w:rsidRPr="00D92E20" w:rsidRDefault="0059291F" w:rsidP="0059291F">
            <w:pPr>
              <w:spacing w:after="0" w:line="240" w:lineRule="auto"/>
              <w:jc w:val="center"/>
              <w:rPr>
                <w:rFonts w:cs="Arial"/>
                <w:color w:val="000000"/>
                <w:sz w:val="16"/>
                <w:szCs w:val="16"/>
              </w:rPr>
            </w:pPr>
            <w:r>
              <w:rPr>
                <w:rFonts w:cs="Arial"/>
                <w:color w:val="000000"/>
                <w:sz w:val="16"/>
                <w:szCs w:val="16"/>
              </w:rPr>
              <w:t>39,9</w:t>
            </w:r>
          </w:p>
        </w:tc>
        <w:tc>
          <w:tcPr>
            <w:tcW w:w="794" w:type="dxa"/>
            <w:tcBorders>
              <w:top w:val="nil"/>
              <w:left w:val="nil"/>
              <w:bottom w:val="nil"/>
              <w:right w:val="nil"/>
            </w:tcBorders>
            <w:shd w:val="clear" w:color="auto" w:fill="auto"/>
            <w:noWrap/>
            <w:vAlign w:val="center"/>
            <w:hideMark/>
          </w:tcPr>
          <w:p w14:paraId="22FD9BCE" w14:textId="269A3428" w:rsidR="0059291F" w:rsidRPr="00D92E20" w:rsidRDefault="0059291F" w:rsidP="0059291F">
            <w:pPr>
              <w:spacing w:after="0" w:line="240" w:lineRule="auto"/>
              <w:jc w:val="center"/>
              <w:rPr>
                <w:rFonts w:cs="Arial"/>
                <w:color w:val="000000"/>
                <w:sz w:val="16"/>
                <w:szCs w:val="16"/>
              </w:rPr>
            </w:pPr>
            <w:r>
              <w:rPr>
                <w:rFonts w:cs="Arial"/>
                <w:color w:val="000000"/>
                <w:sz w:val="16"/>
                <w:szCs w:val="16"/>
              </w:rPr>
              <w:t>43,7</w:t>
            </w:r>
          </w:p>
        </w:tc>
        <w:tc>
          <w:tcPr>
            <w:tcW w:w="794" w:type="dxa"/>
            <w:tcBorders>
              <w:top w:val="nil"/>
              <w:left w:val="nil"/>
              <w:bottom w:val="nil"/>
              <w:right w:val="nil"/>
            </w:tcBorders>
            <w:shd w:val="clear" w:color="auto" w:fill="auto"/>
            <w:noWrap/>
            <w:vAlign w:val="center"/>
            <w:hideMark/>
          </w:tcPr>
          <w:p w14:paraId="764EFD42" w14:textId="2DF95706" w:rsidR="0059291F" w:rsidRPr="00D92E20" w:rsidRDefault="0059291F" w:rsidP="0059291F">
            <w:pPr>
              <w:spacing w:after="0" w:line="240" w:lineRule="auto"/>
              <w:jc w:val="center"/>
              <w:rPr>
                <w:rFonts w:cs="Arial"/>
                <w:color w:val="000000"/>
                <w:sz w:val="16"/>
                <w:szCs w:val="16"/>
              </w:rPr>
            </w:pPr>
            <w:r>
              <w:rPr>
                <w:rFonts w:cs="Arial"/>
                <w:color w:val="000000"/>
                <w:sz w:val="16"/>
                <w:szCs w:val="16"/>
              </w:rPr>
              <w:t>45,9</w:t>
            </w:r>
          </w:p>
        </w:tc>
        <w:tc>
          <w:tcPr>
            <w:tcW w:w="794" w:type="dxa"/>
            <w:tcBorders>
              <w:top w:val="nil"/>
              <w:left w:val="nil"/>
              <w:bottom w:val="nil"/>
              <w:right w:val="nil"/>
            </w:tcBorders>
            <w:shd w:val="clear" w:color="auto" w:fill="auto"/>
            <w:noWrap/>
            <w:vAlign w:val="center"/>
            <w:hideMark/>
          </w:tcPr>
          <w:p w14:paraId="4F56BB7F" w14:textId="1039443E" w:rsidR="0059291F" w:rsidRPr="00D92E20" w:rsidRDefault="0059291F" w:rsidP="0059291F">
            <w:pPr>
              <w:spacing w:after="0" w:line="240" w:lineRule="auto"/>
              <w:jc w:val="center"/>
              <w:rPr>
                <w:rFonts w:cs="Arial"/>
                <w:color w:val="000000"/>
                <w:sz w:val="16"/>
                <w:szCs w:val="16"/>
              </w:rPr>
            </w:pPr>
            <w:r>
              <w:rPr>
                <w:rFonts w:cs="Arial"/>
                <w:color w:val="000000"/>
                <w:sz w:val="16"/>
                <w:szCs w:val="16"/>
              </w:rPr>
              <w:t>38,6</w:t>
            </w:r>
          </w:p>
        </w:tc>
        <w:tc>
          <w:tcPr>
            <w:tcW w:w="794" w:type="dxa"/>
            <w:tcBorders>
              <w:top w:val="nil"/>
              <w:left w:val="nil"/>
              <w:bottom w:val="nil"/>
              <w:right w:val="nil"/>
            </w:tcBorders>
            <w:shd w:val="clear" w:color="auto" w:fill="auto"/>
            <w:noWrap/>
            <w:vAlign w:val="center"/>
            <w:hideMark/>
          </w:tcPr>
          <w:p w14:paraId="4D63CDFA" w14:textId="7680D4D1" w:rsidR="0059291F" w:rsidRPr="00D92E20" w:rsidRDefault="0059291F" w:rsidP="0059291F">
            <w:pPr>
              <w:spacing w:after="0" w:line="240" w:lineRule="auto"/>
              <w:jc w:val="center"/>
              <w:rPr>
                <w:rFonts w:cs="Arial"/>
                <w:color w:val="000000"/>
                <w:sz w:val="16"/>
                <w:szCs w:val="16"/>
              </w:rPr>
            </w:pPr>
            <w:r>
              <w:rPr>
                <w:rFonts w:cs="Arial"/>
                <w:color w:val="000000"/>
                <w:sz w:val="16"/>
                <w:szCs w:val="16"/>
              </w:rPr>
              <w:t>24,9</w:t>
            </w:r>
          </w:p>
        </w:tc>
      </w:tr>
    </w:tbl>
    <w:p w14:paraId="5C01A789" w14:textId="1B4F1759" w:rsidR="00350B58" w:rsidRDefault="00350B58" w:rsidP="00350B58">
      <w:pPr>
        <w:spacing w:before="120" w:after="120"/>
        <w:rPr>
          <w:sz w:val="16"/>
        </w:rPr>
      </w:pPr>
      <w:r w:rsidRPr="00D92E20">
        <w:rPr>
          <w:sz w:val="16"/>
        </w:rPr>
        <w:t>Zdroj: ČSÚ</w:t>
      </w:r>
    </w:p>
    <w:p w14:paraId="443F6781" w14:textId="4B0718AB" w:rsidR="00473D4E" w:rsidRDefault="00473D4E" w:rsidP="00473D4E">
      <w:pPr>
        <w:spacing w:after="120"/>
        <w:jc w:val="both"/>
      </w:pPr>
      <w:r w:rsidRPr="00AE4AEB">
        <w:t xml:space="preserve">Průměrný počet dnů pracovní neschopnosti </w:t>
      </w:r>
      <w:r w:rsidRPr="00AE4AEB">
        <w:rPr>
          <w:b/>
        </w:rPr>
        <w:t>u žen</w:t>
      </w:r>
      <w:r>
        <w:t xml:space="preserve"> meziročně klesl z </w:t>
      </w:r>
      <w:r w:rsidRPr="00AE4AEB">
        <w:t>38,6</w:t>
      </w:r>
      <w:r>
        <w:t xml:space="preserve"> </w:t>
      </w:r>
      <w:r w:rsidRPr="00AE4AEB">
        <w:t>dne v 1. pol. 202</w:t>
      </w:r>
      <w:r>
        <w:t>1</w:t>
      </w:r>
      <w:r w:rsidRPr="00AE4AEB">
        <w:t xml:space="preserve"> na </w:t>
      </w:r>
      <w:r>
        <w:t>24,9</w:t>
      </w:r>
      <w:r w:rsidRPr="00AE4AEB">
        <w:t xml:space="preserve"> dne. </w:t>
      </w:r>
      <w:r w:rsidRPr="00AE4AEB">
        <w:rPr>
          <w:b/>
        </w:rPr>
        <w:t>V případě mužů</w:t>
      </w:r>
      <w:r w:rsidRPr="00AE4AEB">
        <w:t xml:space="preserve"> se snížil ze 34,1 dne na </w:t>
      </w:r>
      <w:r>
        <w:t xml:space="preserve">24,1 </w:t>
      </w:r>
      <w:r w:rsidRPr="00AE4AEB">
        <w:t xml:space="preserve">dne. Ženy tak byly v pracovní neschopnosti v průměru o </w:t>
      </w:r>
      <w:r>
        <w:t>0,7 </w:t>
      </w:r>
      <w:r w:rsidRPr="00AE4AEB">
        <w:t>dne déle n</w:t>
      </w:r>
      <w:r>
        <w:t>ež muži, což je zdaleka nejmenší</w:t>
      </w:r>
      <w:r w:rsidRPr="00AE4AEB">
        <w:t xml:space="preserve"> rozdíl za posledních 10 let.</w:t>
      </w:r>
      <w:r>
        <w:t xml:space="preserve"> Ženám se meziročně snížila průměrná délka pobytu v pracovní neschopnosti o necelých 14 dní, mužům o 10.</w:t>
      </w:r>
    </w:p>
    <w:p w14:paraId="29705D5E" w14:textId="5684C016" w:rsidR="00473D4E" w:rsidRDefault="00473D4E" w:rsidP="00473D4E">
      <w:pPr>
        <w:spacing w:before="120" w:after="120"/>
        <w:jc w:val="both"/>
      </w:pPr>
      <w:r w:rsidRPr="0064296A">
        <w:t>Nejvíce dnů dočasné pracovní neschopnosti bylo v 1. pol. 202</w:t>
      </w:r>
      <w:r>
        <w:t>2</w:t>
      </w:r>
      <w:r w:rsidRPr="0064296A">
        <w:t xml:space="preserve"> zaznamenáno ve zpracovatelském průmyslu (</w:t>
      </w:r>
      <w:r>
        <w:t xml:space="preserve">16 458 </w:t>
      </w:r>
      <w:r w:rsidRPr="0064296A">
        <w:t>tis.), kde je nejvíce pojištěnců, a tím pádem také nejvyšší počet případů pracovní neschopnosti. Naopak nejnižší počet dnů pracovní neschopnosti byl hlášen v</w:t>
      </w:r>
      <w:r>
        <w:t xml:space="preserve"> sekci Těžba a dobývání (249 tis.). </w:t>
      </w:r>
      <w:r w:rsidRPr="0064296A">
        <w:t>Nejméně dnů pracovní neschopnosti z důvodu pracovních úrazů vykazovaly odvětvové sekce Peněžnictví a</w:t>
      </w:r>
      <w:r w:rsidR="003E64F4">
        <w:t> </w:t>
      </w:r>
      <w:r w:rsidRPr="0064296A">
        <w:t>pojišťovnictví (1,</w:t>
      </w:r>
      <w:r>
        <w:t>1</w:t>
      </w:r>
      <w:r w:rsidRPr="0064296A">
        <w:t xml:space="preserve"> tis.) a Informační a komunikační činnosti (3,</w:t>
      </w:r>
      <w:r>
        <w:t>8</w:t>
      </w:r>
      <w:r w:rsidRPr="0064296A">
        <w:t> tis.).</w:t>
      </w:r>
    </w:p>
    <w:p w14:paraId="6A4A466A" w14:textId="31B240EB" w:rsidR="00473D4E" w:rsidRDefault="00473D4E">
      <w:pPr>
        <w:spacing w:after="0" w:line="240" w:lineRule="auto"/>
      </w:pPr>
      <w:r>
        <w:br w:type="page"/>
      </w:r>
    </w:p>
    <w:p w14:paraId="563E01CB" w14:textId="3A080B9E" w:rsidR="000D642E" w:rsidRPr="00D92E20" w:rsidRDefault="000D642E" w:rsidP="00BA6B4E">
      <w:pPr>
        <w:spacing w:after="0"/>
        <w:jc w:val="both"/>
        <w:rPr>
          <w:b/>
        </w:rPr>
      </w:pPr>
      <w:r w:rsidRPr="00D92E20">
        <w:rPr>
          <w:b/>
        </w:rPr>
        <w:lastRenderedPageBreak/>
        <w:t xml:space="preserve">Graf 2.8: Průměrná délka trvání dočasné pracovní neschopnosti pro nemoc, </w:t>
      </w:r>
      <w:r w:rsidR="00285F60" w:rsidRPr="00285F60">
        <w:rPr>
          <w:b/>
        </w:rPr>
        <w:t>201</w:t>
      </w:r>
      <w:r w:rsidR="0059291F">
        <w:rPr>
          <w:b/>
        </w:rPr>
        <w:t>7–1. pol. 2022</w:t>
      </w:r>
    </w:p>
    <w:p w14:paraId="23D7B0F9" w14:textId="520BF4B7" w:rsidR="000D642E" w:rsidRPr="00D92E20" w:rsidRDefault="0059291F" w:rsidP="00461B62">
      <w:pPr>
        <w:jc w:val="both"/>
        <w:rPr>
          <w:b/>
        </w:rPr>
      </w:pPr>
      <w:r>
        <w:rPr>
          <w:noProof/>
        </w:rPr>
        <w:drawing>
          <wp:inline distT="0" distB="0" distL="0" distR="0" wp14:anchorId="2FB7FAF4" wp14:editId="6DCD314F">
            <wp:extent cx="6038850" cy="2819400"/>
            <wp:effectExtent l="0" t="0" r="0" b="0"/>
            <wp:docPr id="15" name="Graf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24AD0D56" w14:textId="31A51009" w:rsidR="000D642E" w:rsidRDefault="000D642E" w:rsidP="00BA6B4E">
      <w:pPr>
        <w:spacing w:before="120" w:after="120"/>
        <w:rPr>
          <w:sz w:val="16"/>
        </w:rPr>
      </w:pPr>
      <w:r w:rsidRPr="00D92E20">
        <w:rPr>
          <w:sz w:val="16"/>
        </w:rPr>
        <w:t>Zdroj: ČSÚ</w:t>
      </w:r>
    </w:p>
    <w:p w14:paraId="7973FD37" w14:textId="43F1134E" w:rsidR="004A31C1" w:rsidRDefault="004A31C1" w:rsidP="004A31C1">
      <w:pPr>
        <w:spacing w:before="120" w:after="120"/>
        <w:jc w:val="both"/>
      </w:pPr>
      <w:r w:rsidRPr="0064296A">
        <w:t>Jak již bylo zmíněno výše, dočasná pracovní neschopnost v 1. pol. 202</w:t>
      </w:r>
      <w:r w:rsidR="00BC1D43">
        <w:t>2</w:t>
      </w:r>
      <w:r w:rsidRPr="0064296A">
        <w:t xml:space="preserve"> trvala v průměru </w:t>
      </w:r>
      <w:r w:rsidR="00BC1D43">
        <w:t>25</w:t>
      </w:r>
      <w:r w:rsidRPr="0064296A">
        <w:t xml:space="preserve"> dnů. </w:t>
      </w:r>
      <w:r w:rsidRPr="0064296A">
        <w:rPr>
          <w:b/>
        </w:rPr>
        <w:t xml:space="preserve">Odvětvím </w:t>
      </w:r>
      <w:r w:rsidRPr="0064296A">
        <w:t>s</w:t>
      </w:r>
      <w:r>
        <w:t xml:space="preserve"> nejvyšší</w:t>
      </w:r>
      <w:r w:rsidRPr="0064296A">
        <w:t xml:space="preserve"> průměrnou délkou trvání případu </w:t>
      </w:r>
      <w:r>
        <w:t xml:space="preserve">bylo </w:t>
      </w:r>
      <w:r w:rsidR="00CF385D">
        <w:t>Zemědělství, lesnictví, rybářství</w:t>
      </w:r>
      <w:r w:rsidRPr="0064296A">
        <w:t xml:space="preserve"> (</w:t>
      </w:r>
      <w:r w:rsidR="00CF385D">
        <w:t>35</w:t>
      </w:r>
      <w:r>
        <w:t xml:space="preserve"> dnů)</w:t>
      </w:r>
      <w:r w:rsidR="00CF385D">
        <w:t xml:space="preserve"> spolu se sekcí Ubytování, stravování a pohostinství (34 dnů)</w:t>
      </w:r>
      <w:r>
        <w:t xml:space="preserve">. </w:t>
      </w:r>
      <w:r w:rsidR="00185E38">
        <w:t xml:space="preserve">Dalšími odvětvími s průměrnou délkou dočasné pracovní neschopnosti nad 30 dnů bylo Stavebnictví (33) a Administrativní a podpůrné činnosti (31). </w:t>
      </w:r>
    </w:p>
    <w:p w14:paraId="30B64F1E" w14:textId="46ED321F" w:rsidR="00767C3C" w:rsidRPr="00671960" w:rsidRDefault="00767C3C" w:rsidP="00BA6B4E">
      <w:pPr>
        <w:spacing w:after="0"/>
        <w:jc w:val="both"/>
        <w:rPr>
          <w:b/>
          <w:spacing w:val="-2"/>
        </w:rPr>
      </w:pPr>
      <w:r w:rsidRPr="00671960">
        <w:rPr>
          <w:b/>
          <w:spacing w:val="-2"/>
        </w:rPr>
        <w:t xml:space="preserve">Graf 2.9: Průměrná délka trvání dočasné pracovní neschopnosti podle pohlaví, </w:t>
      </w:r>
      <w:r w:rsidR="009F34CD" w:rsidRPr="00671960">
        <w:rPr>
          <w:b/>
          <w:spacing w:val="-2"/>
        </w:rPr>
        <w:t>1. pol. 2012 až 1. pol. 2022</w:t>
      </w:r>
    </w:p>
    <w:p w14:paraId="5D05F170" w14:textId="5814A750" w:rsidR="00767C3C" w:rsidRPr="00D92E20" w:rsidRDefault="00CF385D" w:rsidP="003F1873">
      <w:pPr>
        <w:jc w:val="both"/>
        <w:rPr>
          <w:b/>
        </w:rPr>
      </w:pPr>
      <w:r>
        <w:rPr>
          <w:noProof/>
        </w:rPr>
        <w:drawing>
          <wp:inline distT="0" distB="0" distL="0" distR="0" wp14:anchorId="2B637EFB" wp14:editId="330FDBDA">
            <wp:extent cx="6115050" cy="3276600"/>
            <wp:effectExtent l="0" t="0" r="0" b="0"/>
            <wp:docPr id="17" name="Graf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480C30BA" w14:textId="77777777" w:rsidR="00767C3C" w:rsidRPr="00D92E20" w:rsidRDefault="00767C3C" w:rsidP="00BA6B4E">
      <w:pPr>
        <w:spacing w:before="120" w:after="120"/>
        <w:rPr>
          <w:sz w:val="16"/>
        </w:rPr>
      </w:pPr>
      <w:r w:rsidRPr="00D92E20">
        <w:rPr>
          <w:sz w:val="16"/>
        </w:rPr>
        <w:t>Zdroj: ČSÚ</w:t>
      </w:r>
    </w:p>
    <w:p w14:paraId="1CE15FB4" w14:textId="77777777" w:rsidR="00473D4E" w:rsidRDefault="00473D4E">
      <w:pPr>
        <w:spacing w:after="0" w:line="240" w:lineRule="auto"/>
        <w:rPr>
          <w:b/>
        </w:rPr>
      </w:pPr>
      <w:r>
        <w:rPr>
          <w:b/>
        </w:rPr>
        <w:br w:type="page"/>
      </w:r>
    </w:p>
    <w:p w14:paraId="1FD3E2D2" w14:textId="27FFD6D5" w:rsidR="00767C3C" w:rsidRPr="00D92E20" w:rsidRDefault="00767C3C" w:rsidP="00BA6B4E">
      <w:pPr>
        <w:spacing w:after="0"/>
        <w:jc w:val="both"/>
        <w:rPr>
          <w:b/>
        </w:rPr>
      </w:pPr>
      <w:r w:rsidRPr="00D92E20">
        <w:rPr>
          <w:b/>
        </w:rPr>
        <w:lastRenderedPageBreak/>
        <w:t xml:space="preserve">Graf 2.10: Průměrná délka trvání dočasné pracovní neschopnosti podle odvětví (sekce CZ-NACE), </w:t>
      </w:r>
      <w:r w:rsidR="0064296A">
        <w:rPr>
          <w:b/>
        </w:rPr>
        <w:br/>
      </w:r>
      <w:r w:rsidR="0064296A" w:rsidRPr="0064296A">
        <w:rPr>
          <w:b/>
        </w:rPr>
        <w:t>1. pol. 202</w:t>
      </w:r>
      <w:r w:rsidR="00CF385D">
        <w:rPr>
          <w:b/>
        </w:rPr>
        <w:t>2</w:t>
      </w:r>
    </w:p>
    <w:p w14:paraId="1EB14791" w14:textId="222BD3CF" w:rsidR="00184B5C" w:rsidRPr="00D92E20" w:rsidRDefault="00CF385D" w:rsidP="00184B5C">
      <w:r>
        <w:rPr>
          <w:noProof/>
        </w:rPr>
        <w:drawing>
          <wp:inline distT="0" distB="0" distL="0" distR="0" wp14:anchorId="06696752" wp14:editId="405DCBD2">
            <wp:extent cx="6115050" cy="4648200"/>
            <wp:effectExtent l="0" t="0" r="0" b="0"/>
            <wp:docPr id="44" name="Graf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12133EC6" w14:textId="77777777" w:rsidR="00767C3C" w:rsidRPr="00D92E20" w:rsidRDefault="00767C3C" w:rsidP="00BA6B4E">
      <w:pPr>
        <w:spacing w:before="120" w:after="120"/>
        <w:rPr>
          <w:sz w:val="16"/>
        </w:rPr>
      </w:pPr>
      <w:r w:rsidRPr="00D92E20">
        <w:rPr>
          <w:sz w:val="16"/>
        </w:rPr>
        <w:t>Zdroj: ČSÚ</w:t>
      </w:r>
    </w:p>
    <w:p w14:paraId="29C3F421" w14:textId="013B8B8D" w:rsidR="004A31C1" w:rsidRPr="00CF385D" w:rsidRDefault="00404BB0" w:rsidP="004A31C1">
      <w:pPr>
        <w:spacing w:before="120" w:after="120"/>
        <w:jc w:val="both"/>
      </w:pPr>
      <w:r>
        <w:t>Nejkratší</w:t>
      </w:r>
      <w:r w:rsidR="004A31C1" w:rsidRPr="00CF385D">
        <w:t xml:space="preserve"> </w:t>
      </w:r>
      <w:r w:rsidR="00CF385D" w:rsidRPr="00CF385D">
        <w:t>doba (16, resp. 17</w:t>
      </w:r>
      <w:r w:rsidR="004A31C1" w:rsidRPr="00CF385D">
        <w:t xml:space="preserve"> dnů) připadala na pracovní neschopnost v odvětví </w:t>
      </w:r>
      <w:r w:rsidR="00CF385D" w:rsidRPr="00CF385D">
        <w:t xml:space="preserve">Vzdělávání a </w:t>
      </w:r>
      <w:r w:rsidR="004A31C1" w:rsidRPr="00CF385D">
        <w:t>Informační a</w:t>
      </w:r>
      <w:r w:rsidR="00CF385D" w:rsidRPr="00CF385D">
        <w:t> </w:t>
      </w:r>
      <w:r w:rsidR="004A31C1" w:rsidRPr="00CF385D">
        <w:t>komunikační činnosti. Dalším odvětvím s poměrně nízkou průměrnou d</w:t>
      </w:r>
      <w:r w:rsidR="00CF385D" w:rsidRPr="00CF385D">
        <w:t>élkou pracovní neschopnosti byla sekce Veřejná správa a obrana, povinné sociální zabezpečení</w:t>
      </w:r>
      <w:r w:rsidR="004A31C1" w:rsidRPr="00CF385D">
        <w:t xml:space="preserve"> (2</w:t>
      </w:r>
      <w:r w:rsidR="00CF385D" w:rsidRPr="00CF385D">
        <w:t>0</w:t>
      </w:r>
      <w:r w:rsidR="004A31C1" w:rsidRPr="00CF385D">
        <w:t xml:space="preserve"> dnů). Podrobněji viz graf 2.10 a tab. 2.6.</w:t>
      </w:r>
    </w:p>
    <w:p w14:paraId="6DD83D4B" w14:textId="2C8DD05E" w:rsidR="00502EDF" w:rsidRPr="00CF385D" w:rsidRDefault="00CF385D" w:rsidP="00BA6B4E">
      <w:pPr>
        <w:spacing w:after="120"/>
        <w:jc w:val="both"/>
      </w:pPr>
      <w:r w:rsidRPr="00CF385D">
        <w:t>Ve všech</w:t>
      </w:r>
      <w:r w:rsidR="00945181" w:rsidRPr="00CF385D">
        <w:t xml:space="preserve"> odvětví</w:t>
      </w:r>
      <w:r w:rsidRPr="00CF385D">
        <w:t>ch</w:t>
      </w:r>
      <w:r w:rsidR="00945181" w:rsidRPr="00CF385D">
        <w:t xml:space="preserve"> došlo </w:t>
      </w:r>
      <w:r w:rsidR="00270278" w:rsidRPr="00CF385D">
        <w:t xml:space="preserve">meziročně </w:t>
      </w:r>
      <w:r w:rsidR="00945181" w:rsidRPr="00CF385D">
        <w:t xml:space="preserve">ke </w:t>
      </w:r>
      <w:r w:rsidR="00126E91" w:rsidRPr="00CF385D">
        <w:t>zkrácení</w:t>
      </w:r>
      <w:r w:rsidR="00945181" w:rsidRPr="00CF385D">
        <w:t xml:space="preserve"> </w:t>
      </w:r>
      <w:r w:rsidR="00BE43F5" w:rsidRPr="00CF385D">
        <w:t xml:space="preserve">průměrné délky </w:t>
      </w:r>
      <w:r w:rsidR="00945181" w:rsidRPr="00CF385D">
        <w:t xml:space="preserve">pracovní neschopnosti. </w:t>
      </w:r>
      <w:r w:rsidRPr="00CF385D">
        <w:t>K</w:t>
      </w:r>
      <w:r w:rsidR="0044223A" w:rsidRPr="00CF385D">
        <w:t xml:space="preserve"> největšímu meziročnímu poklesu – o </w:t>
      </w:r>
      <w:r w:rsidRPr="00CF385D">
        <w:t>26</w:t>
      </w:r>
      <w:r w:rsidR="0044223A" w:rsidRPr="00CF385D">
        <w:t xml:space="preserve"> dnů, tedy o </w:t>
      </w:r>
      <w:r w:rsidRPr="00CF385D">
        <w:t>43 %</w:t>
      </w:r>
      <w:r w:rsidR="0044223A" w:rsidRPr="00CF385D">
        <w:t xml:space="preserve"> – došlo v odvětví </w:t>
      </w:r>
      <w:r w:rsidRPr="00CF385D">
        <w:rPr>
          <w:b/>
        </w:rPr>
        <w:t>Ubytování, stravování a pohostinství</w:t>
      </w:r>
      <w:r w:rsidRPr="00CF385D">
        <w:t>.</w:t>
      </w:r>
      <w:r w:rsidR="0044223A" w:rsidRPr="00CF385D">
        <w:t xml:space="preserve"> </w:t>
      </w:r>
      <w:r w:rsidR="00BA34E3">
        <w:t>D</w:t>
      </w:r>
      <w:r w:rsidR="0044223A" w:rsidRPr="00CF385D">
        <w:t xml:space="preserve">élka trvání pracovní neschopnosti </w:t>
      </w:r>
      <w:r w:rsidR="00BA34E3">
        <w:t xml:space="preserve">zde </w:t>
      </w:r>
      <w:r w:rsidR="0044223A" w:rsidRPr="00CF385D">
        <w:t xml:space="preserve">činila </w:t>
      </w:r>
      <w:r w:rsidRPr="00CF385D">
        <w:t xml:space="preserve">již zmíněných 34 dnů, </w:t>
      </w:r>
      <w:r w:rsidR="0044223A" w:rsidRPr="00CF385D">
        <w:t xml:space="preserve">tedy o </w:t>
      </w:r>
      <w:r w:rsidRPr="00CF385D">
        <w:t>9</w:t>
      </w:r>
      <w:r w:rsidR="00BE43F5" w:rsidRPr="00CF385D">
        <w:t xml:space="preserve"> dní</w:t>
      </w:r>
      <w:r w:rsidR="0044223A" w:rsidRPr="00CF385D">
        <w:t xml:space="preserve"> </w:t>
      </w:r>
      <w:r w:rsidR="008C0BDB" w:rsidRPr="00CF385D">
        <w:t>více</w:t>
      </w:r>
      <w:r w:rsidR="0044223A" w:rsidRPr="00CF385D">
        <w:t xml:space="preserve"> než byl průměr za všechna odvětví.</w:t>
      </w:r>
    </w:p>
    <w:p w14:paraId="1BB45092" w14:textId="1E2A5B88" w:rsidR="00473D4E" w:rsidRDefault="006C7D54" w:rsidP="00BA6B4E">
      <w:pPr>
        <w:spacing w:after="120"/>
        <w:jc w:val="both"/>
      </w:pPr>
      <w:r w:rsidRPr="00DE09A0">
        <w:t>V </w:t>
      </w:r>
      <w:r w:rsidRPr="00DE09A0">
        <w:rPr>
          <w:b/>
        </w:rPr>
        <w:t>regionálním</w:t>
      </w:r>
      <w:r w:rsidRPr="00DE09A0">
        <w:t xml:space="preserve"> srovnání</w:t>
      </w:r>
      <w:r w:rsidR="00BA6B4E" w:rsidRPr="00DE09A0">
        <w:t xml:space="preserve"> byla v</w:t>
      </w:r>
      <w:r w:rsidR="00DC0DB3" w:rsidRPr="00DE09A0">
        <w:t> 1. pol. 202</w:t>
      </w:r>
      <w:r w:rsidR="00CF385D" w:rsidRPr="00DE09A0">
        <w:t>2</w:t>
      </w:r>
      <w:r w:rsidR="00BA6B4E" w:rsidRPr="00DE09A0">
        <w:t xml:space="preserve"> nejdelší průměrná doba trvání dočasné pracovní neschopnosti zaznamenána v </w:t>
      </w:r>
      <w:r w:rsidR="00CF385D" w:rsidRPr="00DE09A0">
        <w:t>Moravskoslezském (28,2 dne) a Zlínském kraji (27,0 dne)</w:t>
      </w:r>
      <w:r w:rsidR="00BA6B4E" w:rsidRPr="00DE09A0">
        <w:t>. Kraji s nejkratší délkou trvání pracovní ne</w:t>
      </w:r>
      <w:r w:rsidR="00DC0DB3" w:rsidRPr="00DE09A0">
        <w:t>schopnosti byly Královéhradecký</w:t>
      </w:r>
      <w:r w:rsidR="00E10DD4" w:rsidRPr="00DE09A0">
        <w:t xml:space="preserve"> (</w:t>
      </w:r>
      <w:r w:rsidR="00CF385D" w:rsidRPr="00DE09A0">
        <w:t>22,6</w:t>
      </w:r>
      <w:r w:rsidR="00E10DD4" w:rsidRPr="00DE09A0">
        <w:t>)</w:t>
      </w:r>
      <w:r w:rsidR="00DC0DB3" w:rsidRPr="00DE09A0">
        <w:t>,</w:t>
      </w:r>
      <w:r w:rsidR="00BA6B4E" w:rsidRPr="00DE09A0">
        <w:t xml:space="preserve"> </w:t>
      </w:r>
      <w:r w:rsidR="00DC0DB3" w:rsidRPr="00DE09A0">
        <w:t>L</w:t>
      </w:r>
      <w:r w:rsidR="00BA6B4E" w:rsidRPr="00DE09A0">
        <w:t xml:space="preserve">iberecký </w:t>
      </w:r>
      <w:r w:rsidR="00E10DD4" w:rsidRPr="00DE09A0">
        <w:t>(</w:t>
      </w:r>
      <w:r w:rsidR="00CF385D" w:rsidRPr="00DE09A0">
        <w:t>2</w:t>
      </w:r>
      <w:r w:rsidR="00E10DD4" w:rsidRPr="00DE09A0">
        <w:t>2,</w:t>
      </w:r>
      <w:r w:rsidR="00CF385D" w:rsidRPr="00DE09A0">
        <w:t>8</w:t>
      </w:r>
      <w:r w:rsidR="00E10DD4" w:rsidRPr="00DE09A0">
        <w:t xml:space="preserve">) </w:t>
      </w:r>
      <w:r w:rsidR="00DC0DB3" w:rsidRPr="00DE09A0">
        <w:t xml:space="preserve">a Středočeský </w:t>
      </w:r>
      <w:r w:rsidR="00BA6B4E" w:rsidRPr="00DE09A0">
        <w:t>kraj</w:t>
      </w:r>
      <w:r w:rsidR="00E10DD4" w:rsidRPr="00DE09A0">
        <w:t xml:space="preserve"> (</w:t>
      </w:r>
      <w:r w:rsidR="00CF385D" w:rsidRPr="00DE09A0">
        <w:t>2</w:t>
      </w:r>
      <w:r w:rsidR="00E10DD4" w:rsidRPr="00DE09A0">
        <w:t>3,</w:t>
      </w:r>
      <w:r w:rsidR="00CF385D" w:rsidRPr="00DE09A0">
        <w:t>0</w:t>
      </w:r>
      <w:r w:rsidR="00E10DD4" w:rsidRPr="00DE09A0">
        <w:t>)</w:t>
      </w:r>
      <w:r w:rsidR="00DC0DB3" w:rsidRPr="00DE09A0">
        <w:t>.</w:t>
      </w:r>
      <w:r w:rsidR="00BA6B4E" w:rsidRPr="00DE09A0">
        <w:t xml:space="preserve"> </w:t>
      </w:r>
      <w:r w:rsidR="00E10DD4" w:rsidRPr="00DE09A0">
        <w:t>Dlouhodobě se mezi kraji s nejkratší dobou trvání pracovní neschopnosti</w:t>
      </w:r>
      <w:r w:rsidR="00DE09A0" w:rsidRPr="00DE09A0">
        <w:t xml:space="preserve"> pohybovala Praha, v 1. pol. 2022</w:t>
      </w:r>
      <w:r w:rsidR="00E10DD4" w:rsidRPr="00DE09A0">
        <w:t xml:space="preserve"> ji však s hodnotou </w:t>
      </w:r>
      <w:r w:rsidR="00DE09A0" w:rsidRPr="00DE09A0">
        <w:t xml:space="preserve">23,3 dne </w:t>
      </w:r>
      <w:r w:rsidR="00E10DD4" w:rsidRPr="00DE09A0">
        <w:t xml:space="preserve">patřilo </w:t>
      </w:r>
      <w:r w:rsidR="00DE09A0" w:rsidRPr="00DE09A0">
        <w:t>5</w:t>
      </w:r>
      <w:r w:rsidR="00E10DD4" w:rsidRPr="00DE09A0">
        <w:t xml:space="preserve">. místo. </w:t>
      </w:r>
      <w:r w:rsidR="00BA6B4E" w:rsidRPr="00DE09A0">
        <w:t xml:space="preserve">Ve všech krajích ČR hodnoty tohoto ukazatele </w:t>
      </w:r>
      <w:r w:rsidR="00185E38">
        <w:t xml:space="preserve">za poslední 3 roky </w:t>
      </w:r>
      <w:r w:rsidR="00BA6B4E" w:rsidRPr="00DE09A0">
        <w:t>poklesly.</w:t>
      </w:r>
      <w:r w:rsidR="00185E38">
        <w:t xml:space="preserve"> Nejvíce ve Zlínském (-22 dnů, tj. 45 %) a nejméně v Karlovarském kraji (-16 dnů, 38 %).</w:t>
      </w:r>
    </w:p>
    <w:p w14:paraId="4A5E492F" w14:textId="21393109" w:rsidR="00BA6B4E" w:rsidRPr="00E10DD4" w:rsidRDefault="00473D4E" w:rsidP="00473D4E">
      <w:pPr>
        <w:spacing w:after="0" w:line="240" w:lineRule="auto"/>
      </w:pPr>
      <w:r>
        <w:br w:type="page"/>
      </w:r>
    </w:p>
    <w:p w14:paraId="17909FC9" w14:textId="647CDB20" w:rsidR="00502EDF" w:rsidRPr="00DC0DB3" w:rsidRDefault="00502EDF" w:rsidP="00BA6B4E">
      <w:pPr>
        <w:spacing w:after="0"/>
        <w:jc w:val="both"/>
        <w:rPr>
          <w:b/>
        </w:rPr>
      </w:pPr>
      <w:r w:rsidRPr="00DC0DB3">
        <w:rPr>
          <w:b/>
        </w:rPr>
        <w:lastRenderedPageBreak/>
        <w:t xml:space="preserve">Tab. 2.6: Průměrná délka trvání dočasné pracovní neschopnosti podle odvětví (sekce CZ-NACE), </w:t>
      </w:r>
      <w:r w:rsidR="00DC0DB3">
        <w:rPr>
          <w:b/>
        </w:rPr>
        <w:br/>
      </w:r>
      <w:r w:rsidR="009F34CD" w:rsidRPr="0050059C">
        <w:rPr>
          <w:b/>
          <w:spacing w:val="-2"/>
        </w:rPr>
        <w:t>1. pol. 201</w:t>
      </w:r>
      <w:r w:rsidR="009F34CD">
        <w:rPr>
          <w:b/>
          <w:spacing w:val="-2"/>
        </w:rPr>
        <w:t>2</w:t>
      </w:r>
      <w:r w:rsidR="009F34CD" w:rsidRPr="0050059C">
        <w:rPr>
          <w:b/>
          <w:spacing w:val="-2"/>
        </w:rPr>
        <w:t xml:space="preserve"> až 1. pol. 202</w:t>
      </w:r>
      <w:r w:rsidR="009F34CD">
        <w:rPr>
          <w:b/>
          <w:spacing w:val="-2"/>
        </w:rPr>
        <w:t>2</w:t>
      </w:r>
    </w:p>
    <w:tbl>
      <w:tblPr>
        <w:tblW w:w="9720" w:type="dxa"/>
        <w:tblCellMar>
          <w:left w:w="70" w:type="dxa"/>
          <w:right w:w="70" w:type="dxa"/>
        </w:tblCellMar>
        <w:tblLook w:val="04A0" w:firstRow="1" w:lastRow="0" w:firstColumn="1" w:lastColumn="0" w:noHBand="0" w:noVBand="1"/>
      </w:tblPr>
      <w:tblGrid>
        <w:gridCol w:w="3175"/>
        <w:gridCol w:w="595"/>
        <w:gridCol w:w="595"/>
        <w:gridCol w:w="595"/>
        <w:gridCol w:w="595"/>
        <w:gridCol w:w="595"/>
        <w:gridCol w:w="595"/>
        <w:gridCol w:w="595"/>
        <w:gridCol w:w="595"/>
        <w:gridCol w:w="595"/>
        <w:gridCol w:w="595"/>
        <w:gridCol w:w="595"/>
      </w:tblGrid>
      <w:tr w:rsidR="00DE09A0" w:rsidRPr="00D92E20" w14:paraId="6A890C8A" w14:textId="77777777" w:rsidTr="00DC0DB3">
        <w:trPr>
          <w:trHeight w:val="300"/>
        </w:trPr>
        <w:tc>
          <w:tcPr>
            <w:tcW w:w="3175" w:type="dxa"/>
            <w:tcBorders>
              <w:top w:val="single" w:sz="4" w:space="0" w:color="auto"/>
              <w:left w:val="nil"/>
              <w:bottom w:val="single" w:sz="4" w:space="0" w:color="auto"/>
              <w:right w:val="single" w:sz="4" w:space="0" w:color="auto"/>
            </w:tcBorders>
            <w:shd w:val="clear" w:color="000000" w:fill="F5DADD"/>
            <w:vAlign w:val="center"/>
            <w:hideMark/>
          </w:tcPr>
          <w:p w14:paraId="224E9BF1" w14:textId="77777777" w:rsidR="00DE09A0" w:rsidRPr="00D92E20" w:rsidRDefault="00DE09A0" w:rsidP="00DE09A0">
            <w:pPr>
              <w:spacing w:after="0" w:line="240" w:lineRule="auto"/>
              <w:jc w:val="center"/>
              <w:rPr>
                <w:rFonts w:cs="Arial"/>
                <w:color w:val="000000"/>
                <w:sz w:val="16"/>
                <w:szCs w:val="16"/>
              </w:rPr>
            </w:pPr>
            <w:r w:rsidRPr="00D92E20">
              <w:rPr>
                <w:rFonts w:cs="Arial"/>
                <w:color w:val="000000"/>
                <w:sz w:val="16"/>
                <w:szCs w:val="16"/>
              </w:rPr>
              <w:t>Sekce CZ-NACE</w:t>
            </w:r>
          </w:p>
        </w:tc>
        <w:tc>
          <w:tcPr>
            <w:tcW w:w="595" w:type="dxa"/>
            <w:tcBorders>
              <w:top w:val="single" w:sz="4" w:space="0" w:color="auto"/>
              <w:left w:val="nil"/>
              <w:bottom w:val="single" w:sz="4" w:space="0" w:color="auto"/>
              <w:right w:val="nil"/>
            </w:tcBorders>
            <w:shd w:val="clear" w:color="000000" w:fill="F5DADD"/>
            <w:noWrap/>
            <w:vAlign w:val="bottom"/>
            <w:hideMark/>
          </w:tcPr>
          <w:p w14:paraId="3CC12FB0" w14:textId="2708EF81" w:rsidR="00DE09A0" w:rsidRPr="00D92E20" w:rsidRDefault="00DE09A0" w:rsidP="00DE09A0">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2012</w:t>
            </w:r>
          </w:p>
        </w:tc>
        <w:tc>
          <w:tcPr>
            <w:tcW w:w="595" w:type="dxa"/>
            <w:tcBorders>
              <w:top w:val="single" w:sz="4" w:space="0" w:color="auto"/>
              <w:left w:val="nil"/>
              <w:bottom w:val="single" w:sz="4" w:space="0" w:color="auto"/>
              <w:right w:val="nil"/>
            </w:tcBorders>
            <w:shd w:val="clear" w:color="000000" w:fill="F5DADD"/>
            <w:noWrap/>
            <w:vAlign w:val="bottom"/>
            <w:hideMark/>
          </w:tcPr>
          <w:p w14:paraId="5A4F432F" w14:textId="470A22C7" w:rsidR="00DE09A0" w:rsidRPr="00D92E20" w:rsidRDefault="00DE09A0" w:rsidP="00DE09A0">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2013</w:t>
            </w:r>
          </w:p>
        </w:tc>
        <w:tc>
          <w:tcPr>
            <w:tcW w:w="595" w:type="dxa"/>
            <w:tcBorders>
              <w:top w:val="single" w:sz="4" w:space="0" w:color="auto"/>
              <w:left w:val="nil"/>
              <w:bottom w:val="single" w:sz="4" w:space="0" w:color="auto"/>
              <w:right w:val="nil"/>
            </w:tcBorders>
            <w:shd w:val="clear" w:color="000000" w:fill="F5DADD"/>
            <w:noWrap/>
            <w:vAlign w:val="bottom"/>
            <w:hideMark/>
          </w:tcPr>
          <w:p w14:paraId="2DD15085" w14:textId="6DC4A80F" w:rsidR="00DE09A0" w:rsidRPr="00D92E20" w:rsidRDefault="00DE09A0" w:rsidP="00DE09A0">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2014</w:t>
            </w:r>
          </w:p>
        </w:tc>
        <w:tc>
          <w:tcPr>
            <w:tcW w:w="595" w:type="dxa"/>
            <w:tcBorders>
              <w:top w:val="single" w:sz="4" w:space="0" w:color="auto"/>
              <w:left w:val="nil"/>
              <w:bottom w:val="single" w:sz="4" w:space="0" w:color="auto"/>
              <w:right w:val="nil"/>
            </w:tcBorders>
            <w:shd w:val="clear" w:color="000000" w:fill="F5DADD"/>
            <w:noWrap/>
            <w:vAlign w:val="bottom"/>
            <w:hideMark/>
          </w:tcPr>
          <w:p w14:paraId="520ACE1D" w14:textId="6685D0EF" w:rsidR="00DE09A0" w:rsidRPr="00D92E20" w:rsidRDefault="00DE09A0" w:rsidP="00DE09A0">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2015</w:t>
            </w:r>
          </w:p>
        </w:tc>
        <w:tc>
          <w:tcPr>
            <w:tcW w:w="595" w:type="dxa"/>
            <w:tcBorders>
              <w:top w:val="single" w:sz="4" w:space="0" w:color="auto"/>
              <w:left w:val="nil"/>
              <w:bottom w:val="single" w:sz="4" w:space="0" w:color="auto"/>
              <w:right w:val="nil"/>
            </w:tcBorders>
            <w:shd w:val="clear" w:color="000000" w:fill="F5DADD"/>
            <w:noWrap/>
            <w:vAlign w:val="bottom"/>
            <w:hideMark/>
          </w:tcPr>
          <w:p w14:paraId="03921989" w14:textId="34563C61" w:rsidR="00DE09A0" w:rsidRPr="00D92E20" w:rsidRDefault="00DE09A0" w:rsidP="00DE09A0">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2016</w:t>
            </w:r>
          </w:p>
        </w:tc>
        <w:tc>
          <w:tcPr>
            <w:tcW w:w="595" w:type="dxa"/>
            <w:tcBorders>
              <w:top w:val="single" w:sz="4" w:space="0" w:color="auto"/>
              <w:left w:val="nil"/>
              <w:bottom w:val="single" w:sz="4" w:space="0" w:color="auto"/>
              <w:right w:val="nil"/>
            </w:tcBorders>
            <w:shd w:val="clear" w:color="000000" w:fill="F5DADD"/>
            <w:noWrap/>
            <w:vAlign w:val="bottom"/>
            <w:hideMark/>
          </w:tcPr>
          <w:p w14:paraId="16EA5EEF" w14:textId="0A73C6EA" w:rsidR="00DE09A0" w:rsidRPr="00D92E20" w:rsidRDefault="00DE09A0" w:rsidP="00DE09A0">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2017</w:t>
            </w:r>
          </w:p>
        </w:tc>
        <w:tc>
          <w:tcPr>
            <w:tcW w:w="595" w:type="dxa"/>
            <w:tcBorders>
              <w:top w:val="single" w:sz="4" w:space="0" w:color="auto"/>
              <w:left w:val="nil"/>
              <w:bottom w:val="single" w:sz="4" w:space="0" w:color="auto"/>
              <w:right w:val="nil"/>
            </w:tcBorders>
            <w:shd w:val="clear" w:color="000000" w:fill="F5DADD"/>
            <w:noWrap/>
            <w:vAlign w:val="bottom"/>
            <w:hideMark/>
          </w:tcPr>
          <w:p w14:paraId="3848B936" w14:textId="7D4C7232" w:rsidR="00DE09A0" w:rsidRPr="00D92E20" w:rsidRDefault="00DE09A0" w:rsidP="00DE09A0">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2018</w:t>
            </w:r>
          </w:p>
        </w:tc>
        <w:tc>
          <w:tcPr>
            <w:tcW w:w="595" w:type="dxa"/>
            <w:tcBorders>
              <w:top w:val="single" w:sz="4" w:space="0" w:color="auto"/>
              <w:left w:val="nil"/>
              <w:bottom w:val="single" w:sz="4" w:space="0" w:color="auto"/>
              <w:right w:val="nil"/>
            </w:tcBorders>
            <w:shd w:val="clear" w:color="000000" w:fill="F5DADD"/>
            <w:noWrap/>
            <w:vAlign w:val="bottom"/>
            <w:hideMark/>
          </w:tcPr>
          <w:p w14:paraId="58F623E8" w14:textId="595987F3" w:rsidR="00DE09A0" w:rsidRPr="00D92E20" w:rsidRDefault="00DE09A0" w:rsidP="00DE09A0">
            <w:pPr>
              <w:spacing w:after="0" w:line="240" w:lineRule="auto"/>
              <w:jc w:val="center"/>
              <w:rPr>
                <w:rFonts w:cs="Arial"/>
                <w:color w:val="000000"/>
                <w:sz w:val="16"/>
                <w:szCs w:val="16"/>
              </w:rPr>
            </w:pPr>
            <w:r>
              <w:rPr>
                <w:rFonts w:cs="Arial"/>
                <w:sz w:val="16"/>
                <w:szCs w:val="16"/>
              </w:rPr>
              <w:t>1. pol. 2019</w:t>
            </w:r>
          </w:p>
        </w:tc>
        <w:tc>
          <w:tcPr>
            <w:tcW w:w="595" w:type="dxa"/>
            <w:tcBorders>
              <w:top w:val="single" w:sz="4" w:space="0" w:color="auto"/>
              <w:left w:val="nil"/>
              <w:bottom w:val="single" w:sz="4" w:space="0" w:color="auto"/>
              <w:right w:val="nil"/>
            </w:tcBorders>
            <w:shd w:val="clear" w:color="000000" w:fill="F5DADD"/>
            <w:noWrap/>
            <w:vAlign w:val="bottom"/>
            <w:hideMark/>
          </w:tcPr>
          <w:p w14:paraId="75CC6C92" w14:textId="45E5397C" w:rsidR="00DE09A0" w:rsidRPr="00D92E20" w:rsidRDefault="00DE09A0" w:rsidP="00DE09A0">
            <w:pPr>
              <w:spacing w:after="0" w:line="240" w:lineRule="auto"/>
              <w:jc w:val="center"/>
              <w:rPr>
                <w:rFonts w:cs="Arial"/>
                <w:color w:val="000000"/>
                <w:sz w:val="16"/>
                <w:szCs w:val="16"/>
              </w:rPr>
            </w:pPr>
            <w:r>
              <w:rPr>
                <w:rFonts w:cs="Arial"/>
                <w:sz w:val="16"/>
                <w:szCs w:val="16"/>
              </w:rPr>
              <w:t>1. pol. 2020</w:t>
            </w:r>
          </w:p>
        </w:tc>
        <w:tc>
          <w:tcPr>
            <w:tcW w:w="595" w:type="dxa"/>
            <w:tcBorders>
              <w:top w:val="single" w:sz="4" w:space="0" w:color="auto"/>
              <w:left w:val="nil"/>
              <w:bottom w:val="single" w:sz="4" w:space="0" w:color="auto"/>
              <w:right w:val="nil"/>
            </w:tcBorders>
            <w:shd w:val="clear" w:color="000000" w:fill="F5DADD"/>
            <w:noWrap/>
            <w:vAlign w:val="bottom"/>
            <w:hideMark/>
          </w:tcPr>
          <w:p w14:paraId="3E6E0F74" w14:textId="40BDA701" w:rsidR="00DE09A0" w:rsidRPr="00D92E20" w:rsidRDefault="00DE09A0" w:rsidP="00DE09A0">
            <w:pPr>
              <w:spacing w:after="0" w:line="240" w:lineRule="auto"/>
              <w:jc w:val="center"/>
              <w:rPr>
                <w:rFonts w:cs="Arial"/>
                <w:color w:val="000000"/>
                <w:sz w:val="16"/>
                <w:szCs w:val="16"/>
              </w:rPr>
            </w:pPr>
            <w:r>
              <w:rPr>
                <w:rFonts w:cs="Arial"/>
                <w:sz w:val="16"/>
                <w:szCs w:val="16"/>
              </w:rPr>
              <w:t>1. pol. 2021</w:t>
            </w:r>
          </w:p>
        </w:tc>
        <w:tc>
          <w:tcPr>
            <w:tcW w:w="595" w:type="dxa"/>
            <w:tcBorders>
              <w:top w:val="single" w:sz="4" w:space="0" w:color="auto"/>
              <w:left w:val="nil"/>
              <w:bottom w:val="single" w:sz="4" w:space="0" w:color="auto"/>
              <w:right w:val="nil"/>
            </w:tcBorders>
            <w:shd w:val="clear" w:color="000000" w:fill="F5DADD"/>
            <w:noWrap/>
            <w:vAlign w:val="bottom"/>
            <w:hideMark/>
          </w:tcPr>
          <w:p w14:paraId="1F53BD12" w14:textId="4BF89E7B" w:rsidR="00DE09A0" w:rsidRPr="00D92E20" w:rsidRDefault="00DE09A0" w:rsidP="00DE09A0">
            <w:pPr>
              <w:spacing w:after="0" w:line="240" w:lineRule="auto"/>
              <w:jc w:val="center"/>
              <w:rPr>
                <w:rFonts w:cs="Arial"/>
                <w:color w:val="000000"/>
                <w:sz w:val="16"/>
                <w:szCs w:val="16"/>
              </w:rPr>
            </w:pPr>
            <w:r>
              <w:rPr>
                <w:rFonts w:cs="Arial"/>
                <w:sz w:val="16"/>
                <w:szCs w:val="16"/>
              </w:rPr>
              <w:t>1. pol. 2022</w:t>
            </w:r>
          </w:p>
        </w:tc>
      </w:tr>
      <w:tr w:rsidR="00DE09A0" w:rsidRPr="00D92E20" w14:paraId="7279222D"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26B30265" w14:textId="77777777" w:rsidR="00DE09A0" w:rsidRPr="00D92E20" w:rsidRDefault="00DE09A0" w:rsidP="00DE09A0">
            <w:pPr>
              <w:spacing w:after="0" w:line="240" w:lineRule="auto"/>
              <w:rPr>
                <w:rFonts w:cs="Arial"/>
                <w:b/>
                <w:bCs/>
                <w:color w:val="000000"/>
                <w:sz w:val="16"/>
                <w:szCs w:val="16"/>
              </w:rPr>
            </w:pPr>
            <w:r w:rsidRPr="00D92E20">
              <w:rPr>
                <w:rFonts w:cs="Arial"/>
                <w:b/>
                <w:bCs/>
                <w:color w:val="000000"/>
                <w:sz w:val="16"/>
                <w:szCs w:val="16"/>
              </w:rPr>
              <w:t>Celkem</w:t>
            </w:r>
          </w:p>
        </w:tc>
        <w:tc>
          <w:tcPr>
            <w:tcW w:w="595" w:type="dxa"/>
            <w:tcBorders>
              <w:top w:val="nil"/>
              <w:left w:val="nil"/>
              <w:bottom w:val="nil"/>
              <w:right w:val="nil"/>
            </w:tcBorders>
            <w:shd w:val="clear" w:color="auto" w:fill="auto"/>
            <w:noWrap/>
            <w:vAlign w:val="center"/>
            <w:hideMark/>
          </w:tcPr>
          <w:p w14:paraId="3C6FA4A0" w14:textId="2EFC9CDF" w:rsidR="00DE09A0" w:rsidRPr="00D92E20" w:rsidRDefault="00DE09A0" w:rsidP="00DE09A0">
            <w:pPr>
              <w:spacing w:after="0" w:line="240" w:lineRule="auto"/>
              <w:jc w:val="center"/>
              <w:rPr>
                <w:rFonts w:cs="Arial"/>
                <w:b/>
                <w:bCs/>
                <w:color w:val="000000"/>
                <w:sz w:val="16"/>
                <w:szCs w:val="16"/>
              </w:rPr>
            </w:pPr>
            <w:r>
              <w:rPr>
                <w:rFonts w:cs="Arial"/>
                <w:b/>
                <w:bCs/>
                <w:sz w:val="16"/>
                <w:szCs w:val="16"/>
              </w:rPr>
              <w:t>47,7</w:t>
            </w:r>
          </w:p>
        </w:tc>
        <w:tc>
          <w:tcPr>
            <w:tcW w:w="595" w:type="dxa"/>
            <w:tcBorders>
              <w:top w:val="nil"/>
              <w:left w:val="nil"/>
              <w:bottom w:val="nil"/>
              <w:right w:val="nil"/>
            </w:tcBorders>
            <w:shd w:val="clear" w:color="auto" w:fill="auto"/>
            <w:noWrap/>
            <w:vAlign w:val="center"/>
            <w:hideMark/>
          </w:tcPr>
          <w:p w14:paraId="220B4FFD" w14:textId="1D3E1369" w:rsidR="00DE09A0" w:rsidRPr="00D92E20" w:rsidRDefault="00DE09A0" w:rsidP="00DE09A0">
            <w:pPr>
              <w:spacing w:after="0" w:line="240" w:lineRule="auto"/>
              <w:jc w:val="center"/>
              <w:rPr>
                <w:rFonts w:cs="Arial"/>
                <w:b/>
                <w:bCs/>
                <w:color w:val="000000"/>
                <w:sz w:val="16"/>
                <w:szCs w:val="16"/>
              </w:rPr>
            </w:pPr>
            <w:r>
              <w:rPr>
                <w:rFonts w:cs="Arial"/>
                <w:b/>
                <w:bCs/>
                <w:sz w:val="16"/>
                <w:szCs w:val="16"/>
              </w:rPr>
              <w:t>42,2</w:t>
            </w:r>
          </w:p>
        </w:tc>
        <w:tc>
          <w:tcPr>
            <w:tcW w:w="595" w:type="dxa"/>
            <w:tcBorders>
              <w:top w:val="nil"/>
              <w:left w:val="nil"/>
              <w:bottom w:val="nil"/>
              <w:right w:val="nil"/>
            </w:tcBorders>
            <w:shd w:val="clear" w:color="auto" w:fill="auto"/>
            <w:noWrap/>
            <w:vAlign w:val="center"/>
            <w:hideMark/>
          </w:tcPr>
          <w:p w14:paraId="270869CA" w14:textId="23B6E370" w:rsidR="00DE09A0" w:rsidRPr="00D92E20" w:rsidRDefault="00DE09A0" w:rsidP="00DE09A0">
            <w:pPr>
              <w:spacing w:after="0" w:line="240" w:lineRule="auto"/>
              <w:jc w:val="center"/>
              <w:rPr>
                <w:rFonts w:cs="Arial"/>
                <w:b/>
                <w:bCs/>
                <w:color w:val="000000"/>
                <w:sz w:val="16"/>
                <w:szCs w:val="16"/>
              </w:rPr>
            </w:pPr>
            <w:r>
              <w:rPr>
                <w:rFonts w:cs="Arial"/>
                <w:b/>
                <w:bCs/>
                <w:sz w:val="16"/>
                <w:szCs w:val="16"/>
              </w:rPr>
              <w:t>45,9</w:t>
            </w:r>
          </w:p>
        </w:tc>
        <w:tc>
          <w:tcPr>
            <w:tcW w:w="595" w:type="dxa"/>
            <w:tcBorders>
              <w:top w:val="nil"/>
              <w:left w:val="nil"/>
              <w:bottom w:val="nil"/>
              <w:right w:val="nil"/>
            </w:tcBorders>
            <w:shd w:val="clear" w:color="auto" w:fill="auto"/>
            <w:noWrap/>
            <w:vAlign w:val="center"/>
            <w:hideMark/>
          </w:tcPr>
          <w:p w14:paraId="08CF2BCD" w14:textId="4254E472" w:rsidR="00DE09A0" w:rsidRPr="00D92E20" w:rsidRDefault="00DE09A0" w:rsidP="00DE09A0">
            <w:pPr>
              <w:spacing w:after="0" w:line="240" w:lineRule="auto"/>
              <w:jc w:val="center"/>
              <w:rPr>
                <w:rFonts w:cs="Arial"/>
                <w:b/>
                <w:bCs/>
                <w:color w:val="000000"/>
                <w:sz w:val="16"/>
                <w:szCs w:val="16"/>
              </w:rPr>
            </w:pPr>
            <w:r>
              <w:rPr>
                <w:rFonts w:cs="Arial"/>
                <w:b/>
                <w:bCs/>
                <w:sz w:val="16"/>
                <w:szCs w:val="16"/>
              </w:rPr>
              <w:t>40,1</w:t>
            </w:r>
          </w:p>
        </w:tc>
        <w:tc>
          <w:tcPr>
            <w:tcW w:w="595" w:type="dxa"/>
            <w:tcBorders>
              <w:top w:val="nil"/>
              <w:left w:val="nil"/>
              <w:bottom w:val="nil"/>
              <w:right w:val="nil"/>
            </w:tcBorders>
            <w:shd w:val="clear" w:color="auto" w:fill="auto"/>
            <w:noWrap/>
            <w:vAlign w:val="center"/>
            <w:hideMark/>
          </w:tcPr>
          <w:p w14:paraId="0ECFFA8B" w14:textId="45D28A9C" w:rsidR="00DE09A0" w:rsidRPr="00D92E20" w:rsidRDefault="00DE09A0" w:rsidP="00DE09A0">
            <w:pPr>
              <w:spacing w:after="0" w:line="240" w:lineRule="auto"/>
              <w:jc w:val="center"/>
              <w:rPr>
                <w:rFonts w:cs="Arial"/>
                <w:b/>
                <w:bCs/>
                <w:color w:val="000000"/>
                <w:sz w:val="16"/>
                <w:szCs w:val="16"/>
              </w:rPr>
            </w:pPr>
            <w:r>
              <w:rPr>
                <w:rFonts w:cs="Arial"/>
                <w:b/>
                <w:bCs/>
                <w:color w:val="000000"/>
                <w:sz w:val="16"/>
                <w:szCs w:val="16"/>
              </w:rPr>
              <w:t>42,0</w:t>
            </w:r>
          </w:p>
        </w:tc>
        <w:tc>
          <w:tcPr>
            <w:tcW w:w="595" w:type="dxa"/>
            <w:tcBorders>
              <w:top w:val="nil"/>
              <w:left w:val="nil"/>
              <w:bottom w:val="nil"/>
              <w:right w:val="nil"/>
            </w:tcBorders>
            <w:shd w:val="clear" w:color="auto" w:fill="auto"/>
            <w:noWrap/>
            <w:vAlign w:val="center"/>
            <w:hideMark/>
          </w:tcPr>
          <w:p w14:paraId="5BCB5A45" w14:textId="1015DF44" w:rsidR="00DE09A0" w:rsidRPr="00D92E20" w:rsidRDefault="00DE09A0" w:rsidP="00DE09A0">
            <w:pPr>
              <w:spacing w:after="0" w:line="240" w:lineRule="auto"/>
              <w:jc w:val="center"/>
              <w:rPr>
                <w:rFonts w:cs="Arial"/>
                <w:b/>
                <w:bCs/>
                <w:color w:val="000000"/>
                <w:sz w:val="16"/>
                <w:szCs w:val="16"/>
              </w:rPr>
            </w:pPr>
            <w:r>
              <w:rPr>
                <w:rFonts w:cs="Arial"/>
                <w:b/>
                <w:bCs/>
                <w:color w:val="000000"/>
                <w:sz w:val="16"/>
                <w:szCs w:val="16"/>
              </w:rPr>
              <w:t>41,0</w:t>
            </w:r>
          </w:p>
        </w:tc>
        <w:tc>
          <w:tcPr>
            <w:tcW w:w="595" w:type="dxa"/>
            <w:tcBorders>
              <w:top w:val="nil"/>
              <w:left w:val="nil"/>
              <w:bottom w:val="nil"/>
              <w:right w:val="nil"/>
            </w:tcBorders>
            <w:shd w:val="clear" w:color="auto" w:fill="auto"/>
            <w:noWrap/>
            <w:vAlign w:val="center"/>
            <w:hideMark/>
          </w:tcPr>
          <w:p w14:paraId="2352F69D" w14:textId="7FFA6228" w:rsidR="00DE09A0" w:rsidRPr="00D92E20" w:rsidRDefault="00DE09A0" w:rsidP="00DE09A0">
            <w:pPr>
              <w:spacing w:after="0" w:line="240" w:lineRule="auto"/>
              <w:jc w:val="center"/>
              <w:rPr>
                <w:rFonts w:cs="Arial"/>
                <w:b/>
                <w:bCs/>
                <w:color w:val="000000"/>
                <w:sz w:val="16"/>
                <w:szCs w:val="16"/>
              </w:rPr>
            </w:pPr>
            <w:r>
              <w:rPr>
                <w:rFonts w:cs="Arial"/>
                <w:b/>
                <w:bCs/>
                <w:color w:val="000000"/>
                <w:sz w:val="16"/>
                <w:szCs w:val="16"/>
              </w:rPr>
              <w:t>39,1</w:t>
            </w:r>
          </w:p>
        </w:tc>
        <w:tc>
          <w:tcPr>
            <w:tcW w:w="595" w:type="dxa"/>
            <w:tcBorders>
              <w:top w:val="nil"/>
              <w:left w:val="nil"/>
              <w:bottom w:val="nil"/>
              <w:right w:val="nil"/>
            </w:tcBorders>
            <w:shd w:val="clear" w:color="auto" w:fill="auto"/>
            <w:noWrap/>
            <w:vAlign w:val="center"/>
            <w:hideMark/>
          </w:tcPr>
          <w:p w14:paraId="40CBADF1" w14:textId="3497CE5C" w:rsidR="00DE09A0" w:rsidRPr="00D92E20" w:rsidRDefault="00DE09A0" w:rsidP="00DE09A0">
            <w:pPr>
              <w:spacing w:after="0" w:line="240" w:lineRule="auto"/>
              <w:jc w:val="center"/>
              <w:rPr>
                <w:rFonts w:cs="Arial"/>
                <w:b/>
                <w:bCs/>
                <w:color w:val="000000"/>
                <w:sz w:val="16"/>
                <w:szCs w:val="16"/>
              </w:rPr>
            </w:pPr>
            <w:r>
              <w:rPr>
                <w:rFonts w:cs="Arial"/>
                <w:b/>
                <w:bCs/>
                <w:color w:val="000000"/>
                <w:sz w:val="16"/>
                <w:szCs w:val="16"/>
              </w:rPr>
              <w:t>42,6</w:t>
            </w:r>
          </w:p>
        </w:tc>
        <w:tc>
          <w:tcPr>
            <w:tcW w:w="595" w:type="dxa"/>
            <w:tcBorders>
              <w:top w:val="nil"/>
              <w:left w:val="nil"/>
              <w:bottom w:val="nil"/>
              <w:right w:val="nil"/>
            </w:tcBorders>
            <w:shd w:val="clear" w:color="auto" w:fill="auto"/>
            <w:noWrap/>
            <w:vAlign w:val="center"/>
            <w:hideMark/>
          </w:tcPr>
          <w:p w14:paraId="60DCC646" w14:textId="74969B0A" w:rsidR="00DE09A0" w:rsidRPr="00D92E20" w:rsidRDefault="00DE09A0" w:rsidP="00DE09A0">
            <w:pPr>
              <w:spacing w:after="0" w:line="240" w:lineRule="auto"/>
              <w:jc w:val="center"/>
              <w:rPr>
                <w:rFonts w:cs="Arial"/>
                <w:b/>
                <w:bCs/>
                <w:color w:val="000000"/>
                <w:sz w:val="16"/>
                <w:szCs w:val="16"/>
              </w:rPr>
            </w:pPr>
            <w:r>
              <w:rPr>
                <w:rFonts w:cs="Arial"/>
                <w:b/>
                <w:bCs/>
                <w:color w:val="000000"/>
                <w:sz w:val="16"/>
                <w:szCs w:val="16"/>
              </w:rPr>
              <w:t>44,3</w:t>
            </w:r>
          </w:p>
        </w:tc>
        <w:tc>
          <w:tcPr>
            <w:tcW w:w="595" w:type="dxa"/>
            <w:tcBorders>
              <w:top w:val="nil"/>
              <w:left w:val="nil"/>
              <w:bottom w:val="nil"/>
              <w:right w:val="nil"/>
            </w:tcBorders>
            <w:shd w:val="clear" w:color="auto" w:fill="auto"/>
            <w:noWrap/>
            <w:vAlign w:val="center"/>
            <w:hideMark/>
          </w:tcPr>
          <w:p w14:paraId="10AF4F76" w14:textId="75672002" w:rsidR="00DE09A0" w:rsidRPr="00D92E20" w:rsidRDefault="00DE09A0" w:rsidP="00DE09A0">
            <w:pPr>
              <w:spacing w:after="0" w:line="240" w:lineRule="auto"/>
              <w:jc w:val="center"/>
              <w:rPr>
                <w:rFonts w:cs="Arial"/>
                <w:b/>
                <w:bCs/>
                <w:color w:val="000000"/>
                <w:sz w:val="16"/>
                <w:szCs w:val="16"/>
              </w:rPr>
            </w:pPr>
            <w:r>
              <w:rPr>
                <w:rFonts w:cs="Arial"/>
                <w:b/>
                <w:bCs/>
                <w:color w:val="000000"/>
                <w:sz w:val="16"/>
                <w:szCs w:val="16"/>
              </w:rPr>
              <w:t>36,3</w:t>
            </w:r>
          </w:p>
        </w:tc>
        <w:tc>
          <w:tcPr>
            <w:tcW w:w="595" w:type="dxa"/>
            <w:tcBorders>
              <w:top w:val="nil"/>
              <w:left w:val="nil"/>
              <w:bottom w:val="nil"/>
              <w:right w:val="nil"/>
            </w:tcBorders>
            <w:shd w:val="clear" w:color="auto" w:fill="auto"/>
            <w:noWrap/>
            <w:vAlign w:val="center"/>
            <w:hideMark/>
          </w:tcPr>
          <w:p w14:paraId="30882827" w14:textId="15D47B97" w:rsidR="00DE09A0" w:rsidRPr="00D92E20" w:rsidRDefault="00DE09A0" w:rsidP="00DE09A0">
            <w:pPr>
              <w:spacing w:after="0" w:line="240" w:lineRule="auto"/>
              <w:jc w:val="center"/>
              <w:rPr>
                <w:rFonts w:cs="Arial"/>
                <w:b/>
                <w:bCs/>
                <w:color w:val="000000"/>
                <w:sz w:val="16"/>
                <w:szCs w:val="16"/>
              </w:rPr>
            </w:pPr>
            <w:r>
              <w:rPr>
                <w:rFonts w:cs="Arial"/>
                <w:b/>
                <w:bCs/>
                <w:color w:val="000000"/>
                <w:sz w:val="16"/>
                <w:szCs w:val="16"/>
              </w:rPr>
              <w:t>24,5</w:t>
            </w:r>
          </w:p>
        </w:tc>
      </w:tr>
      <w:tr w:rsidR="00DE09A0" w:rsidRPr="00D92E20" w14:paraId="62FE7293"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2C211987"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A – Zemědělství, lesnictví a rybářství</w:t>
            </w:r>
          </w:p>
        </w:tc>
        <w:tc>
          <w:tcPr>
            <w:tcW w:w="595" w:type="dxa"/>
            <w:tcBorders>
              <w:top w:val="nil"/>
              <w:left w:val="nil"/>
              <w:bottom w:val="nil"/>
              <w:right w:val="nil"/>
            </w:tcBorders>
            <w:shd w:val="clear" w:color="auto" w:fill="auto"/>
            <w:noWrap/>
            <w:vAlign w:val="center"/>
            <w:hideMark/>
          </w:tcPr>
          <w:p w14:paraId="0CDD0937" w14:textId="00F018AE" w:rsidR="00DE09A0" w:rsidRPr="00D92E20" w:rsidRDefault="00DE09A0" w:rsidP="00DE09A0">
            <w:pPr>
              <w:spacing w:after="0" w:line="240" w:lineRule="auto"/>
              <w:jc w:val="center"/>
              <w:rPr>
                <w:rFonts w:cs="Arial"/>
                <w:color w:val="000000"/>
                <w:sz w:val="16"/>
                <w:szCs w:val="16"/>
              </w:rPr>
            </w:pPr>
            <w:r>
              <w:rPr>
                <w:rFonts w:cs="Arial"/>
                <w:sz w:val="16"/>
                <w:szCs w:val="16"/>
              </w:rPr>
              <w:t>63,8</w:t>
            </w:r>
          </w:p>
        </w:tc>
        <w:tc>
          <w:tcPr>
            <w:tcW w:w="595" w:type="dxa"/>
            <w:tcBorders>
              <w:top w:val="nil"/>
              <w:left w:val="nil"/>
              <w:bottom w:val="nil"/>
              <w:right w:val="nil"/>
            </w:tcBorders>
            <w:shd w:val="clear" w:color="auto" w:fill="auto"/>
            <w:noWrap/>
            <w:vAlign w:val="center"/>
            <w:hideMark/>
          </w:tcPr>
          <w:p w14:paraId="16B74D2A" w14:textId="1E356AA0" w:rsidR="00DE09A0" w:rsidRPr="00D92E20" w:rsidRDefault="00DE09A0" w:rsidP="00DE09A0">
            <w:pPr>
              <w:spacing w:after="0" w:line="240" w:lineRule="auto"/>
              <w:jc w:val="center"/>
              <w:rPr>
                <w:rFonts w:cs="Arial"/>
                <w:color w:val="000000"/>
                <w:sz w:val="16"/>
                <w:szCs w:val="16"/>
              </w:rPr>
            </w:pPr>
            <w:r>
              <w:rPr>
                <w:rFonts w:cs="Arial"/>
                <w:sz w:val="16"/>
                <w:szCs w:val="16"/>
              </w:rPr>
              <w:t>57,8</w:t>
            </w:r>
          </w:p>
        </w:tc>
        <w:tc>
          <w:tcPr>
            <w:tcW w:w="595" w:type="dxa"/>
            <w:tcBorders>
              <w:top w:val="nil"/>
              <w:left w:val="nil"/>
              <w:bottom w:val="nil"/>
              <w:right w:val="nil"/>
            </w:tcBorders>
            <w:shd w:val="clear" w:color="auto" w:fill="auto"/>
            <w:noWrap/>
            <w:vAlign w:val="center"/>
            <w:hideMark/>
          </w:tcPr>
          <w:p w14:paraId="1117F0FE" w14:textId="26CB6362" w:rsidR="00DE09A0" w:rsidRPr="00D92E20" w:rsidRDefault="00DE09A0" w:rsidP="00DE09A0">
            <w:pPr>
              <w:spacing w:after="0" w:line="240" w:lineRule="auto"/>
              <w:jc w:val="center"/>
              <w:rPr>
                <w:rFonts w:cs="Arial"/>
                <w:color w:val="000000"/>
                <w:sz w:val="16"/>
                <w:szCs w:val="16"/>
              </w:rPr>
            </w:pPr>
            <w:r>
              <w:rPr>
                <w:rFonts w:cs="Arial"/>
                <w:sz w:val="16"/>
                <w:szCs w:val="16"/>
              </w:rPr>
              <w:t>62,0</w:t>
            </w:r>
          </w:p>
        </w:tc>
        <w:tc>
          <w:tcPr>
            <w:tcW w:w="595" w:type="dxa"/>
            <w:tcBorders>
              <w:top w:val="nil"/>
              <w:left w:val="nil"/>
              <w:bottom w:val="nil"/>
              <w:right w:val="nil"/>
            </w:tcBorders>
            <w:shd w:val="clear" w:color="auto" w:fill="auto"/>
            <w:noWrap/>
            <w:vAlign w:val="center"/>
            <w:hideMark/>
          </w:tcPr>
          <w:p w14:paraId="5E85049B" w14:textId="004740D4" w:rsidR="00DE09A0" w:rsidRPr="00D92E20" w:rsidRDefault="00DE09A0" w:rsidP="00DE09A0">
            <w:pPr>
              <w:spacing w:after="0" w:line="240" w:lineRule="auto"/>
              <w:jc w:val="center"/>
              <w:rPr>
                <w:rFonts w:cs="Arial"/>
                <w:color w:val="000000"/>
                <w:sz w:val="16"/>
                <w:szCs w:val="16"/>
              </w:rPr>
            </w:pPr>
            <w:r>
              <w:rPr>
                <w:rFonts w:cs="Arial"/>
                <w:sz w:val="16"/>
                <w:szCs w:val="16"/>
              </w:rPr>
              <w:t>54,9</w:t>
            </w:r>
          </w:p>
        </w:tc>
        <w:tc>
          <w:tcPr>
            <w:tcW w:w="595" w:type="dxa"/>
            <w:tcBorders>
              <w:top w:val="nil"/>
              <w:left w:val="nil"/>
              <w:bottom w:val="nil"/>
              <w:right w:val="nil"/>
            </w:tcBorders>
            <w:shd w:val="clear" w:color="auto" w:fill="auto"/>
            <w:noWrap/>
            <w:vAlign w:val="center"/>
            <w:hideMark/>
          </w:tcPr>
          <w:p w14:paraId="300EA153" w14:textId="246E40CA" w:rsidR="00DE09A0" w:rsidRPr="00D92E20" w:rsidRDefault="00DE09A0" w:rsidP="00DE09A0">
            <w:pPr>
              <w:spacing w:after="0" w:line="240" w:lineRule="auto"/>
              <w:jc w:val="center"/>
              <w:rPr>
                <w:rFonts w:cs="Arial"/>
                <w:color w:val="000000"/>
                <w:sz w:val="16"/>
                <w:szCs w:val="16"/>
              </w:rPr>
            </w:pPr>
            <w:r>
              <w:rPr>
                <w:rFonts w:cs="Arial"/>
                <w:color w:val="000000"/>
                <w:sz w:val="16"/>
                <w:szCs w:val="16"/>
              </w:rPr>
              <w:t>58,5</w:t>
            </w:r>
          </w:p>
        </w:tc>
        <w:tc>
          <w:tcPr>
            <w:tcW w:w="595" w:type="dxa"/>
            <w:tcBorders>
              <w:top w:val="nil"/>
              <w:left w:val="nil"/>
              <w:bottom w:val="nil"/>
              <w:right w:val="nil"/>
            </w:tcBorders>
            <w:shd w:val="clear" w:color="auto" w:fill="auto"/>
            <w:noWrap/>
            <w:vAlign w:val="center"/>
            <w:hideMark/>
          </w:tcPr>
          <w:p w14:paraId="3C4FC006" w14:textId="1AEB7BC7" w:rsidR="00DE09A0" w:rsidRPr="00D92E20" w:rsidRDefault="00DE09A0" w:rsidP="00DE09A0">
            <w:pPr>
              <w:spacing w:after="0" w:line="240" w:lineRule="auto"/>
              <w:jc w:val="center"/>
              <w:rPr>
                <w:rFonts w:cs="Arial"/>
                <w:color w:val="000000"/>
                <w:sz w:val="16"/>
                <w:szCs w:val="16"/>
              </w:rPr>
            </w:pPr>
            <w:r>
              <w:rPr>
                <w:rFonts w:cs="Arial"/>
                <w:color w:val="000000"/>
                <w:sz w:val="16"/>
                <w:szCs w:val="16"/>
              </w:rPr>
              <w:t>56,6</w:t>
            </w:r>
          </w:p>
        </w:tc>
        <w:tc>
          <w:tcPr>
            <w:tcW w:w="595" w:type="dxa"/>
            <w:tcBorders>
              <w:top w:val="nil"/>
              <w:left w:val="nil"/>
              <w:bottom w:val="nil"/>
              <w:right w:val="nil"/>
            </w:tcBorders>
            <w:shd w:val="clear" w:color="auto" w:fill="auto"/>
            <w:noWrap/>
            <w:vAlign w:val="center"/>
            <w:hideMark/>
          </w:tcPr>
          <w:p w14:paraId="5A867BF9" w14:textId="0BF05106" w:rsidR="00DE09A0" w:rsidRPr="00D92E20" w:rsidRDefault="00DE09A0" w:rsidP="00DE09A0">
            <w:pPr>
              <w:spacing w:after="0" w:line="240" w:lineRule="auto"/>
              <w:jc w:val="center"/>
              <w:rPr>
                <w:rFonts w:cs="Arial"/>
                <w:color w:val="000000"/>
                <w:sz w:val="16"/>
                <w:szCs w:val="16"/>
              </w:rPr>
            </w:pPr>
            <w:r>
              <w:rPr>
                <w:rFonts w:cs="Arial"/>
                <w:color w:val="000000"/>
                <w:sz w:val="16"/>
                <w:szCs w:val="16"/>
              </w:rPr>
              <w:t>53,4</w:t>
            </w:r>
          </w:p>
        </w:tc>
        <w:tc>
          <w:tcPr>
            <w:tcW w:w="595" w:type="dxa"/>
            <w:tcBorders>
              <w:top w:val="nil"/>
              <w:left w:val="nil"/>
              <w:bottom w:val="nil"/>
              <w:right w:val="nil"/>
            </w:tcBorders>
            <w:shd w:val="clear" w:color="auto" w:fill="auto"/>
            <w:noWrap/>
            <w:vAlign w:val="center"/>
            <w:hideMark/>
          </w:tcPr>
          <w:p w14:paraId="744ED878" w14:textId="312BEB78" w:rsidR="00DE09A0" w:rsidRPr="00D92E20" w:rsidRDefault="00DE09A0" w:rsidP="00DE09A0">
            <w:pPr>
              <w:spacing w:after="0" w:line="240" w:lineRule="auto"/>
              <w:jc w:val="center"/>
              <w:rPr>
                <w:rFonts w:cs="Arial"/>
                <w:color w:val="000000"/>
                <w:sz w:val="16"/>
                <w:szCs w:val="16"/>
              </w:rPr>
            </w:pPr>
            <w:r>
              <w:rPr>
                <w:rFonts w:cs="Arial"/>
                <w:color w:val="000000"/>
                <w:sz w:val="16"/>
                <w:szCs w:val="16"/>
              </w:rPr>
              <w:t>58,3</w:t>
            </w:r>
          </w:p>
        </w:tc>
        <w:tc>
          <w:tcPr>
            <w:tcW w:w="595" w:type="dxa"/>
            <w:tcBorders>
              <w:top w:val="nil"/>
              <w:left w:val="nil"/>
              <w:bottom w:val="nil"/>
              <w:right w:val="nil"/>
            </w:tcBorders>
            <w:shd w:val="clear" w:color="auto" w:fill="auto"/>
            <w:noWrap/>
            <w:vAlign w:val="center"/>
            <w:hideMark/>
          </w:tcPr>
          <w:p w14:paraId="0FD36BB5" w14:textId="625A20FE" w:rsidR="00DE09A0" w:rsidRPr="00D92E20" w:rsidRDefault="00DE09A0" w:rsidP="00DE09A0">
            <w:pPr>
              <w:spacing w:after="0" w:line="240" w:lineRule="auto"/>
              <w:jc w:val="center"/>
              <w:rPr>
                <w:rFonts w:cs="Arial"/>
                <w:color w:val="000000"/>
                <w:sz w:val="16"/>
                <w:szCs w:val="16"/>
              </w:rPr>
            </w:pPr>
            <w:r>
              <w:rPr>
                <w:rFonts w:cs="Arial"/>
                <w:color w:val="000000"/>
                <w:sz w:val="16"/>
                <w:szCs w:val="16"/>
              </w:rPr>
              <w:t>58,1</w:t>
            </w:r>
          </w:p>
        </w:tc>
        <w:tc>
          <w:tcPr>
            <w:tcW w:w="595" w:type="dxa"/>
            <w:tcBorders>
              <w:top w:val="nil"/>
              <w:left w:val="nil"/>
              <w:bottom w:val="nil"/>
              <w:right w:val="nil"/>
            </w:tcBorders>
            <w:shd w:val="clear" w:color="auto" w:fill="auto"/>
            <w:noWrap/>
            <w:vAlign w:val="center"/>
            <w:hideMark/>
          </w:tcPr>
          <w:p w14:paraId="3CD7B8D3" w14:textId="2DEE895D" w:rsidR="00DE09A0" w:rsidRPr="00D92E20" w:rsidRDefault="00DE09A0" w:rsidP="00DE09A0">
            <w:pPr>
              <w:spacing w:after="0" w:line="240" w:lineRule="auto"/>
              <w:jc w:val="center"/>
              <w:rPr>
                <w:rFonts w:cs="Arial"/>
                <w:color w:val="000000"/>
                <w:sz w:val="16"/>
                <w:szCs w:val="16"/>
              </w:rPr>
            </w:pPr>
            <w:r>
              <w:rPr>
                <w:rFonts w:cs="Arial"/>
                <w:color w:val="000000"/>
                <w:sz w:val="16"/>
                <w:szCs w:val="16"/>
              </w:rPr>
              <w:t>43,5</w:t>
            </w:r>
          </w:p>
        </w:tc>
        <w:tc>
          <w:tcPr>
            <w:tcW w:w="595" w:type="dxa"/>
            <w:tcBorders>
              <w:top w:val="nil"/>
              <w:left w:val="nil"/>
              <w:bottom w:val="nil"/>
              <w:right w:val="nil"/>
            </w:tcBorders>
            <w:shd w:val="clear" w:color="auto" w:fill="auto"/>
            <w:noWrap/>
            <w:vAlign w:val="center"/>
            <w:hideMark/>
          </w:tcPr>
          <w:p w14:paraId="3ADA47BA" w14:textId="4DFC7AA0" w:rsidR="00DE09A0" w:rsidRPr="00D92E20" w:rsidRDefault="00DE09A0" w:rsidP="00DE09A0">
            <w:pPr>
              <w:spacing w:after="0" w:line="240" w:lineRule="auto"/>
              <w:jc w:val="center"/>
              <w:rPr>
                <w:rFonts w:cs="Arial"/>
                <w:color w:val="000000"/>
                <w:sz w:val="16"/>
                <w:szCs w:val="16"/>
              </w:rPr>
            </w:pPr>
            <w:r>
              <w:rPr>
                <w:rFonts w:cs="Arial"/>
                <w:color w:val="000000"/>
                <w:sz w:val="16"/>
                <w:szCs w:val="16"/>
              </w:rPr>
              <w:t>34,6</w:t>
            </w:r>
          </w:p>
        </w:tc>
      </w:tr>
      <w:tr w:rsidR="00DE09A0" w:rsidRPr="00D92E20" w14:paraId="3947DDA0"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567E6098"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B – Těžba a dobývání</w:t>
            </w:r>
          </w:p>
        </w:tc>
        <w:tc>
          <w:tcPr>
            <w:tcW w:w="595" w:type="dxa"/>
            <w:tcBorders>
              <w:top w:val="nil"/>
              <w:left w:val="nil"/>
              <w:bottom w:val="nil"/>
              <w:right w:val="nil"/>
            </w:tcBorders>
            <w:shd w:val="clear" w:color="auto" w:fill="auto"/>
            <w:noWrap/>
            <w:vAlign w:val="center"/>
            <w:hideMark/>
          </w:tcPr>
          <w:p w14:paraId="494C9656" w14:textId="19B8DDCC" w:rsidR="00DE09A0" w:rsidRPr="00D92E20" w:rsidRDefault="00DE09A0" w:rsidP="00DE09A0">
            <w:pPr>
              <w:spacing w:after="0" w:line="240" w:lineRule="auto"/>
              <w:jc w:val="center"/>
              <w:rPr>
                <w:rFonts w:cs="Arial"/>
                <w:color w:val="000000"/>
                <w:sz w:val="16"/>
                <w:szCs w:val="16"/>
              </w:rPr>
            </w:pPr>
            <w:r>
              <w:rPr>
                <w:rFonts w:cs="Arial"/>
                <w:sz w:val="16"/>
                <w:szCs w:val="16"/>
              </w:rPr>
              <w:t>43,3</w:t>
            </w:r>
          </w:p>
        </w:tc>
        <w:tc>
          <w:tcPr>
            <w:tcW w:w="595" w:type="dxa"/>
            <w:tcBorders>
              <w:top w:val="nil"/>
              <w:left w:val="nil"/>
              <w:bottom w:val="nil"/>
              <w:right w:val="nil"/>
            </w:tcBorders>
            <w:shd w:val="clear" w:color="auto" w:fill="auto"/>
            <w:noWrap/>
            <w:vAlign w:val="center"/>
            <w:hideMark/>
          </w:tcPr>
          <w:p w14:paraId="1A304965" w14:textId="77E35117" w:rsidR="00DE09A0" w:rsidRPr="00D92E20" w:rsidRDefault="00DE09A0" w:rsidP="00DE09A0">
            <w:pPr>
              <w:spacing w:after="0" w:line="240" w:lineRule="auto"/>
              <w:jc w:val="center"/>
              <w:rPr>
                <w:rFonts w:cs="Arial"/>
                <w:color w:val="000000"/>
                <w:sz w:val="16"/>
                <w:szCs w:val="16"/>
              </w:rPr>
            </w:pPr>
            <w:r>
              <w:rPr>
                <w:rFonts w:cs="Arial"/>
                <w:sz w:val="16"/>
                <w:szCs w:val="16"/>
              </w:rPr>
              <w:t>41,8</w:t>
            </w:r>
          </w:p>
        </w:tc>
        <w:tc>
          <w:tcPr>
            <w:tcW w:w="595" w:type="dxa"/>
            <w:tcBorders>
              <w:top w:val="nil"/>
              <w:left w:val="nil"/>
              <w:bottom w:val="nil"/>
              <w:right w:val="nil"/>
            </w:tcBorders>
            <w:shd w:val="clear" w:color="auto" w:fill="auto"/>
            <w:noWrap/>
            <w:vAlign w:val="center"/>
            <w:hideMark/>
          </w:tcPr>
          <w:p w14:paraId="497C6D99" w14:textId="43358F5F" w:rsidR="00DE09A0" w:rsidRPr="00D92E20" w:rsidRDefault="00DE09A0" w:rsidP="00DE09A0">
            <w:pPr>
              <w:spacing w:after="0" w:line="240" w:lineRule="auto"/>
              <w:jc w:val="center"/>
              <w:rPr>
                <w:rFonts w:cs="Arial"/>
                <w:color w:val="000000"/>
                <w:sz w:val="16"/>
                <w:szCs w:val="16"/>
              </w:rPr>
            </w:pPr>
            <w:r>
              <w:rPr>
                <w:rFonts w:cs="Arial"/>
                <w:sz w:val="16"/>
                <w:szCs w:val="16"/>
              </w:rPr>
              <w:t>49,7</w:t>
            </w:r>
          </w:p>
        </w:tc>
        <w:tc>
          <w:tcPr>
            <w:tcW w:w="595" w:type="dxa"/>
            <w:tcBorders>
              <w:top w:val="nil"/>
              <w:left w:val="nil"/>
              <w:bottom w:val="nil"/>
              <w:right w:val="nil"/>
            </w:tcBorders>
            <w:shd w:val="clear" w:color="auto" w:fill="auto"/>
            <w:noWrap/>
            <w:vAlign w:val="center"/>
            <w:hideMark/>
          </w:tcPr>
          <w:p w14:paraId="4585727B" w14:textId="78180769" w:rsidR="00DE09A0" w:rsidRPr="00D92E20" w:rsidRDefault="00DE09A0" w:rsidP="00DE09A0">
            <w:pPr>
              <w:spacing w:after="0" w:line="240" w:lineRule="auto"/>
              <w:jc w:val="center"/>
              <w:rPr>
                <w:rFonts w:cs="Arial"/>
                <w:color w:val="000000"/>
                <w:sz w:val="16"/>
                <w:szCs w:val="16"/>
              </w:rPr>
            </w:pPr>
            <w:r>
              <w:rPr>
                <w:rFonts w:cs="Arial"/>
                <w:sz w:val="16"/>
                <w:szCs w:val="16"/>
              </w:rPr>
              <w:t>43,6</w:t>
            </w:r>
          </w:p>
        </w:tc>
        <w:tc>
          <w:tcPr>
            <w:tcW w:w="595" w:type="dxa"/>
            <w:tcBorders>
              <w:top w:val="nil"/>
              <w:left w:val="nil"/>
              <w:bottom w:val="nil"/>
              <w:right w:val="nil"/>
            </w:tcBorders>
            <w:shd w:val="clear" w:color="auto" w:fill="auto"/>
            <w:noWrap/>
            <w:vAlign w:val="center"/>
            <w:hideMark/>
          </w:tcPr>
          <w:p w14:paraId="2B85A1BE" w14:textId="776A0ADF" w:rsidR="00DE09A0" w:rsidRPr="00D92E20" w:rsidRDefault="00DE09A0" w:rsidP="00DE09A0">
            <w:pPr>
              <w:spacing w:after="0" w:line="240" w:lineRule="auto"/>
              <w:jc w:val="center"/>
              <w:rPr>
                <w:rFonts w:cs="Arial"/>
                <w:color w:val="000000"/>
                <w:sz w:val="16"/>
                <w:szCs w:val="16"/>
              </w:rPr>
            </w:pPr>
            <w:r>
              <w:rPr>
                <w:rFonts w:cs="Arial"/>
                <w:color w:val="000000"/>
                <w:sz w:val="16"/>
                <w:szCs w:val="16"/>
              </w:rPr>
              <w:t>51,1</w:t>
            </w:r>
          </w:p>
        </w:tc>
        <w:tc>
          <w:tcPr>
            <w:tcW w:w="595" w:type="dxa"/>
            <w:tcBorders>
              <w:top w:val="nil"/>
              <w:left w:val="nil"/>
              <w:bottom w:val="nil"/>
              <w:right w:val="nil"/>
            </w:tcBorders>
            <w:shd w:val="clear" w:color="auto" w:fill="auto"/>
            <w:noWrap/>
            <w:vAlign w:val="center"/>
            <w:hideMark/>
          </w:tcPr>
          <w:p w14:paraId="409AAD52" w14:textId="6018ED11" w:rsidR="00DE09A0" w:rsidRPr="00D92E20" w:rsidRDefault="00DE09A0" w:rsidP="00DE09A0">
            <w:pPr>
              <w:spacing w:after="0" w:line="240" w:lineRule="auto"/>
              <w:jc w:val="center"/>
              <w:rPr>
                <w:rFonts w:cs="Arial"/>
                <w:color w:val="000000"/>
                <w:sz w:val="16"/>
                <w:szCs w:val="16"/>
              </w:rPr>
            </w:pPr>
            <w:r>
              <w:rPr>
                <w:rFonts w:cs="Arial"/>
                <w:color w:val="000000"/>
                <w:sz w:val="16"/>
                <w:szCs w:val="16"/>
              </w:rPr>
              <w:t>55,6</w:t>
            </w:r>
          </w:p>
        </w:tc>
        <w:tc>
          <w:tcPr>
            <w:tcW w:w="595" w:type="dxa"/>
            <w:tcBorders>
              <w:top w:val="nil"/>
              <w:left w:val="nil"/>
              <w:bottom w:val="nil"/>
              <w:right w:val="nil"/>
            </w:tcBorders>
            <w:shd w:val="clear" w:color="auto" w:fill="auto"/>
            <w:noWrap/>
            <w:vAlign w:val="center"/>
            <w:hideMark/>
          </w:tcPr>
          <w:p w14:paraId="08F7FE94" w14:textId="6B7BF2C3" w:rsidR="00DE09A0" w:rsidRPr="00D92E20" w:rsidRDefault="00DE09A0" w:rsidP="00DE09A0">
            <w:pPr>
              <w:spacing w:after="0" w:line="240" w:lineRule="auto"/>
              <w:jc w:val="center"/>
              <w:rPr>
                <w:rFonts w:cs="Arial"/>
                <w:color w:val="000000"/>
                <w:sz w:val="16"/>
                <w:szCs w:val="16"/>
              </w:rPr>
            </w:pPr>
            <w:r>
              <w:rPr>
                <w:rFonts w:cs="Arial"/>
                <w:color w:val="000000"/>
                <w:sz w:val="16"/>
                <w:szCs w:val="16"/>
              </w:rPr>
              <w:t>45,4</w:t>
            </w:r>
          </w:p>
        </w:tc>
        <w:tc>
          <w:tcPr>
            <w:tcW w:w="595" w:type="dxa"/>
            <w:tcBorders>
              <w:top w:val="nil"/>
              <w:left w:val="nil"/>
              <w:bottom w:val="nil"/>
              <w:right w:val="nil"/>
            </w:tcBorders>
            <w:shd w:val="clear" w:color="auto" w:fill="auto"/>
            <w:noWrap/>
            <w:vAlign w:val="center"/>
            <w:hideMark/>
          </w:tcPr>
          <w:p w14:paraId="2CEE3ACD" w14:textId="3001A3C0" w:rsidR="00DE09A0" w:rsidRPr="00D92E20" w:rsidRDefault="00DE09A0" w:rsidP="00DE09A0">
            <w:pPr>
              <w:spacing w:after="0" w:line="240" w:lineRule="auto"/>
              <w:jc w:val="center"/>
              <w:rPr>
                <w:rFonts w:cs="Arial"/>
                <w:color w:val="000000"/>
                <w:sz w:val="16"/>
                <w:szCs w:val="16"/>
              </w:rPr>
            </w:pPr>
            <w:r>
              <w:rPr>
                <w:rFonts w:cs="Arial"/>
                <w:color w:val="000000"/>
                <w:sz w:val="16"/>
                <w:szCs w:val="16"/>
              </w:rPr>
              <w:t>50,3</w:t>
            </w:r>
          </w:p>
        </w:tc>
        <w:tc>
          <w:tcPr>
            <w:tcW w:w="595" w:type="dxa"/>
            <w:tcBorders>
              <w:top w:val="nil"/>
              <w:left w:val="nil"/>
              <w:bottom w:val="nil"/>
              <w:right w:val="nil"/>
            </w:tcBorders>
            <w:shd w:val="clear" w:color="auto" w:fill="auto"/>
            <w:noWrap/>
            <w:vAlign w:val="center"/>
            <w:hideMark/>
          </w:tcPr>
          <w:p w14:paraId="4A528571" w14:textId="279971C4" w:rsidR="00DE09A0" w:rsidRPr="00D92E20" w:rsidRDefault="00DE09A0" w:rsidP="00DE09A0">
            <w:pPr>
              <w:spacing w:after="0" w:line="240" w:lineRule="auto"/>
              <w:jc w:val="center"/>
              <w:rPr>
                <w:rFonts w:cs="Arial"/>
                <w:color w:val="000000"/>
                <w:sz w:val="16"/>
                <w:szCs w:val="16"/>
              </w:rPr>
            </w:pPr>
            <w:r>
              <w:rPr>
                <w:rFonts w:cs="Arial"/>
                <w:color w:val="000000"/>
                <w:sz w:val="16"/>
                <w:szCs w:val="16"/>
              </w:rPr>
              <w:t>42,0</w:t>
            </w:r>
          </w:p>
        </w:tc>
        <w:tc>
          <w:tcPr>
            <w:tcW w:w="595" w:type="dxa"/>
            <w:tcBorders>
              <w:top w:val="nil"/>
              <w:left w:val="nil"/>
              <w:bottom w:val="nil"/>
              <w:right w:val="nil"/>
            </w:tcBorders>
            <w:shd w:val="clear" w:color="auto" w:fill="auto"/>
            <w:noWrap/>
            <w:vAlign w:val="center"/>
            <w:hideMark/>
          </w:tcPr>
          <w:p w14:paraId="5AD61804" w14:textId="6A6EE070" w:rsidR="00DE09A0" w:rsidRPr="00D92E20" w:rsidRDefault="00DE09A0" w:rsidP="00DE09A0">
            <w:pPr>
              <w:spacing w:after="0" w:line="240" w:lineRule="auto"/>
              <w:jc w:val="center"/>
              <w:rPr>
                <w:rFonts w:cs="Arial"/>
                <w:color w:val="000000"/>
                <w:sz w:val="16"/>
                <w:szCs w:val="16"/>
              </w:rPr>
            </w:pPr>
            <w:r>
              <w:rPr>
                <w:rFonts w:cs="Arial"/>
                <w:color w:val="000000"/>
                <w:sz w:val="16"/>
                <w:szCs w:val="16"/>
              </w:rPr>
              <w:t>39,3</w:t>
            </w:r>
          </w:p>
        </w:tc>
        <w:tc>
          <w:tcPr>
            <w:tcW w:w="595" w:type="dxa"/>
            <w:tcBorders>
              <w:top w:val="nil"/>
              <w:left w:val="nil"/>
              <w:bottom w:val="nil"/>
              <w:right w:val="nil"/>
            </w:tcBorders>
            <w:shd w:val="clear" w:color="auto" w:fill="auto"/>
            <w:noWrap/>
            <w:vAlign w:val="center"/>
            <w:hideMark/>
          </w:tcPr>
          <w:p w14:paraId="626434BB" w14:textId="68A957D7" w:rsidR="00DE09A0" w:rsidRPr="00D92E20" w:rsidRDefault="00DE09A0" w:rsidP="00DE09A0">
            <w:pPr>
              <w:spacing w:after="0" w:line="240" w:lineRule="auto"/>
              <w:jc w:val="center"/>
              <w:rPr>
                <w:rFonts w:cs="Arial"/>
                <w:color w:val="000000"/>
                <w:sz w:val="16"/>
                <w:szCs w:val="16"/>
              </w:rPr>
            </w:pPr>
            <w:r>
              <w:rPr>
                <w:rFonts w:cs="Arial"/>
                <w:color w:val="000000"/>
                <w:sz w:val="16"/>
                <w:szCs w:val="16"/>
              </w:rPr>
              <w:t>28,7</w:t>
            </w:r>
          </w:p>
        </w:tc>
      </w:tr>
      <w:tr w:rsidR="00DE09A0" w:rsidRPr="00D92E20" w14:paraId="4D2AFF92"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150E07FD"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C – Zpracovatelský průmysl</w:t>
            </w:r>
          </w:p>
        </w:tc>
        <w:tc>
          <w:tcPr>
            <w:tcW w:w="595" w:type="dxa"/>
            <w:tcBorders>
              <w:top w:val="nil"/>
              <w:left w:val="nil"/>
              <w:bottom w:val="nil"/>
              <w:right w:val="nil"/>
            </w:tcBorders>
            <w:shd w:val="clear" w:color="auto" w:fill="auto"/>
            <w:noWrap/>
            <w:vAlign w:val="center"/>
            <w:hideMark/>
          </w:tcPr>
          <w:p w14:paraId="5655259D" w14:textId="49ECC78E" w:rsidR="00DE09A0" w:rsidRPr="00D92E20" w:rsidRDefault="00DE09A0" w:rsidP="00DE09A0">
            <w:pPr>
              <w:spacing w:after="0" w:line="240" w:lineRule="auto"/>
              <w:jc w:val="center"/>
              <w:rPr>
                <w:rFonts w:cs="Arial"/>
                <w:color w:val="000000"/>
                <w:sz w:val="16"/>
                <w:szCs w:val="16"/>
              </w:rPr>
            </w:pPr>
            <w:r>
              <w:rPr>
                <w:rFonts w:cs="Arial"/>
                <w:sz w:val="16"/>
                <w:szCs w:val="16"/>
              </w:rPr>
              <w:t>45,1</w:t>
            </w:r>
          </w:p>
        </w:tc>
        <w:tc>
          <w:tcPr>
            <w:tcW w:w="595" w:type="dxa"/>
            <w:tcBorders>
              <w:top w:val="nil"/>
              <w:left w:val="nil"/>
              <w:bottom w:val="nil"/>
              <w:right w:val="nil"/>
            </w:tcBorders>
            <w:shd w:val="clear" w:color="auto" w:fill="auto"/>
            <w:noWrap/>
            <w:vAlign w:val="center"/>
            <w:hideMark/>
          </w:tcPr>
          <w:p w14:paraId="1B90D46D" w14:textId="5AAC7E39" w:rsidR="00DE09A0" w:rsidRPr="00D92E20" w:rsidRDefault="00DE09A0" w:rsidP="00DE09A0">
            <w:pPr>
              <w:spacing w:after="0" w:line="240" w:lineRule="auto"/>
              <w:jc w:val="center"/>
              <w:rPr>
                <w:rFonts w:cs="Arial"/>
                <w:color w:val="000000"/>
                <w:sz w:val="16"/>
                <w:szCs w:val="16"/>
              </w:rPr>
            </w:pPr>
            <w:r>
              <w:rPr>
                <w:rFonts w:cs="Arial"/>
                <w:sz w:val="16"/>
                <w:szCs w:val="16"/>
              </w:rPr>
              <w:t>41,4</w:t>
            </w:r>
          </w:p>
        </w:tc>
        <w:tc>
          <w:tcPr>
            <w:tcW w:w="595" w:type="dxa"/>
            <w:tcBorders>
              <w:top w:val="nil"/>
              <w:left w:val="nil"/>
              <w:bottom w:val="nil"/>
              <w:right w:val="nil"/>
            </w:tcBorders>
            <w:shd w:val="clear" w:color="auto" w:fill="auto"/>
            <w:noWrap/>
            <w:vAlign w:val="center"/>
            <w:hideMark/>
          </w:tcPr>
          <w:p w14:paraId="1E320BA7" w14:textId="2FCBB9A3" w:rsidR="00DE09A0" w:rsidRPr="00D92E20" w:rsidRDefault="00DE09A0" w:rsidP="00DE09A0">
            <w:pPr>
              <w:spacing w:after="0" w:line="240" w:lineRule="auto"/>
              <w:jc w:val="center"/>
              <w:rPr>
                <w:rFonts w:cs="Arial"/>
                <w:color w:val="000000"/>
                <w:sz w:val="16"/>
                <w:szCs w:val="16"/>
              </w:rPr>
            </w:pPr>
            <w:r>
              <w:rPr>
                <w:rFonts w:cs="Arial"/>
                <w:sz w:val="16"/>
                <w:szCs w:val="16"/>
              </w:rPr>
              <w:t>44,3</w:t>
            </w:r>
          </w:p>
        </w:tc>
        <w:tc>
          <w:tcPr>
            <w:tcW w:w="595" w:type="dxa"/>
            <w:tcBorders>
              <w:top w:val="nil"/>
              <w:left w:val="nil"/>
              <w:bottom w:val="nil"/>
              <w:right w:val="nil"/>
            </w:tcBorders>
            <w:shd w:val="clear" w:color="auto" w:fill="auto"/>
            <w:noWrap/>
            <w:vAlign w:val="center"/>
            <w:hideMark/>
          </w:tcPr>
          <w:p w14:paraId="00F5C609" w14:textId="75FA9343" w:rsidR="00DE09A0" w:rsidRPr="00D92E20" w:rsidRDefault="00DE09A0" w:rsidP="00DE09A0">
            <w:pPr>
              <w:spacing w:after="0" w:line="240" w:lineRule="auto"/>
              <w:jc w:val="center"/>
              <w:rPr>
                <w:rFonts w:cs="Arial"/>
                <w:color w:val="000000"/>
                <w:sz w:val="16"/>
                <w:szCs w:val="16"/>
              </w:rPr>
            </w:pPr>
            <w:r>
              <w:rPr>
                <w:rFonts w:cs="Arial"/>
                <w:sz w:val="16"/>
                <w:szCs w:val="16"/>
              </w:rPr>
              <w:t>38,8</w:t>
            </w:r>
          </w:p>
        </w:tc>
        <w:tc>
          <w:tcPr>
            <w:tcW w:w="595" w:type="dxa"/>
            <w:tcBorders>
              <w:top w:val="nil"/>
              <w:left w:val="nil"/>
              <w:bottom w:val="nil"/>
              <w:right w:val="nil"/>
            </w:tcBorders>
            <w:shd w:val="clear" w:color="auto" w:fill="auto"/>
            <w:noWrap/>
            <w:vAlign w:val="center"/>
            <w:hideMark/>
          </w:tcPr>
          <w:p w14:paraId="6FBAFBDE" w14:textId="2BC20D5A"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40,8</w:t>
            </w:r>
          </w:p>
        </w:tc>
        <w:tc>
          <w:tcPr>
            <w:tcW w:w="595" w:type="dxa"/>
            <w:tcBorders>
              <w:top w:val="nil"/>
              <w:left w:val="nil"/>
              <w:bottom w:val="nil"/>
              <w:right w:val="nil"/>
            </w:tcBorders>
            <w:shd w:val="clear" w:color="auto" w:fill="auto"/>
            <w:noWrap/>
            <w:vAlign w:val="center"/>
            <w:hideMark/>
          </w:tcPr>
          <w:p w14:paraId="735D611E" w14:textId="298F2471"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40,0</w:t>
            </w:r>
          </w:p>
        </w:tc>
        <w:tc>
          <w:tcPr>
            <w:tcW w:w="595" w:type="dxa"/>
            <w:tcBorders>
              <w:top w:val="nil"/>
              <w:left w:val="nil"/>
              <w:bottom w:val="nil"/>
              <w:right w:val="nil"/>
            </w:tcBorders>
            <w:shd w:val="clear" w:color="auto" w:fill="auto"/>
            <w:noWrap/>
            <w:vAlign w:val="center"/>
            <w:hideMark/>
          </w:tcPr>
          <w:p w14:paraId="6063AFD0" w14:textId="08CAE97B" w:rsidR="00DE09A0" w:rsidRPr="00D92E20" w:rsidRDefault="00DE09A0" w:rsidP="00DE09A0">
            <w:pPr>
              <w:spacing w:after="0" w:line="240" w:lineRule="auto"/>
              <w:jc w:val="center"/>
              <w:rPr>
                <w:rFonts w:cs="Arial"/>
                <w:color w:val="000000"/>
                <w:sz w:val="16"/>
                <w:szCs w:val="16"/>
              </w:rPr>
            </w:pPr>
            <w:r>
              <w:rPr>
                <w:rFonts w:cs="Arial"/>
                <w:color w:val="000000"/>
                <w:sz w:val="16"/>
                <w:szCs w:val="16"/>
              </w:rPr>
              <w:t>38,3</w:t>
            </w:r>
          </w:p>
        </w:tc>
        <w:tc>
          <w:tcPr>
            <w:tcW w:w="595" w:type="dxa"/>
            <w:tcBorders>
              <w:top w:val="nil"/>
              <w:left w:val="nil"/>
              <w:bottom w:val="nil"/>
              <w:right w:val="nil"/>
            </w:tcBorders>
            <w:shd w:val="clear" w:color="auto" w:fill="auto"/>
            <w:noWrap/>
            <w:vAlign w:val="center"/>
            <w:hideMark/>
          </w:tcPr>
          <w:p w14:paraId="6B5C9866" w14:textId="22F7A838" w:rsidR="00DE09A0" w:rsidRPr="00D92E20" w:rsidRDefault="00DE09A0" w:rsidP="00DE09A0">
            <w:pPr>
              <w:spacing w:after="0" w:line="240" w:lineRule="auto"/>
              <w:jc w:val="center"/>
              <w:rPr>
                <w:rFonts w:cs="Arial"/>
                <w:color w:val="000000"/>
                <w:sz w:val="16"/>
                <w:szCs w:val="16"/>
              </w:rPr>
            </w:pPr>
            <w:r>
              <w:rPr>
                <w:rFonts w:cs="Arial"/>
                <w:color w:val="000000"/>
                <w:sz w:val="16"/>
                <w:szCs w:val="16"/>
              </w:rPr>
              <w:t>42,0</w:t>
            </w:r>
          </w:p>
        </w:tc>
        <w:tc>
          <w:tcPr>
            <w:tcW w:w="595" w:type="dxa"/>
            <w:tcBorders>
              <w:top w:val="nil"/>
              <w:left w:val="nil"/>
              <w:bottom w:val="nil"/>
              <w:right w:val="nil"/>
            </w:tcBorders>
            <w:shd w:val="clear" w:color="auto" w:fill="auto"/>
            <w:noWrap/>
            <w:vAlign w:val="center"/>
            <w:hideMark/>
          </w:tcPr>
          <w:p w14:paraId="5A4F7917" w14:textId="3C1E4EE3" w:rsidR="00DE09A0" w:rsidRPr="00D92E20" w:rsidRDefault="00DE09A0" w:rsidP="00DE09A0">
            <w:pPr>
              <w:spacing w:after="0" w:line="240" w:lineRule="auto"/>
              <w:jc w:val="center"/>
              <w:rPr>
                <w:rFonts w:cs="Arial"/>
                <w:color w:val="000000"/>
                <w:sz w:val="16"/>
                <w:szCs w:val="16"/>
              </w:rPr>
            </w:pPr>
            <w:r>
              <w:rPr>
                <w:rFonts w:cs="Arial"/>
                <w:color w:val="000000"/>
                <w:sz w:val="16"/>
                <w:szCs w:val="16"/>
              </w:rPr>
              <w:t>43,6</w:t>
            </w:r>
          </w:p>
        </w:tc>
        <w:tc>
          <w:tcPr>
            <w:tcW w:w="595" w:type="dxa"/>
            <w:tcBorders>
              <w:top w:val="nil"/>
              <w:left w:val="nil"/>
              <w:bottom w:val="nil"/>
              <w:right w:val="nil"/>
            </w:tcBorders>
            <w:shd w:val="clear" w:color="auto" w:fill="auto"/>
            <w:noWrap/>
            <w:vAlign w:val="center"/>
            <w:hideMark/>
          </w:tcPr>
          <w:p w14:paraId="35E540E5" w14:textId="32274C08" w:rsidR="00DE09A0" w:rsidRPr="00D92E20" w:rsidRDefault="00DE09A0" w:rsidP="00DE09A0">
            <w:pPr>
              <w:spacing w:after="0" w:line="240" w:lineRule="auto"/>
              <w:jc w:val="center"/>
              <w:rPr>
                <w:rFonts w:cs="Arial"/>
                <w:color w:val="000000"/>
                <w:sz w:val="16"/>
                <w:szCs w:val="16"/>
              </w:rPr>
            </w:pPr>
            <w:r>
              <w:rPr>
                <w:rFonts w:cs="Arial"/>
                <w:color w:val="000000"/>
                <w:sz w:val="16"/>
                <w:szCs w:val="16"/>
              </w:rPr>
              <w:t>34,0</w:t>
            </w:r>
          </w:p>
        </w:tc>
        <w:tc>
          <w:tcPr>
            <w:tcW w:w="595" w:type="dxa"/>
            <w:tcBorders>
              <w:top w:val="nil"/>
              <w:left w:val="nil"/>
              <w:bottom w:val="nil"/>
              <w:right w:val="nil"/>
            </w:tcBorders>
            <w:shd w:val="clear" w:color="auto" w:fill="auto"/>
            <w:noWrap/>
            <w:vAlign w:val="center"/>
            <w:hideMark/>
          </w:tcPr>
          <w:p w14:paraId="36F76D5B" w14:textId="1A8A1583" w:rsidR="00DE09A0" w:rsidRPr="00D92E20" w:rsidRDefault="00DE09A0" w:rsidP="00DE09A0">
            <w:pPr>
              <w:spacing w:after="0" w:line="240" w:lineRule="auto"/>
              <w:jc w:val="center"/>
              <w:rPr>
                <w:rFonts w:cs="Arial"/>
                <w:color w:val="000000"/>
                <w:sz w:val="16"/>
                <w:szCs w:val="16"/>
              </w:rPr>
            </w:pPr>
            <w:r>
              <w:rPr>
                <w:rFonts w:cs="Arial"/>
                <w:color w:val="000000"/>
                <w:sz w:val="16"/>
                <w:szCs w:val="16"/>
              </w:rPr>
              <w:t>24,4</w:t>
            </w:r>
          </w:p>
        </w:tc>
      </w:tr>
      <w:tr w:rsidR="00DE09A0" w:rsidRPr="00D92E20" w14:paraId="3795D5D1" w14:textId="77777777" w:rsidTr="00DC0DB3">
        <w:trPr>
          <w:trHeight w:val="480"/>
        </w:trPr>
        <w:tc>
          <w:tcPr>
            <w:tcW w:w="3175" w:type="dxa"/>
            <w:tcBorders>
              <w:top w:val="nil"/>
              <w:left w:val="nil"/>
              <w:bottom w:val="nil"/>
              <w:right w:val="single" w:sz="4" w:space="0" w:color="auto"/>
            </w:tcBorders>
            <w:shd w:val="clear" w:color="auto" w:fill="auto"/>
            <w:vAlign w:val="center"/>
            <w:hideMark/>
          </w:tcPr>
          <w:p w14:paraId="059B50C5"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 xml:space="preserve">D – Výroba a rozvod elektřiny, plynu, </w:t>
            </w:r>
            <w:r w:rsidRPr="00D92E20">
              <w:rPr>
                <w:rFonts w:cs="Arial"/>
                <w:color w:val="000000"/>
                <w:sz w:val="16"/>
                <w:szCs w:val="16"/>
              </w:rPr>
              <w:br/>
              <w:t xml:space="preserve">          tepla a klimatizovaného vzduchu</w:t>
            </w:r>
          </w:p>
        </w:tc>
        <w:tc>
          <w:tcPr>
            <w:tcW w:w="595" w:type="dxa"/>
            <w:tcBorders>
              <w:top w:val="nil"/>
              <w:left w:val="nil"/>
              <w:bottom w:val="nil"/>
              <w:right w:val="nil"/>
            </w:tcBorders>
            <w:shd w:val="clear" w:color="auto" w:fill="auto"/>
            <w:noWrap/>
            <w:vAlign w:val="center"/>
            <w:hideMark/>
          </w:tcPr>
          <w:p w14:paraId="3276490B" w14:textId="38E9D2B9" w:rsidR="00DE09A0" w:rsidRPr="00D92E20" w:rsidRDefault="00DE09A0" w:rsidP="00DE09A0">
            <w:pPr>
              <w:spacing w:after="0" w:line="240" w:lineRule="auto"/>
              <w:jc w:val="center"/>
              <w:rPr>
                <w:rFonts w:cs="Arial"/>
                <w:color w:val="000000"/>
                <w:sz w:val="16"/>
                <w:szCs w:val="16"/>
              </w:rPr>
            </w:pPr>
            <w:r>
              <w:rPr>
                <w:rFonts w:cs="Arial"/>
                <w:sz w:val="16"/>
                <w:szCs w:val="16"/>
              </w:rPr>
              <w:t>44,1</w:t>
            </w:r>
          </w:p>
        </w:tc>
        <w:tc>
          <w:tcPr>
            <w:tcW w:w="595" w:type="dxa"/>
            <w:tcBorders>
              <w:top w:val="nil"/>
              <w:left w:val="nil"/>
              <w:bottom w:val="nil"/>
              <w:right w:val="nil"/>
            </w:tcBorders>
            <w:shd w:val="clear" w:color="auto" w:fill="auto"/>
            <w:noWrap/>
            <w:vAlign w:val="center"/>
            <w:hideMark/>
          </w:tcPr>
          <w:p w14:paraId="7EDCFCAA" w14:textId="7B40F269" w:rsidR="00DE09A0" w:rsidRPr="00D92E20" w:rsidRDefault="00DE09A0" w:rsidP="00DE09A0">
            <w:pPr>
              <w:spacing w:after="0" w:line="240" w:lineRule="auto"/>
              <w:jc w:val="center"/>
              <w:rPr>
                <w:rFonts w:cs="Arial"/>
                <w:color w:val="000000"/>
                <w:sz w:val="16"/>
                <w:szCs w:val="16"/>
              </w:rPr>
            </w:pPr>
            <w:r>
              <w:rPr>
                <w:rFonts w:cs="Arial"/>
                <w:sz w:val="16"/>
                <w:szCs w:val="16"/>
              </w:rPr>
              <w:t>36,5</w:t>
            </w:r>
          </w:p>
        </w:tc>
        <w:tc>
          <w:tcPr>
            <w:tcW w:w="595" w:type="dxa"/>
            <w:tcBorders>
              <w:top w:val="nil"/>
              <w:left w:val="nil"/>
              <w:bottom w:val="nil"/>
              <w:right w:val="nil"/>
            </w:tcBorders>
            <w:shd w:val="clear" w:color="auto" w:fill="auto"/>
            <w:noWrap/>
            <w:vAlign w:val="center"/>
            <w:hideMark/>
          </w:tcPr>
          <w:p w14:paraId="7ED60582" w14:textId="7BEA1ACE" w:rsidR="00DE09A0" w:rsidRPr="00D92E20" w:rsidRDefault="00DE09A0" w:rsidP="00DE09A0">
            <w:pPr>
              <w:spacing w:after="0" w:line="240" w:lineRule="auto"/>
              <w:jc w:val="center"/>
              <w:rPr>
                <w:rFonts w:cs="Arial"/>
                <w:color w:val="000000"/>
                <w:sz w:val="16"/>
                <w:szCs w:val="16"/>
              </w:rPr>
            </w:pPr>
            <w:r>
              <w:rPr>
                <w:rFonts w:cs="Arial"/>
                <w:sz w:val="16"/>
                <w:szCs w:val="16"/>
              </w:rPr>
              <w:t>40,7</w:t>
            </w:r>
          </w:p>
        </w:tc>
        <w:tc>
          <w:tcPr>
            <w:tcW w:w="595" w:type="dxa"/>
            <w:tcBorders>
              <w:top w:val="nil"/>
              <w:left w:val="nil"/>
              <w:bottom w:val="nil"/>
              <w:right w:val="nil"/>
            </w:tcBorders>
            <w:shd w:val="clear" w:color="auto" w:fill="auto"/>
            <w:noWrap/>
            <w:vAlign w:val="center"/>
            <w:hideMark/>
          </w:tcPr>
          <w:p w14:paraId="739E40E3" w14:textId="013E73CC" w:rsidR="00DE09A0" w:rsidRPr="00D92E20" w:rsidRDefault="00DE09A0" w:rsidP="00DE09A0">
            <w:pPr>
              <w:spacing w:after="0" w:line="240" w:lineRule="auto"/>
              <w:jc w:val="center"/>
              <w:rPr>
                <w:rFonts w:cs="Arial"/>
                <w:color w:val="000000"/>
                <w:sz w:val="16"/>
                <w:szCs w:val="16"/>
              </w:rPr>
            </w:pPr>
            <w:r>
              <w:rPr>
                <w:rFonts w:cs="Arial"/>
                <w:sz w:val="16"/>
                <w:szCs w:val="16"/>
              </w:rPr>
              <w:t>37,5</w:t>
            </w:r>
          </w:p>
        </w:tc>
        <w:tc>
          <w:tcPr>
            <w:tcW w:w="595" w:type="dxa"/>
            <w:tcBorders>
              <w:top w:val="nil"/>
              <w:left w:val="nil"/>
              <w:bottom w:val="nil"/>
              <w:right w:val="nil"/>
            </w:tcBorders>
            <w:shd w:val="clear" w:color="auto" w:fill="auto"/>
            <w:noWrap/>
            <w:vAlign w:val="center"/>
            <w:hideMark/>
          </w:tcPr>
          <w:p w14:paraId="192C3DA0" w14:textId="4878C31F"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40,8</w:t>
            </w:r>
          </w:p>
        </w:tc>
        <w:tc>
          <w:tcPr>
            <w:tcW w:w="595" w:type="dxa"/>
            <w:tcBorders>
              <w:top w:val="nil"/>
              <w:left w:val="nil"/>
              <w:bottom w:val="nil"/>
              <w:right w:val="nil"/>
            </w:tcBorders>
            <w:shd w:val="clear" w:color="auto" w:fill="auto"/>
            <w:noWrap/>
            <w:vAlign w:val="center"/>
            <w:hideMark/>
          </w:tcPr>
          <w:p w14:paraId="5144F206" w14:textId="159DAEA7" w:rsidR="00DE09A0" w:rsidRPr="00D92E20" w:rsidRDefault="00DE09A0" w:rsidP="00DE09A0">
            <w:pPr>
              <w:spacing w:after="0" w:line="240" w:lineRule="auto"/>
              <w:jc w:val="center"/>
              <w:rPr>
                <w:rFonts w:cs="Arial"/>
                <w:color w:val="000000"/>
                <w:sz w:val="16"/>
                <w:szCs w:val="16"/>
              </w:rPr>
            </w:pPr>
            <w:r>
              <w:rPr>
                <w:rFonts w:cs="Arial"/>
                <w:color w:val="000000"/>
                <w:sz w:val="16"/>
                <w:szCs w:val="16"/>
              </w:rPr>
              <w:t>39,0</w:t>
            </w:r>
          </w:p>
        </w:tc>
        <w:tc>
          <w:tcPr>
            <w:tcW w:w="595" w:type="dxa"/>
            <w:tcBorders>
              <w:top w:val="nil"/>
              <w:left w:val="nil"/>
              <w:bottom w:val="nil"/>
              <w:right w:val="nil"/>
            </w:tcBorders>
            <w:shd w:val="clear" w:color="auto" w:fill="auto"/>
            <w:noWrap/>
            <w:vAlign w:val="center"/>
            <w:hideMark/>
          </w:tcPr>
          <w:p w14:paraId="5D05B448" w14:textId="4932E43F" w:rsidR="00DE09A0" w:rsidRPr="00D92E20" w:rsidRDefault="00DE09A0" w:rsidP="00DE09A0">
            <w:pPr>
              <w:spacing w:after="0" w:line="240" w:lineRule="auto"/>
              <w:jc w:val="center"/>
              <w:rPr>
                <w:rFonts w:cs="Arial"/>
                <w:color w:val="000000"/>
                <w:sz w:val="16"/>
                <w:szCs w:val="16"/>
              </w:rPr>
            </w:pPr>
            <w:r>
              <w:rPr>
                <w:rFonts w:cs="Arial"/>
                <w:color w:val="000000"/>
                <w:sz w:val="16"/>
                <w:szCs w:val="16"/>
              </w:rPr>
              <w:t>33,6</w:t>
            </w:r>
          </w:p>
        </w:tc>
        <w:tc>
          <w:tcPr>
            <w:tcW w:w="595" w:type="dxa"/>
            <w:tcBorders>
              <w:top w:val="nil"/>
              <w:left w:val="nil"/>
              <w:bottom w:val="nil"/>
              <w:right w:val="nil"/>
            </w:tcBorders>
            <w:shd w:val="clear" w:color="auto" w:fill="auto"/>
            <w:noWrap/>
            <w:vAlign w:val="center"/>
            <w:hideMark/>
          </w:tcPr>
          <w:p w14:paraId="3EE221C5" w14:textId="68C5D465" w:rsidR="00DE09A0" w:rsidRPr="00D92E20" w:rsidRDefault="00DE09A0" w:rsidP="00DE09A0">
            <w:pPr>
              <w:spacing w:after="0" w:line="240" w:lineRule="auto"/>
              <w:jc w:val="center"/>
              <w:rPr>
                <w:rFonts w:cs="Arial"/>
                <w:color w:val="000000"/>
                <w:sz w:val="16"/>
                <w:szCs w:val="16"/>
              </w:rPr>
            </w:pPr>
            <w:r>
              <w:rPr>
                <w:rFonts w:cs="Arial"/>
                <w:color w:val="000000"/>
                <w:sz w:val="16"/>
                <w:szCs w:val="16"/>
              </w:rPr>
              <w:t>37,8</w:t>
            </w:r>
          </w:p>
        </w:tc>
        <w:tc>
          <w:tcPr>
            <w:tcW w:w="595" w:type="dxa"/>
            <w:tcBorders>
              <w:top w:val="nil"/>
              <w:left w:val="nil"/>
              <w:bottom w:val="nil"/>
              <w:right w:val="nil"/>
            </w:tcBorders>
            <w:shd w:val="clear" w:color="auto" w:fill="auto"/>
            <w:noWrap/>
            <w:vAlign w:val="center"/>
            <w:hideMark/>
          </w:tcPr>
          <w:p w14:paraId="043666D3" w14:textId="1C2309B2" w:rsidR="00DE09A0" w:rsidRPr="00D92E20" w:rsidRDefault="00DE09A0" w:rsidP="00DE09A0">
            <w:pPr>
              <w:spacing w:after="0" w:line="240" w:lineRule="auto"/>
              <w:jc w:val="center"/>
              <w:rPr>
                <w:rFonts w:cs="Arial"/>
                <w:color w:val="000000"/>
                <w:sz w:val="16"/>
                <w:szCs w:val="16"/>
              </w:rPr>
            </w:pPr>
            <w:r>
              <w:rPr>
                <w:rFonts w:cs="Arial"/>
                <w:color w:val="000000"/>
                <w:sz w:val="16"/>
                <w:szCs w:val="16"/>
              </w:rPr>
              <w:t>39,4</w:t>
            </w:r>
          </w:p>
        </w:tc>
        <w:tc>
          <w:tcPr>
            <w:tcW w:w="595" w:type="dxa"/>
            <w:tcBorders>
              <w:top w:val="nil"/>
              <w:left w:val="nil"/>
              <w:bottom w:val="nil"/>
              <w:right w:val="nil"/>
            </w:tcBorders>
            <w:shd w:val="clear" w:color="auto" w:fill="auto"/>
            <w:noWrap/>
            <w:vAlign w:val="center"/>
            <w:hideMark/>
          </w:tcPr>
          <w:p w14:paraId="3613617A" w14:textId="004DBF25" w:rsidR="00DE09A0" w:rsidRPr="00D92E20" w:rsidRDefault="00DE09A0" w:rsidP="00DE09A0">
            <w:pPr>
              <w:spacing w:after="0" w:line="240" w:lineRule="auto"/>
              <w:jc w:val="center"/>
              <w:rPr>
                <w:rFonts w:cs="Arial"/>
                <w:color w:val="000000"/>
                <w:sz w:val="16"/>
                <w:szCs w:val="16"/>
              </w:rPr>
            </w:pPr>
            <w:r>
              <w:rPr>
                <w:rFonts w:cs="Arial"/>
                <w:color w:val="000000"/>
                <w:sz w:val="16"/>
                <w:szCs w:val="16"/>
              </w:rPr>
              <w:t>32,1</w:t>
            </w:r>
          </w:p>
        </w:tc>
        <w:tc>
          <w:tcPr>
            <w:tcW w:w="595" w:type="dxa"/>
            <w:tcBorders>
              <w:top w:val="nil"/>
              <w:left w:val="nil"/>
              <w:bottom w:val="nil"/>
              <w:right w:val="nil"/>
            </w:tcBorders>
            <w:shd w:val="clear" w:color="auto" w:fill="auto"/>
            <w:noWrap/>
            <w:vAlign w:val="center"/>
            <w:hideMark/>
          </w:tcPr>
          <w:p w14:paraId="208F6156" w14:textId="4B8DF4F9" w:rsidR="00DE09A0" w:rsidRPr="00D92E20" w:rsidRDefault="00DE09A0" w:rsidP="00DE09A0">
            <w:pPr>
              <w:spacing w:after="0" w:line="240" w:lineRule="auto"/>
              <w:jc w:val="center"/>
              <w:rPr>
                <w:rFonts w:cs="Arial"/>
                <w:color w:val="000000"/>
                <w:sz w:val="16"/>
                <w:szCs w:val="16"/>
              </w:rPr>
            </w:pPr>
            <w:r>
              <w:rPr>
                <w:rFonts w:cs="Arial"/>
                <w:color w:val="000000"/>
                <w:sz w:val="16"/>
                <w:szCs w:val="16"/>
              </w:rPr>
              <w:t>22,7</w:t>
            </w:r>
          </w:p>
        </w:tc>
      </w:tr>
      <w:tr w:rsidR="00DE09A0" w:rsidRPr="00D92E20" w14:paraId="4473F322" w14:textId="77777777" w:rsidTr="00DC0DB3">
        <w:trPr>
          <w:trHeight w:val="480"/>
        </w:trPr>
        <w:tc>
          <w:tcPr>
            <w:tcW w:w="3175" w:type="dxa"/>
            <w:tcBorders>
              <w:top w:val="nil"/>
              <w:left w:val="nil"/>
              <w:bottom w:val="nil"/>
              <w:right w:val="single" w:sz="4" w:space="0" w:color="auto"/>
            </w:tcBorders>
            <w:shd w:val="clear" w:color="auto" w:fill="auto"/>
            <w:vAlign w:val="center"/>
            <w:hideMark/>
          </w:tcPr>
          <w:p w14:paraId="0A3887E6"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 xml:space="preserve">E – Zásobování vodou; činnosti </w:t>
            </w:r>
            <w:r w:rsidRPr="00D92E20">
              <w:rPr>
                <w:rFonts w:cs="Arial"/>
                <w:color w:val="000000"/>
                <w:sz w:val="16"/>
                <w:szCs w:val="16"/>
              </w:rPr>
              <w:br/>
              <w:t xml:space="preserve">          související s odpady a sanacemi</w:t>
            </w:r>
          </w:p>
        </w:tc>
        <w:tc>
          <w:tcPr>
            <w:tcW w:w="595" w:type="dxa"/>
            <w:tcBorders>
              <w:top w:val="nil"/>
              <w:left w:val="nil"/>
              <w:bottom w:val="nil"/>
              <w:right w:val="nil"/>
            </w:tcBorders>
            <w:shd w:val="clear" w:color="auto" w:fill="auto"/>
            <w:noWrap/>
            <w:vAlign w:val="center"/>
            <w:hideMark/>
          </w:tcPr>
          <w:p w14:paraId="35C23548" w14:textId="1B343F21" w:rsidR="00DE09A0" w:rsidRPr="00D92E20" w:rsidRDefault="00DE09A0" w:rsidP="00DE09A0">
            <w:pPr>
              <w:spacing w:after="0" w:line="240" w:lineRule="auto"/>
              <w:jc w:val="center"/>
              <w:rPr>
                <w:rFonts w:cs="Arial"/>
                <w:color w:val="000000"/>
                <w:sz w:val="16"/>
                <w:szCs w:val="16"/>
              </w:rPr>
            </w:pPr>
            <w:r>
              <w:rPr>
                <w:rFonts w:cs="Arial"/>
                <w:sz w:val="16"/>
                <w:szCs w:val="16"/>
              </w:rPr>
              <w:t>49,1</w:t>
            </w:r>
          </w:p>
        </w:tc>
        <w:tc>
          <w:tcPr>
            <w:tcW w:w="595" w:type="dxa"/>
            <w:tcBorders>
              <w:top w:val="nil"/>
              <w:left w:val="nil"/>
              <w:bottom w:val="nil"/>
              <w:right w:val="nil"/>
            </w:tcBorders>
            <w:shd w:val="clear" w:color="auto" w:fill="auto"/>
            <w:noWrap/>
            <w:vAlign w:val="center"/>
            <w:hideMark/>
          </w:tcPr>
          <w:p w14:paraId="7682E3DE" w14:textId="7DED1624" w:rsidR="00DE09A0" w:rsidRPr="00D92E20" w:rsidRDefault="00DE09A0" w:rsidP="00DE09A0">
            <w:pPr>
              <w:spacing w:after="0" w:line="240" w:lineRule="auto"/>
              <w:jc w:val="center"/>
              <w:rPr>
                <w:rFonts w:cs="Arial"/>
                <w:color w:val="000000"/>
                <w:sz w:val="16"/>
                <w:szCs w:val="16"/>
              </w:rPr>
            </w:pPr>
            <w:r>
              <w:rPr>
                <w:rFonts w:cs="Arial"/>
                <w:sz w:val="16"/>
                <w:szCs w:val="16"/>
              </w:rPr>
              <w:t>42,8</w:t>
            </w:r>
          </w:p>
        </w:tc>
        <w:tc>
          <w:tcPr>
            <w:tcW w:w="595" w:type="dxa"/>
            <w:tcBorders>
              <w:top w:val="nil"/>
              <w:left w:val="nil"/>
              <w:bottom w:val="nil"/>
              <w:right w:val="nil"/>
            </w:tcBorders>
            <w:shd w:val="clear" w:color="auto" w:fill="auto"/>
            <w:noWrap/>
            <w:vAlign w:val="center"/>
            <w:hideMark/>
          </w:tcPr>
          <w:p w14:paraId="166CBE40" w14:textId="7E2E52A4" w:rsidR="00DE09A0" w:rsidRPr="00D92E20" w:rsidRDefault="00DE09A0" w:rsidP="00DE09A0">
            <w:pPr>
              <w:spacing w:after="0" w:line="240" w:lineRule="auto"/>
              <w:jc w:val="center"/>
              <w:rPr>
                <w:rFonts w:cs="Arial"/>
                <w:color w:val="000000"/>
                <w:sz w:val="16"/>
                <w:szCs w:val="16"/>
              </w:rPr>
            </w:pPr>
            <w:r>
              <w:rPr>
                <w:rFonts w:cs="Arial"/>
                <w:sz w:val="16"/>
                <w:szCs w:val="16"/>
              </w:rPr>
              <w:t>48,7</w:t>
            </w:r>
          </w:p>
        </w:tc>
        <w:tc>
          <w:tcPr>
            <w:tcW w:w="595" w:type="dxa"/>
            <w:tcBorders>
              <w:top w:val="nil"/>
              <w:left w:val="nil"/>
              <w:bottom w:val="nil"/>
              <w:right w:val="nil"/>
            </w:tcBorders>
            <w:shd w:val="clear" w:color="auto" w:fill="auto"/>
            <w:noWrap/>
            <w:vAlign w:val="center"/>
            <w:hideMark/>
          </w:tcPr>
          <w:p w14:paraId="64CB67CD" w14:textId="7E49764D" w:rsidR="00DE09A0" w:rsidRPr="00D92E20" w:rsidRDefault="00DE09A0" w:rsidP="00DE09A0">
            <w:pPr>
              <w:spacing w:after="0" w:line="240" w:lineRule="auto"/>
              <w:jc w:val="center"/>
              <w:rPr>
                <w:rFonts w:cs="Arial"/>
                <w:color w:val="000000"/>
                <w:sz w:val="16"/>
                <w:szCs w:val="16"/>
              </w:rPr>
            </w:pPr>
            <w:r>
              <w:rPr>
                <w:rFonts w:cs="Arial"/>
                <w:sz w:val="16"/>
                <w:szCs w:val="16"/>
              </w:rPr>
              <w:t>43,0</w:t>
            </w:r>
          </w:p>
        </w:tc>
        <w:tc>
          <w:tcPr>
            <w:tcW w:w="595" w:type="dxa"/>
            <w:tcBorders>
              <w:top w:val="nil"/>
              <w:left w:val="nil"/>
              <w:bottom w:val="nil"/>
              <w:right w:val="nil"/>
            </w:tcBorders>
            <w:shd w:val="clear" w:color="auto" w:fill="auto"/>
            <w:noWrap/>
            <w:vAlign w:val="center"/>
            <w:hideMark/>
          </w:tcPr>
          <w:p w14:paraId="6A5A1968" w14:textId="02291BFF" w:rsidR="00DE09A0" w:rsidRPr="00D92E20" w:rsidRDefault="00DE09A0" w:rsidP="00DE09A0">
            <w:pPr>
              <w:spacing w:after="0" w:line="240" w:lineRule="auto"/>
              <w:jc w:val="center"/>
              <w:rPr>
                <w:rFonts w:cs="Arial"/>
                <w:color w:val="000000"/>
                <w:sz w:val="16"/>
                <w:szCs w:val="16"/>
              </w:rPr>
            </w:pPr>
            <w:r>
              <w:rPr>
                <w:rFonts w:cs="Arial"/>
                <w:color w:val="000000"/>
                <w:sz w:val="16"/>
                <w:szCs w:val="16"/>
              </w:rPr>
              <w:t>44,1</w:t>
            </w:r>
          </w:p>
        </w:tc>
        <w:tc>
          <w:tcPr>
            <w:tcW w:w="595" w:type="dxa"/>
            <w:tcBorders>
              <w:top w:val="nil"/>
              <w:left w:val="nil"/>
              <w:bottom w:val="nil"/>
              <w:right w:val="nil"/>
            </w:tcBorders>
            <w:shd w:val="clear" w:color="auto" w:fill="auto"/>
            <w:noWrap/>
            <w:vAlign w:val="center"/>
            <w:hideMark/>
          </w:tcPr>
          <w:p w14:paraId="1D8DA73D" w14:textId="3C1F7819" w:rsidR="00DE09A0" w:rsidRPr="00D92E20" w:rsidRDefault="00DE09A0" w:rsidP="00DE09A0">
            <w:pPr>
              <w:spacing w:after="0" w:line="240" w:lineRule="auto"/>
              <w:jc w:val="center"/>
              <w:rPr>
                <w:rFonts w:cs="Arial"/>
                <w:color w:val="000000"/>
                <w:sz w:val="16"/>
                <w:szCs w:val="16"/>
              </w:rPr>
            </w:pPr>
            <w:r>
              <w:rPr>
                <w:rFonts w:cs="Arial"/>
                <w:color w:val="000000"/>
                <w:sz w:val="16"/>
                <w:szCs w:val="16"/>
              </w:rPr>
              <w:t>43,4</w:t>
            </w:r>
          </w:p>
        </w:tc>
        <w:tc>
          <w:tcPr>
            <w:tcW w:w="595" w:type="dxa"/>
            <w:tcBorders>
              <w:top w:val="nil"/>
              <w:left w:val="nil"/>
              <w:bottom w:val="nil"/>
              <w:right w:val="nil"/>
            </w:tcBorders>
            <w:shd w:val="clear" w:color="auto" w:fill="auto"/>
            <w:noWrap/>
            <w:vAlign w:val="center"/>
            <w:hideMark/>
          </w:tcPr>
          <w:p w14:paraId="5E559DAF" w14:textId="5D3D349D" w:rsidR="00DE09A0" w:rsidRPr="00D92E20" w:rsidRDefault="00DE09A0" w:rsidP="00DE09A0">
            <w:pPr>
              <w:spacing w:after="0" w:line="240" w:lineRule="auto"/>
              <w:jc w:val="center"/>
              <w:rPr>
                <w:rFonts w:cs="Arial"/>
                <w:color w:val="000000"/>
                <w:sz w:val="16"/>
                <w:szCs w:val="16"/>
              </w:rPr>
            </w:pPr>
            <w:r>
              <w:rPr>
                <w:rFonts w:cs="Arial"/>
                <w:color w:val="000000"/>
                <w:sz w:val="16"/>
                <w:szCs w:val="16"/>
              </w:rPr>
              <w:t>41,4</w:t>
            </w:r>
          </w:p>
        </w:tc>
        <w:tc>
          <w:tcPr>
            <w:tcW w:w="595" w:type="dxa"/>
            <w:tcBorders>
              <w:top w:val="nil"/>
              <w:left w:val="nil"/>
              <w:bottom w:val="nil"/>
              <w:right w:val="nil"/>
            </w:tcBorders>
            <w:shd w:val="clear" w:color="auto" w:fill="auto"/>
            <w:noWrap/>
            <w:vAlign w:val="center"/>
            <w:hideMark/>
          </w:tcPr>
          <w:p w14:paraId="158F2A34" w14:textId="11922EF5" w:rsidR="00DE09A0" w:rsidRPr="00D92E20" w:rsidRDefault="00DE09A0" w:rsidP="00DE09A0">
            <w:pPr>
              <w:spacing w:after="0" w:line="240" w:lineRule="auto"/>
              <w:jc w:val="center"/>
              <w:rPr>
                <w:rFonts w:cs="Arial"/>
                <w:color w:val="000000"/>
                <w:sz w:val="16"/>
                <w:szCs w:val="16"/>
              </w:rPr>
            </w:pPr>
            <w:r>
              <w:rPr>
                <w:rFonts w:cs="Arial"/>
                <w:color w:val="000000"/>
                <w:sz w:val="16"/>
                <w:szCs w:val="16"/>
              </w:rPr>
              <w:t>46,0</w:t>
            </w:r>
          </w:p>
        </w:tc>
        <w:tc>
          <w:tcPr>
            <w:tcW w:w="595" w:type="dxa"/>
            <w:tcBorders>
              <w:top w:val="nil"/>
              <w:left w:val="nil"/>
              <w:bottom w:val="nil"/>
              <w:right w:val="nil"/>
            </w:tcBorders>
            <w:shd w:val="clear" w:color="auto" w:fill="auto"/>
            <w:noWrap/>
            <w:vAlign w:val="center"/>
            <w:hideMark/>
          </w:tcPr>
          <w:p w14:paraId="3052C863" w14:textId="5F7EB2D5" w:rsidR="00DE09A0" w:rsidRPr="00D92E20" w:rsidRDefault="00DE09A0" w:rsidP="00DE09A0">
            <w:pPr>
              <w:spacing w:after="0" w:line="240" w:lineRule="auto"/>
              <w:jc w:val="center"/>
              <w:rPr>
                <w:rFonts w:cs="Arial"/>
                <w:color w:val="000000"/>
                <w:sz w:val="16"/>
                <w:szCs w:val="16"/>
              </w:rPr>
            </w:pPr>
            <w:r>
              <w:rPr>
                <w:rFonts w:cs="Arial"/>
                <w:color w:val="000000"/>
                <w:sz w:val="16"/>
                <w:szCs w:val="16"/>
              </w:rPr>
              <w:t>47,8</w:t>
            </w:r>
          </w:p>
        </w:tc>
        <w:tc>
          <w:tcPr>
            <w:tcW w:w="595" w:type="dxa"/>
            <w:tcBorders>
              <w:top w:val="nil"/>
              <w:left w:val="nil"/>
              <w:bottom w:val="nil"/>
              <w:right w:val="nil"/>
            </w:tcBorders>
            <w:shd w:val="clear" w:color="auto" w:fill="auto"/>
            <w:noWrap/>
            <w:vAlign w:val="center"/>
            <w:hideMark/>
          </w:tcPr>
          <w:p w14:paraId="72DE39FB" w14:textId="727D3D60" w:rsidR="00DE09A0" w:rsidRPr="00D92E20" w:rsidRDefault="00DE09A0" w:rsidP="00DE09A0">
            <w:pPr>
              <w:spacing w:after="0" w:line="240" w:lineRule="auto"/>
              <w:jc w:val="center"/>
              <w:rPr>
                <w:rFonts w:cs="Arial"/>
                <w:color w:val="000000"/>
                <w:sz w:val="16"/>
                <w:szCs w:val="16"/>
              </w:rPr>
            </w:pPr>
            <w:r>
              <w:rPr>
                <w:rFonts w:cs="Arial"/>
                <w:color w:val="000000"/>
                <w:sz w:val="16"/>
                <w:szCs w:val="16"/>
              </w:rPr>
              <w:t>36,7</w:t>
            </w:r>
          </w:p>
        </w:tc>
        <w:tc>
          <w:tcPr>
            <w:tcW w:w="595" w:type="dxa"/>
            <w:tcBorders>
              <w:top w:val="nil"/>
              <w:left w:val="nil"/>
              <w:bottom w:val="nil"/>
              <w:right w:val="nil"/>
            </w:tcBorders>
            <w:shd w:val="clear" w:color="auto" w:fill="auto"/>
            <w:noWrap/>
            <w:vAlign w:val="center"/>
            <w:hideMark/>
          </w:tcPr>
          <w:p w14:paraId="52633EFB" w14:textId="5E2A5A04" w:rsidR="00DE09A0" w:rsidRPr="00D92E20" w:rsidRDefault="00DE09A0" w:rsidP="00DE09A0">
            <w:pPr>
              <w:spacing w:after="0" w:line="240" w:lineRule="auto"/>
              <w:jc w:val="center"/>
              <w:rPr>
                <w:rFonts w:cs="Arial"/>
                <w:color w:val="000000"/>
                <w:sz w:val="16"/>
                <w:szCs w:val="16"/>
              </w:rPr>
            </w:pPr>
            <w:r>
              <w:rPr>
                <w:rFonts w:cs="Arial"/>
                <w:color w:val="000000"/>
                <w:sz w:val="16"/>
                <w:szCs w:val="16"/>
              </w:rPr>
              <w:t>27,4</w:t>
            </w:r>
          </w:p>
        </w:tc>
      </w:tr>
      <w:tr w:rsidR="00DE09A0" w:rsidRPr="00D92E20" w14:paraId="4ECECA9E"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2F4331ED"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F – Stavebnictví</w:t>
            </w:r>
          </w:p>
        </w:tc>
        <w:tc>
          <w:tcPr>
            <w:tcW w:w="595" w:type="dxa"/>
            <w:tcBorders>
              <w:top w:val="nil"/>
              <w:left w:val="nil"/>
              <w:bottom w:val="nil"/>
              <w:right w:val="nil"/>
            </w:tcBorders>
            <w:shd w:val="clear" w:color="auto" w:fill="auto"/>
            <w:noWrap/>
            <w:vAlign w:val="center"/>
            <w:hideMark/>
          </w:tcPr>
          <w:p w14:paraId="3FDF0B04" w14:textId="4AECFB52" w:rsidR="00DE09A0" w:rsidRPr="00D92E20" w:rsidRDefault="00DE09A0" w:rsidP="00DE09A0">
            <w:pPr>
              <w:spacing w:after="0" w:line="240" w:lineRule="auto"/>
              <w:jc w:val="center"/>
              <w:rPr>
                <w:rFonts w:cs="Arial"/>
                <w:color w:val="000000"/>
                <w:sz w:val="16"/>
                <w:szCs w:val="16"/>
              </w:rPr>
            </w:pPr>
            <w:r>
              <w:rPr>
                <w:rFonts w:cs="Arial"/>
                <w:sz w:val="16"/>
                <w:szCs w:val="16"/>
              </w:rPr>
              <w:t>63,6</w:t>
            </w:r>
          </w:p>
        </w:tc>
        <w:tc>
          <w:tcPr>
            <w:tcW w:w="595" w:type="dxa"/>
            <w:tcBorders>
              <w:top w:val="nil"/>
              <w:left w:val="nil"/>
              <w:bottom w:val="nil"/>
              <w:right w:val="nil"/>
            </w:tcBorders>
            <w:shd w:val="clear" w:color="auto" w:fill="auto"/>
            <w:noWrap/>
            <w:vAlign w:val="center"/>
            <w:hideMark/>
          </w:tcPr>
          <w:p w14:paraId="6AB681F3" w14:textId="3A7A3773" w:rsidR="00DE09A0" w:rsidRPr="00D92E20" w:rsidRDefault="00DE09A0" w:rsidP="00DE09A0">
            <w:pPr>
              <w:spacing w:after="0" w:line="240" w:lineRule="auto"/>
              <w:jc w:val="center"/>
              <w:rPr>
                <w:rFonts w:cs="Arial"/>
                <w:color w:val="000000"/>
                <w:sz w:val="16"/>
                <w:szCs w:val="16"/>
              </w:rPr>
            </w:pPr>
            <w:r>
              <w:rPr>
                <w:rFonts w:cs="Arial"/>
                <w:sz w:val="16"/>
                <w:szCs w:val="16"/>
              </w:rPr>
              <w:t>59,7</w:t>
            </w:r>
          </w:p>
        </w:tc>
        <w:tc>
          <w:tcPr>
            <w:tcW w:w="595" w:type="dxa"/>
            <w:tcBorders>
              <w:top w:val="nil"/>
              <w:left w:val="nil"/>
              <w:bottom w:val="nil"/>
              <w:right w:val="nil"/>
            </w:tcBorders>
            <w:shd w:val="clear" w:color="auto" w:fill="auto"/>
            <w:noWrap/>
            <w:vAlign w:val="center"/>
            <w:hideMark/>
          </w:tcPr>
          <w:p w14:paraId="76A43DE3" w14:textId="17C3916E" w:rsidR="00DE09A0" w:rsidRPr="00D92E20" w:rsidRDefault="00DE09A0" w:rsidP="00DE09A0">
            <w:pPr>
              <w:spacing w:after="0" w:line="240" w:lineRule="auto"/>
              <w:jc w:val="center"/>
              <w:rPr>
                <w:rFonts w:cs="Arial"/>
                <w:color w:val="000000"/>
                <w:sz w:val="16"/>
                <w:szCs w:val="16"/>
              </w:rPr>
            </w:pPr>
            <w:r>
              <w:rPr>
                <w:rFonts w:cs="Arial"/>
                <w:sz w:val="16"/>
                <w:szCs w:val="16"/>
              </w:rPr>
              <w:t>64,6</w:t>
            </w:r>
          </w:p>
        </w:tc>
        <w:tc>
          <w:tcPr>
            <w:tcW w:w="595" w:type="dxa"/>
            <w:tcBorders>
              <w:top w:val="nil"/>
              <w:left w:val="nil"/>
              <w:bottom w:val="nil"/>
              <w:right w:val="nil"/>
            </w:tcBorders>
            <w:shd w:val="clear" w:color="auto" w:fill="auto"/>
            <w:noWrap/>
            <w:vAlign w:val="center"/>
            <w:hideMark/>
          </w:tcPr>
          <w:p w14:paraId="15E71BE9" w14:textId="022093D0" w:rsidR="00DE09A0" w:rsidRPr="00D92E20" w:rsidRDefault="00DE09A0" w:rsidP="00DE09A0">
            <w:pPr>
              <w:spacing w:after="0" w:line="240" w:lineRule="auto"/>
              <w:jc w:val="center"/>
              <w:rPr>
                <w:rFonts w:cs="Arial"/>
                <w:color w:val="000000"/>
                <w:sz w:val="16"/>
                <w:szCs w:val="16"/>
              </w:rPr>
            </w:pPr>
            <w:r>
              <w:rPr>
                <w:rFonts w:cs="Arial"/>
                <w:sz w:val="16"/>
                <w:szCs w:val="16"/>
              </w:rPr>
              <w:t>53,9</w:t>
            </w:r>
          </w:p>
        </w:tc>
        <w:tc>
          <w:tcPr>
            <w:tcW w:w="595" w:type="dxa"/>
            <w:tcBorders>
              <w:top w:val="nil"/>
              <w:left w:val="nil"/>
              <w:bottom w:val="nil"/>
              <w:right w:val="nil"/>
            </w:tcBorders>
            <w:shd w:val="clear" w:color="auto" w:fill="auto"/>
            <w:noWrap/>
            <w:vAlign w:val="center"/>
            <w:hideMark/>
          </w:tcPr>
          <w:p w14:paraId="5E268997" w14:textId="631E74B3" w:rsidR="00DE09A0" w:rsidRPr="00D92E20" w:rsidRDefault="00DE09A0" w:rsidP="00DE09A0">
            <w:pPr>
              <w:spacing w:after="0" w:line="240" w:lineRule="auto"/>
              <w:jc w:val="center"/>
              <w:rPr>
                <w:rFonts w:cs="Arial"/>
                <w:color w:val="000000"/>
                <w:sz w:val="16"/>
                <w:szCs w:val="16"/>
              </w:rPr>
            </w:pPr>
            <w:r>
              <w:rPr>
                <w:rFonts w:cs="Arial"/>
                <w:color w:val="000000"/>
                <w:sz w:val="16"/>
                <w:szCs w:val="16"/>
              </w:rPr>
              <w:t>56,6</w:t>
            </w:r>
          </w:p>
        </w:tc>
        <w:tc>
          <w:tcPr>
            <w:tcW w:w="595" w:type="dxa"/>
            <w:tcBorders>
              <w:top w:val="nil"/>
              <w:left w:val="nil"/>
              <w:bottom w:val="nil"/>
              <w:right w:val="nil"/>
            </w:tcBorders>
            <w:shd w:val="clear" w:color="auto" w:fill="auto"/>
            <w:noWrap/>
            <w:vAlign w:val="center"/>
            <w:hideMark/>
          </w:tcPr>
          <w:p w14:paraId="07795ECB" w14:textId="3B2792B8" w:rsidR="00DE09A0" w:rsidRPr="00D92E20" w:rsidRDefault="00DE09A0" w:rsidP="00DE09A0">
            <w:pPr>
              <w:spacing w:after="0" w:line="240" w:lineRule="auto"/>
              <w:jc w:val="center"/>
              <w:rPr>
                <w:rFonts w:cs="Arial"/>
                <w:color w:val="000000"/>
                <w:sz w:val="16"/>
                <w:szCs w:val="16"/>
              </w:rPr>
            </w:pPr>
            <w:r>
              <w:rPr>
                <w:rFonts w:cs="Arial"/>
                <w:color w:val="000000"/>
                <w:sz w:val="16"/>
                <w:szCs w:val="16"/>
              </w:rPr>
              <w:t>55,1</w:t>
            </w:r>
          </w:p>
        </w:tc>
        <w:tc>
          <w:tcPr>
            <w:tcW w:w="595" w:type="dxa"/>
            <w:tcBorders>
              <w:top w:val="nil"/>
              <w:left w:val="nil"/>
              <w:bottom w:val="nil"/>
              <w:right w:val="nil"/>
            </w:tcBorders>
            <w:shd w:val="clear" w:color="auto" w:fill="auto"/>
            <w:noWrap/>
            <w:vAlign w:val="center"/>
            <w:hideMark/>
          </w:tcPr>
          <w:p w14:paraId="56364BAA" w14:textId="1074C0D8" w:rsidR="00DE09A0" w:rsidRPr="00D92E20" w:rsidRDefault="00DE09A0" w:rsidP="00DE09A0">
            <w:pPr>
              <w:spacing w:after="0" w:line="240" w:lineRule="auto"/>
              <w:jc w:val="center"/>
              <w:rPr>
                <w:rFonts w:cs="Arial"/>
                <w:color w:val="000000"/>
                <w:sz w:val="16"/>
                <w:szCs w:val="16"/>
              </w:rPr>
            </w:pPr>
            <w:r>
              <w:rPr>
                <w:rFonts w:cs="Arial"/>
                <w:color w:val="000000"/>
                <w:sz w:val="16"/>
                <w:szCs w:val="16"/>
              </w:rPr>
              <w:t>51,8</w:t>
            </w:r>
          </w:p>
        </w:tc>
        <w:tc>
          <w:tcPr>
            <w:tcW w:w="595" w:type="dxa"/>
            <w:tcBorders>
              <w:top w:val="nil"/>
              <w:left w:val="nil"/>
              <w:bottom w:val="nil"/>
              <w:right w:val="nil"/>
            </w:tcBorders>
            <w:shd w:val="clear" w:color="auto" w:fill="auto"/>
            <w:noWrap/>
            <w:vAlign w:val="center"/>
            <w:hideMark/>
          </w:tcPr>
          <w:p w14:paraId="7C01A241" w14:textId="088C8213" w:rsidR="00DE09A0" w:rsidRPr="00D92E20" w:rsidRDefault="00DE09A0" w:rsidP="00DE09A0">
            <w:pPr>
              <w:spacing w:after="0" w:line="240" w:lineRule="auto"/>
              <w:jc w:val="center"/>
              <w:rPr>
                <w:rFonts w:cs="Arial"/>
                <w:color w:val="000000"/>
                <w:sz w:val="16"/>
                <w:szCs w:val="16"/>
              </w:rPr>
            </w:pPr>
            <w:r>
              <w:rPr>
                <w:rFonts w:cs="Arial"/>
                <w:color w:val="000000"/>
                <w:sz w:val="16"/>
                <w:szCs w:val="16"/>
              </w:rPr>
              <w:t>55,0</w:t>
            </w:r>
          </w:p>
        </w:tc>
        <w:tc>
          <w:tcPr>
            <w:tcW w:w="595" w:type="dxa"/>
            <w:tcBorders>
              <w:top w:val="nil"/>
              <w:left w:val="nil"/>
              <w:bottom w:val="nil"/>
              <w:right w:val="nil"/>
            </w:tcBorders>
            <w:shd w:val="clear" w:color="auto" w:fill="auto"/>
            <w:noWrap/>
            <w:vAlign w:val="center"/>
            <w:hideMark/>
          </w:tcPr>
          <w:p w14:paraId="65BA8E39" w14:textId="2C4BA624" w:rsidR="00DE09A0" w:rsidRPr="00D92E20" w:rsidRDefault="00DE09A0" w:rsidP="00DE09A0">
            <w:pPr>
              <w:spacing w:after="0" w:line="240" w:lineRule="auto"/>
              <w:jc w:val="center"/>
              <w:rPr>
                <w:rFonts w:cs="Arial"/>
                <w:color w:val="000000"/>
                <w:sz w:val="16"/>
                <w:szCs w:val="16"/>
              </w:rPr>
            </w:pPr>
            <w:r>
              <w:rPr>
                <w:rFonts w:cs="Arial"/>
                <w:color w:val="000000"/>
                <w:sz w:val="16"/>
                <w:szCs w:val="16"/>
              </w:rPr>
              <w:t>54,1</w:t>
            </w:r>
          </w:p>
        </w:tc>
        <w:tc>
          <w:tcPr>
            <w:tcW w:w="595" w:type="dxa"/>
            <w:tcBorders>
              <w:top w:val="nil"/>
              <w:left w:val="nil"/>
              <w:bottom w:val="nil"/>
              <w:right w:val="nil"/>
            </w:tcBorders>
            <w:shd w:val="clear" w:color="auto" w:fill="auto"/>
            <w:noWrap/>
            <w:vAlign w:val="center"/>
            <w:hideMark/>
          </w:tcPr>
          <w:p w14:paraId="40EF0F3A" w14:textId="1CBF15AC" w:rsidR="00DE09A0" w:rsidRPr="00D92E20" w:rsidRDefault="00DE09A0" w:rsidP="00DE09A0">
            <w:pPr>
              <w:spacing w:after="0" w:line="240" w:lineRule="auto"/>
              <w:jc w:val="center"/>
              <w:rPr>
                <w:rFonts w:cs="Arial"/>
                <w:color w:val="000000"/>
                <w:sz w:val="16"/>
                <w:szCs w:val="16"/>
              </w:rPr>
            </w:pPr>
            <w:r>
              <w:rPr>
                <w:rFonts w:cs="Arial"/>
                <w:color w:val="000000"/>
                <w:sz w:val="16"/>
                <w:szCs w:val="16"/>
              </w:rPr>
              <w:t>41,4</w:t>
            </w:r>
          </w:p>
        </w:tc>
        <w:tc>
          <w:tcPr>
            <w:tcW w:w="595" w:type="dxa"/>
            <w:tcBorders>
              <w:top w:val="nil"/>
              <w:left w:val="nil"/>
              <w:bottom w:val="nil"/>
              <w:right w:val="nil"/>
            </w:tcBorders>
            <w:shd w:val="clear" w:color="auto" w:fill="auto"/>
            <w:noWrap/>
            <w:vAlign w:val="center"/>
            <w:hideMark/>
          </w:tcPr>
          <w:p w14:paraId="2E27FAD7" w14:textId="7FDD87B0" w:rsidR="00DE09A0" w:rsidRPr="00D92E20" w:rsidRDefault="00DE09A0" w:rsidP="00DE09A0">
            <w:pPr>
              <w:spacing w:after="0" w:line="240" w:lineRule="auto"/>
              <w:jc w:val="center"/>
              <w:rPr>
                <w:rFonts w:cs="Arial"/>
                <w:color w:val="000000"/>
                <w:sz w:val="16"/>
                <w:szCs w:val="16"/>
              </w:rPr>
            </w:pPr>
            <w:r>
              <w:rPr>
                <w:rFonts w:cs="Arial"/>
                <w:color w:val="000000"/>
                <w:sz w:val="16"/>
                <w:szCs w:val="16"/>
              </w:rPr>
              <w:t>32,5</w:t>
            </w:r>
          </w:p>
        </w:tc>
      </w:tr>
      <w:tr w:rsidR="00DE09A0" w:rsidRPr="00D92E20" w14:paraId="1E9B0713" w14:textId="77777777" w:rsidTr="00DC0DB3">
        <w:trPr>
          <w:trHeight w:val="480"/>
        </w:trPr>
        <w:tc>
          <w:tcPr>
            <w:tcW w:w="3175" w:type="dxa"/>
            <w:tcBorders>
              <w:top w:val="nil"/>
              <w:left w:val="nil"/>
              <w:bottom w:val="nil"/>
              <w:right w:val="single" w:sz="4" w:space="0" w:color="auto"/>
            </w:tcBorders>
            <w:shd w:val="clear" w:color="auto" w:fill="auto"/>
            <w:vAlign w:val="center"/>
            <w:hideMark/>
          </w:tcPr>
          <w:p w14:paraId="6E3FF84C"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 xml:space="preserve">G – Velkoobchod a maloobchod; </w:t>
            </w:r>
            <w:r w:rsidRPr="00D92E20">
              <w:rPr>
                <w:rFonts w:cs="Arial"/>
                <w:color w:val="000000"/>
                <w:sz w:val="16"/>
                <w:szCs w:val="16"/>
              </w:rPr>
              <w:br/>
              <w:t xml:space="preserve">          opravy a údržba motorových vozidel</w:t>
            </w:r>
          </w:p>
        </w:tc>
        <w:tc>
          <w:tcPr>
            <w:tcW w:w="595" w:type="dxa"/>
            <w:tcBorders>
              <w:top w:val="nil"/>
              <w:left w:val="nil"/>
              <w:bottom w:val="nil"/>
              <w:right w:val="nil"/>
            </w:tcBorders>
            <w:shd w:val="clear" w:color="auto" w:fill="auto"/>
            <w:noWrap/>
            <w:vAlign w:val="center"/>
            <w:hideMark/>
          </w:tcPr>
          <w:p w14:paraId="272560D7" w14:textId="7AD85A38" w:rsidR="00DE09A0" w:rsidRPr="00D92E20" w:rsidRDefault="00DE09A0" w:rsidP="00DE09A0">
            <w:pPr>
              <w:spacing w:after="0" w:line="240" w:lineRule="auto"/>
              <w:jc w:val="center"/>
              <w:rPr>
                <w:rFonts w:cs="Arial"/>
                <w:color w:val="000000"/>
                <w:sz w:val="16"/>
                <w:szCs w:val="16"/>
              </w:rPr>
            </w:pPr>
            <w:r>
              <w:rPr>
                <w:rFonts w:cs="Arial"/>
                <w:sz w:val="16"/>
                <w:szCs w:val="16"/>
              </w:rPr>
              <w:t>51,9</w:t>
            </w:r>
          </w:p>
        </w:tc>
        <w:tc>
          <w:tcPr>
            <w:tcW w:w="595" w:type="dxa"/>
            <w:tcBorders>
              <w:top w:val="nil"/>
              <w:left w:val="nil"/>
              <w:bottom w:val="nil"/>
              <w:right w:val="nil"/>
            </w:tcBorders>
            <w:shd w:val="clear" w:color="auto" w:fill="auto"/>
            <w:noWrap/>
            <w:vAlign w:val="center"/>
            <w:hideMark/>
          </w:tcPr>
          <w:p w14:paraId="6000DADD" w14:textId="720D163E" w:rsidR="00DE09A0" w:rsidRPr="00D92E20" w:rsidRDefault="00DE09A0" w:rsidP="00DE09A0">
            <w:pPr>
              <w:spacing w:after="0" w:line="240" w:lineRule="auto"/>
              <w:jc w:val="center"/>
              <w:rPr>
                <w:rFonts w:cs="Arial"/>
                <w:color w:val="000000"/>
                <w:sz w:val="16"/>
                <w:szCs w:val="16"/>
              </w:rPr>
            </w:pPr>
            <w:r>
              <w:rPr>
                <w:rFonts w:cs="Arial"/>
                <w:sz w:val="16"/>
                <w:szCs w:val="16"/>
              </w:rPr>
              <w:t>46,6</w:t>
            </w:r>
          </w:p>
        </w:tc>
        <w:tc>
          <w:tcPr>
            <w:tcW w:w="595" w:type="dxa"/>
            <w:tcBorders>
              <w:top w:val="nil"/>
              <w:left w:val="nil"/>
              <w:bottom w:val="nil"/>
              <w:right w:val="nil"/>
            </w:tcBorders>
            <w:shd w:val="clear" w:color="auto" w:fill="auto"/>
            <w:noWrap/>
            <w:vAlign w:val="center"/>
            <w:hideMark/>
          </w:tcPr>
          <w:p w14:paraId="1BD94A6C" w14:textId="5FD343F9" w:rsidR="00DE09A0" w:rsidRPr="00D92E20" w:rsidRDefault="00DE09A0" w:rsidP="00DE09A0">
            <w:pPr>
              <w:spacing w:after="0" w:line="240" w:lineRule="auto"/>
              <w:jc w:val="center"/>
              <w:rPr>
                <w:rFonts w:cs="Arial"/>
                <w:color w:val="000000"/>
                <w:sz w:val="16"/>
                <w:szCs w:val="16"/>
              </w:rPr>
            </w:pPr>
            <w:r>
              <w:rPr>
                <w:rFonts w:cs="Arial"/>
                <w:sz w:val="16"/>
                <w:szCs w:val="16"/>
              </w:rPr>
              <w:t>50,9</w:t>
            </w:r>
          </w:p>
        </w:tc>
        <w:tc>
          <w:tcPr>
            <w:tcW w:w="595" w:type="dxa"/>
            <w:tcBorders>
              <w:top w:val="nil"/>
              <w:left w:val="nil"/>
              <w:bottom w:val="nil"/>
              <w:right w:val="nil"/>
            </w:tcBorders>
            <w:shd w:val="clear" w:color="auto" w:fill="auto"/>
            <w:noWrap/>
            <w:vAlign w:val="center"/>
            <w:hideMark/>
          </w:tcPr>
          <w:p w14:paraId="7A08C78E" w14:textId="2619D647" w:rsidR="00DE09A0" w:rsidRPr="00D92E20" w:rsidRDefault="00DE09A0" w:rsidP="00DE09A0">
            <w:pPr>
              <w:spacing w:after="0" w:line="240" w:lineRule="auto"/>
              <w:jc w:val="center"/>
              <w:rPr>
                <w:rFonts w:cs="Arial"/>
                <w:color w:val="000000"/>
                <w:sz w:val="16"/>
                <w:szCs w:val="16"/>
              </w:rPr>
            </w:pPr>
            <w:r>
              <w:rPr>
                <w:rFonts w:cs="Arial"/>
                <w:sz w:val="16"/>
                <w:szCs w:val="16"/>
              </w:rPr>
              <w:t>44,4</w:t>
            </w:r>
          </w:p>
        </w:tc>
        <w:tc>
          <w:tcPr>
            <w:tcW w:w="595" w:type="dxa"/>
            <w:tcBorders>
              <w:top w:val="nil"/>
              <w:left w:val="nil"/>
              <w:bottom w:val="nil"/>
              <w:right w:val="nil"/>
            </w:tcBorders>
            <w:shd w:val="clear" w:color="auto" w:fill="auto"/>
            <w:noWrap/>
            <w:vAlign w:val="center"/>
            <w:hideMark/>
          </w:tcPr>
          <w:p w14:paraId="3DDC86E0" w14:textId="1197802C" w:rsidR="00DE09A0" w:rsidRPr="00D92E20" w:rsidRDefault="00DE09A0" w:rsidP="00DE09A0">
            <w:pPr>
              <w:spacing w:after="0" w:line="240" w:lineRule="auto"/>
              <w:jc w:val="center"/>
              <w:rPr>
                <w:rFonts w:cs="Arial"/>
                <w:color w:val="000000"/>
                <w:sz w:val="16"/>
                <w:szCs w:val="16"/>
              </w:rPr>
            </w:pPr>
            <w:r>
              <w:rPr>
                <w:rFonts w:cs="Arial"/>
                <w:color w:val="000000"/>
                <w:sz w:val="16"/>
                <w:szCs w:val="16"/>
              </w:rPr>
              <w:t>44,5</w:t>
            </w:r>
          </w:p>
        </w:tc>
        <w:tc>
          <w:tcPr>
            <w:tcW w:w="595" w:type="dxa"/>
            <w:tcBorders>
              <w:top w:val="nil"/>
              <w:left w:val="nil"/>
              <w:bottom w:val="nil"/>
              <w:right w:val="nil"/>
            </w:tcBorders>
            <w:shd w:val="clear" w:color="auto" w:fill="auto"/>
            <w:noWrap/>
            <w:vAlign w:val="center"/>
            <w:hideMark/>
          </w:tcPr>
          <w:p w14:paraId="502F159E" w14:textId="77EFBCF3" w:rsidR="00DE09A0" w:rsidRPr="00D92E20" w:rsidRDefault="00DE09A0" w:rsidP="00DE09A0">
            <w:pPr>
              <w:spacing w:after="0" w:line="240" w:lineRule="auto"/>
              <w:jc w:val="center"/>
              <w:rPr>
                <w:rFonts w:cs="Arial"/>
                <w:color w:val="000000"/>
                <w:sz w:val="16"/>
                <w:szCs w:val="16"/>
              </w:rPr>
            </w:pPr>
            <w:r>
              <w:rPr>
                <w:rFonts w:cs="Arial"/>
                <w:color w:val="000000"/>
                <w:sz w:val="16"/>
                <w:szCs w:val="16"/>
              </w:rPr>
              <w:t>43,4</w:t>
            </w:r>
          </w:p>
        </w:tc>
        <w:tc>
          <w:tcPr>
            <w:tcW w:w="595" w:type="dxa"/>
            <w:tcBorders>
              <w:top w:val="nil"/>
              <w:left w:val="nil"/>
              <w:bottom w:val="nil"/>
              <w:right w:val="nil"/>
            </w:tcBorders>
            <w:shd w:val="clear" w:color="auto" w:fill="auto"/>
            <w:noWrap/>
            <w:vAlign w:val="center"/>
            <w:hideMark/>
          </w:tcPr>
          <w:p w14:paraId="395D2ADC" w14:textId="3DEF68C7" w:rsidR="00DE09A0" w:rsidRPr="00D92E20" w:rsidRDefault="00DE09A0" w:rsidP="00DE09A0">
            <w:pPr>
              <w:spacing w:after="0" w:line="240" w:lineRule="auto"/>
              <w:jc w:val="center"/>
              <w:rPr>
                <w:rFonts w:cs="Arial"/>
                <w:color w:val="000000"/>
                <w:sz w:val="16"/>
                <w:szCs w:val="16"/>
              </w:rPr>
            </w:pPr>
            <w:r>
              <w:rPr>
                <w:rFonts w:cs="Arial"/>
                <w:color w:val="000000"/>
                <w:sz w:val="16"/>
                <w:szCs w:val="16"/>
              </w:rPr>
              <w:t>41,9</w:t>
            </w:r>
          </w:p>
        </w:tc>
        <w:tc>
          <w:tcPr>
            <w:tcW w:w="595" w:type="dxa"/>
            <w:tcBorders>
              <w:top w:val="nil"/>
              <w:left w:val="nil"/>
              <w:bottom w:val="nil"/>
              <w:right w:val="nil"/>
            </w:tcBorders>
            <w:shd w:val="clear" w:color="auto" w:fill="auto"/>
            <w:noWrap/>
            <w:vAlign w:val="center"/>
            <w:hideMark/>
          </w:tcPr>
          <w:p w14:paraId="4642194E" w14:textId="467F3DAC" w:rsidR="00DE09A0" w:rsidRPr="00D92E20" w:rsidRDefault="00DE09A0" w:rsidP="00DE09A0">
            <w:pPr>
              <w:spacing w:after="0" w:line="240" w:lineRule="auto"/>
              <w:jc w:val="center"/>
              <w:rPr>
                <w:rFonts w:cs="Arial"/>
                <w:color w:val="000000"/>
                <w:sz w:val="16"/>
                <w:szCs w:val="16"/>
              </w:rPr>
            </w:pPr>
            <w:r>
              <w:rPr>
                <w:rFonts w:cs="Arial"/>
                <w:color w:val="000000"/>
                <w:sz w:val="16"/>
                <w:szCs w:val="16"/>
              </w:rPr>
              <w:t>45,0</w:t>
            </w:r>
          </w:p>
        </w:tc>
        <w:tc>
          <w:tcPr>
            <w:tcW w:w="595" w:type="dxa"/>
            <w:tcBorders>
              <w:top w:val="nil"/>
              <w:left w:val="nil"/>
              <w:bottom w:val="nil"/>
              <w:right w:val="nil"/>
            </w:tcBorders>
            <w:shd w:val="clear" w:color="auto" w:fill="auto"/>
            <w:noWrap/>
            <w:vAlign w:val="center"/>
            <w:hideMark/>
          </w:tcPr>
          <w:p w14:paraId="70D1A7F0" w14:textId="00BD27BC" w:rsidR="00DE09A0" w:rsidRPr="00D92E20" w:rsidRDefault="00DE09A0" w:rsidP="00DE09A0">
            <w:pPr>
              <w:spacing w:after="0" w:line="240" w:lineRule="auto"/>
              <w:jc w:val="center"/>
              <w:rPr>
                <w:rFonts w:cs="Arial"/>
                <w:color w:val="000000"/>
                <w:sz w:val="16"/>
                <w:szCs w:val="16"/>
              </w:rPr>
            </w:pPr>
            <w:r>
              <w:rPr>
                <w:rFonts w:cs="Arial"/>
                <w:color w:val="000000"/>
                <w:sz w:val="16"/>
                <w:szCs w:val="16"/>
              </w:rPr>
              <w:t>46,4</w:t>
            </w:r>
          </w:p>
        </w:tc>
        <w:tc>
          <w:tcPr>
            <w:tcW w:w="595" w:type="dxa"/>
            <w:tcBorders>
              <w:top w:val="nil"/>
              <w:left w:val="nil"/>
              <w:bottom w:val="nil"/>
              <w:right w:val="nil"/>
            </w:tcBorders>
            <w:shd w:val="clear" w:color="auto" w:fill="auto"/>
            <w:noWrap/>
            <w:vAlign w:val="center"/>
            <w:hideMark/>
          </w:tcPr>
          <w:p w14:paraId="3624A3E4" w14:textId="5BEDD0CD" w:rsidR="00DE09A0" w:rsidRPr="00D92E20" w:rsidRDefault="00DE09A0" w:rsidP="00DE09A0">
            <w:pPr>
              <w:spacing w:after="0" w:line="240" w:lineRule="auto"/>
              <w:jc w:val="center"/>
              <w:rPr>
                <w:rFonts w:cs="Arial"/>
                <w:color w:val="000000"/>
                <w:sz w:val="16"/>
                <w:szCs w:val="16"/>
              </w:rPr>
            </w:pPr>
            <w:r>
              <w:rPr>
                <w:rFonts w:cs="Arial"/>
                <w:color w:val="000000"/>
                <w:sz w:val="16"/>
                <w:szCs w:val="16"/>
              </w:rPr>
              <w:t>39,8</w:t>
            </w:r>
          </w:p>
        </w:tc>
        <w:tc>
          <w:tcPr>
            <w:tcW w:w="595" w:type="dxa"/>
            <w:tcBorders>
              <w:top w:val="nil"/>
              <w:left w:val="nil"/>
              <w:bottom w:val="nil"/>
              <w:right w:val="nil"/>
            </w:tcBorders>
            <w:shd w:val="clear" w:color="auto" w:fill="auto"/>
            <w:noWrap/>
            <w:vAlign w:val="center"/>
            <w:hideMark/>
          </w:tcPr>
          <w:p w14:paraId="36B0257D" w14:textId="65340274" w:rsidR="00DE09A0" w:rsidRPr="00D92E20" w:rsidRDefault="00DE09A0" w:rsidP="00DE09A0">
            <w:pPr>
              <w:spacing w:after="0" w:line="240" w:lineRule="auto"/>
              <w:jc w:val="center"/>
              <w:rPr>
                <w:rFonts w:cs="Arial"/>
                <w:color w:val="000000"/>
                <w:sz w:val="16"/>
                <w:szCs w:val="16"/>
              </w:rPr>
            </w:pPr>
            <w:r>
              <w:rPr>
                <w:rFonts w:cs="Arial"/>
                <w:color w:val="000000"/>
                <w:sz w:val="16"/>
                <w:szCs w:val="16"/>
              </w:rPr>
              <w:t>26,2</w:t>
            </w:r>
          </w:p>
        </w:tc>
      </w:tr>
      <w:tr w:rsidR="00DE09A0" w:rsidRPr="00D92E20" w14:paraId="0F54AC66"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3C6B3580"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H – Doprava a skladování</w:t>
            </w:r>
          </w:p>
        </w:tc>
        <w:tc>
          <w:tcPr>
            <w:tcW w:w="595" w:type="dxa"/>
            <w:tcBorders>
              <w:top w:val="nil"/>
              <w:left w:val="nil"/>
              <w:bottom w:val="nil"/>
              <w:right w:val="nil"/>
            </w:tcBorders>
            <w:shd w:val="clear" w:color="auto" w:fill="auto"/>
            <w:noWrap/>
            <w:vAlign w:val="center"/>
            <w:hideMark/>
          </w:tcPr>
          <w:p w14:paraId="77F041EB" w14:textId="4C59232E" w:rsidR="00DE09A0" w:rsidRPr="00D92E20" w:rsidRDefault="00DE09A0" w:rsidP="00DE09A0">
            <w:pPr>
              <w:spacing w:after="0" w:line="240" w:lineRule="auto"/>
              <w:jc w:val="center"/>
              <w:rPr>
                <w:rFonts w:cs="Arial"/>
                <w:color w:val="000000"/>
                <w:sz w:val="16"/>
                <w:szCs w:val="16"/>
              </w:rPr>
            </w:pPr>
            <w:r>
              <w:rPr>
                <w:rFonts w:cs="Arial"/>
                <w:sz w:val="16"/>
                <w:szCs w:val="16"/>
              </w:rPr>
              <w:t>52,5</w:t>
            </w:r>
          </w:p>
        </w:tc>
        <w:tc>
          <w:tcPr>
            <w:tcW w:w="595" w:type="dxa"/>
            <w:tcBorders>
              <w:top w:val="nil"/>
              <w:left w:val="nil"/>
              <w:bottom w:val="nil"/>
              <w:right w:val="nil"/>
            </w:tcBorders>
            <w:shd w:val="clear" w:color="auto" w:fill="auto"/>
            <w:noWrap/>
            <w:vAlign w:val="center"/>
            <w:hideMark/>
          </w:tcPr>
          <w:p w14:paraId="571DCD14" w14:textId="3FFBD560" w:rsidR="00DE09A0" w:rsidRPr="00D92E20" w:rsidRDefault="00DE09A0" w:rsidP="00DE09A0">
            <w:pPr>
              <w:spacing w:after="0" w:line="240" w:lineRule="auto"/>
              <w:jc w:val="center"/>
              <w:rPr>
                <w:rFonts w:cs="Arial"/>
                <w:color w:val="000000"/>
                <w:sz w:val="16"/>
                <w:szCs w:val="16"/>
              </w:rPr>
            </w:pPr>
            <w:r>
              <w:rPr>
                <w:rFonts w:cs="Arial"/>
                <w:sz w:val="16"/>
                <w:szCs w:val="16"/>
              </w:rPr>
              <w:t>48,4</w:t>
            </w:r>
          </w:p>
        </w:tc>
        <w:tc>
          <w:tcPr>
            <w:tcW w:w="595" w:type="dxa"/>
            <w:tcBorders>
              <w:top w:val="nil"/>
              <w:left w:val="nil"/>
              <w:bottom w:val="nil"/>
              <w:right w:val="nil"/>
            </w:tcBorders>
            <w:shd w:val="clear" w:color="auto" w:fill="auto"/>
            <w:noWrap/>
            <w:vAlign w:val="center"/>
            <w:hideMark/>
          </w:tcPr>
          <w:p w14:paraId="2D516A15" w14:textId="10D99F36" w:rsidR="00DE09A0" w:rsidRPr="00D92E20" w:rsidRDefault="00DE09A0" w:rsidP="00DE09A0">
            <w:pPr>
              <w:spacing w:after="0" w:line="240" w:lineRule="auto"/>
              <w:jc w:val="center"/>
              <w:rPr>
                <w:rFonts w:cs="Arial"/>
                <w:color w:val="000000"/>
                <w:sz w:val="16"/>
                <w:szCs w:val="16"/>
              </w:rPr>
            </w:pPr>
            <w:r>
              <w:rPr>
                <w:rFonts w:cs="Arial"/>
                <w:sz w:val="16"/>
                <w:szCs w:val="16"/>
              </w:rPr>
              <w:t>52,5</w:t>
            </w:r>
          </w:p>
        </w:tc>
        <w:tc>
          <w:tcPr>
            <w:tcW w:w="595" w:type="dxa"/>
            <w:tcBorders>
              <w:top w:val="nil"/>
              <w:left w:val="nil"/>
              <w:bottom w:val="nil"/>
              <w:right w:val="nil"/>
            </w:tcBorders>
            <w:shd w:val="clear" w:color="auto" w:fill="auto"/>
            <w:noWrap/>
            <w:vAlign w:val="center"/>
            <w:hideMark/>
          </w:tcPr>
          <w:p w14:paraId="275F7E19" w14:textId="0DD30277" w:rsidR="00DE09A0" w:rsidRPr="00D92E20" w:rsidRDefault="00DE09A0" w:rsidP="00DE09A0">
            <w:pPr>
              <w:spacing w:after="0" w:line="240" w:lineRule="auto"/>
              <w:jc w:val="center"/>
              <w:rPr>
                <w:rFonts w:cs="Arial"/>
                <w:color w:val="000000"/>
                <w:sz w:val="16"/>
                <w:szCs w:val="16"/>
              </w:rPr>
            </w:pPr>
            <w:r>
              <w:rPr>
                <w:rFonts w:cs="Arial"/>
                <w:sz w:val="16"/>
                <w:szCs w:val="16"/>
              </w:rPr>
              <w:t>43,9</w:t>
            </w:r>
          </w:p>
        </w:tc>
        <w:tc>
          <w:tcPr>
            <w:tcW w:w="595" w:type="dxa"/>
            <w:tcBorders>
              <w:top w:val="nil"/>
              <w:left w:val="nil"/>
              <w:bottom w:val="nil"/>
              <w:right w:val="nil"/>
            </w:tcBorders>
            <w:shd w:val="clear" w:color="auto" w:fill="auto"/>
            <w:noWrap/>
            <w:vAlign w:val="center"/>
            <w:hideMark/>
          </w:tcPr>
          <w:p w14:paraId="15755017" w14:textId="1CE6BED4" w:rsidR="00DE09A0" w:rsidRPr="00D92E20" w:rsidRDefault="00DE09A0" w:rsidP="00DE09A0">
            <w:pPr>
              <w:spacing w:after="0" w:line="240" w:lineRule="auto"/>
              <w:jc w:val="center"/>
              <w:rPr>
                <w:rFonts w:cs="Arial"/>
                <w:color w:val="000000"/>
                <w:sz w:val="16"/>
                <w:szCs w:val="16"/>
              </w:rPr>
            </w:pPr>
            <w:r>
              <w:rPr>
                <w:rFonts w:cs="Arial"/>
                <w:color w:val="000000"/>
                <w:sz w:val="16"/>
                <w:szCs w:val="16"/>
              </w:rPr>
              <w:t>46,0</w:t>
            </w:r>
          </w:p>
        </w:tc>
        <w:tc>
          <w:tcPr>
            <w:tcW w:w="595" w:type="dxa"/>
            <w:tcBorders>
              <w:top w:val="nil"/>
              <w:left w:val="nil"/>
              <w:bottom w:val="nil"/>
              <w:right w:val="nil"/>
            </w:tcBorders>
            <w:shd w:val="clear" w:color="auto" w:fill="auto"/>
            <w:noWrap/>
            <w:vAlign w:val="center"/>
            <w:hideMark/>
          </w:tcPr>
          <w:p w14:paraId="508E2F03" w14:textId="621DF2B8" w:rsidR="00DE09A0" w:rsidRPr="00D92E20" w:rsidRDefault="00DE09A0" w:rsidP="00DE09A0">
            <w:pPr>
              <w:spacing w:after="0" w:line="240" w:lineRule="auto"/>
              <w:jc w:val="center"/>
              <w:rPr>
                <w:rFonts w:cs="Arial"/>
                <w:color w:val="000000"/>
                <w:sz w:val="16"/>
                <w:szCs w:val="16"/>
              </w:rPr>
            </w:pPr>
            <w:r>
              <w:rPr>
                <w:rFonts w:cs="Arial"/>
                <w:color w:val="000000"/>
                <w:sz w:val="16"/>
                <w:szCs w:val="16"/>
              </w:rPr>
              <w:t>44,1</w:t>
            </w:r>
          </w:p>
        </w:tc>
        <w:tc>
          <w:tcPr>
            <w:tcW w:w="595" w:type="dxa"/>
            <w:tcBorders>
              <w:top w:val="nil"/>
              <w:left w:val="nil"/>
              <w:bottom w:val="nil"/>
              <w:right w:val="nil"/>
            </w:tcBorders>
            <w:shd w:val="clear" w:color="auto" w:fill="auto"/>
            <w:noWrap/>
            <w:vAlign w:val="center"/>
            <w:hideMark/>
          </w:tcPr>
          <w:p w14:paraId="79AE69D1" w14:textId="2E5B6E9B" w:rsidR="00DE09A0" w:rsidRPr="00D92E20" w:rsidRDefault="00DE09A0" w:rsidP="00DE09A0">
            <w:pPr>
              <w:spacing w:after="0" w:line="240" w:lineRule="auto"/>
              <w:jc w:val="center"/>
              <w:rPr>
                <w:rFonts w:cs="Arial"/>
                <w:color w:val="000000"/>
                <w:sz w:val="16"/>
                <w:szCs w:val="16"/>
              </w:rPr>
            </w:pPr>
            <w:r>
              <w:rPr>
                <w:rFonts w:cs="Arial"/>
                <w:color w:val="000000"/>
                <w:sz w:val="16"/>
                <w:szCs w:val="16"/>
              </w:rPr>
              <w:t>41,8</w:t>
            </w:r>
          </w:p>
        </w:tc>
        <w:tc>
          <w:tcPr>
            <w:tcW w:w="595" w:type="dxa"/>
            <w:tcBorders>
              <w:top w:val="nil"/>
              <w:left w:val="nil"/>
              <w:bottom w:val="nil"/>
              <w:right w:val="nil"/>
            </w:tcBorders>
            <w:shd w:val="clear" w:color="auto" w:fill="auto"/>
            <w:noWrap/>
            <w:vAlign w:val="center"/>
            <w:hideMark/>
          </w:tcPr>
          <w:p w14:paraId="331E6E10" w14:textId="49562ECA" w:rsidR="00DE09A0" w:rsidRPr="00D92E20" w:rsidRDefault="00DE09A0" w:rsidP="00DE09A0">
            <w:pPr>
              <w:spacing w:after="0" w:line="240" w:lineRule="auto"/>
              <w:jc w:val="center"/>
              <w:rPr>
                <w:rFonts w:cs="Arial"/>
                <w:color w:val="000000"/>
                <w:sz w:val="16"/>
                <w:szCs w:val="16"/>
              </w:rPr>
            </w:pPr>
            <w:r>
              <w:rPr>
                <w:rFonts w:cs="Arial"/>
                <w:color w:val="000000"/>
                <w:sz w:val="16"/>
                <w:szCs w:val="16"/>
              </w:rPr>
              <w:t>45,9</w:t>
            </w:r>
          </w:p>
        </w:tc>
        <w:tc>
          <w:tcPr>
            <w:tcW w:w="595" w:type="dxa"/>
            <w:tcBorders>
              <w:top w:val="nil"/>
              <w:left w:val="nil"/>
              <w:bottom w:val="nil"/>
              <w:right w:val="nil"/>
            </w:tcBorders>
            <w:shd w:val="clear" w:color="auto" w:fill="auto"/>
            <w:noWrap/>
            <w:vAlign w:val="center"/>
            <w:hideMark/>
          </w:tcPr>
          <w:p w14:paraId="31712E76" w14:textId="65618FBE" w:rsidR="00DE09A0" w:rsidRPr="00D92E20" w:rsidRDefault="00DE09A0" w:rsidP="00DE09A0">
            <w:pPr>
              <w:spacing w:after="0" w:line="240" w:lineRule="auto"/>
              <w:jc w:val="center"/>
              <w:rPr>
                <w:rFonts w:cs="Arial"/>
                <w:color w:val="000000"/>
                <w:sz w:val="16"/>
                <w:szCs w:val="16"/>
              </w:rPr>
            </w:pPr>
            <w:r>
              <w:rPr>
                <w:rFonts w:cs="Arial"/>
                <w:color w:val="000000"/>
                <w:sz w:val="16"/>
                <w:szCs w:val="16"/>
              </w:rPr>
              <w:t>47,4</w:t>
            </w:r>
          </w:p>
        </w:tc>
        <w:tc>
          <w:tcPr>
            <w:tcW w:w="595" w:type="dxa"/>
            <w:tcBorders>
              <w:top w:val="nil"/>
              <w:left w:val="nil"/>
              <w:bottom w:val="nil"/>
              <w:right w:val="nil"/>
            </w:tcBorders>
            <w:shd w:val="clear" w:color="auto" w:fill="auto"/>
            <w:noWrap/>
            <w:vAlign w:val="center"/>
            <w:hideMark/>
          </w:tcPr>
          <w:p w14:paraId="5E1025C1" w14:textId="6DED70EB" w:rsidR="00DE09A0" w:rsidRPr="00D92E20" w:rsidRDefault="00DE09A0" w:rsidP="00DE09A0">
            <w:pPr>
              <w:spacing w:after="0" w:line="240" w:lineRule="auto"/>
              <w:jc w:val="center"/>
              <w:rPr>
                <w:rFonts w:cs="Arial"/>
                <w:color w:val="000000"/>
                <w:sz w:val="16"/>
                <w:szCs w:val="16"/>
              </w:rPr>
            </w:pPr>
            <w:r>
              <w:rPr>
                <w:rFonts w:cs="Arial"/>
                <w:color w:val="000000"/>
                <w:sz w:val="16"/>
                <w:szCs w:val="16"/>
              </w:rPr>
              <w:t>38,1</w:t>
            </w:r>
          </w:p>
        </w:tc>
        <w:tc>
          <w:tcPr>
            <w:tcW w:w="595" w:type="dxa"/>
            <w:tcBorders>
              <w:top w:val="nil"/>
              <w:left w:val="nil"/>
              <w:bottom w:val="nil"/>
              <w:right w:val="nil"/>
            </w:tcBorders>
            <w:shd w:val="clear" w:color="auto" w:fill="auto"/>
            <w:noWrap/>
            <w:vAlign w:val="center"/>
            <w:hideMark/>
          </w:tcPr>
          <w:p w14:paraId="2C85427E" w14:textId="4D0AD9E0" w:rsidR="00DE09A0" w:rsidRPr="00D92E20" w:rsidRDefault="00DE09A0" w:rsidP="00DE09A0">
            <w:pPr>
              <w:spacing w:after="0" w:line="240" w:lineRule="auto"/>
              <w:jc w:val="center"/>
              <w:rPr>
                <w:rFonts w:cs="Arial"/>
                <w:color w:val="000000"/>
                <w:sz w:val="16"/>
                <w:szCs w:val="16"/>
              </w:rPr>
            </w:pPr>
            <w:r>
              <w:rPr>
                <w:rFonts w:cs="Arial"/>
                <w:color w:val="000000"/>
                <w:sz w:val="16"/>
                <w:szCs w:val="16"/>
              </w:rPr>
              <w:t>28,2</w:t>
            </w:r>
          </w:p>
        </w:tc>
      </w:tr>
      <w:tr w:rsidR="00DE09A0" w:rsidRPr="00D92E20" w14:paraId="03DB9AC6"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3E66899D" w14:textId="6F266446"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I – Ubytování, stravování a pohostinství</w:t>
            </w:r>
          </w:p>
        </w:tc>
        <w:tc>
          <w:tcPr>
            <w:tcW w:w="595" w:type="dxa"/>
            <w:tcBorders>
              <w:top w:val="nil"/>
              <w:left w:val="nil"/>
              <w:bottom w:val="nil"/>
              <w:right w:val="nil"/>
            </w:tcBorders>
            <w:shd w:val="clear" w:color="auto" w:fill="auto"/>
            <w:noWrap/>
            <w:vAlign w:val="center"/>
            <w:hideMark/>
          </w:tcPr>
          <w:p w14:paraId="7EBA2D97" w14:textId="46CC614C" w:rsidR="00DE09A0" w:rsidRPr="00D92E20" w:rsidRDefault="00DE09A0" w:rsidP="00DE09A0">
            <w:pPr>
              <w:spacing w:after="0" w:line="240" w:lineRule="auto"/>
              <w:jc w:val="center"/>
              <w:rPr>
                <w:rFonts w:cs="Arial"/>
                <w:color w:val="000000"/>
                <w:sz w:val="16"/>
                <w:szCs w:val="16"/>
              </w:rPr>
            </w:pPr>
            <w:r>
              <w:rPr>
                <w:rFonts w:cs="Arial"/>
                <w:sz w:val="16"/>
                <w:szCs w:val="16"/>
              </w:rPr>
              <w:t>59,6</w:t>
            </w:r>
          </w:p>
        </w:tc>
        <w:tc>
          <w:tcPr>
            <w:tcW w:w="595" w:type="dxa"/>
            <w:tcBorders>
              <w:top w:val="nil"/>
              <w:left w:val="nil"/>
              <w:bottom w:val="nil"/>
              <w:right w:val="nil"/>
            </w:tcBorders>
            <w:shd w:val="clear" w:color="auto" w:fill="auto"/>
            <w:noWrap/>
            <w:vAlign w:val="center"/>
            <w:hideMark/>
          </w:tcPr>
          <w:p w14:paraId="4773E6BA" w14:textId="656E3B2E" w:rsidR="00DE09A0" w:rsidRPr="00D92E20" w:rsidRDefault="00DE09A0" w:rsidP="00DE09A0">
            <w:pPr>
              <w:spacing w:after="0" w:line="240" w:lineRule="auto"/>
              <w:jc w:val="center"/>
              <w:rPr>
                <w:rFonts w:cs="Arial"/>
                <w:color w:val="000000"/>
                <w:sz w:val="16"/>
                <w:szCs w:val="16"/>
              </w:rPr>
            </w:pPr>
            <w:r>
              <w:rPr>
                <w:rFonts w:cs="Arial"/>
                <w:sz w:val="16"/>
                <w:szCs w:val="16"/>
              </w:rPr>
              <w:t>57,3</w:t>
            </w:r>
          </w:p>
        </w:tc>
        <w:tc>
          <w:tcPr>
            <w:tcW w:w="595" w:type="dxa"/>
            <w:tcBorders>
              <w:top w:val="nil"/>
              <w:left w:val="nil"/>
              <w:bottom w:val="nil"/>
              <w:right w:val="nil"/>
            </w:tcBorders>
            <w:shd w:val="clear" w:color="auto" w:fill="auto"/>
            <w:noWrap/>
            <w:vAlign w:val="center"/>
            <w:hideMark/>
          </w:tcPr>
          <w:p w14:paraId="44674490" w14:textId="6C29CE89" w:rsidR="00DE09A0" w:rsidRPr="00D92E20" w:rsidRDefault="00DE09A0" w:rsidP="00DE09A0">
            <w:pPr>
              <w:spacing w:after="0" w:line="240" w:lineRule="auto"/>
              <w:jc w:val="center"/>
              <w:rPr>
                <w:rFonts w:cs="Arial"/>
                <w:color w:val="000000"/>
                <w:sz w:val="16"/>
                <w:szCs w:val="16"/>
              </w:rPr>
            </w:pPr>
            <w:r>
              <w:rPr>
                <w:rFonts w:cs="Arial"/>
                <w:sz w:val="16"/>
                <w:szCs w:val="16"/>
              </w:rPr>
              <w:t>59,2</w:t>
            </w:r>
          </w:p>
        </w:tc>
        <w:tc>
          <w:tcPr>
            <w:tcW w:w="595" w:type="dxa"/>
            <w:tcBorders>
              <w:top w:val="nil"/>
              <w:left w:val="nil"/>
              <w:bottom w:val="nil"/>
              <w:right w:val="nil"/>
            </w:tcBorders>
            <w:shd w:val="clear" w:color="auto" w:fill="auto"/>
            <w:noWrap/>
            <w:vAlign w:val="center"/>
            <w:hideMark/>
          </w:tcPr>
          <w:p w14:paraId="48BE1DBB" w14:textId="6A0B6561" w:rsidR="00DE09A0" w:rsidRPr="00D92E20" w:rsidRDefault="00DE09A0" w:rsidP="00DE09A0">
            <w:pPr>
              <w:spacing w:after="0" w:line="240" w:lineRule="auto"/>
              <w:jc w:val="center"/>
              <w:rPr>
                <w:rFonts w:cs="Arial"/>
                <w:color w:val="000000"/>
                <w:sz w:val="16"/>
                <w:szCs w:val="16"/>
              </w:rPr>
            </w:pPr>
            <w:r>
              <w:rPr>
                <w:rFonts w:cs="Arial"/>
                <w:sz w:val="16"/>
                <w:szCs w:val="16"/>
              </w:rPr>
              <w:t>52,9</w:t>
            </w:r>
          </w:p>
        </w:tc>
        <w:tc>
          <w:tcPr>
            <w:tcW w:w="595" w:type="dxa"/>
            <w:tcBorders>
              <w:top w:val="nil"/>
              <w:left w:val="nil"/>
              <w:bottom w:val="nil"/>
              <w:right w:val="nil"/>
            </w:tcBorders>
            <w:shd w:val="clear" w:color="auto" w:fill="auto"/>
            <w:noWrap/>
            <w:vAlign w:val="center"/>
            <w:hideMark/>
          </w:tcPr>
          <w:p w14:paraId="40876B78" w14:textId="10CA004E" w:rsidR="00DE09A0" w:rsidRPr="00D92E20" w:rsidRDefault="00DE09A0" w:rsidP="00DE09A0">
            <w:pPr>
              <w:spacing w:after="0" w:line="240" w:lineRule="auto"/>
              <w:jc w:val="center"/>
              <w:rPr>
                <w:rFonts w:cs="Arial"/>
                <w:color w:val="000000"/>
                <w:sz w:val="16"/>
                <w:szCs w:val="16"/>
              </w:rPr>
            </w:pPr>
            <w:r>
              <w:rPr>
                <w:rFonts w:cs="Arial"/>
                <w:color w:val="000000"/>
                <w:sz w:val="16"/>
                <w:szCs w:val="16"/>
              </w:rPr>
              <w:t>53,5</w:t>
            </w:r>
          </w:p>
        </w:tc>
        <w:tc>
          <w:tcPr>
            <w:tcW w:w="595" w:type="dxa"/>
            <w:tcBorders>
              <w:top w:val="nil"/>
              <w:left w:val="nil"/>
              <w:bottom w:val="nil"/>
              <w:right w:val="nil"/>
            </w:tcBorders>
            <w:shd w:val="clear" w:color="auto" w:fill="auto"/>
            <w:noWrap/>
            <w:vAlign w:val="center"/>
            <w:hideMark/>
          </w:tcPr>
          <w:p w14:paraId="2632C0F3" w14:textId="63DDC284" w:rsidR="00DE09A0" w:rsidRPr="00D92E20" w:rsidRDefault="00DE09A0" w:rsidP="00DE09A0">
            <w:pPr>
              <w:spacing w:after="0" w:line="240" w:lineRule="auto"/>
              <w:jc w:val="center"/>
              <w:rPr>
                <w:rFonts w:cs="Arial"/>
                <w:color w:val="000000"/>
                <w:sz w:val="16"/>
                <w:szCs w:val="16"/>
              </w:rPr>
            </w:pPr>
            <w:r>
              <w:rPr>
                <w:rFonts w:cs="Arial"/>
                <w:color w:val="000000"/>
                <w:sz w:val="16"/>
                <w:szCs w:val="16"/>
              </w:rPr>
              <w:t>53,3</w:t>
            </w:r>
          </w:p>
        </w:tc>
        <w:tc>
          <w:tcPr>
            <w:tcW w:w="595" w:type="dxa"/>
            <w:tcBorders>
              <w:top w:val="nil"/>
              <w:left w:val="nil"/>
              <w:bottom w:val="nil"/>
              <w:right w:val="nil"/>
            </w:tcBorders>
            <w:shd w:val="clear" w:color="auto" w:fill="auto"/>
            <w:noWrap/>
            <w:vAlign w:val="center"/>
            <w:hideMark/>
          </w:tcPr>
          <w:p w14:paraId="0420E267" w14:textId="2ED29A71" w:rsidR="00DE09A0" w:rsidRPr="00D92E20" w:rsidRDefault="00DE09A0" w:rsidP="00DE09A0">
            <w:pPr>
              <w:spacing w:after="0" w:line="240" w:lineRule="auto"/>
              <w:jc w:val="center"/>
              <w:rPr>
                <w:rFonts w:cs="Arial"/>
                <w:color w:val="000000"/>
                <w:sz w:val="16"/>
                <w:szCs w:val="16"/>
              </w:rPr>
            </w:pPr>
            <w:r>
              <w:rPr>
                <w:rFonts w:cs="Arial"/>
                <w:color w:val="000000"/>
                <w:sz w:val="16"/>
                <w:szCs w:val="16"/>
              </w:rPr>
              <w:t>51,3</w:t>
            </w:r>
          </w:p>
        </w:tc>
        <w:tc>
          <w:tcPr>
            <w:tcW w:w="595" w:type="dxa"/>
            <w:tcBorders>
              <w:top w:val="nil"/>
              <w:left w:val="nil"/>
              <w:bottom w:val="nil"/>
              <w:right w:val="nil"/>
            </w:tcBorders>
            <w:shd w:val="clear" w:color="auto" w:fill="auto"/>
            <w:noWrap/>
            <w:vAlign w:val="center"/>
            <w:hideMark/>
          </w:tcPr>
          <w:p w14:paraId="7C9A3EC3" w14:textId="0610EAC1" w:rsidR="00DE09A0" w:rsidRPr="00D92E20" w:rsidRDefault="00DE09A0" w:rsidP="00DE09A0">
            <w:pPr>
              <w:spacing w:after="0" w:line="240" w:lineRule="auto"/>
              <w:jc w:val="center"/>
              <w:rPr>
                <w:rFonts w:cs="Arial"/>
                <w:color w:val="000000"/>
                <w:sz w:val="16"/>
                <w:szCs w:val="16"/>
              </w:rPr>
            </w:pPr>
            <w:r>
              <w:rPr>
                <w:rFonts w:cs="Arial"/>
                <w:color w:val="000000"/>
                <w:sz w:val="16"/>
                <w:szCs w:val="16"/>
              </w:rPr>
              <w:t>54,6</w:t>
            </w:r>
          </w:p>
        </w:tc>
        <w:tc>
          <w:tcPr>
            <w:tcW w:w="595" w:type="dxa"/>
            <w:tcBorders>
              <w:top w:val="nil"/>
              <w:left w:val="nil"/>
              <w:bottom w:val="nil"/>
              <w:right w:val="nil"/>
            </w:tcBorders>
            <w:shd w:val="clear" w:color="auto" w:fill="auto"/>
            <w:noWrap/>
            <w:vAlign w:val="center"/>
            <w:hideMark/>
          </w:tcPr>
          <w:p w14:paraId="4466CBA1" w14:textId="7C2B17EE" w:rsidR="00DE09A0" w:rsidRPr="00D92E20" w:rsidRDefault="00DE09A0" w:rsidP="00DE09A0">
            <w:pPr>
              <w:spacing w:after="0" w:line="240" w:lineRule="auto"/>
              <w:jc w:val="center"/>
              <w:rPr>
                <w:rFonts w:cs="Arial"/>
                <w:color w:val="000000"/>
                <w:sz w:val="16"/>
                <w:szCs w:val="16"/>
              </w:rPr>
            </w:pPr>
            <w:r>
              <w:rPr>
                <w:rFonts w:cs="Arial"/>
                <w:color w:val="000000"/>
                <w:sz w:val="16"/>
                <w:szCs w:val="16"/>
              </w:rPr>
              <w:t>59,1</w:t>
            </w:r>
          </w:p>
        </w:tc>
        <w:tc>
          <w:tcPr>
            <w:tcW w:w="595" w:type="dxa"/>
            <w:tcBorders>
              <w:top w:val="nil"/>
              <w:left w:val="nil"/>
              <w:bottom w:val="nil"/>
              <w:right w:val="nil"/>
            </w:tcBorders>
            <w:shd w:val="clear" w:color="auto" w:fill="auto"/>
            <w:noWrap/>
            <w:vAlign w:val="center"/>
            <w:hideMark/>
          </w:tcPr>
          <w:p w14:paraId="369EC504" w14:textId="2BB4FE5F" w:rsidR="00DE09A0" w:rsidRPr="00D92E20" w:rsidRDefault="00DE09A0" w:rsidP="00DE09A0">
            <w:pPr>
              <w:spacing w:after="0" w:line="240" w:lineRule="auto"/>
              <w:jc w:val="center"/>
              <w:rPr>
                <w:rFonts w:cs="Arial"/>
                <w:color w:val="000000"/>
                <w:sz w:val="16"/>
                <w:szCs w:val="16"/>
              </w:rPr>
            </w:pPr>
            <w:r>
              <w:rPr>
                <w:rFonts w:cs="Arial"/>
                <w:color w:val="000000"/>
                <w:sz w:val="16"/>
                <w:szCs w:val="16"/>
              </w:rPr>
              <w:t>59,6</w:t>
            </w:r>
          </w:p>
        </w:tc>
        <w:tc>
          <w:tcPr>
            <w:tcW w:w="595" w:type="dxa"/>
            <w:tcBorders>
              <w:top w:val="nil"/>
              <w:left w:val="nil"/>
              <w:bottom w:val="nil"/>
              <w:right w:val="nil"/>
            </w:tcBorders>
            <w:shd w:val="clear" w:color="auto" w:fill="auto"/>
            <w:noWrap/>
            <w:vAlign w:val="center"/>
            <w:hideMark/>
          </w:tcPr>
          <w:p w14:paraId="03F90904" w14:textId="698974E0" w:rsidR="00DE09A0" w:rsidRPr="00D92E20" w:rsidRDefault="00DE09A0" w:rsidP="00DE09A0">
            <w:pPr>
              <w:spacing w:after="0" w:line="240" w:lineRule="auto"/>
              <w:jc w:val="center"/>
              <w:rPr>
                <w:rFonts w:cs="Arial"/>
                <w:color w:val="000000"/>
                <w:sz w:val="16"/>
                <w:szCs w:val="16"/>
              </w:rPr>
            </w:pPr>
            <w:r>
              <w:rPr>
                <w:rFonts w:cs="Arial"/>
                <w:color w:val="000000"/>
                <w:sz w:val="16"/>
                <w:szCs w:val="16"/>
              </w:rPr>
              <w:t>33,9</w:t>
            </w:r>
          </w:p>
        </w:tc>
      </w:tr>
      <w:tr w:rsidR="00DE09A0" w:rsidRPr="00D92E20" w14:paraId="56FE709F"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1ACD59E0"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J – Informační a komunikační činnosti</w:t>
            </w:r>
          </w:p>
        </w:tc>
        <w:tc>
          <w:tcPr>
            <w:tcW w:w="595" w:type="dxa"/>
            <w:tcBorders>
              <w:top w:val="nil"/>
              <w:left w:val="nil"/>
              <w:bottom w:val="nil"/>
              <w:right w:val="nil"/>
            </w:tcBorders>
            <w:shd w:val="clear" w:color="auto" w:fill="auto"/>
            <w:noWrap/>
            <w:vAlign w:val="center"/>
            <w:hideMark/>
          </w:tcPr>
          <w:p w14:paraId="52FDA5D7" w14:textId="48321FCA" w:rsidR="00DE09A0" w:rsidRPr="00D92E20" w:rsidRDefault="00DE09A0" w:rsidP="00DE09A0">
            <w:pPr>
              <w:spacing w:after="0" w:line="240" w:lineRule="auto"/>
              <w:jc w:val="center"/>
              <w:rPr>
                <w:rFonts w:cs="Arial"/>
                <w:color w:val="000000"/>
                <w:sz w:val="16"/>
                <w:szCs w:val="16"/>
              </w:rPr>
            </w:pPr>
            <w:r>
              <w:rPr>
                <w:rFonts w:cs="Arial"/>
                <w:sz w:val="16"/>
                <w:szCs w:val="16"/>
              </w:rPr>
              <w:t>29,3</w:t>
            </w:r>
          </w:p>
        </w:tc>
        <w:tc>
          <w:tcPr>
            <w:tcW w:w="595" w:type="dxa"/>
            <w:tcBorders>
              <w:top w:val="nil"/>
              <w:left w:val="nil"/>
              <w:bottom w:val="nil"/>
              <w:right w:val="nil"/>
            </w:tcBorders>
            <w:shd w:val="clear" w:color="auto" w:fill="auto"/>
            <w:noWrap/>
            <w:vAlign w:val="center"/>
            <w:hideMark/>
          </w:tcPr>
          <w:p w14:paraId="67CFFD2C" w14:textId="342EF881" w:rsidR="00DE09A0" w:rsidRPr="00D92E20" w:rsidRDefault="00DE09A0" w:rsidP="00DE09A0">
            <w:pPr>
              <w:spacing w:after="0" w:line="240" w:lineRule="auto"/>
              <w:jc w:val="center"/>
              <w:rPr>
                <w:rFonts w:cs="Arial"/>
                <w:color w:val="000000"/>
                <w:sz w:val="16"/>
                <w:szCs w:val="16"/>
              </w:rPr>
            </w:pPr>
            <w:r>
              <w:rPr>
                <w:rFonts w:cs="Arial"/>
                <w:sz w:val="16"/>
                <w:szCs w:val="16"/>
              </w:rPr>
              <w:t>25,7</w:t>
            </w:r>
          </w:p>
        </w:tc>
        <w:tc>
          <w:tcPr>
            <w:tcW w:w="595" w:type="dxa"/>
            <w:tcBorders>
              <w:top w:val="nil"/>
              <w:left w:val="nil"/>
              <w:bottom w:val="nil"/>
              <w:right w:val="nil"/>
            </w:tcBorders>
            <w:shd w:val="clear" w:color="auto" w:fill="auto"/>
            <w:noWrap/>
            <w:vAlign w:val="center"/>
            <w:hideMark/>
          </w:tcPr>
          <w:p w14:paraId="3130798C" w14:textId="6BA50D8D" w:rsidR="00DE09A0" w:rsidRPr="00D92E20" w:rsidRDefault="00DE09A0" w:rsidP="00DE09A0">
            <w:pPr>
              <w:spacing w:after="0" w:line="240" w:lineRule="auto"/>
              <w:jc w:val="center"/>
              <w:rPr>
                <w:rFonts w:cs="Arial"/>
                <w:color w:val="000000"/>
                <w:sz w:val="16"/>
                <w:szCs w:val="16"/>
              </w:rPr>
            </w:pPr>
            <w:r>
              <w:rPr>
                <w:rFonts w:cs="Arial"/>
                <w:sz w:val="16"/>
                <w:szCs w:val="16"/>
              </w:rPr>
              <w:t>27,8</w:t>
            </w:r>
          </w:p>
        </w:tc>
        <w:tc>
          <w:tcPr>
            <w:tcW w:w="595" w:type="dxa"/>
            <w:tcBorders>
              <w:top w:val="nil"/>
              <w:left w:val="nil"/>
              <w:bottom w:val="nil"/>
              <w:right w:val="nil"/>
            </w:tcBorders>
            <w:shd w:val="clear" w:color="auto" w:fill="auto"/>
            <w:noWrap/>
            <w:vAlign w:val="center"/>
            <w:hideMark/>
          </w:tcPr>
          <w:p w14:paraId="2BB3AD4D" w14:textId="164F1F51" w:rsidR="00DE09A0" w:rsidRPr="00D92E20" w:rsidRDefault="00DE09A0" w:rsidP="00DE09A0">
            <w:pPr>
              <w:spacing w:after="0" w:line="240" w:lineRule="auto"/>
              <w:jc w:val="center"/>
              <w:rPr>
                <w:rFonts w:cs="Arial"/>
                <w:color w:val="000000"/>
                <w:sz w:val="16"/>
                <w:szCs w:val="16"/>
              </w:rPr>
            </w:pPr>
            <w:r>
              <w:rPr>
                <w:rFonts w:cs="Arial"/>
                <w:sz w:val="16"/>
                <w:szCs w:val="16"/>
              </w:rPr>
              <w:t>25,8</w:t>
            </w:r>
          </w:p>
        </w:tc>
        <w:tc>
          <w:tcPr>
            <w:tcW w:w="595" w:type="dxa"/>
            <w:tcBorders>
              <w:top w:val="nil"/>
              <w:left w:val="nil"/>
              <w:bottom w:val="nil"/>
              <w:right w:val="nil"/>
            </w:tcBorders>
            <w:shd w:val="clear" w:color="auto" w:fill="auto"/>
            <w:noWrap/>
            <w:vAlign w:val="center"/>
            <w:hideMark/>
          </w:tcPr>
          <w:p w14:paraId="270C3AB7" w14:textId="30FBB01A" w:rsidR="00DE09A0" w:rsidRPr="00D92E20" w:rsidRDefault="00DE09A0" w:rsidP="00DE09A0">
            <w:pPr>
              <w:spacing w:after="0" w:line="240" w:lineRule="auto"/>
              <w:jc w:val="center"/>
              <w:rPr>
                <w:rFonts w:cs="Arial"/>
                <w:color w:val="000000"/>
                <w:sz w:val="16"/>
                <w:szCs w:val="16"/>
              </w:rPr>
            </w:pPr>
            <w:r>
              <w:rPr>
                <w:rFonts w:cs="Arial"/>
                <w:color w:val="000000"/>
                <w:sz w:val="16"/>
                <w:szCs w:val="16"/>
              </w:rPr>
              <w:t>25,7</w:t>
            </w:r>
          </w:p>
        </w:tc>
        <w:tc>
          <w:tcPr>
            <w:tcW w:w="595" w:type="dxa"/>
            <w:tcBorders>
              <w:top w:val="nil"/>
              <w:left w:val="nil"/>
              <w:bottom w:val="nil"/>
              <w:right w:val="nil"/>
            </w:tcBorders>
            <w:shd w:val="clear" w:color="auto" w:fill="auto"/>
            <w:noWrap/>
            <w:vAlign w:val="center"/>
            <w:hideMark/>
          </w:tcPr>
          <w:p w14:paraId="1B354CDC" w14:textId="007F32F1" w:rsidR="00DE09A0" w:rsidRPr="00D92E20" w:rsidRDefault="00DE09A0" w:rsidP="00DE09A0">
            <w:pPr>
              <w:spacing w:after="0" w:line="240" w:lineRule="auto"/>
              <w:jc w:val="center"/>
              <w:rPr>
                <w:rFonts w:cs="Arial"/>
                <w:color w:val="000000"/>
                <w:sz w:val="16"/>
                <w:szCs w:val="16"/>
              </w:rPr>
            </w:pPr>
            <w:r>
              <w:rPr>
                <w:rFonts w:cs="Arial"/>
                <w:color w:val="000000"/>
                <w:sz w:val="16"/>
                <w:szCs w:val="16"/>
              </w:rPr>
              <w:t>25,5</w:t>
            </w:r>
          </w:p>
        </w:tc>
        <w:tc>
          <w:tcPr>
            <w:tcW w:w="595" w:type="dxa"/>
            <w:tcBorders>
              <w:top w:val="nil"/>
              <w:left w:val="nil"/>
              <w:bottom w:val="nil"/>
              <w:right w:val="nil"/>
            </w:tcBorders>
            <w:shd w:val="clear" w:color="auto" w:fill="auto"/>
            <w:noWrap/>
            <w:vAlign w:val="center"/>
            <w:hideMark/>
          </w:tcPr>
          <w:p w14:paraId="66D2473F" w14:textId="52D7A164" w:rsidR="00DE09A0" w:rsidRPr="00D92E20" w:rsidRDefault="00DE09A0" w:rsidP="00DE09A0">
            <w:pPr>
              <w:spacing w:after="0" w:line="240" w:lineRule="auto"/>
              <w:jc w:val="center"/>
              <w:rPr>
                <w:rFonts w:cs="Arial"/>
                <w:color w:val="000000"/>
                <w:sz w:val="16"/>
                <w:szCs w:val="16"/>
              </w:rPr>
            </w:pPr>
            <w:r>
              <w:rPr>
                <w:rFonts w:cs="Arial"/>
                <w:color w:val="000000"/>
                <w:sz w:val="16"/>
                <w:szCs w:val="16"/>
              </w:rPr>
              <w:t>25,5</w:t>
            </w:r>
          </w:p>
        </w:tc>
        <w:tc>
          <w:tcPr>
            <w:tcW w:w="595" w:type="dxa"/>
            <w:tcBorders>
              <w:top w:val="nil"/>
              <w:left w:val="nil"/>
              <w:bottom w:val="nil"/>
              <w:right w:val="nil"/>
            </w:tcBorders>
            <w:shd w:val="clear" w:color="auto" w:fill="auto"/>
            <w:noWrap/>
            <w:vAlign w:val="center"/>
            <w:hideMark/>
          </w:tcPr>
          <w:p w14:paraId="2C0425FD" w14:textId="7261F74A" w:rsidR="00DE09A0" w:rsidRPr="00D92E20" w:rsidRDefault="00DE09A0" w:rsidP="00DE09A0">
            <w:pPr>
              <w:spacing w:after="0" w:line="240" w:lineRule="auto"/>
              <w:jc w:val="center"/>
              <w:rPr>
                <w:rFonts w:cs="Arial"/>
                <w:color w:val="000000"/>
                <w:sz w:val="16"/>
                <w:szCs w:val="16"/>
              </w:rPr>
            </w:pPr>
            <w:r>
              <w:rPr>
                <w:rFonts w:cs="Arial"/>
                <w:color w:val="000000"/>
                <w:sz w:val="16"/>
                <w:szCs w:val="16"/>
              </w:rPr>
              <w:t>26,4</w:t>
            </w:r>
          </w:p>
        </w:tc>
        <w:tc>
          <w:tcPr>
            <w:tcW w:w="595" w:type="dxa"/>
            <w:tcBorders>
              <w:top w:val="nil"/>
              <w:left w:val="nil"/>
              <w:bottom w:val="nil"/>
              <w:right w:val="nil"/>
            </w:tcBorders>
            <w:shd w:val="clear" w:color="auto" w:fill="auto"/>
            <w:noWrap/>
            <w:vAlign w:val="center"/>
            <w:hideMark/>
          </w:tcPr>
          <w:p w14:paraId="3632162E" w14:textId="6EF10539" w:rsidR="00DE09A0" w:rsidRPr="00D92E20" w:rsidRDefault="00DE09A0" w:rsidP="00DE09A0">
            <w:pPr>
              <w:spacing w:after="0" w:line="240" w:lineRule="auto"/>
              <w:jc w:val="center"/>
              <w:rPr>
                <w:rFonts w:cs="Arial"/>
                <w:color w:val="000000"/>
                <w:sz w:val="16"/>
                <w:szCs w:val="16"/>
              </w:rPr>
            </w:pPr>
            <w:r>
              <w:rPr>
                <w:rFonts w:cs="Arial"/>
                <w:color w:val="000000"/>
                <w:sz w:val="16"/>
                <w:szCs w:val="16"/>
              </w:rPr>
              <w:t>27,3</w:t>
            </w:r>
          </w:p>
        </w:tc>
        <w:tc>
          <w:tcPr>
            <w:tcW w:w="595" w:type="dxa"/>
            <w:tcBorders>
              <w:top w:val="nil"/>
              <w:left w:val="nil"/>
              <w:bottom w:val="nil"/>
              <w:right w:val="nil"/>
            </w:tcBorders>
            <w:shd w:val="clear" w:color="auto" w:fill="auto"/>
            <w:noWrap/>
            <w:vAlign w:val="center"/>
            <w:hideMark/>
          </w:tcPr>
          <w:p w14:paraId="3A89B030" w14:textId="697B81D6" w:rsidR="00DE09A0" w:rsidRPr="00D92E20" w:rsidRDefault="00DE09A0" w:rsidP="00DE09A0">
            <w:pPr>
              <w:spacing w:after="0" w:line="240" w:lineRule="auto"/>
              <w:jc w:val="center"/>
              <w:rPr>
                <w:rFonts w:cs="Arial"/>
                <w:color w:val="000000"/>
                <w:sz w:val="16"/>
                <w:szCs w:val="16"/>
              </w:rPr>
            </w:pPr>
            <w:r>
              <w:rPr>
                <w:rFonts w:cs="Arial"/>
                <w:color w:val="000000"/>
                <w:sz w:val="16"/>
                <w:szCs w:val="16"/>
              </w:rPr>
              <w:t>27,0</w:t>
            </w:r>
          </w:p>
        </w:tc>
        <w:tc>
          <w:tcPr>
            <w:tcW w:w="595" w:type="dxa"/>
            <w:tcBorders>
              <w:top w:val="nil"/>
              <w:left w:val="nil"/>
              <w:bottom w:val="nil"/>
              <w:right w:val="nil"/>
            </w:tcBorders>
            <w:shd w:val="clear" w:color="auto" w:fill="auto"/>
            <w:noWrap/>
            <w:vAlign w:val="center"/>
            <w:hideMark/>
          </w:tcPr>
          <w:p w14:paraId="4F38F43C" w14:textId="69ECAFDA" w:rsidR="00DE09A0" w:rsidRPr="00D92E20" w:rsidRDefault="00DE09A0" w:rsidP="00DE09A0">
            <w:pPr>
              <w:spacing w:after="0" w:line="240" w:lineRule="auto"/>
              <w:jc w:val="center"/>
              <w:rPr>
                <w:rFonts w:cs="Arial"/>
                <w:color w:val="000000"/>
                <w:sz w:val="16"/>
                <w:szCs w:val="16"/>
              </w:rPr>
            </w:pPr>
            <w:r>
              <w:rPr>
                <w:rFonts w:cs="Arial"/>
                <w:color w:val="000000"/>
                <w:sz w:val="16"/>
                <w:szCs w:val="16"/>
              </w:rPr>
              <w:t>16,9</w:t>
            </w:r>
          </w:p>
        </w:tc>
      </w:tr>
      <w:tr w:rsidR="00DE09A0" w:rsidRPr="00D92E20" w14:paraId="21486459"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7A3360E5"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K – Peněžnictví a pojišťovnictví</w:t>
            </w:r>
          </w:p>
        </w:tc>
        <w:tc>
          <w:tcPr>
            <w:tcW w:w="595" w:type="dxa"/>
            <w:tcBorders>
              <w:top w:val="nil"/>
              <w:left w:val="nil"/>
              <w:bottom w:val="nil"/>
              <w:right w:val="nil"/>
            </w:tcBorders>
            <w:shd w:val="clear" w:color="auto" w:fill="auto"/>
            <w:noWrap/>
            <w:vAlign w:val="center"/>
            <w:hideMark/>
          </w:tcPr>
          <w:p w14:paraId="201928EE" w14:textId="386E9FA3" w:rsidR="00DE09A0" w:rsidRPr="00D92E20" w:rsidRDefault="00DE09A0" w:rsidP="00DE09A0">
            <w:pPr>
              <w:spacing w:after="0" w:line="240" w:lineRule="auto"/>
              <w:jc w:val="center"/>
              <w:rPr>
                <w:rFonts w:cs="Arial"/>
                <w:color w:val="000000"/>
                <w:sz w:val="16"/>
                <w:szCs w:val="16"/>
              </w:rPr>
            </w:pPr>
            <w:r>
              <w:rPr>
                <w:rFonts w:cs="Arial"/>
                <w:sz w:val="16"/>
                <w:szCs w:val="16"/>
              </w:rPr>
              <w:t>35,9</w:t>
            </w:r>
          </w:p>
        </w:tc>
        <w:tc>
          <w:tcPr>
            <w:tcW w:w="595" w:type="dxa"/>
            <w:tcBorders>
              <w:top w:val="nil"/>
              <w:left w:val="nil"/>
              <w:bottom w:val="nil"/>
              <w:right w:val="nil"/>
            </w:tcBorders>
            <w:shd w:val="clear" w:color="auto" w:fill="auto"/>
            <w:noWrap/>
            <w:vAlign w:val="center"/>
            <w:hideMark/>
          </w:tcPr>
          <w:p w14:paraId="0043F022" w14:textId="19704322" w:rsidR="00DE09A0" w:rsidRPr="00D92E20" w:rsidRDefault="00DE09A0" w:rsidP="00DE09A0">
            <w:pPr>
              <w:spacing w:after="0" w:line="240" w:lineRule="auto"/>
              <w:jc w:val="center"/>
              <w:rPr>
                <w:rFonts w:cs="Arial"/>
                <w:color w:val="000000"/>
                <w:sz w:val="16"/>
                <w:szCs w:val="16"/>
              </w:rPr>
            </w:pPr>
            <w:r>
              <w:rPr>
                <w:rFonts w:cs="Arial"/>
                <w:sz w:val="16"/>
                <w:szCs w:val="16"/>
              </w:rPr>
              <w:t>30,1</w:t>
            </w:r>
          </w:p>
        </w:tc>
        <w:tc>
          <w:tcPr>
            <w:tcW w:w="595" w:type="dxa"/>
            <w:tcBorders>
              <w:top w:val="nil"/>
              <w:left w:val="nil"/>
              <w:bottom w:val="nil"/>
              <w:right w:val="nil"/>
            </w:tcBorders>
            <w:shd w:val="clear" w:color="auto" w:fill="auto"/>
            <w:noWrap/>
            <w:vAlign w:val="center"/>
            <w:hideMark/>
          </w:tcPr>
          <w:p w14:paraId="495FE845" w14:textId="6FAB2ACB" w:rsidR="00DE09A0" w:rsidRPr="00D92E20" w:rsidRDefault="00DE09A0" w:rsidP="00DE09A0">
            <w:pPr>
              <w:spacing w:after="0" w:line="240" w:lineRule="auto"/>
              <w:jc w:val="center"/>
              <w:rPr>
                <w:rFonts w:cs="Arial"/>
                <w:color w:val="000000"/>
                <w:sz w:val="16"/>
                <w:szCs w:val="16"/>
              </w:rPr>
            </w:pPr>
            <w:r>
              <w:rPr>
                <w:rFonts w:cs="Arial"/>
                <w:sz w:val="16"/>
                <w:szCs w:val="16"/>
              </w:rPr>
              <w:t>34,3</w:t>
            </w:r>
          </w:p>
        </w:tc>
        <w:tc>
          <w:tcPr>
            <w:tcW w:w="595" w:type="dxa"/>
            <w:tcBorders>
              <w:top w:val="nil"/>
              <w:left w:val="nil"/>
              <w:bottom w:val="nil"/>
              <w:right w:val="nil"/>
            </w:tcBorders>
            <w:shd w:val="clear" w:color="auto" w:fill="auto"/>
            <w:noWrap/>
            <w:vAlign w:val="center"/>
            <w:hideMark/>
          </w:tcPr>
          <w:p w14:paraId="7F5E8770" w14:textId="4A736C3B" w:rsidR="00DE09A0" w:rsidRPr="00D92E20" w:rsidRDefault="00DE09A0" w:rsidP="00DE09A0">
            <w:pPr>
              <w:spacing w:after="0" w:line="240" w:lineRule="auto"/>
              <w:jc w:val="center"/>
              <w:rPr>
                <w:rFonts w:cs="Arial"/>
                <w:color w:val="000000"/>
                <w:sz w:val="16"/>
                <w:szCs w:val="16"/>
              </w:rPr>
            </w:pPr>
            <w:r>
              <w:rPr>
                <w:rFonts w:cs="Arial"/>
                <w:sz w:val="16"/>
                <w:szCs w:val="16"/>
              </w:rPr>
              <w:t>31,6</w:t>
            </w:r>
          </w:p>
        </w:tc>
        <w:tc>
          <w:tcPr>
            <w:tcW w:w="595" w:type="dxa"/>
            <w:tcBorders>
              <w:top w:val="nil"/>
              <w:left w:val="nil"/>
              <w:bottom w:val="nil"/>
              <w:right w:val="nil"/>
            </w:tcBorders>
            <w:shd w:val="clear" w:color="auto" w:fill="auto"/>
            <w:noWrap/>
            <w:vAlign w:val="center"/>
            <w:hideMark/>
          </w:tcPr>
          <w:p w14:paraId="687EE33F" w14:textId="67C5DD2E" w:rsidR="00DE09A0" w:rsidRPr="00D92E20" w:rsidRDefault="00DE09A0" w:rsidP="00DE09A0">
            <w:pPr>
              <w:spacing w:after="0" w:line="240" w:lineRule="auto"/>
              <w:jc w:val="center"/>
              <w:rPr>
                <w:rFonts w:cs="Arial"/>
                <w:color w:val="000000"/>
                <w:sz w:val="16"/>
                <w:szCs w:val="16"/>
              </w:rPr>
            </w:pPr>
            <w:r>
              <w:rPr>
                <w:rFonts w:cs="Arial"/>
                <w:color w:val="000000"/>
                <w:sz w:val="16"/>
                <w:szCs w:val="16"/>
              </w:rPr>
              <w:t>32,8</w:t>
            </w:r>
          </w:p>
        </w:tc>
        <w:tc>
          <w:tcPr>
            <w:tcW w:w="595" w:type="dxa"/>
            <w:tcBorders>
              <w:top w:val="nil"/>
              <w:left w:val="nil"/>
              <w:bottom w:val="nil"/>
              <w:right w:val="nil"/>
            </w:tcBorders>
            <w:shd w:val="clear" w:color="auto" w:fill="auto"/>
            <w:noWrap/>
            <w:vAlign w:val="center"/>
            <w:hideMark/>
          </w:tcPr>
          <w:p w14:paraId="66E0E8FC" w14:textId="53E27CEA" w:rsidR="00DE09A0" w:rsidRPr="00D92E20" w:rsidRDefault="00DE09A0" w:rsidP="00DE09A0">
            <w:pPr>
              <w:spacing w:after="0" w:line="240" w:lineRule="auto"/>
              <w:jc w:val="center"/>
              <w:rPr>
                <w:rFonts w:cs="Arial"/>
                <w:color w:val="000000"/>
                <w:sz w:val="16"/>
                <w:szCs w:val="16"/>
              </w:rPr>
            </w:pPr>
            <w:r>
              <w:rPr>
                <w:rFonts w:cs="Arial"/>
                <w:color w:val="000000"/>
                <w:sz w:val="16"/>
                <w:szCs w:val="16"/>
              </w:rPr>
              <w:t>32,8</w:t>
            </w:r>
          </w:p>
        </w:tc>
        <w:tc>
          <w:tcPr>
            <w:tcW w:w="595" w:type="dxa"/>
            <w:tcBorders>
              <w:top w:val="nil"/>
              <w:left w:val="nil"/>
              <w:bottom w:val="nil"/>
              <w:right w:val="nil"/>
            </w:tcBorders>
            <w:shd w:val="clear" w:color="auto" w:fill="auto"/>
            <w:noWrap/>
            <w:vAlign w:val="center"/>
            <w:hideMark/>
          </w:tcPr>
          <w:p w14:paraId="5D570A79" w14:textId="321D6D10" w:rsidR="00DE09A0" w:rsidRPr="00D92E20" w:rsidRDefault="00DE09A0" w:rsidP="00DE09A0">
            <w:pPr>
              <w:spacing w:after="0" w:line="240" w:lineRule="auto"/>
              <w:jc w:val="center"/>
              <w:rPr>
                <w:rFonts w:cs="Arial"/>
                <w:color w:val="000000"/>
                <w:sz w:val="16"/>
                <w:szCs w:val="16"/>
              </w:rPr>
            </w:pPr>
            <w:r>
              <w:rPr>
                <w:rFonts w:cs="Arial"/>
                <w:color w:val="000000"/>
                <w:sz w:val="16"/>
                <w:szCs w:val="16"/>
              </w:rPr>
              <w:t>30,4</w:t>
            </w:r>
          </w:p>
        </w:tc>
        <w:tc>
          <w:tcPr>
            <w:tcW w:w="595" w:type="dxa"/>
            <w:tcBorders>
              <w:top w:val="nil"/>
              <w:left w:val="nil"/>
              <w:bottom w:val="nil"/>
              <w:right w:val="nil"/>
            </w:tcBorders>
            <w:shd w:val="clear" w:color="auto" w:fill="auto"/>
            <w:noWrap/>
            <w:vAlign w:val="center"/>
            <w:hideMark/>
          </w:tcPr>
          <w:p w14:paraId="6F39B89E" w14:textId="142823AF" w:rsidR="00DE09A0" w:rsidRPr="00D92E20" w:rsidRDefault="00DE09A0" w:rsidP="00DE09A0">
            <w:pPr>
              <w:spacing w:after="0" w:line="240" w:lineRule="auto"/>
              <w:jc w:val="center"/>
              <w:rPr>
                <w:rFonts w:cs="Arial"/>
                <w:color w:val="000000"/>
                <w:sz w:val="16"/>
                <w:szCs w:val="16"/>
              </w:rPr>
            </w:pPr>
            <w:r>
              <w:rPr>
                <w:rFonts w:cs="Arial"/>
                <w:color w:val="000000"/>
                <w:sz w:val="16"/>
                <w:szCs w:val="16"/>
              </w:rPr>
              <w:t>33,1</w:t>
            </w:r>
          </w:p>
        </w:tc>
        <w:tc>
          <w:tcPr>
            <w:tcW w:w="595" w:type="dxa"/>
            <w:tcBorders>
              <w:top w:val="nil"/>
              <w:left w:val="nil"/>
              <w:bottom w:val="nil"/>
              <w:right w:val="nil"/>
            </w:tcBorders>
            <w:shd w:val="clear" w:color="auto" w:fill="auto"/>
            <w:noWrap/>
            <w:vAlign w:val="center"/>
            <w:hideMark/>
          </w:tcPr>
          <w:p w14:paraId="146C7E7C" w14:textId="55618E5D" w:rsidR="00DE09A0" w:rsidRPr="00D92E20" w:rsidRDefault="00DE09A0" w:rsidP="00DE09A0">
            <w:pPr>
              <w:spacing w:after="0" w:line="240" w:lineRule="auto"/>
              <w:jc w:val="center"/>
              <w:rPr>
                <w:rFonts w:cs="Arial"/>
                <w:color w:val="000000"/>
                <w:sz w:val="16"/>
                <w:szCs w:val="16"/>
              </w:rPr>
            </w:pPr>
            <w:r>
              <w:rPr>
                <w:rFonts w:cs="Arial"/>
                <w:color w:val="000000"/>
                <w:sz w:val="16"/>
                <w:szCs w:val="16"/>
              </w:rPr>
              <w:t>34,8</w:t>
            </w:r>
          </w:p>
        </w:tc>
        <w:tc>
          <w:tcPr>
            <w:tcW w:w="595" w:type="dxa"/>
            <w:tcBorders>
              <w:top w:val="nil"/>
              <w:left w:val="nil"/>
              <w:bottom w:val="nil"/>
              <w:right w:val="nil"/>
            </w:tcBorders>
            <w:shd w:val="clear" w:color="auto" w:fill="auto"/>
            <w:noWrap/>
            <w:vAlign w:val="center"/>
            <w:hideMark/>
          </w:tcPr>
          <w:p w14:paraId="213D22E8" w14:textId="6F9469C0" w:rsidR="00DE09A0" w:rsidRPr="00D92E20" w:rsidRDefault="00DE09A0" w:rsidP="00DE09A0">
            <w:pPr>
              <w:spacing w:after="0" w:line="240" w:lineRule="auto"/>
              <w:jc w:val="center"/>
              <w:rPr>
                <w:rFonts w:cs="Arial"/>
                <w:color w:val="000000"/>
                <w:sz w:val="16"/>
                <w:szCs w:val="16"/>
              </w:rPr>
            </w:pPr>
            <w:r>
              <w:rPr>
                <w:rFonts w:cs="Arial"/>
                <w:color w:val="000000"/>
                <w:sz w:val="16"/>
                <w:szCs w:val="16"/>
              </w:rPr>
              <w:t>35,2</w:t>
            </w:r>
          </w:p>
        </w:tc>
        <w:tc>
          <w:tcPr>
            <w:tcW w:w="595" w:type="dxa"/>
            <w:tcBorders>
              <w:top w:val="nil"/>
              <w:left w:val="nil"/>
              <w:bottom w:val="nil"/>
              <w:right w:val="nil"/>
            </w:tcBorders>
            <w:shd w:val="clear" w:color="auto" w:fill="auto"/>
            <w:noWrap/>
            <w:vAlign w:val="center"/>
            <w:hideMark/>
          </w:tcPr>
          <w:p w14:paraId="4170D92D" w14:textId="2F7F51A2" w:rsidR="00DE09A0" w:rsidRPr="00D92E20" w:rsidRDefault="00DE09A0" w:rsidP="00DE09A0">
            <w:pPr>
              <w:spacing w:after="0" w:line="240" w:lineRule="auto"/>
              <w:jc w:val="center"/>
              <w:rPr>
                <w:rFonts w:cs="Arial"/>
                <w:color w:val="000000"/>
                <w:sz w:val="16"/>
                <w:szCs w:val="16"/>
              </w:rPr>
            </w:pPr>
            <w:r>
              <w:rPr>
                <w:rFonts w:cs="Arial"/>
                <w:color w:val="000000"/>
                <w:sz w:val="16"/>
                <w:szCs w:val="16"/>
              </w:rPr>
              <w:t>21,4</w:t>
            </w:r>
          </w:p>
        </w:tc>
      </w:tr>
      <w:tr w:rsidR="00DE09A0" w:rsidRPr="00D92E20" w14:paraId="4E426178"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713E6B5E"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L – Činnosti v oblasti nemovitostí</w:t>
            </w:r>
          </w:p>
        </w:tc>
        <w:tc>
          <w:tcPr>
            <w:tcW w:w="595" w:type="dxa"/>
            <w:tcBorders>
              <w:top w:val="nil"/>
              <w:left w:val="nil"/>
              <w:bottom w:val="nil"/>
              <w:right w:val="nil"/>
            </w:tcBorders>
            <w:shd w:val="clear" w:color="auto" w:fill="auto"/>
            <w:noWrap/>
            <w:vAlign w:val="center"/>
            <w:hideMark/>
          </w:tcPr>
          <w:p w14:paraId="02A9E878" w14:textId="33752D7B" w:rsidR="00DE09A0" w:rsidRPr="00D92E20" w:rsidRDefault="00DE09A0" w:rsidP="00DE09A0">
            <w:pPr>
              <w:spacing w:after="0" w:line="240" w:lineRule="auto"/>
              <w:jc w:val="center"/>
              <w:rPr>
                <w:rFonts w:cs="Arial"/>
                <w:color w:val="000000"/>
                <w:sz w:val="16"/>
                <w:szCs w:val="16"/>
              </w:rPr>
            </w:pPr>
            <w:r>
              <w:rPr>
                <w:rFonts w:cs="Arial"/>
                <w:sz w:val="16"/>
                <w:szCs w:val="16"/>
              </w:rPr>
              <w:t>57,0</w:t>
            </w:r>
          </w:p>
        </w:tc>
        <w:tc>
          <w:tcPr>
            <w:tcW w:w="595" w:type="dxa"/>
            <w:tcBorders>
              <w:top w:val="nil"/>
              <w:left w:val="nil"/>
              <w:bottom w:val="nil"/>
              <w:right w:val="nil"/>
            </w:tcBorders>
            <w:shd w:val="clear" w:color="auto" w:fill="auto"/>
            <w:noWrap/>
            <w:vAlign w:val="center"/>
            <w:hideMark/>
          </w:tcPr>
          <w:p w14:paraId="4B47E5B0" w14:textId="16E8BD89" w:rsidR="00DE09A0" w:rsidRPr="00D92E20" w:rsidRDefault="00DE09A0" w:rsidP="00DE09A0">
            <w:pPr>
              <w:spacing w:after="0" w:line="240" w:lineRule="auto"/>
              <w:jc w:val="center"/>
              <w:rPr>
                <w:rFonts w:cs="Arial"/>
                <w:color w:val="000000"/>
                <w:sz w:val="16"/>
                <w:szCs w:val="16"/>
              </w:rPr>
            </w:pPr>
            <w:r>
              <w:rPr>
                <w:rFonts w:cs="Arial"/>
                <w:sz w:val="16"/>
                <w:szCs w:val="16"/>
              </w:rPr>
              <w:t>52,1</w:t>
            </w:r>
          </w:p>
        </w:tc>
        <w:tc>
          <w:tcPr>
            <w:tcW w:w="595" w:type="dxa"/>
            <w:tcBorders>
              <w:top w:val="nil"/>
              <w:left w:val="nil"/>
              <w:bottom w:val="nil"/>
              <w:right w:val="nil"/>
            </w:tcBorders>
            <w:shd w:val="clear" w:color="auto" w:fill="auto"/>
            <w:noWrap/>
            <w:vAlign w:val="center"/>
            <w:hideMark/>
          </w:tcPr>
          <w:p w14:paraId="20435D38" w14:textId="39132C58" w:rsidR="00DE09A0" w:rsidRPr="00D92E20" w:rsidRDefault="00DE09A0" w:rsidP="00DE09A0">
            <w:pPr>
              <w:spacing w:after="0" w:line="240" w:lineRule="auto"/>
              <w:jc w:val="center"/>
              <w:rPr>
                <w:rFonts w:cs="Arial"/>
                <w:color w:val="000000"/>
                <w:sz w:val="16"/>
                <w:szCs w:val="16"/>
              </w:rPr>
            </w:pPr>
            <w:r>
              <w:rPr>
                <w:rFonts w:cs="Arial"/>
                <w:sz w:val="16"/>
                <w:szCs w:val="16"/>
              </w:rPr>
              <w:t>56,2</w:t>
            </w:r>
          </w:p>
        </w:tc>
        <w:tc>
          <w:tcPr>
            <w:tcW w:w="595" w:type="dxa"/>
            <w:tcBorders>
              <w:top w:val="nil"/>
              <w:left w:val="nil"/>
              <w:bottom w:val="nil"/>
              <w:right w:val="nil"/>
            </w:tcBorders>
            <w:shd w:val="clear" w:color="auto" w:fill="auto"/>
            <w:noWrap/>
            <w:vAlign w:val="center"/>
            <w:hideMark/>
          </w:tcPr>
          <w:p w14:paraId="535BF460" w14:textId="19A688B9" w:rsidR="00DE09A0" w:rsidRPr="00D92E20" w:rsidRDefault="00DE09A0" w:rsidP="00DE09A0">
            <w:pPr>
              <w:spacing w:after="0" w:line="240" w:lineRule="auto"/>
              <w:jc w:val="center"/>
              <w:rPr>
                <w:rFonts w:cs="Arial"/>
                <w:color w:val="000000"/>
                <w:sz w:val="16"/>
                <w:szCs w:val="16"/>
              </w:rPr>
            </w:pPr>
            <w:r>
              <w:rPr>
                <w:rFonts w:cs="Arial"/>
                <w:sz w:val="16"/>
                <w:szCs w:val="16"/>
              </w:rPr>
              <w:t>48,8</w:t>
            </w:r>
          </w:p>
        </w:tc>
        <w:tc>
          <w:tcPr>
            <w:tcW w:w="595" w:type="dxa"/>
            <w:tcBorders>
              <w:top w:val="nil"/>
              <w:left w:val="nil"/>
              <w:bottom w:val="nil"/>
              <w:right w:val="nil"/>
            </w:tcBorders>
            <w:shd w:val="clear" w:color="auto" w:fill="auto"/>
            <w:noWrap/>
            <w:vAlign w:val="center"/>
            <w:hideMark/>
          </w:tcPr>
          <w:p w14:paraId="09BAE836" w14:textId="08997D25" w:rsidR="00DE09A0" w:rsidRPr="00D92E20" w:rsidRDefault="00DE09A0" w:rsidP="00DE09A0">
            <w:pPr>
              <w:spacing w:after="0" w:line="240" w:lineRule="auto"/>
              <w:jc w:val="center"/>
              <w:rPr>
                <w:rFonts w:cs="Arial"/>
                <w:color w:val="000000"/>
                <w:sz w:val="16"/>
                <w:szCs w:val="16"/>
              </w:rPr>
            </w:pPr>
            <w:r>
              <w:rPr>
                <w:rFonts w:cs="Arial"/>
                <w:color w:val="000000"/>
                <w:sz w:val="16"/>
                <w:szCs w:val="16"/>
              </w:rPr>
              <w:t>50,7</w:t>
            </w:r>
          </w:p>
        </w:tc>
        <w:tc>
          <w:tcPr>
            <w:tcW w:w="595" w:type="dxa"/>
            <w:tcBorders>
              <w:top w:val="nil"/>
              <w:left w:val="nil"/>
              <w:bottom w:val="nil"/>
              <w:right w:val="nil"/>
            </w:tcBorders>
            <w:shd w:val="clear" w:color="auto" w:fill="auto"/>
            <w:noWrap/>
            <w:vAlign w:val="center"/>
            <w:hideMark/>
          </w:tcPr>
          <w:p w14:paraId="626B1138" w14:textId="7A85F767" w:rsidR="00DE09A0" w:rsidRPr="00D92E20" w:rsidRDefault="00DE09A0" w:rsidP="00DE09A0">
            <w:pPr>
              <w:spacing w:after="0" w:line="240" w:lineRule="auto"/>
              <w:jc w:val="center"/>
              <w:rPr>
                <w:rFonts w:cs="Arial"/>
                <w:color w:val="000000"/>
                <w:sz w:val="16"/>
                <w:szCs w:val="16"/>
              </w:rPr>
            </w:pPr>
            <w:r>
              <w:rPr>
                <w:rFonts w:cs="Arial"/>
                <w:color w:val="000000"/>
                <w:sz w:val="16"/>
                <w:szCs w:val="16"/>
              </w:rPr>
              <w:t>51,8</w:t>
            </w:r>
          </w:p>
        </w:tc>
        <w:tc>
          <w:tcPr>
            <w:tcW w:w="595" w:type="dxa"/>
            <w:tcBorders>
              <w:top w:val="nil"/>
              <w:left w:val="nil"/>
              <w:bottom w:val="nil"/>
              <w:right w:val="nil"/>
            </w:tcBorders>
            <w:shd w:val="clear" w:color="auto" w:fill="auto"/>
            <w:noWrap/>
            <w:vAlign w:val="center"/>
            <w:hideMark/>
          </w:tcPr>
          <w:p w14:paraId="408074A0" w14:textId="0F3AF5FF" w:rsidR="00DE09A0" w:rsidRPr="00D92E20" w:rsidRDefault="00DE09A0" w:rsidP="00DE09A0">
            <w:pPr>
              <w:spacing w:after="0" w:line="240" w:lineRule="auto"/>
              <w:jc w:val="center"/>
              <w:rPr>
                <w:rFonts w:cs="Arial"/>
                <w:color w:val="000000"/>
                <w:sz w:val="16"/>
                <w:szCs w:val="16"/>
              </w:rPr>
            </w:pPr>
            <w:r>
              <w:rPr>
                <w:rFonts w:cs="Arial"/>
                <w:color w:val="000000"/>
                <w:sz w:val="16"/>
                <w:szCs w:val="16"/>
              </w:rPr>
              <w:t>47,4</w:t>
            </w:r>
          </w:p>
        </w:tc>
        <w:tc>
          <w:tcPr>
            <w:tcW w:w="595" w:type="dxa"/>
            <w:tcBorders>
              <w:top w:val="nil"/>
              <w:left w:val="nil"/>
              <w:bottom w:val="nil"/>
              <w:right w:val="nil"/>
            </w:tcBorders>
            <w:shd w:val="clear" w:color="auto" w:fill="auto"/>
            <w:noWrap/>
            <w:vAlign w:val="center"/>
            <w:hideMark/>
          </w:tcPr>
          <w:p w14:paraId="1B06EB74" w14:textId="539FA763" w:rsidR="00DE09A0" w:rsidRPr="00D92E20" w:rsidRDefault="00DE09A0" w:rsidP="00DE09A0">
            <w:pPr>
              <w:spacing w:after="0" w:line="240" w:lineRule="auto"/>
              <w:jc w:val="center"/>
              <w:rPr>
                <w:rFonts w:cs="Arial"/>
                <w:color w:val="000000"/>
                <w:sz w:val="16"/>
                <w:szCs w:val="16"/>
              </w:rPr>
            </w:pPr>
            <w:r>
              <w:rPr>
                <w:rFonts w:cs="Arial"/>
                <w:color w:val="000000"/>
                <w:sz w:val="16"/>
                <w:szCs w:val="16"/>
              </w:rPr>
              <w:t>52,0</w:t>
            </w:r>
          </w:p>
        </w:tc>
        <w:tc>
          <w:tcPr>
            <w:tcW w:w="595" w:type="dxa"/>
            <w:tcBorders>
              <w:top w:val="nil"/>
              <w:left w:val="nil"/>
              <w:bottom w:val="nil"/>
              <w:right w:val="nil"/>
            </w:tcBorders>
            <w:shd w:val="clear" w:color="auto" w:fill="auto"/>
            <w:noWrap/>
            <w:vAlign w:val="center"/>
            <w:hideMark/>
          </w:tcPr>
          <w:p w14:paraId="738385FF" w14:textId="319CAE34" w:rsidR="00DE09A0" w:rsidRPr="00D92E20" w:rsidRDefault="00DE09A0" w:rsidP="00DE09A0">
            <w:pPr>
              <w:spacing w:after="0" w:line="240" w:lineRule="auto"/>
              <w:jc w:val="center"/>
              <w:rPr>
                <w:rFonts w:cs="Arial"/>
                <w:color w:val="000000"/>
                <w:sz w:val="16"/>
                <w:szCs w:val="16"/>
              </w:rPr>
            </w:pPr>
            <w:r>
              <w:rPr>
                <w:rFonts w:cs="Arial"/>
                <w:color w:val="000000"/>
                <w:sz w:val="16"/>
                <w:szCs w:val="16"/>
              </w:rPr>
              <w:t>50,8</w:t>
            </w:r>
          </w:p>
        </w:tc>
        <w:tc>
          <w:tcPr>
            <w:tcW w:w="595" w:type="dxa"/>
            <w:tcBorders>
              <w:top w:val="nil"/>
              <w:left w:val="nil"/>
              <w:bottom w:val="nil"/>
              <w:right w:val="nil"/>
            </w:tcBorders>
            <w:shd w:val="clear" w:color="auto" w:fill="auto"/>
            <w:noWrap/>
            <w:vAlign w:val="center"/>
            <w:hideMark/>
          </w:tcPr>
          <w:p w14:paraId="17B88512" w14:textId="75302174" w:rsidR="00DE09A0" w:rsidRPr="00D92E20" w:rsidRDefault="00DE09A0" w:rsidP="00DE09A0">
            <w:pPr>
              <w:spacing w:after="0" w:line="240" w:lineRule="auto"/>
              <w:jc w:val="center"/>
              <w:rPr>
                <w:rFonts w:cs="Arial"/>
                <w:color w:val="000000"/>
                <w:sz w:val="16"/>
                <w:szCs w:val="16"/>
              </w:rPr>
            </w:pPr>
            <w:r>
              <w:rPr>
                <w:rFonts w:cs="Arial"/>
                <w:color w:val="000000"/>
                <w:sz w:val="16"/>
                <w:szCs w:val="16"/>
              </w:rPr>
              <w:t>42,4</w:t>
            </w:r>
          </w:p>
        </w:tc>
        <w:tc>
          <w:tcPr>
            <w:tcW w:w="595" w:type="dxa"/>
            <w:tcBorders>
              <w:top w:val="nil"/>
              <w:left w:val="nil"/>
              <w:bottom w:val="nil"/>
              <w:right w:val="nil"/>
            </w:tcBorders>
            <w:shd w:val="clear" w:color="auto" w:fill="auto"/>
            <w:noWrap/>
            <w:vAlign w:val="center"/>
            <w:hideMark/>
          </w:tcPr>
          <w:p w14:paraId="1CD5B9B7" w14:textId="231B5607" w:rsidR="00DE09A0" w:rsidRPr="00D92E20" w:rsidRDefault="00DE09A0" w:rsidP="00DE09A0">
            <w:pPr>
              <w:spacing w:after="0" w:line="240" w:lineRule="auto"/>
              <w:jc w:val="center"/>
              <w:rPr>
                <w:rFonts w:cs="Arial"/>
                <w:color w:val="000000"/>
                <w:sz w:val="16"/>
                <w:szCs w:val="16"/>
              </w:rPr>
            </w:pPr>
            <w:r>
              <w:rPr>
                <w:rFonts w:cs="Arial"/>
                <w:color w:val="000000"/>
                <w:sz w:val="16"/>
                <w:szCs w:val="16"/>
              </w:rPr>
              <w:t>28,9</w:t>
            </w:r>
          </w:p>
        </w:tc>
      </w:tr>
      <w:tr w:rsidR="00DE09A0" w:rsidRPr="00D92E20" w14:paraId="09158BED"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7BC5D34C" w14:textId="77777777" w:rsidR="00DE09A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 xml:space="preserve">M – Profesní, vědecké a technické </w:t>
            </w:r>
            <w:r>
              <w:rPr>
                <w:rFonts w:cs="Arial"/>
                <w:color w:val="000000"/>
                <w:sz w:val="16"/>
                <w:szCs w:val="16"/>
              </w:rPr>
              <w:t xml:space="preserve"> </w:t>
            </w:r>
          </w:p>
          <w:p w14:paraId="63A21714" w14:textId="7C5FACDC" w:rsidR="00DE09A0" w:rsidRPr="00D92E20" w:rsidRDefault="00DE09A0" w:rsidP="00DE09A0">
            <w:pPr>
              <w:spacing w:after="0" w:line="240" w:lineRule="auto"/>
              <w:ind w:firstLineChars="100" w:firstLine="160"/>
              <w:rPr>
                <w:rFonts w:cs="Arial"/>
                <w:color w:val="000000"/>
                <w:sz w:val="16"/>
                <w:szCs w:val="16"/>
              </w:rPr>
            </w:pPr>
            <w:r>
              <w:rPr>
                <w:rFonts w:cs="Arial"/>
                <w:color w:val="000000"/>
                <w:sz w:val="16"/>
                <w:szCs w:val="16"/>
              </w:rPr>
              <w:t xml:space="preserve">       </w:t>
            </w:r>
            <w:r w:rsidRPr="00D92E20">
              <w:rPr>
                <w:rFonts w:cs="Arial"/>
                <w:color w:val="000000"/>
                <w:sz w:val="16"/>
                <w:szCs w:val="16"/>
              </w:rPr>
              <w:t>činnosti</w:t>
            </w:r>
          </w:p>
        </w:tc>
        <w:tc>
          <w:tcPr>
            <w:tcW w:w="595" w:type="dxa"/>
            <w:tcBorders>
              <w:top w:val="nil"/>
              <w:left w:val="nil"/>
              <w:bottom w:val="nil"/>
              <w:right w:val="nil"/>
            </w:tcBorders>
            <w:shd w:val="clear" w:color="auto" w:fill="auto"/>
            <w:noWrap/>
            <w:vAlign w:val="center"/>
            <w:hideMark/>
          </w:tcPr>
          <w:p w14:paraId="5C5C35FA" w14:textId="67633F3B" w:rsidR="00DE09A0" w:rsidRPr="00D92E20" w:rsidRDefault="00DE09A0" w:rsidP="00DE09A0">
            <w:pPr>
              <w:spacing w:after="0" w:line="240" w:lineRule="auto"/>
              <w:jc w:val="center"/>
              <w:rPr>
                <w:rFonts w:cs="Arial"/>
                <w:color w:val="000000"/>
                <w:sz w:val="16"/>
                <w:szCs w:val="16"/>
              </w:rPr>
            </w:pPr>
            <w:r>
              <w:rPr>
                <w:rFonts w:cs="Arial"/>
                <w:sz w:val="16"/>
                <w:szCs w:val="16"/>
              </w:rPr>
              <w:t>43,8</w:t>
            </w:r>
          </w:p>
        </w:tc>
        <w:tc>
          <w:tcPr>
            <w:tcW w:w="595" w:type="dxa"/>
            <w:tcBorders>
              <w:top w:val="nil"/>
              <w:left w:val="nil"/>
              <w:bottom w:val="nil"/>
              <w:right w:val="nil"/>
            </w:tcBorders>
            <w:shd w:val="clear" w:color="auto" w:fill="auto"/>
            <w:noWrap/>
            <w:vAlign w:val="center"/>
            <w:hideMark/>
          </w:tcPr>
          <w:p w14:paraId="588F9E3F" w14:textId="1F2C61E7" w:rsidR="00DE09A0" w:rsidRPr="00D92E20" w:rsidRDefault="00DE09A0" w:rsidP="00DE09A0">
            <w:pPr>
              <w:spacing w:after="0" w:line="240" w:lineRule="auto"/>
              <w:jc w:val="center"/>
              <w:rPr>
                <w:rFonts w:cs="Arial"/>
                <w:color w:val="000000"/>
                <w:sz w:val="16"/>
                <w:szCs w:val="16"/>
              </w:rPr>
            </w:pPr>
            <w:r>
              <w:rPr>
                <w:rFonts w:cs="Arial"/>
                <w:sz w:val="16"/>
                <w:szCs w:val="16"/>
              </w:rPr>
              <w:t>37,7</w:t>
            </w:r>
          </w:p>
        </w:tc>
        <w:tc>
          <w:tcPr>
            <w:tcW w:w="595" w:type="dxa"/>
            <w:tcBorders>
              <w:top w:val="nil"/>
              <w:left w:val="nil"/>
              <w:bottom w:val="nil"/>
              <w:right w:val="nil"/>
            </w:tcBorders>
            <w:shd w:val="clear" w:color="auto" w:fill="auto"/>
            <w:noWrap/>
            <w:vAlign w:val="center"/>
            <w:hideMark/>
          </w:tcPr>
          <w:p w14:paraId="18B6BC58" w14:textId="21CF7BF0" w:rsidR="00DE09A0" w:rsidRPr="00D92E20" w:rsidRDefault="00DE09A0" w:rsidP="00DE09A0">
            <w:pPr>
              <w:spacing w:after="0" w:line="240" w:lineRule="auto"/>
              <w:jc w:val="center"/>
              <w:rPr>
                <w:rFonts w:cs="Arial"/>
                <w:color w:val="000000"/>
                <w:sz w:val="16"/>
                <w:szCs w:val="16"/>
              </w:rPr>
            </w:pPr>
            <w:r>
              <w:rPr>
                <w:rFonts w:cs="Arial"/>
                <w:sz w:val="16"/>
                <w:szCs w:val="16"/>
              </w:rPr>
              <w:t>41,0</w:t>
            </w:r>
          </w:p>
        </w:tc>
        <w:tc>
          <w:tcPr>
            <w:tcW w:w="595" w:type="dxa"/>
            <w:tcBorders>
              <w:top w:val="nil"/>
              <w:left w:val="nil"/>
              <w:bottom w:val="nil"/>
              <w:right w:val="nil"/>
            </w:tcBorders>
            <w:shd w:val="clear" w:color="auto" w:fill="auto"/>
            <w:noWrap/>
            <w:vAlign w:val="center"/>
            <w:hideMark/>
          </w:tcPr>
          <w:p w14:paraId="35642D33" w14:textId="3636645E" w:rsidR="00DE09A0" w:rsidRPr="00D92E20" w:rsidRDefault="00DE09A0" w:rsidP="00DE09A0">
            <w:pPr>
              <w:spacing w:after="0" w:line="240" w:lineRule="auto"/>
              <w:jc w:val="center"/>
              <w:rPr>
                <w:rFonts w:cs="Arial"/>
                <w:color w:val="000000"/>
                <w:sz w:val="16"/>
                <w:szCs w:val="16"/>
              </w:rPr>
            </w:pPr>
            <w:r>
              <w:rPr>
                <w:rFonts w:cs="Arial"/>
                <w:sz w:val="16"/>
                <w:szCs w:val="16"/>
              </w:rPr>
              <w:t>36,0</w:t>
            </w:r>
          </w:p>
        </w:tc>
        <w:tc>
          <w:tcPr>
            <w:tcW w:w="595" w:type="dxa"/>
            <w:tcBorders>
              <w:top w:val="nil"/>
              <w:left w:val="nil"/>
              <w:bottom w:val="nil"/>
              <w:right w:val="nil"/>
            </w:tcBorders>
            <w:shd w:val="clear" w:color="auto" w:fill="auto"/>
            <w:noWrap/>
            <w:vAlign w:val="center"/>
            <w:hideMark/>
          </w:tcPr>
          <w:p w14:paraId="5F26BDF7" w14:textId="4623C7EC" w:rsidR="00DE09A0" w:rsidRPr="00D92E20" w:rsidRDefault="00DE09A0" w:rsidP="00DE09A0">
            <w:pPr>
              <w:spacing w:after="0" w:line="240" w:lineRule="auto"/>
              <w:jc w:val="center"/>
              <w:rPr>
                <w:rFonts w:cs="Arial"/>
                <w:color w:val="000000"/>
                <w:sz w:val="16"/>
                <w:szCs w:val="16"/>
              </w:rPr>
            </w:pPr>
            <w:r>
              <w:rPr>
                <w:rFonts w:cs="Arial"/>
                <w:color w:val="000000"/>
                <w:sz w:val="16"/>
                <w:szCs w:val="16"/>
              </w:rPr>
              <w:t>37,1</w:t>
            </w:r>
          </w:p>
        </w:tc>
        <w:tc>
          <w:tcPr>
            <w:tcW w:w="595" w:type="dxa"/>
            <w:tcBorders>
              <w:top w:val="nil"/>
              <w:left w:val="nil"/>
              <w:bottom w:val="nil"/>
              <w:right w:val="nil"/>
            </w:tcBorders>
            <w:shd w:val="clear" w:color="auto" w:fill="auto"/>
            <w:noWrap/>
            <w:vAlign w:val="center"/>
            <w:hideMark/>
          </w:tcPr>
          <w:p w14:paraId="6C528EA9" w14:textId="172C8617" w:rsidR="00DE09A0" w:rsidRPr="00D92E20" w:rsidRDefault="00DE09A0" w:rsidP="00DE09A0">
            <w:pPr>
              <w:spacing w:after="0" w:line="240" w:lineRule="auto"/>
              <w:jc w:val="center"/>
              <w:rPr>
                <w:rFonts w:cs="Arial"/>
                <w:color w:val="000000"/>
                <w:sz w:val="16"/>
                <w:szCs w:val="16"/>
              </w:rPr>
            </w:pPr>
            <w:r>
              <w:rPr>
                <w:rFonts w:cs="Arial"/>
                <w:color w:val="000000"/>
                <w:sz w:val="16"/>
                <w:szCs w:val="16"/>
              </w:rPr>
              <w:t>37,4</w:t>
            </w:r>
          </w:p>
        </w:tc>
        <w:tc>
          <w:tcPr>
            <w:tcW w:w="595" w:type="dxa"/>
            <w:tcBorders>
              <w:top w:val="nil"/>
              <w:left w:val="nil"/>
              <w:bottom w:val="nil"/>
              <w:right w:val="nil"/>
            </w:tcBorders>
            <w:shd w:val="clear" w:color="auto" w:fill="auto"/>
            <w:noWrap/>
            <w:vAlign w:val="center"/>
            <w:hideMark/>
          </w:tcPr>
          <w:p w14:paraId="3637D2BF" w14:textId="5F2692AA" w:rsidR="00DE09A0" w:rsidRPr="00D92E20" w:rsidRDefault="00DE09A0" w:rsidP="00DE09A0">
            <w:pPr>
              <w:spacing w:after="0" w:line="240" w:lineRule="auto"/>
              <w:jc w:val="center"/>
              <w:rPr>
                <w:rFonts w:cs="Arial"/>
                <w:color w:val="000000"/>
                <w:sz w:val="16"/>
                <w:szCs w:val="16"/>
              </w:rPr>
            </w:pPr>
            <w:r>
              <w:rPr>
                <w:rFonts w:cs="Arial"/>
                <w:color w:val="000000"/>
                <w:sz w:val="16"/>
                <w:szCs w:val="16"/>
              </w:rPr>
              <w:t>36,6</w:t>
            </w:r>
          </w:p>
        </w:tc>
        <w:tc>
          <w:tcPr>
            <w:tcW w:w="595" w:type="dxa"/>
            <w:tcBorders>
              <w:top w:val="nil"/>
              <w:left w:val="nil"/>
              <w:bottom w:val="nil"/>
              <w:right w:val="nil"/>
            </w:tcBorders>
            <w:shd w:val="clear" w:color="auto" w:fill="auto"/>
            <w:noWrap/>
            <w:vAlign w:val="center"/>
            <w:hideMark/>
          </w:tcPr>
          <w:p w14:paraId="169CABDA" w14:textId="462F5FD9"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40,1</w:t>
            </w:r>
          </w:p>
        </w:tc>
        <w:tc>
          <w:tcPr>
            <w:tcW w:w="595" w:type="dxa"/>
            <w:tcBorders>
              <w:top w:val="nil"/>
              <w:left w:val="nil"/>
              <w:bottom w:val="nil"/>
              <w:right w:val="nil"/>
            </w:tcBorders>
            <w:shd w:val="clear" w:color="auto" w:fill="auto"/>
            <w:noWrap/>
            <w:vAlign w:val="center"/>
            <w:hideMark/>
          </w:tcPr>
          <w:p w14:paraId="13798218" w14:textId="2BF2F4C5"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40,8</w:t>
            </w:r>
          </w:p>
        </w:tc>
        <w:tc>
          <w:tcPr>
            <w:tcW w:w="595" w:type="dxa"/>
            <w:tcBorders>
              <w:top w:val="nil"/>
              <w:left w:val="nil"/>
              <w:bottom w:val="nil"/>
              <w:right w:val="nil"/>
            </w:tcBorders>
            <w:shd w:val="clear" w:color="auto" w:fill="auto"/>
            <w:noWrap/>
            <w:vAlign w:val="center"/>
            <w:hideMark/>
          </w:tcPr>
          <w:p w14:paraId="37809987" w14:textId="2D94F492" w:rsidR="00DE09A0" w:rsidRPr="00D92E20" w:rsidRDefault="00DE09A0" w:rsidP="00DE09A0">
            <w:pPr>
              <w:spacing w:after="0" w:line="240" w:lineRule="auto"/>
              <w:jc w:val="center"/>
              <w:rPr>
                <w:rFonts w:cs="Arial"/>
                <w:color w:val="000000"/>
                <w:sz w:val="16"/>
                <w:szCs w:val="16"/>
              </w:rPr>
            </w:pPr>
            <w:r>
              <w:rPr>
                <w:rFonts w:cs="Arial"/>
                <w:color w:val="000000"/>
                <w:sz w:val="16"/>
                <w:szCs w:val="16"/>
              </w:rPr>
              <w:t>34,8</w:t>
            </w:r>
          </w:p>
        </w:tc>
        <w:tc>
          <w:tcPr>
            <w:tcW w:w="595" w:type="dxa"/>
            <w:tcBorders>
              <w:top w:val="nil"/>
              <w:left w:val="nil"/>
              <w:bottom w:val="nil"/>
              <w:right w:val="nil"/>
            </w:tcBorders>
            <w:shd w:val="clear" w:color="auto" w:fill="auto"/>
            <w:noWrap/>
            <w:vAlign w:val="center"/>
            <w:hideMark/>
          </w:tcPr>
          <w:p w14:paraId="5B8E9C78" w14:textId="68CDF9F5" w:rsidR="00DE09A0" w:rsidRPr="00D92E20" w:rsidRDefault="00DE09A0" w:rsidP="00DE09A0">
            <w:pPr>
              <w:spacing w:after="0" w:line="240" w:lineRule="auto"/>
              <w:jc w:val="center"/>
              <w:rPr>
                <w:rFonts w:cs="Arial"/>
                <w:color w:val="000000"/>
                <w:sz w:val="16"/>
                <w:szCs w:val="16"/>
              </w:rPr>
            </w:pPr>
            <w:r>
              <w:rPr>
                <w:rFonts w:cs="Arial"/>
                <w:color w:val="000000"/>
                <w:sz w:val="16"/>
                <w:szCs w:val="16"/>
              </w:rPr>
              <w:t>21,9</w:t>
            </w:r>
          </w:p>
        </w:tc>
      </w:tr>
      <w:tr w:rsidR="00DE09A0" w:rsidRPr="00D92E20" w14:paraId="4D8F2CAA"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1AA5BEE5" w14:textId="70D898D8"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N – Administrativní a podpůrné činnosti</w:t>
            </w:r>
          </w:p>
        </w:tc>
        <w:tc>
          <w:tcPr>
            <w:tcW w:w="595" w:type="dxa"/>
            <w:tcBorders>
              <w:top w:val="nil"/>
              <w:left w:val="nil"/>
              <w:bottom w:val="nil"/>
              <w:right w:val="nil"/>
            </w:tcBorders>
            <w:shd w:val="clear" w:color="auto" w:fill="auto"/>
            <w:noWrap/>
            <w:vAlign w:val="center"/>
            <w:hideMark/>
          </w:tcPr>
          <w:p w14:paraId="639908B8" w14:textId="7B01CB48" w:rsidR="00DE09A0" w:rsidRPr="00D92E20" w:rsidRDefault="00DE09A0" w:rsidP="00DE09A0">
            <w:pPr>
              <w:spacing w:after="0" w:line="240" w:lineRule="auto"/>
              <w:jc w:val="center"/>
              <w:rPr>
                <w:rFonts w:cs="Arial"/>
                <w:color w:val="000000"/>
                <w:sz w:val="16"/>
                <w:szCs w:val="16"/>
              </w:rPr>
            </w:pPr>
            <w:r>
              <w:rPr>
                <w:rFonts w:cs="Arial"/>
                <w:sz w:val="16"/>
                <w:szCs w:val="16"/>
              </w:rPr>
              <w:t>47,5</w:t>
            </w:r>
          </w:p>
        </w:tc>
        <w:tc>
          <w:tcPr>
            <w:tcW w:w="595" w:type="dxa"/>
            <w:tcBorders>
              <w:top w:val="nil"/>
              <w:left w:val="nil"/>
              <w:bottom w:val="nil"/>
              <w:right w:val="nil"/>
            </w:tcBorders>
            <w:shd w:val="clear" w:color="auto" w:fill="auto"/>
            <w:noWrap/>
            <w:vAlign w:val="center"/>
            <w:hideMark/>
          </w:tcPr>
          <w:p w14:paraId="00F05729" w14:textId="560E0B3C" w:rsidR="00DE09A0" w:rsidRPr="00D92E20" w:rsidRDefault="00DE09A0" w:rsidP="00DE09A0">
            <w:pPr>
              <w:spacing w:after="0" w:line="240" w:lineRule="auto"/>
              <w:jc w:val="center"/>
              <w:rPr>
                <w:rFonts w:cs="Arial"/>
                <w:color w:val="000000"/>
                <w:sz w:val="16"/>
                <w:szCs w:val="16"/>
              </w:rPr>
            </w:pPr>
            <w:r>
              <w:rPr>
                <w:rFonts w:cs="Arial"/>
                <w:sz w:val="16"/>
                <w:szCs w:val="16"/>
              </w:rPr>
              <w:t>42,5</w:t>
            </w:r>
          </w:p>
        </w:tc>
        <w:tc>
          <w:tcPr>
            <w:tcW w:w="595" w:type="dxa"/>
            <w:tcBorders>
              <w:top w:val="nil"/>
              <w:left w:val="nil"/>
              <w:bottom w:val="nil"/>
              <w:right w:val="nil"/>
            </w:tcBorders>
            <w:shd w:val="clear" w:color="auto" w:fill="auto"/>
            <w:noWrap/>
            <w:vAlign w:val="center"/>
            <w:hideMark/>
          </w:tcPr>
          <w:p w14:paraId="1F4C6AFB" w14:textId="56E9FCF1" w:rsidR="00DE09A0" w:rsidRPr="00D92E20" w:rsidRDefault="00DE09A0" w:rsidP="00DE09A0">
            <w:pPr>
              <w:spacing w:after="0" w:line="240" w:lineRule="auto"/>
              <w:jc w:val="center"/>
              <w:rPr>
                <w:rFonts w:cs="Arial"/>
                <w:color w:val="000000"/>
                <w:sz w:val="16"/>
                <w:szCs w:val="16"/>
              </w:rPr>
            </w:pPr>
            <w:r>
              <w:rPr>
                <w:rFonts w:cs="Arial"/>
                <w:sz w:val="16"/>
                <w:szCs w:val="16"/>
              </w:rPr>
              <w:t>42,3</w:t>
            </w:r>
          </w:p>
        </w:tc>
        <w:tc>
          <w:tcPr>
            <w:tcW w:w="595" w:type="dxa"/>
            <w:tcBorders>
              <w:top w:val="nil"/>
              <w:left w:val="nil"/>
              <w:bottom w:val="nil"/>
              <w:right w:val="nil"/>
            </w:tcBorders>
            <w:shd w:val="clear" w:color="auto" w:fill="auto"/>
            <w:noWrap/>
            <w:vAlign w:val="center"/>
            <w:hideMark/>
          </w:tcPr>
          <w:p w14:paraId="51B0E3AB" w14:textId="43F306BD" w:rsidR="00DE09A0" w:rsidRPr="00D92E20" w:rsidRDefault="00DE09A0" w:rsidP="00DE09A0">
            <w:pPr>
              <w:spacing w:after="0" w:line="240" w:lineRule="auto"/>
              <w:jc w:val="center"/>
              <w:rPr>
                <w:rFonts w:cs="Arial"/>
                <w:color w:val="000000"/>
                <w:sz w:val="16"/>
                <w:szCs w:val="16"/>
              </w:rPr>
            </w:pPr>
            <w:r>
              <w:rPr>
                <w:rFonts w:cs="Arial"/>
                <w:sz w:val="16"/>
                <w:szCs w:val="16"/>
              </w:rPr>
              <w:t>37,5</w:t>
            </w:r>
          </w:p>
        </w:tc>
        <w:tc>
          <w:tcPr>
            <w:tcW w:w="595" w:type="dxa"/>
            <w:tcBorders>
              <w:top w:val="nil"/>
              <w:left w:val="nil"/>
              <w:bottom w:val="nil"/>
              <w:right w:val="nil"/>
            </w:tcBorders>
            <w:shd w:val="clear" w:color="auto" w:fill="auto"/>
            <w:noWrap/>
            <w:vAlign w:val="center"/>
            <w:hideMark/>
          </w:tcPr>
          <w:p w14:paraId="0A1AFD37" w14:textId="54003C00" w:rsidR="00DE09A0" w:rsidRPr="00D92E20" w:rsidRDefault="00DE09A0" w:rsidP="00DE09A0">
            <w:pPr>
              <w:spacing w:after="0" w:line="240" w:lineRule="auto"/>
              <w:jc w:val="center"/>
              <w:rPr>
                <w:rFonts w:cs="Arial"/>
                <w:color w:val="000000"/>
                <w:sz w:val="16"/>
                <w:szCs w:val="16"/>
              </w:rPr>
            </w:pPr>
            <w:r>
              <w:rPr>
                <w:rFonts w:cs="Arial"/>
                <w:color w:val="000000"/>
                <w:sz w:val="16"/>
                <w:szCs w:val="16"/>
              </w:rPr>
              <w:t>38,5</w:t>
            </w:r>
          </w:p>
        </w:tc>
        <w:tc>
          <w:tcPr>
            <w:tcW w:w="595" w:type="dxa"/>
            <w:tcBorders>
              <w:top w:val="nil"/>
              <w:left w:val="nil"/>
              <w:bottom w:val="nil"/>
              <w:right w:val="nil"/>
            </w:tcBorders>
            <w:shd w:val="clear" w:color="auto" w:fill="auto"/>
            <w:noWrap/>
            <w:vAlign w:val="center"/>
            <w:hideMark/>
          </w:tcPr>
          <w:p w14:paraId="4870D9EE" w14:textId="3C6930B1" w:rsidR="00DE09A0" w:rsidRPr="00D92E20" w:rsidRDefault="00DE09A0" w:rsidP="00DE09A0">
            <w:pPr>
              <w:spacing w:after="0" w:line="240" w:lineRule="auto"/>
              <w:jc w:val="center"/>
              <w:rPr>
                <w:rFonts w:cs="Arial"/>
                <w:color w:val="000000"/>
                <w:sz w:val="16"/>
                <w:szCs w:val="16"/>
              </w:rPr>
            </w:pPr>
            <w:r>
              <w:rPr>
                <w:rFonts w:cs="Arial"/>
                <w:color w:val="000000"/>
                <w:sz w:val="16"/>
                <w:szCs w:val="16"/>
              </w:rPr>
              <w:t>38,1</w:t>
            </w:r>
          </w:p>
        </w:tc>
        <w:tc>
          <w:tcPr>
            <w:tcW w:w="595" w:type="dxa"/>
            <w:tcBorders>
              <w:top w:val="nil"/>
              <w:left w:val="nil"/>
              <w:bottom w:val="nil"/>
              <w:right w:val="nil"/>
            </w:tcBorders>
            <w:shd w:val="clear" w:color="auto" w:fill="auto"/>
            <w:noWrap/>
            <w:vAlign w:val="center"/>
            <w:hideMark/>
          </w:tcPr>
          <w:p w14:paraId="2C656D15" w14:textId="3567E09E" w:rsidR="00DE09A0" w:rsidRPr="00D92E20" w:rsidRDefault="00DE09A0" w:rsidP="00DE09A0">
            <w:pPr>
              <w:spacing w:after="0" w:line="240" w:lineRule="auto"/>
              <w:jc w:val="center"/>
              <w:rPr>
                <w:rFonts w:cs="Arial"/>
                <w:color w:val="000000"/>
                <w:sz w:val="16"/>
                <w:szCs w:val="16"/>
              </w:rPr>
            </w:pPr>
            <w:r>
              <w:rPr>
                <w:rFonts w:cs="Arial"/>
                <w:color w:val="000000"/>
                <w:sz w:val="16"/>
                <w:szCs w:val="16"/>
              </w:rPr>
              <w:t>39,0</w:t>
            </w:r>
          </w:p>
        </w:tc>
        <w:tc>
          <w:tcPr>
            <w:tcW w:w="595" w:type="dxa"/>
            <w:tcBorders>
              <w:top w:val="nil"/>
              <w:left w:val="nil"/>
              <w:bottom w:val="nil"/>
              <w:right w:val="nil"/>
            </w:tcBorders>
            <w:shd w:val="clear" w:color="auto" w:fill="auto"/>
            <w:noWrap/>
            <w:vAlign w:val="center"/>
            <w:hideMark/>
          </w:tcPr>
          <w:p w14:paraId="4A168E81" w14:textId="1F4BC3C1" w:rsidR="00DE09A0" w:rsidRPr="00D92E20" w:rsidRDefault="00DE09A0" w:rsidP="00DE09A0">
            <w:pPr>
              <w:spacing w:after="0" w:line="240" w:lineRule="auto"/>
              <w:jc w:val="center"/>
              <w:rPr>
                <w:rFonts w:cs="Arial"/>
                <w:color w:val="000000"/>
                <w:sz w:val="16"/>
                <w:szCs w:val="16"/>
              </w:rPr>
            </w:pPr>
            <w:r>
              <w:rPr>
                <w:rFonts w:cs="Arial"/>
                <w:color w:val="000000"/>
                <w:sz w:val="16"/>
                <w:szCs w:val="16"/>
              </w:rPr>
              <w:t>43,7</w:t>
            </w:r>
          </w:p>
        </w:tc>
        <w:tc>
          <w:tcPr>
            <w:tcW w:w="595" w:type="dxa"/>
            <w:tcBorders>
              <w:top w:val="nil"/>
              <w:left w:val="nil"/>
              <w:bottom w:val="nil"/>
              <w:right w:val="nil"/>
            </w:tcBorders>
            <w:shd w:val="clear" w:color="auto" w:fill="auto"/>
            <w:noWrap/>
            <w:vAlign w:val="center"/>
            <w:hideMark/>
          </w:tcPr>
          <w:p w14:paraId="5E65B677" w14:textId="2543D10C" w:rsidR="00DE09A0" w:rsidRPr="00D92E20" w:rsidRDefault="00DE09A0" w:rsidP="00DE09A0">
            <w:pPr>
              <w:spacing w:after="0" w:line="240" w:lineRule="auto"/>
              <w:jc w:val="center"/>
              <w:rPr>
                <w:rFonts w:cs="Arial"/>
                <w:color w:val="000000"/>
                <w:sz w:val="16"/>
                <w:szCs w:val="16"/>
              </w:rPr>
            </w:pPr>
            <w:r>
              <w:rPr>
                <w:rFonts w:cs="Arial"/>
                <w:color w:val="000000"/>
                <w:sz w:val="16"/>
                <w:szCs w:val="16"/>
              </w:rPr>
              <w:t>47,0</w:t>
            </w:r>
          </w:p>
        </w:tc>
        <w:tc>
          <w:tcPr>
            <w:tcW w:w="595" w:type="dxa"/>
            <w:tcBorders>
              <w:top w:val="nil"/>
              <w:left w:val="nil"/>
              <w:bottom w:val="nil"/>
              <w:right w:val="nil"/>
            </w:tcBorders>
            <w:shd w:val="clear" w:color="auto" w:fill="auto"/>
            <w:noWrap/>
            <w:vAlign w:val="center"/>
            <w:hideMark/>
          </w:tcPr>
          <w:p w14:paraId="7F15D7A1" w14:textId="5B3E43BD" w:rsidR="00DE09A0" w:rsidRPr="00D92E20" w:rsidRDefault="00DE09A0" w:rsidP="00DE09A0">
            <w:pPr>
              <w:spacing w:after="0" w:line="240" w:lineRule="auto"/>
              <w:jc w:val="center"/>
              <w:rPr>
                <w:rFonts w:cs="Arial"/>
                <w:color w:val="000000"/>
                <w:sz w:val="16"/>
                <w:szCs w:val="16"/>
              </w:rPr>
            </w:pPr>
            <w:r>
              <w:rPr>
                <w:rFonts w:cs="Arial"/>
                <w:color w:val="000000"/>
                <w:sz w:val="16"/>
                <w:szCs w:val="16"/>
              </w:rPr>
              <w:t>38,5</w:t>
            </w:r>
          </w:p>
        </w:tc>
        <w:tc>
          <w:tcPr>
            <w:tcW w:w="595" w:type="dxa"/>
            <w:tcBorders>
              <w:top w:val="nil"/>
              <w:left w:val="nil"/>
              <w:bottom w:val="nil"/>
              <w:right w:val="nil"/>
            </w:tcBorders>
            <w:shd w:val="clear" w:color="auto" w:fill="auto"/>
            <w:noWrap/>
            <w:vAlign w:val="center"/>
            <w:hideMark/>
          </w:tcPr>
          <w:p w14:paraId="03FE4AFB" w14:textId="2DF6972C" w:rsidR="00DE09A0" w:rsidRPr="00D92E20" w:rsidRDefault="00DE09A0" w:rsidP="00DE09A0">
            <w:pPr>
              <w:spacing w:after="0" w:line="240" w:lineRule="auto"/>
              <w:jc w:val="center"/>
              <w:rPr>
                <w:rFonts w:cs="Arial"/>
                <w:color w:val="000000"/>
                <w:sz w:val="16"/>
                <w:szCs w:val="16"/>
              </w:rPr>
            </w:pPr>
            <w:r>
              <w:rPr>
                <w:rFonts w:cs="Arial"/>
                <w:color w:val="000000"/>
                <w:sz w:val="16"/>
                <w:szCs w:val="16"/>
              </w:rPr>
              <w:t>31,2</w:t>
            </w:r>
          </w:p>
        </w:tc>
      </w:tr>
      <w:tr w:rsidR="00DE09A0" w:rsidRPr="00D92E20" w14:paraId="043B403E" w14:textId="77777777" w:rsidTr="00DC0DB3">
        <w:trPr>
          <w:trHeight w:val="480"/>
        </w:trPr>
        <w:tc>
          <w:tcPr>
            <w:tcW w:w="3175" w:type="dxa"/>
            <w:tcBorders>
              <w:top w:val="nil"/>
              <w:left w:val="nil"/>
              <w:bottom w:val="nil"/>
              <w:right w:val="single" w:sz="4" w:space="0" w:color="auto"/>
            </w:tcBorders>
            <w:shd w:val="clear" w:color="auto" w:fill="auto"/>
            <w:vAlign w:val="center"/>
            <w:hideMark/>
          </w:tcPr>
          <w:p w14:paraId="08B1596B"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 xml:space="preserve">O – Veřejná správa a obrana; </w:t>
            </w:r>
            <w:r w:rsidRPr="00D92E20">
              <w:rPr>
                <w:rFonts w:cs="Arial"/>
                <w:color w:val="000000"/>
                <w:sz w:val="16"/>
                <w:szCs w:val="16"/>
              </w:rPr>
              <w:br/>
              <w:t xml:space="preserve">           povinné sociální zabezpečení</w:t>
            </w:r>
          </w:p>
        </w:tc>
        <w:tc>
          <w:tcPr>
            <w:tcW w:w="595" w:type="dxa"/>
            <w:tcBorders>
              <w:top w:val="nil"/>
              <w:left w:val="nil"/>
              <w:bottom w:val="nil"/>
              <w:right w:val="nil"/>
            </w:tcBorders>
            <w:shd w:val="clear" w:color="auto" w:fill="auto"/>
            <w:noWrap/>
            <w:vAlign w:val="center"/>
            <w:hideMark/>
          </w:tcPr>
          <w:p w14:paraId="16C00151" w14:textId="210E8CD8" w:rsidR="00DE09A0" w:rsidRPr="00D92E20" w:rsidRDefault="00DE09A0" w:rsidP="00DE09A0">
            <w:pPr>
              <w:spacing w:after="0" w:line="240" w:lineRule="auto"/>
              <w:jc w:val="center"/>
              <w:rPr>
                <w:rFonts w:cs="Arial"/>
                <w:color w:val="000000"/>
                <w:sz w:val="16"/>
                <w:szCs w:val="16"/>
              </w:rPr>
            </w:pPr>
            <w:r>
              <w:rPr>
                <w:rFonts w:cs="Arial"/>
                <w:sz w:val="16"/>
                <w:szCs w:val="16"/>
              </w:rPr>
              <w:t>40,0</w:t>
            </w:r>
          </w:p>
        </w:tc>
        <w:tc>
          <w:tcPr>
            <w:tcW w:w="595" w:type="dxa"/>
            <w:tcBorders>
              <w:top w:val="nil"/>
              <w:left w:val="nil"/>
              <w:bottom w:val="nil"/>
              <w:right w:val="nil"/>
            </w:tcBorders>
            <w:shd w:val="clear" w:color="auto" w:fill="auto"/>
            <w:noWrap/>
            <w:vAlign w:val="center"/>
            <w:hideMark/>
          </w:tcPr>
          <w:p w14:paraId="5EFF30AE" w14:textId="534552E9" w:rsidR="00DE09A0" w:rsidRPr="00D92E20" w:rsidRDefault="00DE09A0" w:rsidP="00DE09A0">
            <w:pPr>
              <w:spacing w:after="0" w:line="240" w:lineRule="auto"/>
              <w:jc w:val="center"/>
              <w:rPr>
                <w:rFonts w:cs="Arial"/>
                <w:color w:val="000000"/>
                <w:sz w:val="16"/>
                <w:szCs w:val="16"/>
              </w:rPr>
            </w:pPr>
            <w:r>
              <w:rPr>
                <w:rFonts w:cs="Arial"/>
                <w:sz w:val="16"/>
                <w:szCs w:val="16"/>
              </w:rPr>
              <w:t>32,3</w:t>
            </w:r>
          </w:p>
        </w:tc>
        <w:tc>
          <w:tcPr>
            <w:tcW w:w="595" w:type="dxa"/>
            <w:tcBorders>
              <w:top w:val="nil"/>
              <w:left w:val="nil"/>
              <w:bottom w:val="nil"/>
              <w:right w:val="nil"/>
            </w:tcBorders>
            <w:shd w:val="clear" w:color="auto" w:fill="auto"/>
            <w:noWrap/>
            <w:vAlign w:val="center"/>
            <w:hideMark/>
          </w:tcPr>
          <w:p w14:paraId="7EFB5C26" w14:textId="4F88FCB8" w:rsidR="00DE09A0" w:rsidRPr="00D92E20" w:rsidRDefault="00DE09A0" w:rsidP="00DE09A0">
            <w:pPr>
              <w:spacing w:after="0" w:line="240" w:lineRule="auto"/>
              <w:jc w:val="center"/>
              <w:rPr>
                <w:rFonts w:cs="Arial"/>
                <w:color w:val="000000"/>
                <w:sz w:val="16"/>
                <w:szCs w:val="16"/>
              </w:rPr>
            </w:pPr>
            <w:r>
              <w:rPr>
                <w:rFonts w:cs="Arial"/>
                <w:sz w:val="16"/>
                <w:szCs w:val="16"/>
              </w:rPr>
              <w:t>37,9</w:t>
            </w:r>
          </w:p>
        </w:tc>
        <w:tc>
          <w:tcPr>
            <w:tcW w:w="595" w:type="dxa"/>
            <w:tcBorders>
              <w:top w:val="nil"/>
              <w:left w:val="nil"/>
              <w:bottom w:val="nil"/>
              <w:right w:val="nil"/>
            </w:tcBorders>
            <w:shd w:val="clear" w:color="auto" w:fill="auto"/>
            <w:noWrap/>
            <w:vAlign w:val="center"/>
            <w:hideMark/>
          </w:tcPr>
          <w:p w14:paraId="0C0B0EF3" w14:textId="1166E406" w:rsidR="00DE09A0" w:rsidRPr="00D92E20" w:rsidRDefault="00DE09A0" w:rsidP="00DE09A0">
            <w:pPr>
              <w:spacing w:after="0" w:line="240" w:lineRule="auto"/>
              <w:jc w:val="center"/>
              <w:rPr>
                <w:rFonts w:cs="Arial"/>
                <w:color w:val="000000"/>
                <w:sz w:val="16"/>
                <w:szCs w:val="16"/>
              </w:rPr>
            </w:pPr>
            <w:r>
              <w:rPr>
                <w:rFonts w:cs="Arial"/>
                <w:sz w:val="16"/>
                <w:szCs w:val="16"/>
              </w:rPr>
              <w:t>32,7</w:t>
            </w:r>
          </w:p>
        </w:tc>
        <w:tc>
          <w:tcPr>
            <w:tcW w:w="595" w:type="dxa"/>
            <w:tcBorders>
              <w:top w:val="nil"/>
              <w:left w:val="nil"/>
              <w:bottom w:val="nil"/>
              <w:right w:val="nil"/>
            </w:tcBorders>
            <w:shd w:val="clear" w:color="auto" w:fill="auto"/>
            <w:noWrap/>
            <w:vAlign w:val="center"/>
            <w:hideMark/>
          </w:tcPr>
          <w:p w14:paraId="1F493E8C" w14:textId="338CEDCD" w:rsidR="00DE09A0" w:rsidRPr="00D92E20" w:rsidRDefault="00DE09A0" w:rsidP="00DE09A0">
            <w:pPr>
              <w:spacing w:after="0" w:line="240" w:lineRule="auto"/>
              <w:jc w:val="center"/>
              <w:rPr>
                <w:rFonts w:cs="Arial"/>
                <w:color w:val="000000"/>
                <w:sz w:val="16"/>
                <w:szCs w:val="16"/>
              </w:rPr>
            </w:pPr>
            <w:r>
              <w:rPr>
                <w:rFonts w:cs="Arial"/>
                <w:color w:val="000000"/>
                <w:sz w:val="16"/>
                <w:szCs w:val="16"/>
              </w:rPr>
              <w:t>36,0</w:t>
            </w:r>
          </w:p>
        </w:tc>
        <w:tc>
          <w:tcPr>
            <w:tcW w:w="595" w:type="dxa"/>
            <w:tcBorders>
              <w:top w:val="nil"/>
              <w:left w:val="nil"/>
              <w:bottom w:val="nil"/>
              <w:right w:val="nil"/>
            </w:tcBorders>
            <w:shd w:val="clear" w:color="auto" w:fill="auto"/>
            <w:noWrap/>
            <w:vAlign w:val="center"/>
            <w:hideMark/>
          </w:tcPr>
          <w:p w14:paraId="57F13229" w14:textId="4A462194" w:rsidR="00DE09A0" w:rsidRPr="00D92E20" w:rsidRDefault="00DE09A0" w:rsidP="00DE09A0">
            <w:pPr>
              <w:spacing w:after="0" w:line="240" w:lineRule="auto"/>
              <w:jc w:val="center"/>
              <w:rPr>
                <w:rFonts w:cs="Arial"/>
                <w:color w:val="000000"/>
                <w:sz w:val="16"/>
                <w:szCs w:val="16"/>
              </w:rPr>
            </w:pPr>
            <w:r>
              <w:rPr>
                <w:rFonts w:cs="Arial"/>
                <w:color w:val="000000"/>
                <w:sz w:val="16"/>
                <w:szCs w:val="16"/>
              </w:rPr>
              <w:t>34,5</w:t>
            </w:r>
          </w:p>
        </w:tc>
        <w:tc>
          <w:tcPr>
            <w:tcW w:w="595" w:type="dxa"/>
            <w:tcBorders>
              <w:top w:val="nil"/>
              <w:left w:val="nil"/>
              <w:bottom w:val="nil"/>
              <w:right w:val="nil"/>
            </w:tcBorders>
            <w:shd w:val="clear" w:color="auto" w:fill="auto"/>
            <w:noWrap/>
            <w:vAlign w:val="center"/>
            <w:hideMark/>
          </w:tcPr>
          <w:p w14:paraId="5B1E3CAA" w14:textId="5FB38739" w:rsidR="00DE09A0" w:rsidRPr="00D92E20" w:rsidRDefault="00DE09A0" w:rsidP="00DE09A0">
            <w:pPr>
              <w:spacing w:after="0" w:line="240" w:lineRule="auto"/>
              <w:jc w:val="center"/>
              <w:rPr>
                <w:rFonts w:cs="Arial"/>
                <w:color w:val="000000"/>
                <w:sz w:val="16"/>
                <w:szCs w:val="16"/>
              </w:rPr>
            </w:pPr>
            <w:r>
              <w:rPr>
                <w:rFonts w:cs="Arial"/>
                <w:color w:val="000000"/>
                <w:sz w:val="16"/>
                <w:szCs w:val="16"/>
              </w:rPr>
              <w:t>32,2</w:t>
            </w:r>
          </w:p>
        </w:tc>
        <w:tc>
          <w:tcPr>
            <w:tcW w:w="595" w:type="dxa"/>
            <w:tcBorders>
              <w:top w:val="nil"/>
              <w:left w:val="nil"/>
              <w:bottom w:val="nil"/>
              <w:right w:val="nil"/>
            </w:tcBorders>
            <w:shd w:val="clear" w:color="auto" w:fill="auto"/>
            <w:noWrap/>
            <w:vAlign w:val="center"/>
            <w:hideMark/>
          </w:tcPr>
          <w:p w14:paraId="320A2392" w14:textId="066A9F05" w:rsidR="00DE09A0" w:rsidRPr="00D92E20" w:rsidRDefault="00DE09A0" w:rsidP="00DE09A0">
            <w:pPr>
              <w:spacing w:after="0" w:line="240" w:lineRule="auto"/>
              <w:jc w:val="center"/>
              <w:rPr>
                <w:rFonts w:cs="Arial"/>
                <w:color w:val="000000"/>
                <w:sz w:val="16"/>
                <w:szCs w:val="16"/>
              </w:rPr>
            </w:pPr>
            <w:r>
              <w:rPr>
                <w:rFonts w:cs="Arial"/>
                <w:color w:val="000000"/>
                <w:sz w:val="16"/>
                <w:szCs w:val="16"/>
              </w:rPr>
              <w:t>35,6</w:t>
            </w:r>
          </w:p>
        </w:tc>
        <w:tc>
          <w:tcPr>
            <w:tcW w:w="595" w:type="dxa"/>
            <w:tcBorders>
              <w:top w:val="nil"/>
              <w:left w:val="nil"/>
              <w:bottom w:val="nil"/>
              <w:right w:val="nil"/>
            </w:tcBorders>
            <w:shd w:val="clear" w:color="auto" w:fill="auto"/>
            <w:noWrap/>
            <w:vAlign w:val="center"/>
            <w:hideMark/>
          </w:tcPr>
          <w:p w14:paraId="4A035B66" w14:textId="4D9D0A25" w:rsidR="00DE09A0" w:rsidRPr="00D92E20" w:rsidRDefault="00DE09A0" w:rsidP="00DE09A0">
            <w:pPr>
              <w:spacing w:after="0" w:line="240" w:lineRule="auto"/>
              <w:jc w:val="center"/>
              <w:rPr>
                <w:rFonts w:cs="Arial"/>
                <w:color w:val="000000"/>
                <w:sz w:val="16"/>
                <w:szCs w:val="16"/>
              </w:rPr>
            </w:pPr>
            <w:r>
              <w:rPr>
                <w:rFonts w:cs="Arial"/>
                <w:color w:val="000000"/>
                <w:sz w:val="16"/>
                <w:szCs w:val="16"/>
              </w:rPr>
              <w:t>36,7</w:t>
            </w:r>
          </w:p>
        </w:tc>
        <w:tc>
          <w:tcPr>
            <w:tcW w:w="595" w:type="dxa"/>
            <w:tcBorders>
              <w:top w:val="nil"/>
              <w:left w:val="nil"/>
              <w:bottom w:val="nil"/>
              <w:right w:val="nil"/>
            </w:tcBorders>
            <w:shd w:val="clear" w:color="auto" w:fill="auto"/>
            <w:noWrap/>
            <w:vAlign w:val="center"/>
            <w:hideMark/>
          </w:tcPr>
          <w:p w14:paraId="7DD63D34" w14:textId="03FA153E" w:rsidR="00DE09A0" w:rsidRPr="00D92E20" w:rsidRDefault="00DE09A0" w:rsidP="00DE09A0">
            <w:pPr>
              <w:spacing w:after="0" w:line="240" w:lineRule="auto"/>
              <w:jc w:val="center"/>
              <w:rPr>
                <w:rFonts w:cs="Arial"/>
                <w:color w:val="000000"/>
                <w:sz w:val="16"/>
                <w:szCs w:val="16"/>
              </w:rPr>
            </w:pPr>
            <w:r>
              <w:rPr>
                <w:rFonts w:cs="Arial"/>
                <w:color w:val="000000"/>
                <w:sz w:val="16"/>
                <w:szCs w:val="16"/>
              </w:rPr>
              <w:t>30,4</w:t>
            </w:r>
          </w:p>
        </w:tc>
        <w:tc>
          <w:tcPr>
            <w:tcW w:w="595" w:type="dxa"/>
            <w:tcBorders>
              <w:top w:val="nil"/>
              <w:left w:val="nil"/>
              <w:bottom w:val="nil"/>
              <w:right w:val="nil"/>
            </w:tcBorders>
            <w:shd w:val="clear" w:color="auto" w:fill="auto"/>
            <w:noWrap/>
            <w:vAlign w:val="center"/>
            <w:hideMark/>
          </w:tcPr>
          <w:p w14:paraId="1EF6FC56" w14:textId="23C73B96" w:rsidR="00DE09A0" w:rsidRPr="00D92E20" w:rsidRDefault="00DE09A0" w:rsidP="00DE09A0">
            <w:pPr>
              <w:spacing w:after="0" w:line="240" w:lineRule="auto"/>
              <w:jc w:val="center"/>
              <w:rPr>
                <w:rFonts w:cs="Arial"/>
                <w:color w:val="000000"/>
                <w:sz w:val="16"/>
                <w:szCs w:val="16"/>
              </w:rPr>
            </w:pPr>
            <w:r>
              <w:rPr>
                <w:rFonts w:cs="Arial"/>
                <w:color w:val="000000"/>
                <w:sz w:val="16"/>
                <w:szCs w:val="16"/>
              </w:rPr>
              <w:t>19,6</w:t>
            </w:r>
          </w:p>
        </w:tc>
      </w:tr>
      <w:tr w:rsidR="00DE09A0" w:rsidRPr="00D92E20" w14:paraId="40DFD105"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701C4B8F"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P – Vzdělávání</w:t>
            </w:r>
          </w:p>
        </w:tc>
        <w:tc>
          <w:tcPr>
            <w:tcW w:w="595" w:type="dxa"/>
            <w:tcBorders>
              <w:top w:val="nil"/>
              <w:left w:val="nil"/>
              <w:bottom w:val="nil"/>
              <w:right w:val="nil"/>
            </w:tcBorders>
            <w:shd w:val="clear" w:color="auto" w:fill="auto"/>
            <w:noWrap/>
            <w:vAlign w:val="center"/>
            <w:hideMark/>
          </w:tcPr>
          <w:p w14:paraId="088BA044" w14:textId="637E1DEF" w:rsidR="00DE09A0" w:rsidRPr="00D92E20" w:rsidRDefault="00DE09A0" w:rsidP="00DE09A0">
            <w:pPr>
              <w:spacing w:after="0" w:line="240" w:lineRule="auto"/>
              <w:jc w:val="center"/>
              <w:rPr>
                <w:rFonts w:cs="Arial"/>
                <w:color w:val="000000"/>
                <w:sz w:val="16"/>
                <w:szCs w:val="16"/>
              </w:rPr>
            </w:pPr>
            <w:r>
              <w:rPr>
                <w:rFonts w:cs="Arial"/>
                <w:sz w:val="16"/>
                <w:szCs w:val="16"/>
              </w:rPr>
              <w:t>35,8</w:t>
            </w:r>
          </w:p>
        </w:tc>
        <w:tc>
          <w:tcPr>
            <w:tcW w:w="595" w:type="dxa"/>
            <w:tcBorders>
              <w:top w:val="nil"/>
              <w:left w:val="nil"/>
              <w:bottom w:val="nil"/>
              <w:right w:val="nil"/>
            </w:tcBorders>
            <w:shd w:val="clear" w:color="auto" w:fill="auto"/>
            <w:noWrap/>
            <w:vAlign w:val="center"/>
            <w:hideMark/>
          </w:tcPr>
          <w:p w14:paraId="6F901928" w14:textId="163ADBDB" w:rsidR="00DE09A0" w:rsidRPr="00D92E20" w:rsidRDefault="00DE09A0" w:rsidP="00DE09A0">
            <w:pPr>
              <w:spacing w:after="0" w:line="240" w:lineRule="auto"/>
              <w:jc w:val="center"/>
              <w:rPr>
                <w:rFonts w:cs="Arial"/>
                <w:color w:val="000000"/>
                <w:sz w:val="16"/>
                <w:szCs w:val="16"/>
              </w:rPr>
            </w:pPr>
            <w:r>
              <w:rPr>
                <w:rFonts w:cs="Arial"/>
                <w:sz w:val="16"/>
                <w:szCs w:val="16"/>
              </w:rPr>
              <w:t>30,9</w:t>
            </w:r>
          </w:p>
        </w:tc>
        <w:tc>
          <w:tcPr>
            <w:tcW w:w="595" w:type="dxa"/>
            <w:tcBorders>
              <w:top w:val="nil"/>
              <w:left w:val="nil"/>
              <w:bottom w:val="nil"/>
              <w:right w:val="nil"/>
            </w:tcBorders>
            <w:shd w:val="clear" w:color="auto" w:fill="auto"/>
            <w:noWrap/>
            <w:vAlign w:val="center"/>
            <w:hideMark/>
          </w:tcPr>
          <w:p w14:paraId="0622062D" w14:textId="0D00437E" w:rsidR="00DE09A0" w:rsidRPr="00D92E20" w:rsidRDefault="00DE09A0" w:rsidP="00DE09A0">
            <w:pPr>
              <w:spacing w:after="0" w:line="240" w:lineRule="auto"/>
              <w:jc w:val="center"/>
              <w:rPr>
                <w:rFonts w:cs="Arial"/>
                <w:color w:val="000000"/>
                <w:sz w:val="16"/>
                <w:szCs w:val="16"/>
              </w:rPr>
            </w:pPr>
            <w:r>
              <w:rPr>
                <w:rFonts w:cs="Arial"/>
                <w:sz w:val="16"/>
                <w:szCs w:val="16"/>
              </w:rPr>
              <w:t>35,0</w:t>
            </w:r>
          </w:p>
        </w:tc>
        <w:tc>
          <w:tcPr>
            <w:tcW w:w="595" w:type="dxa"/>
            <w:tcBorders>
              <w:top w:val="nil"/>
              <w:left w:val="nil"/>
              <w:bottom w:val="nil"/>
              <w:right w:val="nil"/>
            </w:tcBorders>
            <w:shd w:val="clear" w:color="auto" w:fill="auto"/>
            <w:noWrap/>
            <w:vAlign w:val="center"/>
            <w:hideMark/>
          </w:tcPr>
          <w:p w14:paraId="62539C86" w14:textId="08C3ABA7" w:rsidR="00DE09A0" w:rsidRPr="00D92E20" w:rsidRDefault="00DE09A0" w:rsidP="00DE09A0">
            <w:pPr>
              <w:spacing w:after="0" w:line="240" w:lineRule="auto"/>
              <w:jc w:val="center"/>
              <w:rPr>
                <w:rFonts w:cs="Arial"/>
                <w:color w:val="000000"/>
                <w:sz w:val="16"/>
                <w:szCs w:val="16"/>
              </w:rPr>
            </w:pPr>
            <w:r>
              <w:rPr>
                <w:rFonts w:cs="Arial"/>
                <w:sz w:val="16"/>
                <w:szCs w:val="16"/>
              </w:rPr>
              <w:t>28,7</w:t>
            </w:r>
          </w:p>
        </w:tc>
        <w:tc>
          <w:tcPr>
            <w:tcW w:w="595" w:type="dxa"/>
            <w:tcBorders>
              <w:top w:val="nil"/>
              <w:left w:val="nil"/>
              <w:bottom w:val="nil"/>
              <w:right w:val="nil"/>
            </w:tcBorders>
            <w:shd w:val="clear" w:color="auto" w:fill="auto"/>
            <w:noWrap/>
            <w:vAlign w:val="center"/>
            <w:hideMark/>
          </w:tcPr>
          <w:p w14:paraId="3CA8B904" w14:textId="7AD08E4E" w:rsidR="00DE09A0" w:rsidRPr="00D92E20" w:rsidRDefault="00DE09A0" w:rsidP="00DE09A0">
            <w:pPr>
              <w:spacing w:after="0" w:line="240" w:lineRule="auto"/>
              <w:jc w:val="center"/>
              <w:rPr>
                <w:rFonts w:cs="Arial"/>
                <w:color w:val="000000"/>
                <w:sz w:val="16"/>
                <w:szCs w:val="16"/>
              </w:rPr>
            </w:pPr>
            <w:r>
              <w:rPr>
                <w:rFonts w:cs="Arial"/>
                <w:color w:val="000000"/>
                <w:sz w:val="16"/>
                <w:szCs w:val="16"/>
              </w:rPr>
              <w:t>31,3</w:t>
            </w:r>
          </w:p>
        </w:tc>
        <w:tc>
          <w:tcPr>
            <w:tcW w:w="595" w:type="dxa"/>
            <w:tcBorders>
              <w:top w:val="nil"/>
              <w:left w:val="nil"/>
              <w:bottom w:val="nil"/>
              <w:right w:val="nil"/>
            </w:tcBorders>
            <w:shd w:val="clear" w:color="auto" w:fill="auto"/>
            <w:noWrap/>
            <w:vAlign w:val="center"/>
            <w:hideMark/>
          </w:tcPr>
          <w:p w14:paraId="2FCE9D5B" w14:textId="72651531" w:rsidR="00DE09A0" w:rsidRPr="00D92E20" w:rsidRDefault="00DE09A0" w:rsidP="00DE09A0">
            <w:pPr>
              <w:spacing w:after="0" w:line="240" w:lineRule="auto"/>
              <w:jc w:val="center"/>
              <w:rPr>
                <w:rFonts w:cs="Arial"/>
                <w:color w:val="000000"/>
                <w:sz w:val="16"/>
                <w:szCs w:val="16"/>
              </w:rPr>
            </w:pPr>
            <w:r>
              <w:rPr>
                <w:rFonts w:cs="Arial"/>
                <w:color w:val="000000"/>
                <w:sz w:val="16"/>
                <w:szCs w:val="16"/>
              </w:rPr>
              <w:t>29,8</w:t>
            </w:r>
          </w:p>
        </w:tc>
        <w:tc>
          <w:tcPr>
            <w:tcW w:w="595" w:type="dxa"/>
            <w:tcBorders>
              <w:top w:val="nil"/>
              <w:left w:val="nil"/>
              <w:bottom w:val="nil"/>
              <w:right w:val="nil"/>
            </w:tcBorders>
            <w:shd w:val="clear" w:color="auto" w:fill="auto"/>
            <w:noWrap/>
            <w:vAlign w:val="center"/>
            <w:hideMark/>
          </w:tcPr>
          <w:p w14:paraId="247769CD" w14:textId="125F98B3" w:rsidR="00DE09A0" w:rsidRPr="00D92E20" w:rsidRDefault="00DE09A0" w:rsidP="00DE09A0">
            <w:pPr>
              <w:spacing w:after="0" w:line="240" w:lineRule="auto"/>
              <w:jc w:val="center"/>
              <w:rPr>
                <w:rFonts w:cs="Arial"/>
                <w:color w:val="000000"/>
                <w:sz w:val="16"/>
                <w:szCs w:val="16"/>
              </w:rPr>
            </w:pPr>
            <w:r>
              <w:rPr>
                <w:rFonts w:cs="Arial"/>
                <w:color w:val="000000"/>
                <w:sz w:val="16"/>
                <w:szCs w:val="16"/>
              </w:rPr>
              <w:t>27,7</w:t>
            </w:r>
          </w:p>
        </w:tc>
        <w:tc>
          <w:tcPr>
            <w:tcW w:w="595" w:type="dxa"/>
            <w:tcBorders>
              <w:top w:val="nil"/>
              <w:left w:val="nil"/>
              <w:bottom w:val="nil"/>
              <w:right w:val="nil"/>
            </w:tcBorders>
            <w:shd w:val="clear" w:color="auto" w:fill="auto"/>
            <w:noWrap/>
            <w:vAlign w:val="center"/>
            <w:hideMark/>
          </w:tcPr>
          <w:p w14:paraId="1422AABA" w14:textId="3E24D25B" w:rsidR="00DE09A0" w:rsidRPr="00D92E20" w:rsidRDefault="00DE09A0" w:rsidP="00DE09A0">
            <w:pPr>
              <w:spacing w:after="0" w:line="240" w:lineRule="auto"/>
              <w:jc w:val="center"/>
              <w:rPr>
                <w:rFonts w:cs="Arial"/>
                <w:color w:val="000000"/>
                <w:sz w:val="16"/>
                <w:szCs w:val="16"/>
              </w:rPr>
            </w:pPr>
            <w:r>
              <w:rPr>
                <w:rFonts w:cs="Arial"/>
                <w:color w:val="000000"/>
                <w:sz w:val="16"/>
                <w:szCs w:val="16"/>
              </w:rPr>
              <w:t>30,4</w:t>
            </w:r>
          </w:p>
        </w:tc>
        <w:tc>
          <w:tcPr>
            <w:tcW w:w="595" w:type="dxa"/>
            <w:tcBorders>
              <w:top w:val="nil"/>
              <w:left w:val="nil"/>
              <w:bottom w:val="nil"/>
              <w:right w:val="nil"/>
            </w:tcBorders>
            <w:shd w:val="clear" w:color="auto" w:fill="auto"/>
            <w:noWrap/>
            <w:vAlign w:val="center"/>
            <w:hideMark/>
          </w:tcPr>
          <w:p w14:paraId="10FC5F77" w14:textId="092682DF" w:rsidR="00DE09A0" w:rsidRPr="00D92E20" w:rsidRDefault="00DE09A0" w:rsidP="00DE09A0">
            <w:pPr>
              <w:spacing w:after="0" w:line="240" w:lineRule="auto"/>
              <w:jc w:val="center"/>
              <w:rPr>
                <w:rFonts w:cs="Arial"/>
                <w:color w:val="000000"/>
                <w:sz w:val="16"/>
                <w:szCs w:val="16"/>
              </w:rPr>
            </w:pPr>
            <w:r>
              <w:rPr>
                <w:rFonts w:cs="Arial"/>
                <w:color w:val="000000"/>
                <w:sz w:val="16"/>
                <w:szCs w:val="16"/>
              </w:rPr>
              <w:t>33,3</w:t>
            </w:r>
          </w:p>
        </w:tc>
        <w:tc>
          <w:tcPr>
            <w:tcW w:w="595" w:type="dxa"/>
            <w:tcBorders>
              <w:top w:val="nil"/>
              <w:left w:val="nil"/>
              <w:bottom w:val="nil"/>
              <w:right w:val="nil"/>
            </w:tcBorders>
            <w:shd w:val="clear" w:color="auto" w:fill="auto"/>
            <w:noWrap/>
            <w:vAlign w:val="center"/>
            <w:hideMark/>
          </w:tcPr>
          <w:p w14:paraId="3CE70D0E" w14:textId="6C909BD7" w:rsidR="00DE09A0" w:rsidRPr="00D92E20" w:rsidRDefault="00DE09A0" w:rsidP="00DE09A0">
            <w:pPr>
              <w:spacing w:after="0" w:line="240" w:lineRule="auto"/>
              <w:jc w:val="center"/>
              <w:rPr>
                <w:rFonts w:cs="Arial"/>
                <w:color w:val="000000"/>
                <w:sz w:val="16"/>
                <w:szCs w:val="16"/>
              </w:rPr>
            </w:pPr>
            <w:r>
              <w:rPr>
                <w:rFonts w:cs="Arial"/>
                <w:color w:val="000000"/>
                <w:sz w:val="16"/>
                <w:szCs w:val="16"/>
              </w:rPr>
              <w:t>28,3</w:t>
            </w:r>
          </w:p>
        </w:tc>
        <w:tc>
          <w:tcPr>
            <w:tcW w:w="595" w:type="dxa"/>
            <w:tcBorders>
              <w:top w:val="nil"/>
              <w:left w:val="nil"/>
              <w:bottom w:val="nil"/>
              <w:right w:val="nil"/>
            </w:tcBorders>
            <w:shd w:val="clear" w:color="auto" w:fill="auto"/>
            <w:noWrap/>
            <w:vAlign w:val="center"/>
            <w:hideMark/>
          </w:tcPr>
          <w:p w14:paraId="06ECAE1A" w14:textId="55337A6E" w:rsidR="00DE09A0" w:rsidRPr="00D92E20" w:rsidRDefault="00DE09A0" w:rsidP="00DE09A0">
            <w:pPr>
              <w:spacing w:after="0" w:line="240" w:lineRule="auto"/>
              <w:jc w:val="center"/>
              <w:rPr>
                <w:rFonts w:cs="Arial"/>
                <w:color w:val="000000"/>
                <w:sz w:val="16"/>
                <w:szCs w:val="16"/>
              </w:rPr>
            </w:pPr>
            <w:r>
              <w:rPr>
                <w:rFonts w:cs="Arial"/>
                <w:color w:val="000000"/>
                <w:sz w:val="16"/>
                <w:szCs w:val="16"/>
              </w:rPr>
              <w:t>15,6</w:t>
            </w:r>
          </w:p>
        </w:tc>
      </w:tr>
      <w:tr w:rsidR="00DE09A0" w:rsidRPr="00D92E20" w14:paraId="4E6588C6"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656281C8"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Q – Zdravotní a sociální péče</w:t>
            </w:r>
          </w:p>
        </w:tc>
        <w:tc>
          <w:tcPr>
            <w:tcW w:w="595" w:type="dxa"/>
            <w:tcBorders>
              <w:top w:val="nil"/>
              <w:left w:val="nil"/>
              <w:bottom w:val="nil"/>
              <w:right w:val="nil"/>
            </w:tcBorders>
            <w:shd w:val="clear" w:color="auto" w:fill="auto"/>
            <w:noWrap/>
            <w:vAlign w:val="center"/>
            <w:hideMark/>
          </w:tcPr>
          <w:p w14:paraId="0F19D51D" w14:textId="3BC32E17" w:rsidR="00DE09A0" w:rsidRPr="00D92E20" w:rsidRDefault="00DE09A0" w:rsidP="00DE09A0">
            <w:pPr>
              <w:spacing w:after="0" w:line="240" w:lineRule="auto"/>
              <w:jc w:val="center"/>
              <w:rPr>
                <w:rFonts w:cs="Arial"/>
                <w:color w:val="000000"/>
                <w:sz w:val="16"/>
                <w:szCs w:val="16"/>
              </w:rPr>
            </w:pPr>
            <w:r>
              <w:rPr>
                <w:rFonts w:cs="Arial"/>
                <w:sz w:val="16"/>
                <w:szCs w:val="16"/>
              </w:rPr>
              <w:t>51,9</w:t>
            </w:r>
          </w:p>
        </w:tc>
        <w:tc>
          <w:tcPr>
            <w:tcW w:w="595" w:type="dxa"/>
            <w:tcBorders>
              <w:top w:val="nil"/>
              <w:left w:val="nil"/>
              <w:bottom w:val="nil"/>
              <w:right w:val="nil"/>
            </w:tcBorders>
            <w:shd w:val="clear" w:color="auto" w:fill="auto"/>
            <w:noWrap/>
            <w:vAlign w:val="center"/>
            <w:hideMark/>
          </w:tcPr>
          <w:p w14:paraId="6D116BE2" w14:textId="2ED3F3FF" w:rsidR="00DE09A0" w:rsidRPr="00D92E20" w:rsidRDefault="00DE09A0" w:rsidP="00DE09A0">
            <w:pPr>
              <w:spacing w:after="0" w:line="240" w:lineRule="auto"/>
              <w:jc w:val="center"/>
              <w:rPr>
                <w:rFonts w:cs="Arial"/>
                <w:color w:val="000000"/>
                <w:sz w:val="16"/>
                <w:szCs w:val="16"/>
              </w:rPr>
            </w:pPr>
            <w:r>
              <w:rPr>
                <w:rFonts w:cs="Arial"/>
                <w:sz w:val="16"/>
                <w:szCs w:val="16"/>
              </w:rPr>
              <w:t>45,1</w:t>
            </w:r>
          </w:p>
        </w:tc>
        <w:tc>
          <w:tcPr>
            <w:tcW w:w="595" w:type="dxa"/>
            <w:tcBorders>
              <w:top w:val="nil"/>
              <w:left w:val="nil"/>
              <w:bottom w:val="nil"/>
              <w:right w:val="nil"/>
            </w:tcBorders>
            <w:shd w:val="clear" w:color="auto" w:fill="auto"/>
            <w:noWrap/>
            <w:vAlign w:val="center"/>
            <w:hideMark/>
          </w:tcPr>
          <w:p w14:paraId="5064BFB3" w14:textId="1CE8347A" w:rsidR="00DE09A0" w:rsidRPr="00D92E20" w:rsidRDefault="00DE09A0" w:rsidP="00DE09A0">
            <w:pPr>
              <w:spacing w:after="0" w:line="240" w:lineRule="auto"/>
              <w:jc w:val="center"/>
              <w:rPr>
                <w:rFonts w:cs="Arial"/>
                <w:color w:val="000000"/>
                <w:sz w:val="16"/>
                <w:szCs w:val="16"/>
              </w:rPr>
            </w:pPr>
            <w:r>
              <w:rPr>
                <w:rFonts w:cs="Arial"/>
                <w:sz w:val="16"/>
                <w:szCs w:val="16"/>
              </w:rPr>
              <w:t>50,9</w:t>
            </w:r>
          </w:p>
        </w:tc>
        <w:tc>
          <w:tcPr>
            <w:tcW w:w="595" w:type="dxa"/>
            <w:tcBorders>
              <w:top w:val="nil"/>
              <w:left w:val="nil"/>
              <w:bottom w:val="nil"/>
              <w:right w:val="nil"/>
            </w:tcBorders>
            <w:shd w:val="clear" w:color="auto" w:fill="auto"/>
            <w:noWrap/>
            <w:vAlign w:val="center"/>
            <w:hideMark/>
          </w:tcPr>
          <w:p w14:paraId="441B26F2" w14:textId="7E9981CA" w:rsidR="00DE09A0" w:rsidRPr="00D92E20" w:rsidRDefault="00DE09A0" w:rsidP="00DE09A0">
            <w:pPr>
              <w:spacing w:after="0" w:line="240" w:lineRule="auto"/>
              <w:jc w:val="center"/>
              <w:rPr>
                <w:rFonts w:cs="Arial"/>
                <w:color w:val="000000"/>
                <w:sz w:val="16"/>
                <w:szCs w:val="16"/>
              </w:rPr>
            </w:pPr>
            <w:r>
              <w:rPr>
                <w:rFonts w:cs="Arial"/>
                <w:sz w:val="16"/>
                <w:szCs w:val="16"/>
              </w:rPr>
              <w:t>44,5</w:t>
            </w:r>
          </w:p>
        </w:tc>
        <w:tc>
          <w:tcPr>
            <w:tcW w:w="595" w:type="dxa"/>
            <w:tcBorders>
              <w:top w:val="nil"/>
              <w:left w:val="nil"/>
              <w:bottom w:val="nil"/>
              <w:right w:val="nil"/>
            </w:tcBorders>
            <w:shd w:val="clear" w:color="auto" w:fill="auto"/>
            <w:noWrap/>
            <w:vAlign w:val="center"/>
            <w:hideMark/>
          </w:tcPr>
          <w:p w14:paraId="60B1E17C" w14:textId="616394A6" w:rsidR="00DE09A0" w:rsidRPr="00D92E20" w:rsidRDefault="00DE09A0" w:rsidP="00DE09A0">
            <w:pPr>
              <w:spacing w:after="0" w:line="240" w:lineRule="auto"/>
              <w:jc w:val="center"/>
              <w:rPr>
                <w:rFonts w:cs="Arial"/>
                <w:color w:val="000000"/>
                <w:sz w:val="16"/>
                <w:szCs w:val="16"/>
              </w:rPr>
            </w:pPr>
            <w:r>
              <w:rPr>
                <w:rFonts w:cs="Arial"/>
                <w:color w:val="000000"/>
                <w:sz w:val="16"/>
                <w:szCs w:val="16"/>
              </w:rPr>
              <w:t>46,9</w:t>
            </w:r>
          </w:p>
        </w:tc>
        <w:tc>
          <w:tcPr>
            <w:tcW w:w="595" w:type="dxa"/>
            <w:tcBorders>
              <w:top w:val="nil"/>
              <w:left w:val="nil"/>
              <w:bottom w:val="nil"/>
              <w:right w:val="nil"/>
            </w:tcBorders>
            <w:shd w:val="clear" w:color="auto" w:fill="auto"/>
            <w:noWrap/>
            <w:vAlign w:val="center"/>
            <w:hideMark/>
          </w:tcPr>
          <w:p w14:paraId="23244E81" w14:textId="7C0F1DFE" w:rsidR="00DE09A0" w:rsidRPr="00D92E20" w:rsidRDefault="00DE09A0" w:rsidP="00DE09A0">
            <w:pPr>
              <w:spacing w:after="0" w:line="240" w:lineRule="auto"/>
              <w:jc w:val="center"/>
              <w:rPr>
                <w:rFonts w:cs="Arial"/>
                <w:color w:val="000000"/>
                <w:sz w:val="16"/>
                <w:szCs w:val="16"/>
              </w:rPr>
            </w:pPr>
            <w:r>
              <w:rPr>
                <w:rFonts w:cs="Arial"/>
                <w:color w:val="000000"/>
                <w:sz w:val="16"/>
                <w:szCs w:val="16"/>
              </w:rPr>
              <w:t>45,4</w:t>
            </w:r>
          </w:p>
        </w:tc>
        <w:tc>
          <w:tcPr>
            <w:tcW w:w="595" w:type="dxa"/>
            <w:tcBorders>
              <w:top w:val="nil"/>
              <w:left w:val="nil"/>
              <w:bottom w:val="nil"/>
              <w:right w:val="nil"/>
            </w:tcBorders>
            <w:shd w:val="clear" w:color="auto" w:fill="auto"/>
            <w:noWrap/>
            <w:vAlign w:val="center"/>
            <w:hideMark/>
          </w:tcPr>
          <w:p w14:paraId="42E47963" w14:textId="453B8484" w:rsidR="00DE09A0" w:rsidRPr="00D92E20" w:rsidRDefault="00DE09A0" w:rsidP="00DE09A0">
            <w:pPr>
              <w:spacing w:after="0" w:line="240" w:lineRule="auto"/>
              <w:jc w:val="center"/>
              <w:rPr>
                <w:rFonts w:cs="Arial"/>
                <w:color w:val="000000"/>
                <w:sz w:val="16"/>
                <w:szCs w:val="16"/>
              </w:rPr>
            </w:pPr>
            <w:r>
              <w:rPr>
                <w:rFonts w:cs="Arial"/>
                <w:color w:val="000000"/>
                <w:sz w:val="16"/>
                <w:szCs w:val="16"/>
              </w:rPr>
              <w:t>42,4</w:t>
            </w:r>
          </w:p>
        </w:tc>
        <w:tc>
          <w:tcPr>
            <w:tcW w:w="595" w:type="dxa"/>
            <w:tcBorders>
              <w:top w:val="nil"/>
              <w:left w:val="nil"/>
              <w:bottom w:val="nil"/>
              <w:right w:val="nil"/>
            </w:tcBorders>
            <w:shd w:val="clear" w:color="auto" w:fill="auto"/>
            <w:noWrap/>
            <w:vAlign w:val="center"/>
            <w:hideMark/>
          </w:tcPr>
          <w:p w14:paraId="5211B297" w14:textId="17C3CB48" w:rsidR="00DE09A0" w:rsidRPr="00D92E20" w:rsidRDefault="00DE09A0" w:rsidP="00DE09A0">
            <w:pPr>
              <w:spacing w:after="0" w:line="240" w:lineRule="auto"/>
              <w:jc w:val="center"/>
              <w:rPr>
                <w:rFonts w:cs="Arial"/>
                <w:color w:val="000000"/>
                <w:sz w:val="16"/>
                <w:szCs w:val="16"/>
              </w:rPr>
            </w:pPr>
            <w:r>
              <w:rPr>
                <w:rFonts w:cs="Arial"/>
                <w:color w:val="000000"/>
                <w:sz w:val="16"/>
                <w:szCs w:val="16"/>
              </w:rPr>
              <w:t>45,9</w:t>
            </w:r>
          </w:p>
        </w:tc>
        <w:tc>
          <w:tcPr>
            <w:tcW w:w="595" w:type="dxa"/>
            <w:tcBorders>
              <w:top w:val="nil"/>
              <w:left w:val="nil"/>
              <w:bottom w:val="nil"/>
              <w:right w:val="nil"/>
            </w:tcBorders>
            <w:shd w:val="clear" w:color="auto" w:fill="auto"/>
            <w:noWrap/>
            <w:vAlign w:val="center"/>
            <w:hideMark/>
          </w:tcPr>
          <w:p w14:paraId="0BFD2CB7" w14:textId="1A591E94" w:rsidR="00DE09A0" w:rsidRPr="00D92E20" w:rsidRDefault="00DE09A0" w:rsidP="00DE09A0">
            <w:pPr>
              <w:spacing w:after="0" w:line="240" w:lineRule="auto"/>
              <w:jc w:val="center"/>
              <w:rPr>
                <w:rFonts w:cs="Arial"/>
                <w:color w:val="000000"/>
                <w:sz w:val="16"/>
                <w:szCs w:val="16"/>
              </w:rPr>
            </w:pPr>
            <w:r>
              <w:rPr>
                <w:rFonts w:cs="Arial"/>
                <w:color w:val="000000"/>
                <w:sz w:val="16"/>
                <w:szCs w:val="16"/>
              </w:rPr>
              <w:t>43,8</w:t>
            </w:r>
          </w:p>
        </w:tc>
        <w:tc>
          <w:tcPr>
            <w:tcW w:w="595" w:type="dxa"/>
            <w:tcBorders>
              <w:top w:val="nil"/>
              <w:left w:val="nil"/>
              <w:bottom w:val="nil"/>
              <w:right w:val="nil"/>
            </w:tcBorders>
            <w:shd w:val="clear" w:color="auto" w:fill="auto"/>
            <w:noWrap/>
            <w:vAlign w:val="center"/>
            <w:hideMark/>
          </w:tcPr>
          <w:p w14:paraId="0AA92480" w14:textId="018B6418"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40,3</w:t>
            </w:r>
          </w:p>
        </w:tc>
        <w:tc>
          <w:tcPr>
            <w:tcW w:w="595" w:type="dxa"/>
            <w:tcBorders>
              <w:top w:val="nil"/>
              <w:left w:val="nil"/>
              <w:bottom w:val="nil"/>
              <w:right w:val="nil"/>
            </w:tcBorders>
            <w:shd w:val="clear" w:color="auto" w:fill="auto"/>
            <w:noWrap/>
            <w:vAlign w:val="center"/>
            <w:hideMark/>
          </w:tcPr>
          <w:p w14:paraId="15EA08EF" w14:textId="18E914AE" w:rsidR="00DE09A0" w:rsidRPr="00D92E20" w:rsidRDefault="00DE09A0" w:rsidP="00DE09A0">
            <w:pPr>
              <w:spacing w:after="0" w:line="240" w:lineRule="auto"/>
              <w:jc w:val="center"/>
              <w:rPr>
                <w:rFonts w:cs="Arial"/>
                <w:color w:val="000000"/>
                <w:sz w:val="16"/>
                <w:szCs w:val="16"/>
              </w:rPr>
            </w:pPr>
            <w:r>
              <w:rPr>
                <w:rFonts w:cs="Arial"/>
                <w:color w:val="000000"/>
                <w:sz w:val="16"/>
                <w:szCs w:val="16"/>
              </w:rPr>
              <w:t>25,6</w:t>
            </w:r>
          </w:p>
        </w:tc>
      </w:tr>
      <w:tr w:rsidR="00DE09A0" w:rsidRPr="00D92E20" w14:paraId="44C2F5AC"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474C0C50" w14:textId="77777777" w:rsidR="00DE09A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 xml:space="preserve">R – Kulturní, zábavní a rekreační </w:t>
            </w:r>
          </w:p>
          <w:p w14:paraId="283CE681" w14:textId="12803955" w:rsidR="00DE09A0" w:rsidRPr="00D92E20" w:rsidRDefault="00DE09A0" w:rsidP="00DE09A0">
            <w:pPr>
              <w:spacing w:after="0" w:line="240" w:lineRule="auto"/>
              <w:ind w:firstLineChars="100" w:firstLine="160"/>
              <w:rPr>
                <w:rFonts w:cs="Arial"/>
                <w:color w:val="000000"/>
                <w:sz w:val="16"/>
                <w:szCs w:val="16"/>
              </w:rPr>
            </w:pPr>
            <w:r>
              <w:rPr>
                <w:rFonts w:cs="Arial"/>
                <w:color w:val="000000"/>
                <w:sz w:val="16"/>
                <w:szCs w:val="16"/>
              </w:rPr>
              <w:t xml:space="preserve">       </w:t>
            </w:r>
            <w:r w:rsidRPr="00D92E20">
              <w:rPr>
                <w:rFonts w:cs="Arial"/>
                <w:color w:val="000000"/>
                <w:sz w:val="16"/>
                <w:szCs w:val="16"/>
              </w:rPr>
              <w:t>činnosti</w:t>
            </w:r>
          </w:p>
        </w:tc>
        <w:tc>
          <w:tcPr>
            <w:tcW w:w="595" w:type="dxa"/>
            <w:tcBorders>
              <w:top w:val="nil"/>
              <w:left w:val="nil"/>
              <w:bottom w:val="nil"/>
              <w:right w:val="nil"/>
            </w:tcBorders>
            <w:shd w:val="clear" w:color="auto" w:fill="auto"/>
            <w:noWrap/>
            <w:vAlign w:val="center"/>
            <w:hideMark/>
          </w:tcPr>
          <w:p w14:paraId="43639CC8" w14:textId="4C96035F" w:rsidR="00DE09A0" w:rsidRPr="00D92E20" w:rsidRDefault="00DE09A0" w:rsidP="00DE09A0">
            <w:pPr>
              <w:spacing w:after="0" w:line="240" w:lineRule="auto"/>
              <w:jc w:val="center"/>
              <w:rPr>
                <w:rFonts w:cs="Arial"/>
                <w:color w:val="000000"/>
                <w:sz w:val="16"/>
                <w:szCs w:val="16"/>
              </w:rPr>
            </w:pPr>
            <w:r>
              <w:rPr>
                <w:rFonts w:cs="Arial"/>
                <w:sz w:val="16"/>
                <w:szCs w:val="16"/>
              </w:rPr>
              <w:t>46,3</w:t>
            </w:r>
          </w:p>
        </w:tc>
        <w:tc>
          <w:tcPr>
            <w:tcW w:w="595" w:type="dxa"/>
            <w:tcBorders>
              <w:top w:val="nil"/>
              <w:left w:val="nil"/>
              <w:bottom w:val="nil"/>
              <w:right w:val="nil"/>
            </w:tcBorders>
            <w:shd w:val="clear" w:color="auto" w:fill="auto"/>
            <w:noWrap/>
            <w:vAlign w:val="center"/>
            <w:hideMark/>
          </w:tcPr>
          <w:p w14:paraId="5F828E27" w14:textId="17BECCAC" w:rsidR="00DE09A0" w:rsidRPr="00D92E20" w:rsidRDefault="00DE09A0" w:rsidP="00DE09A0">
            <w:pPr>
              <w:spacing w:after="0" w:line="240" w:lineRule="auto"/>
              <w:jc w:val="center"/>
              <w:rPr>
                <w:rFonts w:cs="Arial"/>
                <w:color w:val="000000"/>
                <w:sz w:val="16"/>
                <w:szCs w:val="16"/>
              </w:rPr>
            </w:pPr>
            <w:r>
              <w:rPr>
                <w:rFonts w:cs="Arial"/>
                <w:sz w:val="16"/>
                <w:szCs w:val="16"/>
              </w:rPr>
              <w:t>40,3</w:t>
            </w:r>
          </w:p>
        </w:tc>
        <w:tc>
          <w:tcPr>
            <w:tcW w:w="595" w:type="dxa"/>
            <w:tcBorders>
              <w:top w:val="nil"/>
              <w:left w:val="nil"/>
              <w:bottom w:val="nil"/>
              <w:right w:val="nil"/>
            </w:tcBorders>
            <w:shd w:val="clear" w:color="auto" w:fill="auto"/>
            <w:noWrap/>
            <w:vAlign w:val="center"/>
            <w:hideMark/>
          </w:tcPr>
          <w:p w14:paraId="2E9464C8" w14:textId="65CD960B" w:rsidR="00DE09A0" w:rsidRPr="00D92E20" w:rsidRDefault="00DE09A0" w:rsidP="00DE09A0">
            <w:pPr>
              <w:spacing w:after="0" w:line="240" w:lineRule="auto"/>
              <w:jc w:val="center"/>
              <w:rPr>
                <w:rFonts w:cs="Arial"/>
                <w:color w:val="000000"/>
                <w:sz w:val="16"/>
                <w:szCs w:val="16"/>
              </w:rPr>
            </w:pPr>
            <w:r>
              <w:rPr>
                <w:rFonts w:cs="Arial"/>
                <w:sz w:val="16"/>
                <w:szCs w:val="16"/>
              </w:rPr>
              <w:t>44,9</w:t>
            </w:r>
          </w:p>
        </w:tc>
        <w:tc>
          <w:tcPr>
            <w:tcW w:w="595" w:type="dxa"/>
            <w:tcBorders>
              <w:top w:val="nil"/>
              <w:left w:val="nil"/>
              <w:bottom w:val="nil"/>
              <w:right w:val="nil"/>
            </w:tcBorders>
            <w:shd w:val="clear" w:color="auto" w:fill="auto"/>
            <w:noWrap/>
            <w:vAlign w:val="center"/>
            <w:hideMark/>
          </w:tcPr>
          <w:p w14:paraId="0DEB14BE" w14:textId="38BB5229" w:rsidR="00DE09A0" w:rsidRPr="00D92E20" w:rsidRDefault="00DE09A0" w:rsidP="00DE09A0">
            <w:pPr>
              <w:spacing w:after="0" w:line="240" w:lineRule="auto"/>
              <w:jc w:val="center"/>
              <w:rPr>
                <w:rFonts w:cs="Arial"/>
                <w:color w:val="000000"/>
                <w:sz w:val="16"/>
                <w:szCs w:val="16"/>
              </w:rPr>
            </w:pPr>
            <w:r>
              <w:rPr>
                <w:rFonts w:cs="Arial"/>
                <w:sz w:val="16"/>
                <w:szCs w:val="16"/>
              </w:rPr>
              <w:t>38,4</w:t>
            </w:r>
          </w:p>
        </w:tc>
        <w:tc>
          <w:tcPr>
            <w:tcW w:w="595" w:type="dxa"/>
            <w:tcBorders>
              <w:top w:val="nil"/>
              <w:left w:val="nil"/>
              <w:bottom w:val="nil"/>
              <w:right w:val="nil"/>
            </w:tcBorders>
            <w:shd w:val="clear" w:color="auto" w:fill="auto"/>
            <w:noWrap/>
            <w:vAlign w:val="center"/>
            <w:hideMark/>
          </w:tcPr>
          <w:p w14:paraId="0E876676" w14:textId="486BF9F1"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40,9</w:t>
            </w:r>
          </w:p>
        </w:tc>
        <w:tc>
          <w:tcPr>
            <w:tcW w:w="595" w:type="dxa"/>
            <w:tcBorders>
              <w:top w:val="nil"/>
              <w:left w:val="nil"/>
              <w:bottom w:val="nil"/>
              <w:right w:val="nil"/>
            </w:tcBorders>
            <w:shd w:val="clear" w:color="auto" w:fill="auto"/>
            <w:noWrap/>
            <w:vAlign w:val="center"/>
            <w:hideMark/>
          </w:tcPr>
          <w:p w14:paraId="7B728180" w14:textId="1B282A22"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40,2</w:t>
            </w:r>
          </w:p>
        </w:tc>
        <w:tc>
          <w:tcPr>
            <w:tcW w:w="595" w:type="dxa"/>
            <w:tcBorders>
              <w:top w:val="nil"/>
              <w:left w:val="nil"/>
              <w:bottom w:val="nil"/>
              <w:right w:val="nil"/>
            </w:tcBorders>
            <w:shd w:val="clear" w:color="auto" w:fill="auto"/>
            <w:noWrap/>
            <w:vAlign w:val="center"/>
            <w:hideMark/>
          </w:tcPr>
          <w:p w14:paraId="72DEF406" w14:textId="64E00938" w:rsidR="00DE09A0" w:rsidRPr="00D92E20" w:rsidRDefault="00DE09A0" w:rsidP="00DE09A0">
            <w:pPr>
              <w:spacing w:after="0" w:line="240" w:lineRule="auto"/>
              <w:jc w:val="center"/>
              <w:rPr>
                <w:rFonts w:cs="Arial"/>
                <w:color w:val="000000"/>
                <w:sz w:val="16"/>
                <w:szCs w:val="16"/>
              </w:rPr>
            </w:pPr>
            <w:r>
              <w:rPr>
                <w:rFonts w:cs="Arial"/>
                <w:color w:val="000000"/>
                <w:sz w:val="16"/>
                <w:szCs w:val="16"/>
              </w:rPr>
              <w:t>38,5</w:t>
            </w:r>
          </w:p>
        </w:tc>
        <w:tc>
          <w:tcPr>
            <w:tcW w:w="595" w:type="dxa"/>
            <w:tcBorders>
              <w:top w:val="nil"/>
              <w:left w:val="nil"/>
              <w:bottom w:val="nil"/>
              <w:right w:val="nil"/>
            </w:tcBorders>
            <w:shd w:val="clear" w:color="auto" w:fill="auto"/>
            <w:noWrap/>
            <w:vAlign w:val="center"/>
            <w:hideMark/>
          </w:tcPr>
          <w:p w14:paraId="6E447300" w14:textId="6E17CAE0"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40,4</w:t>
            </w:r>
          </w:p>
        </w:tc>
        <w:tc>
          <w:tcPr>
            <w:tcW w:w="595" w:type="dxa"/>
            <w:tcBorders>
              <w:top w:val="nil"/>
              <w:left w:val="nil"/>
              <w:bottom w:val="nil"/>
              <w:right w:val="nil"/>
            </w:tcBorders>
            <w:shd w:val="clear" w:color="auto" w:fill="auto"/>
            <w:noWrap/>
            <w:vAlign w:val="center"/>
            <w:hideMark/>
          </w:tcPr>
          <w:p w14:paraId="52FCCBB2" w14:textId="1BA29A99" w:rsidR="00DE09A0" w:rsidRPr="00D92E20" w:rsidRDefault="00DE09A0" w:rsidP="00DE09A0">
            <w:pPr>
              <w:spacing w:after="0" w:line="240" w:lineRule="auto"/>
              <w:jc w:val="center"/>
              <w:rPr>
                <w:rFonts w:cs="Arial"/>
                <w:color w:val="000000"/>
                <w:sz w:val="16"/>
                <w:szCs w:val="16"/>
              </w:rPr>
            </w:pPr>
            <w:r>
              <w:rPr>
                <w:rFonts w:cs="Arial"/>
                <w:color w:val="000000"/>
                <w:sz w:val="16"/>
                <w:szCs w:val="16"/>
              </w:rPr>
              <w:t>44,2</w:t>
            </w:r>
          </w:p>
        </w:tc>
        <w:tc>
          <w:tcPr>
            <w:tcW w:w="595" w:type="dxa"/>
            <w:tcBorders>
              <w:top w:val="nil"/>
              <w:left w:val="nil"/>
              <w:bottom w:val="nil"/>
              <w:right w:val="nil"/>
            </w:tcBorders>
            <w:shd w:val="clear" w:color="auto" w:fill="auto"/>
            <w:noWrap/>
            <w:vAlign w:val="center"/>
            <w:hideMark/>
          </w:tcPr>
          <w:p w14:paraId="471F5FE1" w14:textId="677F7E62"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40,0</w:t>
            </w:r>
          </w:p>
        </w:tc>
        <w:tc>
          <w:tcPr>
            <w:tcW w:w="595" w:type="dxa"/>
            <w:tcBorders>
              <w:top w:val="nil"/>
              <w:left w:val="nil"/>
              <w:bottom w:val="nil"/>
              <w:right w:val="nil"/>
            </w:tcBorders>
            <w:shd w:val="clear" w:color="auto" w:fill="auto"/>
            <w:noWrap/>
            <w:vAlign w:val="center"/>
            <w:hideMark/>
          </w:tcPr>
          <w:p w14:paraId="19AE0A04" w14:textId="73182B3E" w:rsidR="00DE09A0" w:rsidRPr="00D92E20" w:rsidRDefault="00DE09A0" w:rsidP="00DE09A0">
            <w:pPr>
              <w:spacing w:after="0" w:line="240" w:lineRule="auto"/>
              <w:jc w:val="center"/>
              <w:rPr>
                <w:rFonts w:cs="Arial"/>
                <w:color w:val="000000"/>
                <w:sz w:val="16"/>
                <w:szCs w:val="16"/>
              </w:rPr>
            </w:pPr>
            <w:r>
              <w:rPr>
                <w:rFonts w:cs="Arial"/>
                <w:color w:val="000000"/>
                <w:sz w:val="16"/>
                <w:szCs w:val="16"/>
              </w:rPr>
              <w:t>22,1</w:t>
            </w:r>
          </w:p>
        </w:tc>
      </w:tr>
      <w:tr w:rsidR="00DE09A0" w:rsidRPr="00D92E20" w14:paraId="5BE77F2E" w14:textId="77777777" w:rsidTr="00DC0DB3">
        <w:trPr>
          <w:trHeight w:val="300"/>
        </w:trPr>
        <w:tc>
          <w:tcPr>
            <w:tcW w:w="3175" w:type="dxa"/>
            <w:tcBorders>
              <w:top w:val="nil"/>
              <w:left w:val="nil"/>
              <w:bottom w:val="nil"/>
              <w:right w:val="single" w:sz="4" w:space="0" w:color="auto"/>
            </w:tcBorders>
            <w:shd w:val="clear" w:color="auto" w:fill="auto"/>
            <w:vAlign w:val="center"/>
            <w:hideMark/>
          </w:tcPr>
          <w:p w14:paraId="0657A67F"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S – Ostatní činnosti</w:t>
            </w:r>
          </w:p>
        </w:tc>
        <w:tc>
          <w:tcPr>
            <w:tcW w:w="595" w:type="dxa"/>
            <w:tcBorders>
              <w:top w:val="nil"/>
              <w:left w:val="nil"/>
              <w:bottom w:val="nil"/>
              <w:right w:val="nil"/>
            </w:tcBorders>
            <w:shd w:val="clear" w:color="auto" w:fill="auto"/>
            <w:noWrap/>
            <w:vAlign w:val="center"/>
            <w:hideMark/>
          </w:tcPr>
          <w:p w14:paraId="6B9B15E6" w14:textId="0850206D" w:rsidR="00DE09A0" w:rsidRPr="00D92E20" w:rsidRDefault="00DE09A0" w:rsidP="00DE09A0">
            <w:pPr>
              <w:spacing w:after="0" w:line="240" w:lineRule="auto"/>
              <w:jc w:val="center"/>
              <w:rPr>
                <w:rFonts w:cs="Arial"/>
                <w:color w:val="000000"/>
                <w:sz w:val="16"/>
                <w:szCs w:val="16"/>
              </w:rPr>
            </w:pPr>
            <w:r>
              <w:rPr>
                <w:rFonts w:cs="Arial"/>
                <w:sz w:val="16"/>
                <w:szCs w:val="16"/>
              </w:rPr>
              <w:t>51,3</w:t>
            </w:r>
          </w:p>
        </w:tc>
        <w:tc>
          <w:tcPr>
            <w:tcW w:w="595" w:type="dxa"/>
            <w:tcBorders>
              <w:top w:val="nil"/>
              <w:left w:val="nil"/>
              <w:bottom w:val="nil"/>
              <w:right w:val="nil"/>
            </w:tcBorders>
            <w:shd w:val="clear" w:color="auto" w:fill="auto"/>
            <w:noWrap/>
            <w:vAlign w:val="center"/>
            <w:hideMark/>
          </w:tcPr>
          <w:p w14:paraId="37A40880" w14:textId="53FF299E" w:rsidR="00DE09A0" w:rsidRPr="00D92E20" w:rsidRDefault="00DE09A0" w:rsidP="00DE09A0">
            <w:pPr>
              <w:spacing w:after="0" w:line="240" w:lineRule="auto"/>
              <w:jc w:val="center"/>
              <w:rPr>
                <w:rFonts w:cs="Arial"/>
                <w:color w:val="000000"/>
                <w:sz w:val="16"/>
                <w:szCs w:val="16"/>
              </w:rPr>
            </w:pPr>
            <w:r>
              <w:rPr>
                <w:rFonts w:cs="Arial"/>
                <w:sz w:val="16"/>
                <w:szCs w:val="16"/>
              </w:rPr>
              <w:t>46,1</w:t>
            </w:r>
          </w:p>
        </w:tc>
        <w:tc>
          <w:tcPr>
            <w:tcW w:w="595" w:type="dxa"/>
            <w:tcBorders>
              <w:top w:val="nil"/>
              <w:left w:val="nil"/>
              <w:bottom w:val="nil"/>
              <w:right w:val="nil"/>
            </w:tcBorders>
            <w:shd w:val="clear" w:color="auto" w:fill="auto"/>
            <w:noWrap/>
            <w:vAlign w:val="center"/>
            <w:hideMark/>
          </w:tcPr>
          <w:p w14:paraId="2AE6D85D" w14:textId="4E3F2A86" w:rsidR="00DE09A0" w:rsidRPr="00D92E20" w:rsidRDefault="00DE09A0" w:rsidP="00DE09A0">
            <w:pPr>
              <w:spacing w:after="0" w:line="240" w:lineRule="auto"/>
              <w:jc w:val="center"/>
              <w:rPr>
                <w:rFonts w:cs="Arial"/>
                <w:color w:val="000000"/>
                <w:sz w:val="16"/>
                <w:szCs w:val="16"/>
              </w:rPr>
            </w:pPr>
            <w:r>
              <w:rPr>
                <w:rFonts w:cs="Arial"/>
                <w:sz w:val="16"/>
                <w:szCs w:val="16"/>
              </w:rPr>
              <w:t>50,5</w:t>
            </w:r>
          </w:p>
        </w:tc>
        <w:tc>
          <w:tcPr>
            <w:tcW w:w="595" w:type="dxa"/>
            <w:tcBorders>
              <w:top w:val="nil"/>
              <w:left w:val="nil"/>
              <w:bottom w:val="nil"/>
              <w:right w:val="nil"/>
            </w:tcBorders>
            <w:shd w:val="clear" w:color="auto" w:fill="auto"/>
            <w:noWrap/>
            <w:vAlign w:val="center"/>
            <w:hideMark/>
          </w:tcPr>
          <w:p w14:paraId="750734A9" w14:textId="41DFA629" w:rsidR="00DE09A0" w:rsidRPr="00D92E20" w:rsidRDefault="00DE09A0" w:rsidP="00DE09A0">
            <w:pPr>
              <w:spacing w:after="0" w:line="240" w:lineRule="auto"/>
              <w:jc w:val="center"/>
              <w:rPr>
                <w:rFonts w:cs="Arial"/>
                <w:color w:val="000000"/>
                <w:sz w:val="16"/>
                <w:szCs w:val="16"/>
              </w:rPr>
            </w:pPr>
            <w:r>
              <w:rPr>
                <w:rFonts w:cs="Arial"/>
                <w:sz w:val="16"/>
                <w:szCs w:val="16"/>
              </w:rPr>
              <w:t>44,6</w:t>
            </w:r>
          </w:p>
        </w:tc>
        <w:tc>
          <w:tcPr>
            <w:tcW w:w="595" w:type="dxa"/>
            <w:tcBorders>
              <w:top w:val="nil"/>
              <w:left w:val="nil"/>
              <w:bottom w:val="nil"/>
              <w:right w:val="nil"/>
            </w:tcBorders>
            <w:shd w:val="clear" w:color="auto" w:fill="auto"/>
            <w:noWrap/>
            <w:vAlign w:val="center"/>
            <w:hideMark/>
          </w:tcPr>
          <w:p w14:paraId="307C1F2C" w14:textId="71E7E59B" w:rsidR="00DE09A0" w:rsidRPr="00D92E20" w:rsidRDefault="00DE09A0" w:rsidP="00DE09A0">
            <w:pPr>
              <w:spacing w:after="0" w:line="240" w:lineRule="auto"/>
              <w:jc w:val="center"/>
              <w:rPr>
                <w:rFonts w:cs="Arial"/>
                <w:color w:val="000000"/>
                <w:sz w:val="16"/>
                <w:szCs w:val="16"/>
              </w:rPr>
            </w:pPr>
            <w:r>
              <w:rPr>
                <w:rFonts w:cs="Arial"/>
                <w:color w:val="000000"/>
                <w:sz w:val="16"/>
                <w:szCs w:val="16"/>
              </w:rPr>
              <w:t>48,0</w:t>
            </w:r>
          </w:p>
        </w:tc>
        <w:tc>
          <w:tcPr>
            <w:tcW w:w="595" w:type="dxa"/>
            <w:tcBorders>
              <w:top w:val="nil"/>
              <w:left w:val="nil"/>
              <w:bottom w:val="nil"/>
              <w:right w:val="nil"/>
            </w:tcBorders>
            <w:shd w:val="clear" w:color="auto" w:fill="auto"/>
            <w:noWrap/>
            <w:vAlign w:val="center"/>
            <w:hideMark/>
          </w:tcPr>
          <w:p w14:paraId="24C4A47E" w14:textId="540F6919" w:rsidR="00DE09A0" w:rsidRPr="00D92E20" w:rsidRDefault="00DE09A0" w:rsidP="00DE09A0">
            <w:pPr>
              <w:spacing w:after="0" w:line="240" w:lineRule="auto"/>
              <w:jc w:val="center"/>
              <w:rPr>
                <w:rFonts w:cs="Arial"/>
                <w:color w:val="000000"/>
                <w:sz w:val="16"/>
                <w:szCs w:val="16"/>
              </w:rPr>
            </w:pPr>
            <w:r>
              <w:rPr>
                <w:rFonts w:cs="Arial"/>
                <w:color w:val="000000"/>
                <w:sz w:val="16"/>
                <w:szCs w:val="16"/>
              </w:rPr>
              <w:t>45,6</w:t>
            </w:r>
          </w:p>
        </w:tc>
        <w:tc>
          <w:tcPr>
            <w:tcW w:w="595" w:type="dxa"/>
            <w:tcBorders>
              <w:top w:val="nil"/>
              <w:left w:val="nil"/>
              <w:bottom w:val="nil"/>
              <w:right w:val="nil"/>
            </w:tcBorders>
            <w:shd w:val="clear" w:color="auto" w:fill="auto"/>
            <w:noWrap/>
            <w:vAlign w:val="center"/>
            <w:hideMark/>
          </w:tcPr>
          <w:p w14:paraId="26E73085" w14:textId="1ED5F35D" w:rsidR="00DE09A0" w:rsidRPr="00D92E20" w:rsidRDefault="00DE09A0" w:rsidP="00DE09A0">
            <w:pPr>
              <w:spacing w:after="0" w:line="240" w:lineRule="auto"/>
              <w:jc w:val="center"/>
              <w:rPr>
                <w:rFonts w:cs="Arial"/>
                <w:color w:val="000000"/>
                <w:sz w:val="16"/>
                <w:szCs w:val="16"/>
              </w:rPr>
            </w:pPr>
            <w:r>
              <w:rPr>
                <w:rFonts w:cs="Arial"/>
                <w:color w:val="000000"/>
                <w:sz w:val="16"/>
                <w:szCs w:val="16"/>
              </w:rPr>
              <w:t>42,7</w:t>
            </w:r>
          </w:p>
        </w:tc>
        <w:tc>
          <w:tcPr>
            <w:tcW w:w="595" w:type="dxa"/>
            <w:tcBorders>
              <w:top w:val="nil"/>
              <w:left w:val="nil"/>
              <w:bottom w:val="nil"/>
              <w:right w:val="nil"/>
            </w:tcBorders>
            <w:shd w:val="clear" w:color="auto" w:fill="auto"/>
            <w:noWrap/>
            <w:vAlign w:val="center"/>
            <w:hideMark/>
          </w:tcPr>
          <w:p w14:paraId="0E3D2161" w14:textId="63F368FC" w:rsidR="00DE09A0" w:rsidRPr="00D92E20" w:rsidRDefault="00DE09A0" w:rsidP="00DE09A0">
            <w:pPr>
              <w:spacing w:after="0" w:line="240" w:lineRule="auto"/>
              <w:jc w:val="center"/>
              <w:rPr>
                <w:rFonts w:cs="Arial"/>
                <w:color w:val="000000"/>
                <w:sz w:val="16"/>
                <w:szCs w:val="16"/>
              </w:rPr>
            </w:pPr>
            <w:r>
              <w:rPr>
                <w:rFonts w:cs="Arial"/>
                <w:color w:val="000000"/>
                <w:sz w:val="16"/>
                <w:szCs w:val="16"/>
              </w:rPr>
              <w:t>46,1</w:t>
            </w:r>
          </w:p>
        </w:tc>
        <w:tc>
          <w:tcPr>
            <w:tcW w:w="595" w:type="dxa"/>
            <w:tcBorders>
              <w:top w:val="nil"/>
              <w:left w:val="nil"/>
              <w:bottom w:val="nil"/>
              <w:right w:val="nil"/>
            </w:tcBorders>
            <w:shd w:val="clear" w:color="auto" w:fill="auto"/>
            <w:noWrap/>
            <w:vAlign w:val="center"/>
            <w:hideMark/>
          </w:tcPr>
          <w:p w14:paraId="5A364F84" w14:textId="4B209A0B" w:rsidR="00DE09A0" w:rsidRPr="00D92E20" w:rsidRDefault="00DE09A0" w:rsidP="00DE09A0">
            <w:pPr>
              <w:spacing w:after="0" w:line="240" w:lineRule="auto"/>
              <w:jc w:val="center"/>
              <w:rPr>
                <w:rFonts w:cs="Arial"/>
                <w:color w:val="000000"/>
                <w:sz w:val="16"/>
                <w:szCs w:val="16"/>
              </w:rPr>
            </w:pPr>
            <w:r>
              <w:rPr>
                <w:rFonts w:cs="Arial"/>
                <w:color w:val="000000"/>
                <w:sz w:val="16"/>
                <w:szCs w:val="16"/>
              </w:rPr>
              <w:t>47,9</w:t>
            </w:r>
          </w:p>
        </w:tc>
        <w:tc>
          <w:tcPr>
            <w:tcW w:w="595" w:type="dxa"/>
            <w:tcBorders>
              <w:top w:val="nil"/>
              <w:left w:val="nil"/>
              <w:bottom w:val="nil"/>
              <w:right w:val="nil"/>
            </w:tcBorders>
            <w:shd w:val="clear" w:color="auto" w:fill="auto"/>
            <w:noWrap/>
            <w:vAlign w:val="center"/>
            <w:hideMark/>
          </w:tcPr>
          <w:p w14:paraId="70956D84" w14:textId="0A9030AD" w:rsidR="00DE09A0" w:rsidRPr="00D92E20" w:rsidRDefault="00DE09A0" w:rsidP="00DE09A0">
            <w:pPr>
              <w:spacing w:after="0" w:line="240" w:lineRule="auto"/>
              <w:jc w:val="center"/>
              <w:rPr>
                <w:rFonts w:cs="Arial"/>
                <w:color w:val="000000"/>
                <w:sz w:val="16"/>
                <w:szCs w:val="16"/>
              </w:rPr>
            </w:pPr>
            <w:r>
              <w:rPr>
                <w:rFonts w:cs="Arial"/>
                <w:color w:val="000000"/>
                <w:sz w:val="16"/>
                <w:szCs w:val="16"/>
              </w:rPr>
              <w:t>42,2</w:t>
            </w:r>
          </w:p>
        </w:tc>
        <w:tc>
          <w:tcPr>
            <w:tcW w:w="595" w:type="dxa"/>
            <w:tcBorders>
              <w:top w:val="nil"/>
              <w:left w:val="nil"/>
              <w:bottom w:val="nil"/>
              <w:right w:val="nil"/>
            </w:tcBorders>
            <w:shd w:val="clear" w:color="auto" w:fill="auto"/>
            <w:noWrap/>
            <w:vAlign w:val="center"/>
            <w:hideMark/>
          </w:tcPr>
          <w:p w14:paraId="2F9756BE" w14:textId="43B20460" w:rsidR="00DE09A0" w:rsidRPr="00D92E20" w:rsidRDefault="00DE09A0" w:rsidP="00DE09A0">
            <w:pPr>
              <w:spacing w:after="0" w:line="240" w:lineRule="auto"/>
              <w:jc w:val="center"/>
              <w:rPr>
                <w:rFonts w:cs="Arial"/>
                <w:color w:val="000000"/>
                <w:sz w:val="16"/>
                <w:szCs w:val="16"/>
              </w:rPr>
            </w:pPr>
            <w:r>
              <w:rPr>
                <w:rFonts w:cs="Arial"/>
                <w:color w:val="000000"/>
                <w:sz w:val="16"/>
                <w:szCs w:val="16"/>
              </w:rPr>
              <w:t>27,0</w:t>
            </w:r>
          </w:p>
        </w:tc>
      </w:tr>
    </w:tbl>
    <w:p w14:paraId="5B06DE7A" w14:textId="77777777" w:rsidR="00502EDF" w:rsidRPr="00D92E20" w:rsidRDefault="00502EDF" w:rsidP="00502EDF">
      <w:pPr>
        <w:spacing w:before="120"/>
        <w:rPr>
          <w:sz w:val="16"/>
        </w:rPr>
      </w:pPr>
      <w:r w:rsidRPr="00D92E20">
        <w:rPr>
          <w:sz w:val="16"/>
        </w:rPr>
        <w:t>Zdroj: ČSÚ</w:t>
      </w:r>
    </w:p>
    <w:p w14:paraId="5179683A" w14:textId="4139177F" w:rsidR="00350B58" w:rsidRPr="00DE09A0" w:rsidRDefault="004A31C1" w:rsidP="004A31C1">
      <w:pPr>
        <w:spacing w:after="120"/>
        <w:jc w:val="both"/>
      </w:pPr>
      <w:r w:rsidRPr="00DE09A0">
        <w:t xml:space="preserve">Z pohledu </w:t>
      </w:r>
      <w:r w:rsidRPr="00DE09A0">
        <w:rPr>
          <w:b/>
        </w:rPr>
        <w:t>detailnějšího územního členění</w:t>
      </w:r>
      <w:r w:rsidRPr="00DE09A0">
        <w:t xml:space="preserve"> (viz kartogram 2.1) je zřejmý větší rozptyl hodnot tohoto relativního ukazatele. Nejvyšší průměrnou délku na jeden případ v 1. pol. 202</w:t>
      </w:r>
      <w:r w:rsidR="00DE09A0" w:rsidRPr="00DE09A0">
        <w:t>2</w:t>
      </w:r>
      <w:r w:rsidRPr="00DE09A0">
        <w:t xml:space="preserve"> vykazoval okres </w:t>
      </w:r>
      <w:r w:rsidR="00DE09A0" w:rsidRPr="00DE09A0">
        <w:t>Břeclav</w:t>
      </w:r>
      <w:r w:rsidRPr="00DE09A0">
        <w:t xml:space="preserve"> (</w:t>
      </w:r>
      <w:r w:rsidR="00DE09A0" w:rsidRPr="00DE09A0">
        <w:t>31,3</w:t>
      </w:r>
      <w:r w:rsidRPr="00DE09A0">
        <w:t> dne) v</w:t>
      </w:r>
      <w:r w:rsidR="00DE09A0" w:rsidRPr="00DE09A0">
        <w:t xml:space="preserve"> Jihomoravském </w:t>
      </w:r>
      <w:r w:rsidRPr="00DE09A0">
        <w:t>kraji</w:t>
      </w:r>
      <w:r w:rsidR="00BA34E3">
        <w:t xml:space="preserve">, </w:t>
      </w:r>
      <w:r w:rsidR="00DE09A0" w:rsidRPr="00DE09A0">
        <w:t xml:space="preserve">středočeský Rakovník (30,7 dne) a </w:t>
      </w:r>
      <w:r w:rsidRPr="00DE09A0">
        <w:t>Hodonín v Jihomoravském kraji</w:t>
      </w:r>
      <w:r w:rsidR="00DE09A0" w:rsidRPr="00DE09A0">
        <w:t xml:space="preserve"> (30,6</w:t>
      </w:r>
      <w:r w:rsidR="003E64F4">
        <w:t> </w:t>
      </w:r>
      <w:r w:rsidR="00DE09A0" w:rsidRPr="00DE09A0">
        <w:t xml:space="preserve">dne). </w:t>
      </w:r>
      <w:r w:rsidRPr="00DE09A0">
        <w:t xml:space="preserve">Následovaly okresy </w:t>
      </w:r>
      <w:r w:rsidR="00DE09A0" w:rsidRPr="00DE09A0">
        <w:t>Uherské Hradiště</w:t>
      </w:r>
      <w:r w:rsidRPr="00DE09A0">
        <w:t xml:space="preserve"> </w:t>
      </w:r>
      <w:r w:rsidR="00DE09A0" w:rsidRPr="00DE09A0">
        <w:t xml:space="preserve">(Zlínský kraj), </w:t>
      </w:r>
      <w:r w:rsidRPr="00DE09A0">
        <w:t>Prachatice (Jihočeský kraj)</w:t>
      </w:r>
      <w:r w:rsidR="00DE09A0" w:rsidRPr="00DE09A0">
        <w:t xml:space="preserve"> a Vsetín (Zlínský kraj)</w:t>
      </w:r>
      <w:r w:rsidRPr="00DE09A0">
        <w:t xml:space="preserve">, které vykazovaly průměrnou délku případu pracovní neschopnosti nad </w:t>
      </w:r>
      <w:r w:rsidR="00DE09A0" w:rsidRPr="00DE09A0">
        <w:t>30</w:t>
      </w:r>
      <w:r w:rsidRPr="00DE09A0">
        <w:t xml:space="preserve"> dnů. Naopak nejkratší dobou trvání se mohl opět pochlubit okres Mladá Boleslav (</w:t>
      </w:r>
      <w:r w:rsidR="00DE09A0" w:rsidRPr="00DE09A0">
        <w:t>19,5 dne</w:t>
      </w:r>
      <w:r w:rsidRPr="00DE09A0">
        <w:t>) ve Středních Čechách a královéhradecký okres Rychnov nad Kněžnou (</w:t>
      </w:r>
      <w:r w:rsidR="00DE09A0" w:rsidRPr="00DE09A0">
        <w:t>20,4</w:t>
      </w:r>
      <w:r w:rsidRPr="00DE09A0">
        <w:t xml:space="preserve"> dn</w:t>
      </w:r>
      <w:r w:rsidR="00DE09A0" w:rsidRPr="00DE09A0">
        <w:t>e</w:t>
      </w:r>
      <w:r w:rsidRPr="00DE09A0">
        <w:t>).</w:t>
      </w:r>
      <w:r w:rsidR="008616F7" w:rsidRPr="00DE09A0">
        <w:t xml:space="preserve"> Kompletní přehled je k dispozici v</w:t>
      </w:r>
      <w:r w:rsidR="001E73B2" w:rsidRPr="00DE09A0">
        <w:t xml:space="preserve"> tabulce 3.6 v </w:t>
      </w:r>
      <w:r w:rsidR="008616F7" w:rsidRPr="00DE09A0">
        <w:t xml:space="preserve">tabulkové části </w:t>
      </w:r>
      <w:r w:rsidR="001E73B2" w:rsidRPr="00DE09A0">
        <w:t>publikace.</w:t>
      </w:r>
    </w:p>
    <w:p w14:paraId="12C53BDA" w14:textId="77777777" w:rsidR="00473D4E" w:rsidRDefault="00473D4E">
      <w:pPr>
        <w:spacing w:after="0" w:line="240" w:lineRule="auto"/>
        <w:rPr>
          <w:b/>
        </w:rPr>
      </w:pPr>
      <w:r>
        <w:rPr>
          <w:b/>
        </w:rPr>
        <w:br w:type="page"/>
      </w:r>
    </w:p>
    <w:p w14:paraId="601CCF00" w14:textId="67ED3989" w:rsidR="000A3F99" w:rsidRPr="000A3F99" w:rsidRDefault="000A3F99" w:rsidP="000A3F99">
      <w:pPr>
        <w:spacing w:after="0"/>
        <w:jc w:val="both"/>
        <w:rPr>
          <w:b/>
        </w:rPr>
      </w:pPr>
      <w:r w:rsidRPr="00185E38">
        <w:rPr>
          <w:b/>
        </w:rPr>
        <w:lastRenderedPageBreak/>
        <w:t>Graf 2.11: Průměrná délka trvání dočasné pracovní neschopnosti podle krajů ČR, 1. pol. 20</w:t>
      </w:r>
      <w:r w:rsidR="007B5824" w:rsidRPr="00185E38">
        <w:rPr>
          <w:b/>
        </w:rPr>
        <w:t>1</w:t>
      </w:r>
      <w:r w:rsidRPr="00185E38">
        <w:rPr>
          <w:b/>
        </w:rPr>
        <w:t>9 a 2022</w:t>
      </w:r>
    </w:p>
    <w:p w14:paraId="1BF31173" w14:textId="56E931A0" w:rsidR="000A3F99" w:rsidRDefault="004524C4" w:rsidP="00BA6B4E">
      <w:pPr>
        <w:jc w:val="both"/>
        <w:rPr>
          <w:sz w:val="16"/>
        </w:rPr>
      </w:pPr>
      <w:r>
        <w:rPr>
          <w:noProof/>
        </w:rPr>
        <w:drawing>
          <wp:inline distT="0" distB="0" distL="0" distR="0" wp14:anchorId="4B21AAB4" wp14:editId="36344310">
            <wp:extent cx="6038850" cy="2743200"/>
            <wp:effectExtent l="0" t="0" r="0" b="0"/>
            <wp:docPr id="59" name="Graf 59"/>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49676850" w14:textId="38F68587" w:rsidR="000A3F99" w:rsidRPr="00D92E20" w:rsidRDefault="000A3F99" w:rsidP="00BA6B4E">
      <w:pPr>
        <w:jc w:val="both"/>
        <w:rPr>
          <w:sz w:val="16"/>
        </w:rPr>
      </w:pPr>
      <w:r w:rsidRPr="00D92E20">
        <w:rPr>
          <w:sz w:val="16"/>
        </w:rPr>
        <w:t>Zdroj: ČSÚ</w:t>
      </w:r>
    </w:p>
    <w:p w14:paraId="210AE9CA" w14:textId="0D816FED" w:rsidR="004A31C1" w:rsidRPr="00671960" w:rsidRDefault="004A31C1" w:rsidP="004A31C1">
      <w:pPr>
        <w:spacing w:after="0"/>
        <w:jc w:val="both"/>
        <w:rPr>
          <w:b/>
          <w:spacing w:val="-4"/>
        </w:rPr>
      </w:pPr>
      <w:r w:rsidRPr="00671960">
        <w:rPr>
          <w:b/>
          <w:spacing w:val="-4"/>
        </w:rPr>
        <w:t>Tab. 2.7: Průměrná délka trvání dočasné pracovn</w:t>
      </w:r>
      <w:r w:rsidR="009F34CD" w:rsidRPr="00671960">
        <w:rPr>
          <w:b/>
          <w:spacing w:val="-4"/>
        </w:rPr>
        <w:t xml:space="preserve">í neschopnosti podle krajů ČR, </w:t>
      </w:r>
      <w:r w:rsidR="009F34CD" w:rsidRPr="00671960">
        <w:rPr>
          <w:b/>
          <w:spacing w:val="-4"/>
        </w:rPr>
        <w:t>1. pol. 2012 až 1. pol. 2022</w:t>
      </w:r>
    </w:p>
    <w:tbl>
      <w:tblPr>
        <w:tblW w:w="9670" w:type="dxa"/>
        <w:tblCellMar>
          <w:left w:w="70" w:type="dxa"/>
          <w:right w:w="70" w:type="dxa"/>
        </w:tblCellMar>
        <w:tblLook w:val="04A0" w:firstRow="1" w:lastRow="0" w:firstColumn="1" w:lastColumn="0" w:noHBand="0" w:noVBand="1"/>
      </w:tblPr>
      <w:tblGrid>
        <w:gridCol w:w="1871"/>
        <w:gridCol w:w="709"/>
        <w:gridCol w:w="709"/>
        <w:gridCol w:w="709"/>
        <w:gridCol w:w="709"/>
        <w:gridCol w:w="709"/>
        <w:gridCol w:w="709"/>
        <w:gridCol w:w="709"/>
        <w:gridCol w:w="709"/>
        <w:gridCol w:w="709"/>
        <w:gridCol w:w="709"/>
        <w:gridCol w:w="709"/>
      </w:tblGrid>
      <w:tr w:rsidR="00DE09A0" w:rsidRPr="00D92E20" w14:paraId="65BDEFBC" w14:textId="77777777" w:rsidTr="00161606">
        <w:trPr>
          <w:trHeight w:val="300"/>
        </w:trPr>
        <w:tc>
          <w:tcPr>
            <w:tcW w:w="1871" w:type="dxa"/>
            <w:tcBorders>
              <w:top w:val="single" w:sz="4" w:space="0" w:color="auto"/>
              <w:left w:val="nil"/>
              <w:bottom w:val="single" w:sz="4" w:space="0" w:color="auto"/>
              <w:right w:val="single" w:sz="4" w:space="0" w:color="auto"/>
            </w:tcBorders>
            <w:shd w:val="clear" w:color="000000" w:fill="F5DADD"/>
            <w:vAlign w:val="center"/>
            <w:hideMark/>
          </w:tcPr>
          <w:p w14:paraId="3AB7A61A" w14:textId="77777777" w:rsidR="00DE09A0" w:rsidRPr="00D92E20" w:rsidRDefault="00DE09A0" w:rsidP="00DE09A0">
            <w:pPr>
              <w:spacing w:after="0" w:line="240" w:lineRule="auto"/>
              <w:jc w:val="center"/>
              <w:rPr>
                <w:rFonts w:cs="Arial"/>
                <w:color w:val="000000"/>
                <w:sz w:val="16"/>
                <w:szCs w:val="16"/>
              </w:rPr>
            </w:pPr>
            <w:r w:rsidRPr="00D92E20">
              <w:rPr>
                <w:rFonts w:cs="Arial"/>
                <w:color w:val="000000"/>
                <w:sz w:val="16"/>
                <w:szCs w:val="16"/>
              </w:rPr>
              <w:t>Kraj ČR</w:t>
            </w:r>
          </w:p>
        </w:tc>
        <w:tc>
          <w:tcPr>
            <w:tcW w:w="709" w:type="dxa"/>
            <w:tcBorders>
              <w:top w:val="single" w:sz="4" w:space="0" w:color="auto"/>
              <w:left w:val="nil"/>
              <w:bottom w:val="single" w:sz="4" w:space="0" w:color="auto"/>
              <w:right w:val="nil"/>
            </w:tcBorders>
            <w:shd w:val="clear" w:color="000000" w:fill="F5DADD"/>
            <w:noWrap/>
            <w:vAlign w:val="bottom"/>
            <w:hideMark/>
          </w:tcPr>
          <w:p w14:paraId="326C045E" w14:textId="607E3C50" w:rsidR="00DE09A0" w:rsidRPr="00D92E20" w:rsidRDefault="00DE09A0" w:rsidP="00DE09A0">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2012</w:t>
            </w:r>
          </w:p>
        </w:tc>
        <w:tc>
          <w:tcPr>
            <w:tcW w:w="709" w:type="dxa"/>
            <w:tcBorders>
              <w:top w:val="single" w:sz="4" w:space="0" w:color="auto"/>
              <w:left w:val="nil"/>
              <w:bottom w:val="single" w:sz="4" w:space="0" w:color="auto"/>
              <w:right w:val="nil"/>
            </w:tcBorders>
            <w:shd w:val="clear" w:color="000000" w:fill="F5DADD"/>
            <w:noWrap/>
            <w:vAlign w:val="bottom"/>
            <w:hideMark/>
          </w:tcPr>
          <w:p w14:paraId="74F06A94" w14:textId="5C960743" w:rsidR="00DE09A0" w:rsidRPr="00D92E20" w:rsidRDefault="00DE09A0" w:rsidP="00DE09A0">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2013</w:t>
            </w:r>
          </w:p>
        </w:tc>
        <w:tc>
          <w:tcPr>
            <w:tcW w:w="709" w:type="dxa"/>
            <w:tcBorders>
              <w:top w:val="single" w:sz="4" w:space="0" w:color="auto"/>
              <w:left w:val="nil"/>
              <w:bottom w:val="single" w:sz="4" w:space="0" w:color="auto"/>
              <w:right w:val="nil"/>
            </w:tcBorders>
            <w:shd w:val="clear" w:color="000000" w:fill="F5DADD"/>
            <w:noWrap/>
            <w:vAlign w:val="bottom"/>
            <w:hideMark/>
          </w:tcPr>
          <w:p w14:paraId="4635A734" w14:textId="068385C4" w:rsidR="00DE09A0" w:rsidRPr="00D92E20" w:rsidRDefault="00DE09A0" w:rsidP="00DE09A0">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2014</w:t>
            </w:r>
          </w:p>
        </w:tc>
        <w:tc>
          <w:tcPr>
            <w:tcW w:w="709" w:type="dxa"/>
            <w:tcBorders>
              <w:top w:val="single" w:sz="4" w:space="0" w:color="auto"/>
              <w:left w:val="nil"/>
              <w:bottom w:val="single" w:sz="4" w:space="0" w:color="auto"/>
              <w:right w:val="nil"/>
            </w:tcBorders>
            <w:shd w:val="clear" w:color="000000" w:fill="F5DADD"/>
            <w:noWrap/>
            <w:vAlign w:val="bottom"/>
            <w:hideMark/>
          </w:tcPr>
          <w:p w14:paraId="135C3E0D" w14:textId="2973342C" w:rsidR="00DE09A0" w:rsidRPr="00D92E20" w:rsidRDefault="00DE09A0" w:rsidP="00DE09A0">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2015</w:t>
            </w:r>
          </w:p>
        </w:tc>
        <w:tc>
          <w:tcPr>
            <w:tcW w:w="709" w:type="dxa"/>
            <w:tcBorders>
              <w:top w:val="single" w:sz="4" w:space="0" w:color="auto"/>
              <w:left w:val="nil"/>
              <w:bottom w:val="single" w:sz="4" w:space="0" w:color="auto"/>
              <w:right w:val="nil"/>
            </w:tcBorders>
            <w:shd w:val="clear" w:color="000000" w:fill="F5DADD"/>
            <w:noWrap/>
            <w:vAlign w:val="bottom"/>
            <w:hideMark/>
          </w:tcPr>
          <w:p w14:paraId="54C52920" w14:textId="3592F717" w:rsidR="00DE09A0" w:rsidRPr="00D92E20" w:rsidRDefault="00DE09A0" w:rsidP="00DE09A0">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2016</w:t>
            </w:r>
          </w:p>
        </w:tc>
        <w:tc>
          <w:tcPr>
            <w:tcW w:w="709" w:type="dxa"/>
            <w:tcBorders>
              <w:top w:val="single" w:sz="4" w:space="0" w:color="auto"/>
              <w:left w:val="nil"/>
              <w:bottom w:val="single" w:sz="4" w:space="0" w:color="auto"/>
              <w:right w:val="nil"/>
            </w:tcBorders>
            <w:shd w:val="clear" w:color="000000" w:fill="F5DADD"/>
            <w:noWrap/>
            <w:vAlign w:val="bottom"/>
            <w:hideMark/>
          </w:tcPr>
          <w:p w14:paraId="2AC79781" w14:textId="31524584" w:rsidR="00DE09A0" w:rsidRPr="00D92E20" w:rsidRDefault="00DE09A0" w:rsidP="00DE09A0">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2017</w:t>
            </w:r>
          </w:p>
        </w:tc>
        <w:tc>
          <w:tcPr>
            <w:tcW w:w="709" w:type="dxa"/>
            <w:tcBorders>
              <w:top w:val="single" w:sz="4" w:space="0" w:color="auto"/>
              <w:left w:val="nil"/>
              <w:bottom w:val="single" w:sz="4" w:space="0" w:color="auto"/>
              <w:right w:val="nil"/>
            </w:tcBorders>
            <w:shd w:val="clear" w:color="000000" w:fill="F5DADD"/>
            <w:noWrap/>
            <w:vAlign w:val="bottom"/>
            <w:hideMark/>
          </w:tcPr>
          <w:p w14:paraId="460BF266" w14:textId="3C390CAA" w:rsidR="00DE09A0" w:rsidRPr="00D92E20" w:rsidRDefault="00DE09A0" w:rsidP="00DE09A0">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2018</w:t>
            </w:r>
          </w:p>
        </w:tc>
        <w:tc>
          <w:tcPr>
            <w:tcW w:w="709" w:type="dxa"/>
            <w:tcBorders>
              <w:top w:val="single" w:sz="4" w:space="0" w:color="auto"/>
              <w:left w:val="nil"/>
              <w:bottom w:val="single" w:sz="4" w:space="0" w:color="auto"/>
              <w:right w:val="nil"/>
            </w:tcBorders>
            <w:shd w:val="clear" w:color="000000" w:fill="F5DADD"/>
            <w:noWrap/>
            <w:vAlign w:val="bottom"/>
            <w:hideMark/>
          </w:tcPr>
          <w:p w14:paraId="535F1848" w14:textId="029B172C" w:rsidR="00DE09A0" w:rsidRPr="00D92E20" w:rsidRDefault="00DE09A0" w:rsidP="00DE09A0">
            <w:pPr>
              <w:spacing w:after="0" w:line="240" w:lineRule="auto"/>
              <w:jc w:val="center"/>
              <w:rPr>
                <w:rFonts w:cs="Arial"/>
                <w:color w:val="000000"/>
                <w:sz w:val="16"/>
                <w:szCs w:val="16"/>
              </w:rPr>
            </w:pPr>
            <w:r>
              <w:rPr>
                <w:rFonts w:cs="Arial"/>
                <w:sz w:val="16"/>
                <w:szCs w:val="16"/>
              </w:rPr>
              <w:t>1. pol. 2019</w:t>
            </w:r>
          </w:p>
        </w:tc>
        <w:tc>
          <w:tcPr>
            <w:tcW w:w="709" w:type="dxa"/>
            <w:tcBorders>
              <w:top w:val="single" w:sz="4" w:space="0" w:color="auto"/>
              <w:left w:val="nil"/>
              <w:bottom w:val="single" w:sz="4" w:space="0" w:color="auto"/>
              <w:right w:val="nil"/>
            </w:tcBorders>
            <w:shd w:val="clear" w:color="000000" w:fill="F5DADD"/>
            <w:noWrap/>
            <w:vAlign w:val="bottom"/>
            <w:hideMark/>
          </w:tcPr>
          <w:p w14:paraId="02336B36" w14:textId="036A49E4" w:rsidR="00DE09A0" w:rsidRPr="00D92E20" w:rsidRDefault="00DE09A0" w:rsidP="00DE09A0">
            <w:pPr>
              <w:spacing w:after="0" w:line="240" w:lineRule="auto"/>
              <w:jc w:val="center"/>
              <w:rPr>
                <w:rFonts w:cs="Arial"/>
                <w:color w:val="000000"/>
                <w:sz w:val="16"/>
                <w:szCs w:val="16"/>
              </w:rPr>
            </w:pPr>
            <w:r>
              <w:rPr>
                <w:rFonts w:cs="Arial"/>
                <w:sz w:val="16"/>
                <w:szCs w:val="16"/>
              </w:rPr>
              <w:t>1. pol. 2020</w:t>
            </w:r>
          </w:p>
        </w:tc>
        <w:tc>
          <w:tcPr>
            <w:tcW w:w="709" w:type="dxa"/>
            <w:tcBorders>
              <w:top w:val="single" w:sz="4" w:space="0" w:color="auto"/>
              <w:left w:val="nil"/>
              <w:bottom w:val="single" w:sz="4" w:space="0" w:color="auto"/>
              <w:right w:val="nil"/>
            </w:tcBorders>
            <w:shd w:val="clear" w:color="000000" w:fill="F5DADD"/>
            <w:noWrap/>
            <w:vAlign w:val="bottom"/>
            <w:hideMark/>
          </w:tcPr>
          <w:p w14:paraId="09A49D0F" w14:textId="0BD06B81" w:rsidR="00DE09A0" w:rsidRPr="00D92E20" w:rsidRDefault="00DE09A0" w:rsidP="00DE09A0">
            <w:pPr>
              <w:spacing w:after="0" w:line="240" w:lineRule="auto"/>
              <w:jc w:val="center"/>
              <w:rPr>
                <w:rFonts w:cs="Arial"/>
                <w:color w:val="000000"/>
                <w:sz w:val="16"/>
                <w:szCs w:val="16"/>
              </w:rPr>
            </w:pPr>
            <w:r>
              <w:rPr>
                <w:rFonts w:cs="Arial"/>
                <w:sz w:val="16"/>
                <w:szCs w:val="16"/>
              </w:rPr>
              <w:t>1. pol. 2021</w:t>
            </w:r>
          </w:p>
        </w:tc>
        <w:tc>
          <w:tcPr>
            <w:tcW w:w="709" w:type="dxa"/>
            <w:tcBorders>
              <w:top w:val="single" w:sz="4" w:space="0" w:color="auto"/>
              <w:left w:val="nil"/>
              <w:bottom w:val="single" w:sz="4" w:space="0" w:color="auto"/>
              <w:right w:val="nil"/>
            </w:tcBorders>
            <w:shd w:val="clear" w:color="000000" w:fill="F5DADD"/>
            <w:noWrap/>
            <w:vAlign w:val="bottom"/>
            <w:hideMark/>
          </w:tcPr>
          <w:p w14:paraId="0B2A02E6" w14:textId="33924F21" w:rsidR="00DE09A0" w:rsidRPr="00D92E20" w:rsidRDefault="00DE09A0" w:rsidP="00DE09A0">
            <w:pPr>
              <w:spacing w:after="0" w:line="240" w:lineRule="auto"/>
              <w:jc w:val="center"/>
              <w:rPr>
                <w:rFonts w:cs="Arial"/>
                <w:color w:val="000000"/>
                <w:sz w:val="16"/>
                <w:szCs w:val="16"/>
              </w:rPr>
            </w:pPr>
            <w:r>
              <w:rPr>
                <w:rFonts w:cs="Arial"/>
                <w:sz w:val="16"/>
                <w:szCs w:val="16"/>
              </w:rPr>
              <w:t>1. pol. 2022</w:t>
            </w:r>
          </w:p>
        </w:tc>
      </w:tr>
      <w:tr w:rsidR="00DE09A0" w:rsidRPr="00D92E20" w14:paraId="1FD7C5C8"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42A2E71A" w14:textId="77777777" w:rsidR="00DE09A0" w:rsidRPr="00D92E20" w:rsidRDefault="00DE09A0" w:rsidP="00DE09A0">
            <w:pPr>
              <w:spacing w:after="0" w:line="240" w:lineRule="auto"/>
              <w:rPr>
                <w:rFonts w:cs="Arial"/>
                <w:b/>
                <w:bCs/>
                <w:color w:val="000000"/>
                <w:sz w:val="16"/>
                <w:szCs w:val="16"/>
              </w:rPr>
            </w:pPr>
            <w:r w:rsidRPr="00D92E20">
              <w:rPr>
                <w:rFonts w:cs="Arial"/>
                <w:b/>
                <w:bCs/>
                <w:color w:val="000000"/>
                <w:sz w:val="16"/>
                <w:szCs w:val="16"/>
              </w:rPr>
              <w:t>ČR celkem</w:t>
            </w:r>
          </w:p>
        </w:tc>
        <w:tc>
          <w:tcPr>
            <w:tcW w:w="709" w:type="dxa"/>
            <w:tcBorders>
              <w:top w:val="nil"/>
              <w:left w:val="nil"/>
              <w:bottom w:val="nil"/>
              <w:right w:val="nil"/>
            </w:tcBorders>
            <w:shd w:val="clear" w:color="auto" w:fill="auto"/>
            <w:noWrap/>
            <w:vAlign w:val="center"/>
            <w:hideMark/>
          </w:tcPr>
          <w:p w14:paraId="7E88A14A" w14:textId="0696CC99" w:rsidR="00DE09A0" w:rsidRPr="00D92E20" w:rsidRDefault="00DE09A0" w:rsidP="00DE09A0">
            <w:pPr>
              <w:spacing w:after="0" w:line="240" w:lineRule="auto"/>
              <w:jc w:val="center"/>
              <w:rPr>
                <w:rFonts w:cs="Arial"/>
                <w:b/>
                <w:bCs/>
                <w:color w:val="000000"/>
                <w:sz w:val="16"/>
                <w:szCs w:val="16"/>
              </w:rPr>
            </w:pPr>
            <w:r>
              <w:rPr>
                <w:rFonts w:cs="Arial"/>
                <w:b/>
                <w:bCs/>
                <w:sz w:val="16"/>
                <w:szCs w:val="16"/>
              </w:rPr>
              <w:t>47,7</w:t>
            </w:r>
          </w:p>
        </w:tc>
        <w:tc>
          <w:tcPr>
            <w:tcW w:w="709" w:type="dxa"/>
            <w:tcBorders>
              <w:top w:val="nil"/>
              <w:left w:val="nil"/>
              <w:bottom w:val="nil"/>
              <w:right w:val="nil"/>
            </w:tcBorders>
            <w:shd w:val="clear" w:color="auto" w:fill="auto"/>
            <w:noWrap/>
            <w:vAlign w:val="center"/>
            <w:hideMark/>
          </w:tcPr>
          <w:p w14:paraId="5AA093B6" w14:textId="7710CCCC" w:rsidR="00DE09A0" w:rsidRPr="00D92E20" w:rsidRDefault="00DE09A0" w:rsidP="00DE09A0">
            <w:pPr>
              <w:spacing w:after="0" w:line="240" w:lineRule="auto"/>
              <w:jc w:val="center"/>
              <w:rPr>
                <w:rFonts w:cs="Arial"/>
                <w:b/>
                <w:bCs/>
                <w:color w:val="000000"/>
                <w:sz w:val="16"/>
                <w:szCs w:val="16"/>
              </w:rPr>
            </w:pPr>
            <w:r>
              <w:rPr>
                <w:rFonts w:cs="Arial"/>
                <w:b/>
                <w:bCs/>
                <w:sz w:val="16"/>
                <w:szCs w:val="16"/>
              </w:rPr>
              <w:t>42,2</w:t>
            </w:r>
          </w:p>
        </w:tc>
        <w:tc>
          <w:tcPr>
            <w:tcW w:w="709" w:type="dxa"/>
            <w:tcBorders>
              <w:top w:val="nil"/>
              <w:left w:val="nil"/>
              <w:bottom w:val="nil"/>
              <w:right w:val="nil"/>
            </w:tcBorders>
            <w:shd w:val="clear" w:color="auto" w:fill="auto"/>
            <w:noWrap/>
            <w:vAlign w:val="center"/>
            <w:hideMark/>
          </w:tcPr>
          <w:p w14:paraId="5D4F8276" w14:textId="07F4E9C8" w:rsidR="00DE09A0" w:rsidRPr="00D92E20" w:rsidRDefault="00DE09A0" w:rsidP="00DE09A0">
            <w:pPr>
              <w:spacing w:after="0" w:line="240" w:lineRule="auto"/>
              <w:jc w:val="center"/>
              <w:rPr>
                <w:rFonts w:cs="Arial"/>
                <w:b/>
                <w:bCs/>
                <w:color w:val="000000"/>
                <w:sz w:val="16"/>
                <w:szCs w:val="16"/>
              </w:rPr>
            </w:pPr>
            <w:r>
              <w:rPr>
                <w:rFonts w:cs="Arial"/>
                <w:b/>
                <w:bCs/>
                <w:sz w:val="16"/>
                <w:szCs w:val="16"/>
              </w:rPr>
              <w:t>45,9</w:t>
            </w:r>
          </w:p>
        </w:tc>
        <w:tc>
          <w:tcPr>
            <w:tcW w:w="709" w:type="dxa"/>
            <w:tcBorders>
              <w:top w:val="nil"/>
              <w:left w:val="nil"/>
              <w:bottom w:val="nil"/>
              <w:right w:val="nil"/>
            </w:tcBorders>
            <w:shd w:val="clear" w:color="auto" w:fill="auto"/>
            <w:noWrap/>
            <w:vAlign w:val="center"/>
            <w:hideMark/>
          </w:tcPr>
          <w:p w14:paraId="4E4CBE6F" w14:textId="366FEB41" w:rsidR="00DE09A0" w:rsidRPr="00D92E20" w:rsidRDefault="00DE09A0" w:rsidP="00DE09A0">
            <w:pPr>
              <w:spacing w:after="0" w:line="240" w:lineRule="auto"/>
              <w:jc w:val="center"/>
              <w:rPr>
                <w:rFonts w:cs="Arial"/>
                <w:b/>
                <w:bCs/>
                <w:color w:val="000000"/>
                <w:sz w:val="16"/>
                <w:szCs w:val="16"/>
              </w:rPr>
            </w:pPr>
            <w:r>
              <w:rPr>
                <w:rFonts w:cs="Arial"/>
                <w:b/>
                <w:bCs/>
                <w:sz w:val="16"/>
                <w:szCs w:val="16"/>
              </w:rPr>
              <w:t>40,1</w:t>
            </w:r>
          </w:p>
        </w:tc>
        <w:tc>
          <w:tcPr>
            <w:tcW w:w="709" w:type="dxa"/>
            <w:tcBorders>
              <w:top w:val="nil"/>
              <w:left w:val="nil"/>
              <w:bottom w:val="nil"/>
              <w:right w:val="nil"/>
            </w:tcBorders>
            <w:shd w:val="clear" w:color="auto" w:fill="auto"/>
            <w:noWrap/>
            <w:vAlign w:val="center"/>
            <w:hideMark/>
          </w:tcPr>
          <w:p w14:paraId="713292CB" w14:textId="0154E3B8" w:rsidR="00DE09A0" w:rsidRPr="00D92E20" w:rsidRDefault="00DE09A0" w:rsidP="00DE09A0">
            <w:pPr>
              <w:spacing w:after="0" w:line="240" w:lineRule="auto"/>
              <w:jc w:val="center"/>
              <w:rPr>
                <w:rFonts w:cs="Arial"/>
                <w:b/>
                <w:bCs/>
                <w:color w:val="000000"/>
                <w:sz w:val="16"/>
                <w:szCs w:val="16"/>
              </w:rPr>
            </w:pPr>
            <w:r>
              <w:rPr>
                <w:rFonts w:cs="Arial"/>
                <w:b/>
                <w:bCs/>
                <w:sz w:val="16"/>
                <w:szCs w:val="16"/>
              </w:rPr>
              <w:t>42,0</w:t>
            </w:r>
          </w:p>
        </w:tc>
        <w:tc>
          <w:tcPr>
            <w:tcW w:w="709" w:type="dxa"/>
            <w:tcBorders>
              <w:top w:val="nil"/>
              <w:left w:val="nil"/>
              <w:bottom w:val="nil"/>
              <w:right w:val="nil"/>
            </w:tcBorders>
            <w:shd w:val="clear" w:color="auto" w:fill="auto"/>
            <w:noWrap/>
            <w:vAlign w:val="center"/>
            <w:hideMark/>
          </w:tcPr>
          <w:p w14:paraId="3C367A38" w14:textId="08F9B1D8" w:rsidR="00DE09A0" w:rsidRPr="00D92E20" w:rsidRDefault="00DE09A0" w:rsidP="00DE09A0">
            <w:pPr>
              <w:spacing w:after="0" w:line="240" w:lineRule="auto"/>
              <w:jc w:val="center"/>
              <w:rPr>
                <w:rFonts w:cs="Arial"/>
                <w:b/>
                <w:bCs/>
                <w:color w:val="000000"/>
                <w:sz w:val="16"/>
                <w:szCs w:val="16"/>
              </w:rPr>
            </w:pPr>
            <w:r>
              <w:rPr>
                <w:rFonts w:cs="Arial"/>
                <w:b/>
                <w:bCs/>
                <w:sz w:val="16"/>
                <w:szCs w:val="16"/>
              </w:rPr>
              <w:t>41,0</w:t>
            </w:r>
          </w:p>
        </w:tc>
        <w:tc>
          <w:tcPr>
            <w:tcW w:w="709" w:type="dxa"/>
            <w:tcBorders>
              <w:top w:val="nil"/>
              <w:left w:val="nil"/>
              <w:bottom w:val="nil"/>
              <w:right w:val="nil"/>
            </w:tcBorders>
            <w:shd w:val="clear" w:color="auto" w:fill="auto"/>
            <w:noWrap/>
            <w:vAlign w:val="center"/>
            <w:hideMark/>
          </w:tcPr>
          <w:p w14:paraId="10FB9595" w14:textId="1CC5578D" w:rsidR="00DE09A0" w:rsidRPr="00D92E20" w:rsidRDefault="00DE09A0" w:rsidP="00DE09A0">
            <w:pPr>
              <w:spacing w:after="0" w:line="240" w:lineRule="auto"/>
              <w:jc w:val="center"/>
              <w:rPr>
                <w:rFonts w:cs="Arial"/>
                <w:b/>
                <w:bCs/>
                <w:color w:val="000000"/>
                <w:sz w:val="16"/>
                <w:szCs w:val="16"/>
              </w:rPr>
            </w:pPr>
            <w:r>
              <w:rPr>
                <w:rFonts w:cs="Arial"/>
                <w:b/>
                <w:bCs/>
                <w:color w:val="000000"/>
                <w:sz w:val="16"/>
                <w:szCs w:val="16"/>
              </w:rPr>
              <w:t>39,1</w:t>
            </w:r>
          </w:p>
        </w:tc>
        <w:tc>
          <w:tcPr>
            <w:tcW w:w="709" w:type="dxa"/>
            <w:tcBorders>
              <w:top w:val="nil"/>
              <w:left w:val="nil"/>
              <w:bottom w:val="nil"/>
              <w:right w:val="nil"/>
            </w:tcBorders>
            <w:shd w:val="clear" w:color="auto" w:fill="auto"/>
            <w:noWrap/>
            <w:vAlign w:val="center"/>
            <w:hideMark/>
          </w:tcPr>
          <w:p w14:paraId="1EA62370" w14:textId="2F889B82" w:rsidR="00DE09A0" w:rsidRPr="00D92E20" w:rsidRDefault="00DE09A0" w:rsidP="00DE09A0">
            <w:pPr>
              <w:spacing w:after="0" w:line="240" w:lineRule="auto"/>
              <w:jc w:val="center"/>
              <w:rPr>
                <w:rFonts w:cs="Arial"/>
                <w:b/>
                <w:bCs/>
                <w:color w:val="000000"/>
                <w:sz w:val="16"/>
                <w:szCs w:val="16"/>
              </w:rPr>
            </w:pPr>
            <w:r>
              <w:rPr>
                <w:rFonts w:cs="Arial"/>
                <w:b/>
                <w:bCs/>
                <w:color w:val="000000"/>
                <w:sz w:val="16"/>
                <w:szCs w:val="16"/>
              </w:rPr>
              <w:t>42,6</w:t>
            </w:r>
          </w:p>
        </w:tc>
        <w:tc>
          <w:tcPr>
            <w:tcW w:w="709" w:type="dxa"/>
            <w:tcBorders>
              <w:top w:val="nil"/>
              <w:left w:val="nil"/>
              <w:bottom w:val="nil"/>
              <w:right w:val="nil"/>
            </w:tcBorders>
            <w:shd w:val="clear" w:color="auto" w:fill="auto"/>
            <w:noWrap/>
            <w:vAlign w:val="center"/>
            <w:hideMark/>
          </w:tcPr>
          <w:p w14:paraId="66AA3CE7" w14:textId="11A48E4D" w:rsidR="00DE09A0" w:rsidRPr="00D92E20" w:rsidRDefault="00DE09A0" w:rsidP="00DE09A0">
            <w:pPr>
              <w:spacing w:after="0" w:line="240" w:lineRule="auto"/>
              <w:jc w:val="center"/>
              <w:rPr>
                <w:rFonts w:cs="Arial"/>
                <w:b/>
                <w:bCs/>
                <w:color w:val="000000"/>
                <w:sz w:val="16"/>
                <w:szCs w:val="16"/>
              </w:rPr>
            </w:pPr>
            <w:r>
              <w:rPr>
                <w:rFonts w:cs="Arial"/>
                <w:b/>
                <w:bCs/>
                <w:color w:val="000000"/>
                <w:sz w:val="16"/>
                <w:szCs w:val="16"/>
              </w:rPr>
              <w:t>44,3</w:t>
            </w:r>
          </w:p>
        </w:tc>
        <w:tc>
          <w:tcPr>
            <w:tcW w:w="709" w:type="dxa"/>
            <w:tcBorders>
              <w:top w:val="nil"/>
              <w:left w:val="nil"/>
              <w:bottom w:val="nil"/>
              <w:right w:val="nil"/>
            </w:tcBorders>
            <w:shd w:val="clear" w:color="auto" w:fill="auto"/>
            <w:noWrap/>
            <w:vAlign w:val="center"/>
            <w:hideMark/>
          </w:tcPr>
          <w:p w14:paraId="2BEF531E" w14:textId="5895CB53" w:rsidR="00DE09A0" w:rsidRPr="00D92E20" w:rsidRDefault="00DE09A0" w:rsidP="00DE09A0">
            <w:pPr>
              <w:spacing w:after="0" w:line="240" w:lineRule="auto"/>
              <w:jc w:val="center"/>
              <w:rPr>
                <w:rFonts w:cs="Arial"/>
                <w:b/>
                <w:bCs/>
                <w:color w:val="000000"/>
                <w:sz w:val="16"/>
                <w:szCs w:val="16"/>
              </w:rPr>
            </w:pPr>
            <w:r>
              <w:rPr>
                <w:rFonts w:cs="Arial"/>
                <w:b/>
                <w:bCs/>
                <w:color w:val="000000"/>
                <w:sz w:val="16"/>
                <w:szCs w:val="16"/>
              </w:rPr>
              <w:t>36,3</w:t>
            </w:r>
          </w:p>
        </w:tc>
        <w:tc>
          <w:tcPr>
            <w:tcW w:w="709" w:type="dxa"/>
            <w:tcBorders>
              <w:top w:val="nil"/>
              <w:left w:val="nil"/>
              <w:bottom w:val="nil"/>
              <w:right w:val="nil"/>
            </w:tcBorders>
            <w:shd w:val="clear" w:color="auto" w:fill="auto"/>
            <w:noWrap/>
            <w:vAlign w:val="center"/>
            <w:hideMark/>
          </w:tcPr>
          <w:p w14:paraId="175480A4" w14:textId="4CB6D553" w:rsidR="00DE09A0" w:rsidRPr="00D92E20" w:rsidRDefault="00DE09A0" w:rsidP="00DE09A0">
            <w:pPr>
              <w:spacing w:after="0" w:line="240" w:lineRule="auto"/>
              <w:jc w:val="center"/>
              <w:rPr>
                <w:rFonts w:cs="Arial"/>
                <w:b/>
                <w:bCs/>
                <w:color w:val="000000"/>
                <w:sz w:val="16"/>
                <w:szCs w:val="16"/>
              </w:rPr>
            </w:pPr>
            <w:r>
              <w:rPr>
                <w:rFonts w:cs="Arial"/>
                <w:b/>
                <w:bCs/>
                <w:color w:val="000000"/>
                <w:sz w:val="16"/>
                <w:szCs w:val="16"/>
              </w:rPr>
              <w:t>24,5</w:t>
            </w:r>
          </w:p>
        </w:tc>
      </w:tr>
      <w:tr w:rsidR="00DE09A0" w:rsidRPr="00D92E20" w14:paraId="20CA713A"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33CB57F5"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Hl. m. Praha</w:t>
            </w:r>
          </w:p>
        </w:tc>
        <w:tc>
          <w:tcPr>
            <w:tcW w:w="709" w:type="dxa"/>
            <w:tcBorders>
              <w:top w:val="nil"/>
              <w:left w:val="nil"/>
              <w:bottom w:val="nil"/>
              <w:right w:val="nil"/>
            </w:tcBorders>
            <w:shd w:val="clear" w:color="auto" w:fill="auto"/>
            <w:noWrap/>
            <w:vAlign w:val="center"/>
            <w:hideMark/>
          </w:tcPr>
          <w:p w14:paraId="1AFA24BA" w14:textId="589046B7" w:rsidR="00DE09A0" w:rsidRPr="00D92E20" w:rsidRDefault="00DE09A0" w:rsidP="00DE09A0">
            <w:pPr>
              <w:spacing w:after="0" w:line="240" w:lineRule="auto"/>
              <w:jc w:val="center"/>
              <w:rPr>
                <w:rFonts w:cs="Arial"/>
                <w:color w:val="000000"/>
                <w:sz w:val="16"/>
                <w:szCs w:val="16"/>
              </w:rPr>
            </w:pPr>
            <w:r>
              <w:rPr>
                <w:rFonts w:cs="Arial"/>
                <w:sz w:val="16"/>
                <w:szCs w:val="16"/>
              </w:rPr>
              <w:t>42,4</w:t>
            </w:r>
          </w:p>
        </w:tc>
        <w:tc>
          <w:tcPr>
            <w:tcW w:w="709" w:type="dxa"/>
            <w:tcBorders>
              <w:top w:val="nil"/>
              <w:left w:val="nil"/>
              <w:bottom w:val="nil"/>
              <w:right w:val="nil"/>
            </w:tcBorders>
            <w:shd w:val="clear" w:color="auto" w:fill="auto"/>
            <w:noWrap/>
            <w:vAlign w:val="center"/>
            <w:hideMark/>
          </w:tcPr>
          <w:p w14:paraId="095FBB6E" w14:textId="3E29D063" w:rsidR="00DE09A0" w:rsidRPr="00D92E20" w:rsidRDefault="00DE09A0" w:rsidP="00DE09A0">
            <w:pPr>
              <w:spacing w:after="0" w:line="240" w:lineRule="auto"/>
              <w:jc w:val="center"/>
              <w:rPr>
                <w:rFonts w:cs="Arial"/>
                <w:color w:val="000000"/>
                <w:sz w:val="16"/>
                <w:szCs w:val="16"/>
              </w:rPr>
            </w:pPr>
            <w:r>
              <w:rPr>
                <w:rFonts w:cs="Arial"/>
                <w:sz w:val="16"/>
                <w:szCs w:val="16"/>
              </w:rPr>
              <w:t>37,4</w:t>
            </w:r>
          </w:p>
        </w:tc>
        <w:tc>
          <w:tcPr>
            <w:tcW w:w="709" w:type="dxa"/>
            <w:tcBorders>
              <w:top w:val="nil"/>
              <w:left w:val="nil"/>
              <w:bottom w:val="nil"/>
              <w:right w:val="nil"/>
            </w:tcBorders>
            <w:shd w:val="clear" w:color="auto" w:fill="auto"/>
            <w:noWrap/>
            <w:vAlign w:val="center"/>
            <w:hideMark/>
          </w:tcPr>
          <w:p w14:paraId="38A625DB" w14:textId="6CF1DB02" w:rsidR="00DE09A0" w:rsidRPr="00D92E20" w:rsidRDefault="00DE09A0" w:rsidP="00DE09A0">
            <w:pPr>
              <w:spacing w:after="0" w:line="240" w:lineRule="auto"/>
              <w:jc w:val="center"/>
              <w:rPr>
                <w:rFonts w:cs="Arial"/>
                <w:color w:val="000000"/>
                <w:sz w:val="16"/>
                <w:szCs w:val="16"/>
              </w:rPr>
            </w:pPr>
            <w:r>
              <w:rPr>
                <w:rFonts w:cs="Arial"/>
                <w:sz w:val="16"/>
                <w:szCs w:val="16"/>
              </w:rPr>
              <w:t>40,3</w:t>
            </w:r>
          </w:p>
        </w:tc>
        <w:tc>
          <w:tcPr>
            <w:tcW w:w="709" w:type="dxa"/>
            <w:tcBorders>
              <w:top w:val="nil"/>
              <w:left w:val="nil"/>
              <w:bottom w:val="nil"/>
              <w:right w:val="nil"/>
            </w:tcBorders>
            <w:shd w:val="clear" w:color="auto" w:fill="auto"/>
            <w:noWrap/>
            <w:vAlign w:val="center"/>
            <w:hideMark/>
          </w:tcPr>
          <w:p w14:paraId="5907138E" w14:textId="61633EF0" w:rsidR="00DE09A0" w:rsidRPr="00D92E20" w:rsidRDefault="00DE09A0" w:rsidP="00DE09A0">
            <w:pPr>
              <w:spacing w:after="0" w:line="240" w:lineRule="auto"/>
              <w:jc w:val="center"/>
              <w:rPr>
                <w:rFonts w:cs="Arial"/>
                <w:color w:val="000000"/>
                <w:sz w:val="16"/>
                <w:szCs w:val="16"/>
              </w:rPr>
            </w:pPr>
            <w:r>
              <w:rPr>
                <w:rFonts w:cs="Arial"/>
                <w:sz w:val="16"/>
                <w:szCs w:val="16"/>
              </w:rPr>
              <w:t>36,5</w:t>
            </w:r>
          </w:p>
        </w:tc>
        <w:tc>
          <w:tcPr>
            <w:tcW w:w="709" w:type="dxa"/>
            <w:tcBorders>
              <w:top w:val="nil"/>
              <w:left w:val="nil"/>
              <w:bottom w:val="nil"/>
              <w:right w:val="nil"/>
            </w:tcBorders>
            <w:shd w:val="clear" w:color="auto" w:fill="auto"/>
            <w:noWrap/>
            <w:vAlign w:val="center"/>
            <w:hideMark/>
          </w:tcPr>
          <w:p w14:paraId="7F8615FC" w14:textId="394D9009" w:rsidR="00DE09A0" w:rsidRPr="00D92E20" w:rsidRDefault="00DE09A0" w:rsidP="00DE09A0">
            <w:pPr>
              <w:spacing w:after="0" w:line="240" w:lineRule="auto"/>
              <w:jc w:val="center"/>
              <w:rPr>
                <w:rFonts w:cs="Arial"/>
                <w:color w:val="000000"/>
                <w:sz w:val="16"/>
                <w:szCs w:val="16"/>
              </w:rPr>
            </w:pPr>
            <w:r>
              <w:rPr>
                <w:rFonts w:cs="Arial"/>
                <w:sz w:val="16"/>
                <w:szCs w:val="16"/>
              </w:rPr>
              <w:t>37,3</w:t>
            </w:r>
          </w:p>
        </w:tc>
        <w:tc>
          <w:tcPr>
            <w:tcW w:w="709" w:type="dxa"/>
            <w:tcBorders>
              <w:top w:val="nil"/>
              <w:left w:val="nil"/>
              <w:bottom w:val="nil"/>
              <w:right w:val="nil"/>
            </w:tcBorders>
            <w:shd w:val="clear" w:color="auto" w:fill="auto"/>
            <w:noWrap/>
            <w:vAlign w:val="center"/>
            <w:hideMark/>
          </w:tcPr>
          <w:p w14:paraId="560657DC" w14:textId="3855A522" w:rsidR="00DE09A0" w:rsidRPr="00D92E20" w:rsidRDefault="00DE09A0" w:rsidP="00DE09A0">
            <w:pPr>
              <w:spacing w:after="0" w:line="240" w:lineRule="auto"/>
              <w:jc w:val="center"/>
              <w:rPr>
                <w:rFonts w:cs="Arial"/>
                <w:color w:val="000000"/>
                <w:sz w:val="16"/>
                <w:szCs w:val="16"/>
              </w:rPr>
            </w:pPr>
            <w:r>
              <w:rPr>
                <w:rFonts w:cs="Arial"/>
                <w:sz w:val="16"/>
                <w:szCs w:val="16"/>
              </w:rPr>
              <w:t>37,2</w:t>
            </w:r>
          </w:p>
        </w:tc>
        <w:tc>
          <w:tcPr>
            <w:tcW w:w="709" w:type="dxa"/>
            <w:tcBorders>
              <w:top w:val="nil"/>
              <w:left w:val="nil"/>
              <w:bottom w:val="nil"/>
              <w:right w:val="nil"/>
            </w:tcBorders>
            <w:shd w:val="clear" w:color="auto" w:fill="auto"/>
            <w:noWrap/>
            <w:vAlign w:val="center"/>
            <w:hideMark/>
          </w:tcPr>
          <w:p w14:paraId="4C6581BE" w14:textId="2C4118B7" w:rsidR="00DE09A0" w:rsidRPr="00D92E20" w:rsidRDefault="00DE09A0" w:rsidP="00DE09A0">
            <w:pPr>
              <w:spacing w:after="0" w:line="240" w:lineRule="auto"/>
              <w:jc w:val="center"/>
              <w:rPr>
                <w:rFonts w:cs="Arial"/>
                <w:color w:val="000000"/>
                <w:sz w:val="16"/>
                <w:szCs w:val="16"/>
              </w:rPr>
            </w:pPr>
            <w:r>
              <w:rPr>
                <w:rFonts w:cs="Arial"/>
                <w:color w:val="000000"/>
                <w:sz w:val="16"/>
                <w:szCs w:val="16"/>
              </w:rPr>
              <w:t>36,7</w:t>
            </w:r>
          </w:p>
        </w:tc>
        <w:tc>
          <w:tcPr>
            <w:tcW w:w="709" w:type="dxa"/>
            <w:tcBorders>
              <w:top w:val="nil"/>
              <w:left w:val="nil"/>
              <w:bottom w:val="nil"/>
              <w:right w:val="nil"/>
            </w:tcBorders>
            <w:shd w:val="clear" w:color="auto" w:fill="auto"/>
            <w:noWrap/>
            <w:vAlign w:val="center"/>
            <w:hideMark/>
          </w:tcPr>
          <w:p w14:paraId="6D2F224C" w14:textId="2651BFBA" w:rsidR="00DE09A0" w:rsidRPr="00D92E20" w:rsidRDefault="00DE09A0" w:rsidP="00DE09A0">
            <w:pPr>
              <w:spacing w:after="0" w:line="240" w:lineRule="auto"/>
              <w:jc w:val="center"/>
              <w:rPr>
                <w:rFonts w:cs="Arial"/>
                <w:color w:val="000000"/>
                <w:sz w:val="16"/>
                <w:szCs w:val="16"/>
              </w:rPr>
            </w:pPr>
            <w:r>
              <w:rPr>
                <w:rFonts w:cs="Arial"/>
                <w:color w:val="000000"/>
                <w:sz w:val="16"/>
                <w:szCs w:val="16"/>
              </w:rPr>
              <w:t>39,5</w:t>
            </w:r>
          </w:p>
        </w:tc>
        <w:tc>
          <w:tcPr>
            <w:tcW w:w="709" w:type="dxa"/>
            <w:tcBorders>
              <w:top w:val="nil"/>
              <w:left w:val="nil"/>
              <w:bottom w:val="nil"/>
              <w:right w:val="nil"/>
            </w:tcBorders>
            <w:shd w:val="clear" w:color="auto" w:fill="auto"/>
            <w:noWrap/>
            <w:vAlign w:val="center"/>
            <w:hideMark/>
          </w:tcPr>
          <w:p w14:paraId="4443BA5D" w14:textId="7087F3C0"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40,5</w:t>
            </w:r>
          </w:p>
        </w:tc>
        <w:tc>
          <w:tcPr>
            <w:tcW w:w="709" w:type="dxa"/>
            <w:tcBorders>
              <w:top w:val="nil"/>
              <w:left w:val="nil"/>
              <w:bottom w:val="nil"/>
              <w:right w:val="nil"/>
            </w:tcBorders>
            <w:shd w:val="clear" w:color="auto" w:fill="auto"/>
            <w:noWrap/>
            <w:vAlign w:val="center"/>
            <w:hideMark/>
          </w:tcPr>
          <w:p w14:paraId="75516C41" w14:textId="336776E3" w:rsidR="00DE09A0" w:rsidRPr="00D92E20" w:rsidRDefault="00DE09A0" w:rsidP="00DE09A0">
            <w:pPr>
              <w:spacing w:after="0" w:line="240" w:lineRule="auto"/>
              <w:jc w:val="center"/>
              <w:rPr>
                <w:rFonts w:cs="Arial"/>
                <w:color w:val="000000"/>
                <w:sz w:val="16"/>
                <w:szCs w:val="16"/>
              </w:rPr>
            </w:pPr>
            <w:r>
              <w:rPr>
                <w:rFonts w:cs="Arial"/>
                <w:color w:val="000000"/>
                <w:sz w:val="16"/>
                <w:szCs w:val="16"/>
              </w:rPr>
              <w:t>35,8</w:t>
            </w:r>
          </w:p>
        </w:tc>
        <w:tc>
          <w:tcPr>
            <w:tcW w:w="709" w:type="dxa"/>
            <w:tcBorders>
              <w:top w:val="nil"/>
              <w:left w:val="nil"/>
              <w:bottom w:val="nil"/>
              <w:right w:val="nil"/>
            </w:tcBorders>
            <w:shd w:val="clear" w:color="auto" w:fill="auto"/>
            <w:noWrap/>
            <w:vAlign w:val="center"/>
            <w:hideMark/>
          </w:tcPr>
          <w:p w14:paraId="4FB2FE16" w14:textId="3813B205" w:rsidR="00DE09A0" w:rsidRPr="00D92E20" w:rsidRDefault="00DE09A0" w:rsidP="00DE09A0">
            <w:pPr>
              <w:spacing w:after="0" w:line="240" w:lineRule="auto"/>
              <w:jc w:val="center"/>
              <w:rPr>
                <w:rFonts w:cs="Arial"/>
                <w:color w:val="000000"/>
                <w:sz w:val="16"/>
                <w:szCs w:val="16"/>
              </w:rPr>
            </w:pPr>
            <w:r>
              <w:rPr>
                <w:rFonts w:cs="Arial"/>
                <w:color w:val="000000"/>
                <w:sz w:val="16"/>
                <w:szCs w:val="16"/>
              </w:rPr>
              <w:t>23,3</w:t>
            </w:r>
          </w:p>
        </w:tc>
      </w:tr>
      <w:tr w:rsidR="00DE09A0" w:rsidRPr="00D92E20" w14:paraId="02BA9F81"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116692BE"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Středočeský kraj</w:t>
            </w:r>
          </w:p>
        </w:tc>
        <w:tc>
          <w:tcPr>
            <w:tcW w:w="709" w:type="dxa"/>
            <w:tcBorders>
              <w:top w:val="nil"/>
              <w:left w:val="nil"/>
              <w:bottom w:val="nil"/>
              <w:right w:val="nil"/>
            </w:tcBorders>
            <w:shd w:val="clear" w:color="auto" w:fill="auto"/>
            <w:noWrap/>
            <w:vAlign w:val="center"/>
            <w:hideMark/>
          </w:tcPr>
          <w:p w14:paraId="2718403E" w14:textId="4FC222D6" w:rsidR="00DE09A0" w:rsidRPr="00D92E20" w:rsidRDefault="00DE09A0" w:rsidP="00DE09A0">
            <w:pPr>
              <w:spacing w:after="0" w:line="240" w:lineRule="auto"/>
              <w:jc w:val="center"/>
              <w:rPr>
                <w:rFonts w:cs="Arial"/>
                <w:color w:val="000000"/>
                <w:sz w:val="16"/>
                <w:szCs w:val="16"/>
              </w:rPr>
            </w:pPr>
            <w:r>
              <w:rPr>
                <w:rFonts w:cs="Arial"/>
                <w:sz w:val="16"/>
                <w:szCs w:val="16"/>
              </w:rPr>
              <w:t>46,5</w:t>
            </w:r>
          </w:p>
        </w:tc>
        <w:tc>
          <w:tcPr>
            <w:tcW w:w="709" w:type="dxa"/>
            <w:tcBorders>
              <w:top w:val="nil"/>
              <w:left w:val="nil"/>
              <w:bottom w:val="nil"/>
              <w:right w:val="nil"/>
            </w:tcBorders>
            <w:shd w:val="clear" w:color="auto" w:fill="auto"/>
            <w:noWrap/>
            <w:vAlign w:val="center"/>
            <w:hideMark/>
          </w:tcPr>
          <w:p w14:paraId="68654D5B" w14:textId="789D771D" w:rsidR="00DE09A0" w:rsidRPr="00D92E20" w:rsidRDefault="00DE09A0" w:rsidP="00DE09A0">
            <w:pPr>
              <w:spacing w:after="0" w:line="240" w:lineRule="auto"/>
              <w:jc w:val="center"/>
              <w:rPr>
                <w:rFonts w:cs="Arial"/>
                <w:color w:val="000000"/>
                <w:sz w:val="16"/>
                <w:szCs w:val="16"/>
              </w:rPr>
            </w:pPr>
            <w:r>
              <w:rPr>
                <w:rFonts w:cs="Arial"/>
                <w:sz w:val="16"/>
                <w:szCs w:val="16"/>
              </w:rPr>
              <w:t>40,3</w:t>
            </w:r>
          </w:p>
        </w:tc>
        <w:tc>
          <w:tcPr>
            <w:tcW w:w="709" w:type="dxa"/>
            <w:tcBorders>
              <w:top w:val="nil"/>
              <w:left w:val="nil"/>
              <w:bottom w:val="nil"/>
              <w:right w:val="nil"/>
            </w:tcBorders>
            <w:shd w:val="clear" w:color="auto" w:fill="auto"/>
            <w:noWrap/>
            <w:vAlign w:val="center"/>
            <w:hideMark/>
          </w:tcPr>
          <w:p w14:paraId="11559D2A" w14:textId="3F1DC157" w:rsidR="00DE09A0" w:rsidRPr="00D92E20" w:rsidRDefault="00DE09A0" w:rsidP="00DE09A0">
            <w:pPr>
              <w:spacing w:after="0" w:line="240" w:lineRule="auto"/>
              <w:jc w:val="center"/>
              <w:rPr>
                <w:rFonts w:cs="Arial"/>
                <w:color w:val="000000"/>
                <w:sz w:val="16"/>
                <w:szCs w:val="16"/>
              </w:rPr>
            </w:pPr>
            <w:r>
              <w:rPr>
                <w:rFonts w:cs="Arial"/>
                <w:sz w:val="16"/>
                <w:szCs w:val="16"/>
              </w:rPr>
              <w:t>43,3</w:t>
            </w:r>
          </w:p>
        </w:tc>
        <w:tc>
          <w:tcPr>
            <w:tcW w:w="709" w:type="dxa"/>
            <w:tcBorders>
              <w:top w:val="nil"/>
              <w:left w:val="nil"/>
              <w:bottom w:val="nil"/>
              <w:right w:val="nil"/>
            </w:tcBorders>
            <w:shd w:val="clear" w:color="auto" w:fill="auto"/>
            <w:noWrap/>
            <w:vAlign w:val="center"/>
            <w:hideMark/>
          </w:tcPr>
          <w:p w14:paraId="1C7B0676" w14:textId="4D39A7CE" w:rsidR="00DE09A0" w:rsidRPr="00D92E20" w:rsidRDefault="00DE09A0" w:rsidP="00DE09A0">
            <w:pPr>
              <w:spacing w:after="0" w:line="240" w:lineRule="auto"/>
              <w:jc w:val="center"/>
              <w:rPr>
                <w:rFonts w:cs="Arial"/>
                <w:color w:val="000000"/>
                <w:sz w:val="16"/>
                <w:szCs w:val="16"/>
              </w:rPr>
            </w:pPr>
            <w:r>
              <w:rPr>
                <w:rFonts w:cs="Arial"/>
                <w:sz w:val="16"/>
                <w:szCs w:val="16"/>
              </w:rPr>
              <w:t>38,3</w:t>
            </w:r>
          </w:p>
        </w:tc>
        <w:tc>
          <w:tcPr>
            <w:tcW w:w="709" w:type="dxa"/>
            <w:tcBorders>
              <w:top w:val="nil"/>
              <w:left w:val="nil"/>
              <w:bottom w:val="nil"/>
              <w:right w:val="nil"/>
            </w:tcBorders>
            <w:shd w:val="clear" w:color="auto" w:fill="auto"/>
            <w:noWrap/>
            <w:vAlign w:val="center"/>
            <w:hideMark/>
          </w:tcPr>
          <w:p w14:paraId="36B3AB2B" w14:textId="43DEEA66" w:rsidR="00DE09A0" w:rsidRPr="00D92E20" w:rsidRDefault="00DE09A0" w:rsidP="00DE09A0">
            <w:pPr>
              <w:spacing w:after="0" w:line="240" w:lineRule="auto"/>
              <w:jc w:val="center"/>
              <w:rPr>
                <w:rFonts w:cs="Arial"/>
                <w:color w:val="000000"/>
                <w:sz w:val="16"/>
                <w:szCs w:val="16"/>
              </w:rPr>
            </w:pPr>
            <w:r>
              <w:rPr>
                <w:rFonts w:cs="Arial"/>
                <w:sz w:val="16"/>
                <w:szCs w:val="16"/>
              </w:rPr>
              <w:t>39,3</w:t>
            </w:r>
          </w:p>
        </w:tc>
        <w:tc>
          <w:tcPr>
            <w:tcW w:w="709" w:type="dxa"/>
            <w:tcBorders>
              <w:top w:val="nil"/>
              <w:left w:val="nil"/>
              <w:bottom w:val="nil"/>
              <w:right w:val="nil"/>
            </w:tcBorders>
            <w:shd w:val="clear" w:color="auto" w:fill="auto"/>
            <w:noWrap/>
            <w:vAlign w:val="center"/>
            <w:hideMark/>
          </w:tcPr>
          <w:p w14:paraId="25BA6358" w14:textId="12CB476C" w:rsidR="00DE09A0" w:rsidRPr="00D92E20" w:rsidRDefault="00DE09A0" w:rsidP="00DE09A0">
            <w:pPr>
              <w:spacing w:after="0" w:line="240" w:lineRule="auto"/>
              <w:jc w:val="center"/>
              <w:rPr>
                <w:rFonts w:cs="Arial"/>
                <w:color w:val="000000"/>
                <w:sz w:val="16"/>
                <w:szCs w:val="16"/>
              </w:rPr>
            </w:pPr>
            <w:r>
              <w:rPr>
                <w:rFonts w:cs="Arial"/>
                <w:sz w:val="16"/>
                <w:szCs w:val="16"/>
              </w:rPr>
              <w:t>38,9</w:t>
            </w:r>
          </w:p>
        </w:tc>
        <w:tc>
          <w:tcPr>
            <w:tcW w:w="709" w:type="dxa"/>
            <w:tcBorders>
              <w:top w:val="nil"/>
              <w:left w:val="nil"/>
              <w:bottom w:val="nil"/>
              <w:right w:val="nil"/>
            </w:tcBorders>
            <w:shd w:val="clear" w:color="auto" w:fill="auto"/>
            <w:noWrap/>
            <w:vAlign w:val="center"/>
            <w:hideMark/>
          </w:tcPr>
          <w:p w14:paraId="7A81EED2" w14:textId="0AB6C21F" w:rsidR="00DE09A0" w:rsidRPr="00D92E20" w:rsidRDefault="00DE09A0" w:rsidP="00DE09A0">
            <w:pPr>
              <w:spacing w:after="0" w:line="240" w:lineRule="auto"/>
              <w:jc w:val="center"/>
              <w:rPr>
                <w:rFonts w:cs="Arial"/>
                <w:color w:val="000000"/>
                <w:sz w:val="16"/>
                <w:szCs w:val="16"/>
              </w:rPr>
            </w:pPr>
            <w:r>
              <w:rPr>
                <w:rFonts w:cs="Arial"/>
                <w:color w:val="000000"/>
                <w:sz w:val="16"/>
                <w:szCs w:val="16"/>
              </w:rPr>
              <w:t>36,8</w:t>
            </w:r>
          </w:p>
        </w:tc>
        <w:tc>
          <w:tcPr>
            <w:tcW w:w="709" w:type="dxa"/>
            <w:tcBorders>
              <w:top w:val="nil"/>
              <w:left w:val="nil"/>
              <w:bottom w:val="nil"/>
              <w:right w:val="nil"/>
            </w:tcBorders>
            <w:shd w:val="clear" w:color="auto" w:fill="auto"/>
            <w:noWrap/>
            <w:vAlign w:val="center"/>
            <w:hideMark/>
          </w:tcPr>
          <w:p w14:paraId="65B3F5E8" w14:textId="1A71D4FD"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40,6</w:t>
            </w:r>
          </w:p>
        </w:tc>
        <w:tc>
          <w:tcPr>
            <w:tcW w:w="709" w:type="dxa"/>
            <w:tcBorders>
              <w:top w:val="nil"/>
              <w:left w:val="nil"/>
              <w:bottom w:val="nil"/>
              <w:right w:val="nil"/>
            </w:tcBorders>
            <w:shd w:val="clear" w:color="auto" w:fill="auto"/>
            <w:noWrap/>
            <w:vAlign w:val="center"/>
            <w:hideMark/>
          </w:tcPr>
          <w:p w14:paraId="43EDBCCB" w14:textId="784E6908" w:rsidR="00DE09A0" w:rsidRPr="00D92E20" w:rsidRDefault="00DE09A0" w:rsidP="00DE09A0">
            <w:pPr>
              <w:spacing w:after="0" w:line="240" w:lineRule="auto"/>
              <w:jc w:val="center"/>
              <w:rPr>
                <w:rFonts w:cs="Arial"/>
                <w:color w:val="000000"/>
                <w:sz w:val="16"/>
                <w:szCs w:val="16"/>
              </w:rPr>
            </w:pPr>
            <w:r>
              <w:rPr>
                <w:rFonts w:cs="Arial"/>
                <w:color w:val="000000"/>
                <w:sz w:val="16"/>
                <w:szCs w:val="16"/>
              </w:rPr>
              <w:t>42,7</w:t>
            </w:r>
          </w:p>
        </w:tc>
        <w:tc>
          <w:tcPr>
            <w:tcW w:w="709" w:type="dxa"/>
            <w:tcBorders>
              <w:top w:val="nil"/>
              <w:left w:val="nil"/>
              <w:bottom w:val="nil"/>
              <w:right w:val="nil"/>
            </w:tcBorders>
            <w:shd w:val="clear" w:color="auto" w:fill="auto"/>
            <w:noWrap/>
            <w:vAlign w:val="center"/>
            <w:hideMark/>
          </w:tcPr>
          <w:p w14:paraId="127086B9" w14:textId="38D013B7" w:rsidR="00DE09A0" w:rsidRPr="00D92E20" w:rsidRDefault="00DE09A0" w:rsidP="00DE09A0">
            <w:pPr>
              <w:spacing w:after="0" w:line="240" w:lineRule="auto"/>
              <w:jc w:val="center"/>
              <w:rPr>
                <w:rFonts w:cs="Arial"/>
                <w:color w:val="000000"/>
                <w:sz w:val="16"/>
                <w:szCs w:val="16"/>
              </w:rPr>
            </w:pPr>
            <w:r>
              <w:rPr>
                <w:rFonts w:cs="Arial"/>
                <w:color w:val="000000"/>
                <w:sz w:val="16"/>
                <w:szCs w:val="16"/>
              </w:rPr>
              <w:t>33,5</w:t>
            </w:r>
          </w:p>
        </w:tc>
        <w:tc>
          <w:tcPr>
            <w:tcW w:w="709" w:type="dxa"/>
            <w:tcBorders>
              <w:top w:val="nil"/>
              <w:left w:val="nil"/>
              <w:bottom w:val="nil"/>
              <w:right w:val="nil"/>
            </w:tcBorders>
            <w:shd w:val="clear" w:color="auto" w:fill="auto"/>
            <w:noWrap/>
            <w:vAlign w:val="center"/>
            <w:hideMark/>
          </w:tcPr>
          <w:p w14:paraId="01ED2BEC" w14:textId="59287899" w:rsidR="00DE09A0" w:rsidRPr="00D92E20" w:rsidRDefault="00DE09A0" w:rsidP="00DE09A0">
            <w:pPr>
              <w:spacing w:after="0" w:line="240" w:lineRule="auto"/>
              <w:jc w:val="center"/>
              <w:rPr>
                <w:rFonts w:cs="Arial"/>
                <w:color w:val="000000"/>
                <w:sz w:val="16"/>
                <w:szCs w:val="16"/>
              </w:rPr>
            </w:pPr>
            <w:r>
              <w:rPr>
                <w:rFonts w:cs="Arial"/>
                <w:color w:val="000000"/>
                <w:sz w:val="16"/>
                <w:szCs w:val="16"/>
              </w:rPr>
              <w:t>23,0</w:t>
            </w:r>
          </w:p>
        </w:tc>
      </w:tr>
      <w:tr w:rsidR="00DE09A0" w:rsidRPr="00D92E20" w14:paraId="0E7046AA"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4C85D621"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Jihočeský kraj</w:t>
            </w:r>
          </w:p>
        </w:tc>
        <w:tc>
          <w:tcPr>
            <w:tcW w:w="709" w:type="dxa"/>
            <w:tcBorders>
              <w:top w:val="nil"/>
              <w:left w:val="nil"/>
              <w:bottom w:val="nil"/>
              <w:right w:val="nil"/>
            </w:tcBorders>
            <w:shd w:val="clear" w:color="auto" w:fill="auto"/>
            <w:noWrap/>
            <w:vAlign w:val="center"/>
            <w:hideMark/>
          </w:tcPr>
          <w:p w14:paraId="45749EA7" w14:textId="327727B7" w:rsidR="00DE09A0" w:rsidRPr="00D92E20" w:rsidRDefault="00DE09A0" w:rsidP="00DE09A0">
            <w:pPr>
              <w:spacing w:after="0" w:line="240" w:lineRule="auto"/>
              <w:jc w:val="center"/>
              <w:rPr>
                <w:rFonts w:cs="Arial"/>
                <w:color w:val="000000"/>
                <w:sz w:val="16"/>
                <w:szCs w:val="16"/>
              </w:rPr>
            </w:pPr>
            <w:r>
              <w:rPr>
                <w:rFonts w:cs="Arial"/>
                <w:sz w:val="16"/>
                <w:szCs w:val="16"/>
              </w:rPr>
              <w:t>51,4</w:t>
            </w:r>
          </w:p>
        </w:tc>
        <w:tc>
          <w:tcPr>
            <w:tcW w:w="709" w:type="dxa"/>
            <w:tcBorders>
              <w:top w:val="nil"/>
              <w:left w:val="nil"/>
              <w:bottom w:val="nil"/>
              <w:right w:val="nil"/>
            </w:tcBorders>
            <w:shd w:val="clear" w:color="auto" w:fill="auto"/>
            <w:noWrap/>
            <w:vAlign w:val="center"/>
            <w:hideMark/>
          </w:tcPr>
          <w:p w14:paraId="25F749BB" w14:textId="20FED06B" w:rsidR="00DE09A0" w:rsidRPr="00D92E20" w:rsidRDefault="00DE09A0" w:rsidP="00DE09A0">
            <w:pPr>
              <w:spacing w:after="0" w:line="240" w:lineRule="auto"/>
              <w:jc w:val="center"/>
              <w:rPr>
                <w:rFonts w:cs="Arial"/>
                <w:color w:val="000000"/>
                <w:sz w:val="16"/>
                <w:szCs w:val="16"/>
              </w:rPr>
            </w:pPr>
            <w:r>
              <w:rPr>
                <w:rFonts w:cs="Arial"/>
                <w:sz w:val="16"/>
                <w:szCs w:val="16"/>
              </w:rPr>
              <w:t>43,7</w:t>
            </w:r>
          </w:p>
        </w:tc>
        <w:tc>
          <w:tcPr>
            <w:tcW w:w="709" w:type="dxa"/>
            <w:tcBorders>
              <w:top w:val="nil"/>
              <w:left w:val="nil"/>
              <w:bottom w:val="nil"/>
              <w:right w:val="nil"/>
            </w:tcBorders>
            <w:shd w:val="clear" w:color="auto" w:fill="auto"/>
            <w:noWrap/>
            <w:vAlign w:val="center"/>
            <w:hideMark/>
          </w:tcPr>
          <w:p w14:paraId="1AD45557" w14:textId="701813CF" w:rsidR="00DE09A0" w:rsidRPr="00D92E20" w:rsidRDefault="00DE09A0" w:rsidP="00DE09A0">
            <w:pPr>
              <w:spacing w:after="0" w:line="240" w:lineRule="auto"/>
              <w:jc w:val="center"/>
              <w:rPr>
                <w:rFonts w:cs="Arial"/>
                <w:color w:val="000000"/>
                <w:sz w:val="16"/>
                <w:szCs w:val="16"/>
              </w:rPr>
            </w:pPr>
            <w:r>
              <w:rPr>
                <w:rFonts w:cs="Arial"/>
                <w:sz w:val="16"/>
                <w:szCs w:val="16"/>
              </w:rPr>
              <w:t>48,3</w:t>
            </w:r>
          </w:p>
        </w:tc>
        <w:tc>
          <w:tcPr>
            <w:tcW w:w="709" w:type="dxa"/>
            <w:tcBorders>
              <w:top w:val="nil"/>
              <w:left w:val="nil"/>
              <w:bottom w:val="nil"/>
              <w:right w:val="nil"/>
            </w:tcBorders>
            <w:shd w:val="clear" w:color="auto" w:fill="auto"/>
            <w:noWrap/>
            <w:vAlign w:val="center"/>
            <w:hideMark/>
          </w:tcPr>
          <w:p w14:paraId="5EDAAC3E" w14:textId="74E649DB" w:rsidR="00DE09A0" w:rsidRPr="00D92E20" w:rsidRDefault="00DE09A0" w:rsidP="00DE09A0">
            <w:pPr>
              <w:spacing w:after="0" w:line="240" w:lineRule="auto"/>
              <w:jc w:val="center"/>
              <w:rPr>
                <w:rFonts w:cs="Arial"/>
                <w:color w:val="000000"/>
                <w:sz w:val="16"/>
                <w:szCs w:val="16"/>
              </w:rPr>
            </w:pPr>
            <w:r>
              <w:rPr>
                <w:rFonts w:cs="Arial"/>
                <w:sz w:val="16"/>
                <w:szCs w:val="16"/>
              </w:rPr>
              <w:t>41,1</w:t>
            </w:r>
          </w:p>
        </w:tc>
        <w:tc>
          <w:tcPr>
            <w:tcW w:w="709" w:type="dxa"/>
            <w:tcBorders>
              <w:top w:val="nil"/>
              <w:left w:val="nil"/>
              <w:bottom w:val="nil"/>
              <w:right w:val="nil"/>
            </w:tcBorders>
            <w:shd w:val="clear" w:color="auto" w:fill="auto"/>
            <w:noWrap/>
            <w:vAlign w:val="center"/>
            <w:hideMark/>
          </w:tcPr>
          <w:p w14:paraId="060EA4DD" w14:textId="08280F98" w:rsidR="00DE09A0" w:rsidRPr="00D92E20" w:rsidRDefault="00DE09A0" w:rsidP="00DE09A0">
            <w:pPr>
              <w:spacing w:after="0" w:line="240" w:lineRule="auto"/>
              <w:jc w:val="center"/>
              <w:rPr>
                <w:rFonts w:cs="Arial"/>
                <w:color w:val="000000"/>
                <w:sz w:val="16"/>
                <w:szCs w:val="16"/>
              </w:rPr>
            </w:pPr>
            <w:r>
              <w:rPr>
                <w:rFonts w:cs="Arial"/>
                <w:sz w:val="16"/>
                <w:szCs w:val="16"/>
              </w:rPr>
              <w:t>44,1</w:t>
            </w:r>
          </w:p>
        </w:tc>
        <w:tc>
          <w:tcPr>
            <w:tcW w:w="709" w:type="dxa"/>
            <w:tcBorders>
              <w:top w:val="nil"/>
              <w:left w:val="nil"/>
              <w:bottom w:val="nil"/>
              <w:right w:val="nil"/>
            </w:tcBorders>
            <w:shd w:val="clear" w:color="auto" w:fill="auto"/>
            <w:noWrap/>
            <w:vAlign w:val="center"/>
            <w:hideMark/>
          </w:tcPr>
          <w:p w14:paraId="7AD759B2" w14:textId="64DECC28" w:rsidR="00DE09A0" w:rsidRPr="00D92E20" w:rsidRDefault="00DE09A0" w:rsidP="00DE09A0">
            <w:pPr>
              <w:spacing w:after="0" w:line="240" w:lineRule="auto"/>
              <w:jc w:val="center"/>
              <w:rPr>
                <w:rFonts w:cs="Arial"/>
                <w:color w:val="000000"/>
                <w:sz w:val="16"/>
                <w:szCs w:val="16"/>
              </w:rPr>
            </w:pPr>
            <w:r>
              <w:rPr>
                <w:rFonts w:cs="Arial"/>
                <w:sz w:val="16"/>
                <w:szCs w:val="16"/>
              </w:rPr>
              <w:t>42,8</w:t>
            </w:r>
          </w:p>
        </w:tc>
        <w:tc>
          <w:tcPr>
            <w:tcW w:w="709" w:type="dxa"/>
            <w:tcBorders>
              <w:top w:val="nil"/>
              <w:left w:val="nil"/>
              <w:bottom w:val="nil"/>
              <w:right w:val="nil"/>
            </w:tcBorders>
            <w:shd w:val="clear" w:color="auto" w:fill="auto"/>
            <w:noWrap/>
            <w:vAlign w:val="center"/>
            <w:hideMark/>
          </w:tcPr>
          <w:p w14:paraId="3298F056" w14:textId="222E7F6F"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40,5</w:t>
            </w:r>
          </w:p>
        </w:tc>
        <w:tc>
          <w:tcPr>
            <w:tcW w:w="709" w:type="dxa"/>
            <w:tcBorders>
              <w:top w:val="nil"/>
              <w:left w:val="nil"/>
              <w:bottom w:val="nil"/>
              <w:right w:val="nil"/>
            </w:tcBorders>
            <w:shd w:val="clear" w:color="auto" w:fill="auto"/>
            <w:noWrap/>
            <w:vAlign w:val="center"/>
            <w:hideMark/>
          </w:tcPr>
          <w:p w14:paraId="3048D1A9" w14:textId="3D14A6DB" w:rsidR="00DE09A0" w:rsidRPr="00D92E20" w:rsidRDefault="00DE09A0" w:rsidP="00DE09A0">
            <w:pPr>
              <w:spacing w:after="0" w:line="240" w:lineRule="auto"/>
              <w:jc w:val="center"/>
              <w:rPr>
                <w:rFonts w:cs="Arial"/>
                <w:color w:val="000000"/>
                <w:sz w:val="16"/>
                <w:szCs w:val="16"/>
              </w:rPr>
            </w:pPr>
            <w:r>
              <w:rPr>
                <w:rFonts w:cs="Arial"/>
                <w:color w:val="000000"/>
                <w:sz w:val="16"/>
                <w:szCs w:val="16"/>
              </w:rPr>
              <w:t>44,7</w:t>
            </w:r>
          </w:p>
        </w:tc>
        <w:tc>
          <w:tcPr>
            <w:tcW w:w="709" w:type="dxa"/>
            <w:tcBorders>
              <w:top w:val="nil"/>
              <w:left w:val="nil"/>
              <w:bottom w:val="nil"/>
              <w:right w:val="nil"/>
            </w:tcBorders>
            <w:shd w:val="clear" w:color="auto" w:fill="auto"/>
            <w:noWrap/>
            <w:vAlign w:val="center"/>
            <w:hideMark/>
          </w:tcPr>
          <w:p w14:paraId="749FFFA2" w14:textId="51B6BA42" w:rsidR="00DE09A0" w:rsidRPr="00D92E20" w:rsidRDefault="00DE09A0" w:rsidP="00DE09A0">
            <w:pPr>
              <w:spacing w:after="0" w:line="240" w:lineRule="auto"/>
              <w:jc w:val="center"/>
              <w:rPr>
                <w:rFonts w:cs="Arial"/>
                <w:color w:val="000000"/>
                <w:sz w:val="16"/>
                <w:szCs w:val="16"/>
              </w:rPr>
            </w:pPr>
            <w:r>
              <w:rPr>
                <w:rFonts w:cs="Arial"/>
                <w:color w:val="000000"/>
                <w:sz w:val="16"/>
                <w:szCs w:val="16"/>
              </w:rPr>
              <w:t>46,1</w:t>
            </w:r>
          </w:p>
        </w:tc>
        <w:tc>
          <w:tcPr>
            <w:tcW w:w="709" w:type="dxa"/>
            <w:tcBorders>
              <w:top w:val="nil"/>
              <w:left w:val="nil"/>
              <w:bottom w:val="nil"/>
              <w:right w:val="nil"/>
            </w:tcBorders>
            <w:shd w:val="clear" w:color="auto" w:fill="auto"/>
            <w:noWrap/>
            <w:vAlign w:val="center"/>
            <w:hideMark/>
          </w:tcPr>
          <w:p w14:paraId="391ECF61" w14:textId="292CCC41" w:rsidR="00DE09A0" w:rsidRPr="00D92E20" w:rsidRDefault="00DE09A0" w:rsidP="00DE09A0">
            <w:pPr>
              <w:spacing w:after="0" w:line="240" w:lineRule="auto"/>
              <w:jc w:val="center"/>
              <w:rPr>
                <w:rFonts w:cs="Arial"/>
                <w:color w:val="000000"/>
                <w:sz w:val="16"/>
                <w:szCs w:val="16"/>
              </w:rPr>
            </w:pPr>
            <w:r>
              <w:rPr>
                <w:rFonts w:cs="Arial"/>
                <w:color w:val="000000"/>
                <w:sz w:val="16"/>
                <w:szCs w:val="16"/>
              </w:rPr>
              <w:t>36,6</w:t>
            </w:r>
          </w:p>
        </w:tc>
        <w:tc>
          <w:tcPr>
            <w:tcW w:w="709" w:type="dxa"/>
            <w:tcBorders>
              <w:top w:val="nil"/>
              <w:left w:val="nil"/>
              <w:bottom w:val="nil"/>
              <w:right w:val="nil"/>
            </w:tcBorders>
            <w:shd w:val="clear" w:color="auto" w:fill="auto"/>
            <w:noWrap/>
            <w:vAlign w:val="center"/>
            <w:hideMark/>
          </w:tcPr>
          <w:p w14:paraId="6E069ADF" w14:textId="640A22E7" w:rsidR="00DE09A0" w:rsidRPr="00D92E20" w:rsidRDefault="00DE09A0" w:rsidP="00DE09A0">
            <w:pPr>
              <w:spacing w:after="0" w:line="240" w:lineRule="auto"/>
              <w:jc w:val="center"/>
              <w:rPr>
                <w:rFonts w:cs="Arial"/>
                <w:color w:val="000000"/>
                <w:sz w:val="16"/>
                <w:szCs w:val="16"/>
              </w:rPr>
            </w:pPr>
            <w:r>
              <w:rPr>
                <w:rFonts w:cs="Arial"/>
                <w:color w:val="000000"/>
                <w:sz w:val="16"/>
                <w:szCs w:val="16"/>
              </w:rPr>
              <w:t>25,1</w:t>
            </w:r>
          </w:p>
        </w:tc>
      </w:tr>
      <w:tr w:rsidR="00DE09A0" w:rsidRPr="00D92E20" w14:paraId="19B374FF"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04539FBC"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Plzeňský kraj</w:t>
            </w:r>
          </w:p>
        </w:tc>
        <w:tc>
          <w:tcPr>
            <w:tcW w:w="709" w:type="dxa"/>
            <w:tcBorders>
              <w:top w:val="nil"/>
              <w:left w:val="nil"/>
              <w:bottom w:val="nil"/>
              <w:right w:val="nil"/>
            </w:tcBorders>
            <w:shd w:val="clear" w:color="auto" w:fill="auto"/>
            <w:noWrap/>
            <w:vAlign w:val="center"/>
            <w:hideMark/>
          </w:tcPr>
          <w:p w14:paraId="172396B6" w14:textId="6DCA3E01" w:rsidR="00DE09A0" w:rsidRPr="00D92E20" w:rsidRDefault="00DE09A0" w:rsidP="00DE09A0">
            <w:pPr>
              <w:spacing w:after="0" w:line="240" w:lineRule="auto"/>
              <w:jc w:val="center"/>
              <w:rPr>
                <w:rFonts w:cs="Arial"/>
                <w:color w:val="000000"/>
                <w:sz w:val="16"/>
                <w:szCs w:val="16"/>
              </w:rPr>
            </w:pPr>
            <w:r>
              <w:rPr>
                <w:rFonts w:cs="Arial"/>
                <w:sz w:val="16"/>
                <w:szCs w:val="16"/>
              </w:rPr>
              <w:t>44,0</w:t>
            </w:r>
          </w:p>
        </w:tc>
        <w:tc>
          <w:tcPr>
            <w:tcW w:w="709" w:type="dxa"/>
            <w:tcBorders>
              <w:top w:val="nil"/>
              <w:left w:val="nil"/>
              <w:bottom w:val="nil"/>
              <w:right w:val="nil"/>
            </w:tcBorders>
            <w:shd w:val="clear" w:color="auto" w:fill="auto"/>
            <w:noWrap/>
            <w:vAlign w:val="center"/>
            <w:hideMark/>
          </w:tcPr>
          <w:p w14:paraId="4B598C6C" w14:textId="28A80237" w:rsidR="00DE09A0" w:rsidRPr="00D92E20" w:rsidRDefault="00DE09A0" w:rsidP="00DE09A0">
            <w:pPr>
              <w:spacing w:after="0" w:line="240" w:lineRule="auto"/>
              <w:jc w:val="center"/>
              <w:rPr>
                <w:rFonts w:cs="Arial"/>
                <w:color w:val="000000"/>
                <w:sz w:val="16"/>
                <w:szCs w:val="16"/>
              </w:rPr>
            </w:pPr>
            <w:r>
              <w:rPr>
                <w:rFonts w:cs="Arial"/>
                <w:sz w:val="16"/>
                <w:szCs w:val="16"/>
              </w:rPr>
              <w:t>40,0</w:t>
            </w:r>
          </w:p>
        </w:tc>
        <w:tc>
          <w:tcPr>
            <w:tcW w:w="709" w:type="dxa"/>
            <w:tcBorders>
              <w:top w:val="nil"/>
              <w:left w:val="nil"/>
              <w:bottom w:val="nil"/>
              <w:right w:val="nil"/>
            </w:tcBorders>
            <w:shd w:val="clear" w:color="auto" w:fill="auto"/>
            <w:noWrap/>
            <w:vAlign w:val="center"/>
            <w:hideMark/>
          </w:tcPr>
          <w:p w14:paraId="456CEFF0" w14:textId="06B76D10" w:rsidR="00DE09A0" w:rsidRPr="00D92E20" w:rsidRDefault="00DE09A0" w:rsidP="00DE09A0">
            <w:pPr>
              <w:spacing w:after="0" w:line="240" w:lineRule="auto"/>
              <w:jc w:val="center"/>
              <w:rPr>
                <w:rFonts w:cs="Arial"/>
                <w:color w:val="000000"/>
                <w:sz w:val="16"/>
                <w:szCs w:val="16"/>
              </w:rPr>
            </w:pPr>
            <w:r>
              <w:rPr>
                <w:rFonts w:cs="Arial"/>
                <w:sz w:val="16"/>
                <w:szCs w:val="16"/>
              </w:rPr>
              <w:t>41,9</w:t>
            </w:r>
          </w:p>
        </w:tc>
        <w:tc>
          <w:tcPr>
            <w:tcW w:w="709" w:type="dxa"/>
            <w:tcBorders>
              <w:top w:val="nil"/>
              <w:left w:val="nil"/>
              <w:bottom w:val="nil"/>
              <w:right w:val="nil"/>
            </w:tcBorders>
            <w:shd w:val="clear" w:color="auto" w:fill="auto"/>
            <w:noWrap/>
            <w:vAlign w:val="center"/>
            <w:hideMark/>
          </w:tcPr>
          <w:p w14:paraId="7F3DA8D2" w14:textId="31C7928E" w:rsidR="00DE09A0" w:rsidRPr="00D92E20" w:rsidRDefault="00DE09A0" w:rsidP="00DE09A0">
            <w:pPr>
              <w:spacing w:after="0" w:line="240" w:lineRule="auto"/>
              <w:jc w:val="center"/>
              <w:rPr>
                <w:rFonts w:cs="Arial"/>
                <w:color w:val="000000"/>
                <w:sz w:val="16"/>
                <w:szCs w:val="16"/>
              </w:rPr>
            </w:pPr>
            <w:r>
              <w:rPr>
                <w:rFonts w:cs="Arial"/>
                <w:sz w:val="16"/>
                <w:szCs w:val="16"/>
              </w:rPr>
              <w:t>36,6</w:t>
            </w:r>
          </w:p>
        </w:tc>
        <w:tc>
          <w:tcPr>
            <w:tcW w:w="709" w:type="dxa"/>
            <w:tcBorders>
              <w:top w:val="nil"/>
              <w:left w:val="nil"/>
              <w:bottom w:val="nil"/>
              <w:right w:val="nil"/>
            </w:tcBorders>
            <w:shd w:val="clear" w:color="auto" w:fill="auto"/>
            <w:noWrap/>
            <w:vAlign w:val="center"/>
            <w:hideMark/>
          </w:tcPr>
          <w:p w14:paraId="7B8269EF" w14:textId="61D3870B" w:rsidR="00DE09A0" w:rsidRPr="00D92E20" w:rsidRDefault="00DE09A0" w:rsidP="00DE09A0">
            <w:pPr>
              <w:spacing w:after="0" w:line="240" w:lineRule="auto"/>
              <w:jc w:val="center"/>
              <w:rPr>
                <w:rFonts w:cs="Arial"/>
                <w:color w:val="000000"/>
                <w:sz w:val="16"/>
                <w:szCs w:val="16"/>
              </w:rPr>
            </w:pPr>
            <w:r>
              <w:rPr>
                <w:rFonts w:cs="Arial"/>
                <w:sz w:val="16"/>
                <w:szCs w:val="16"/>
              </w:rPr>
              <w:t>39,1</w:t>
            </w:r>
          </w:p>
        </w:tc>
        <w:tc>
          <w:tcPr>
            <w:tcW w:w="709" w:type="dxa"/>
            <w:tcBorders>
              <w:top w:val="nil"/>
              <w:left w:val="nil"/>
              <w:bottom w:val="nil"/>
              <w:right w:val="nil"/>
            </w:tcBorders>
            <w:shd w:val="clear" w:color="auto" w:fill="auto"/>
            <w:noWrap/>
            <w:vAlign w:val="center"/>
            <w:hideMark/>
          </w:tcPr>
          <w:p w14:paraId="5526FA85" w14:textId="4CAE5B83" w:rsidR="00DE09A0" w:rsidRPr="00D92E20" w:rsidRDefault="00DE09A0" w:rsidP="00DE09A0">
            <w:pPr>
              <w:spacing w:after="0" w:line="240" w:lineRule="auto"/>
              <w:jc w:val="center"/>
              <w:rPr>
                <w:rFonts w:cs="Arial"/>
                <w:color w:val="000000"/>
                <w:sz w:val="16"/>
                <w:szCs w:val="16"/>
              </w:rPr>
            </w:pPr>
            <w:r>
              <w:rPr>
                <w:rFonts w:cs="Arial"/>
                <w:sz w:val="16"/>
                <w:szCs w:val="16"/>
              </w:rPr>
              <w:t>37,6</w:t>
            </w:r>
          </w:p>
        </w:tc>
        <w:tc>
          <w:tcPr>
            <w:tcW w:w="709" w:type="dxa"/>
            <w:tcBorders>
              <w:top w:val="nil"/>
              <w:left w:val="nil"/>
              <w:bottom w:val="nil"/>
              <w:right w:val="nil"/>
            </w:tcBorders>
            <w:shd w:val="clear" w:color="auto" w:fill="auto"/>
            <w:noWrap/>
            <w:vAlign w:val="center"/>
            <w:hideMark/>
          </w:tcPr>
          <w:p w14:paraId="5365B488" w14:textId="1C4EA37B" w:rsidR="00DE09A0" w:rsidRPr="00D92E20" w:rsidRDefault="00DE09A0" w:rsidP="00DE09A0">
            <w:pPr>
              <w:spacing w:after="0" w:line="240" w:lineRule="auto"/>
              <w:jc w:val="center"/>
              <w:rPr>
                <w:rFonts w:cs="Arial"/>
                <w:color w:val="000000"/>
                <w:sz w:val="16"/>
                <w:szCs w:val="16"/>
              </w:rPr>
            </w:pPr>
            <w:r>
              <w:rPr>
                <w:rFonts w:cs="Arial"/>
                <w:color w:val="000000"/>
                <w:sz w:val="16"/>
                <w:szCs w:val="16"/>
              </w:rPr>
              <w:t>35,7</w:t>
            </w:r>
          </w:p>
        </w:tc>
        <w:tc>
          <w:tcPr>
            <w:tcW w:w="709" w:type="dxa"/>
            <w:tcBorders>
              <w:top w:val="nil"/>
              <w:left w:val="nil"/>
              <w:bottom w:val="nil"/>
              <w:right w:val="nil"/>
            </w:tcBorders>
            <w:shd w:val="clear" w:color="auto" w:fill="auto"/>
            <w:noWrap/>
            <w:vAlign w:val="center"/>
            <w:hideMark/>
          </w:tcPr>
          <w:p w14:paraId="7FCB94AD" w14:textId="78E252CE" w:rsidR="00DE09A0" w:rsidRPr="00D92E20" w:rsidRDefault="00DE09A0" w:rsidP="00DE09A0">
            <w:pPr>
              <w:spacing w:after="0" w:line="240" w:lineRule="auto"/>
              <w:jc w:val="center"/>
              <w:rPr>
                <w:rFonts w:cs="Arial"/>
                <w:color w:val="000000"/>
                <w:sz w:val="16"/>
                <w:szCs w:val="16"/>
              </w:rPr>
            </w:pPr>
            <w:r>
              <w:rPr>
                <w:rFonts w:cs="Arial"/>
                <w:color w:val="000000"/>
                <w:sz w:val="16"/>
                <w:szCs w:val="16"/>
              </w:rPr>
              <w:t>39,2</w:t>
            </w:r>
          </w:p>
        </w:tc>
        <w:tc>
          <w:tcPr>
            <w:tcW w:w="709" w:type="dxa"/>
            <w:tcBorders>
              <w:top w:val="nil"/>
              <w:left w:val="nil"/>
              <w:bottom w:val="nil"/>
              <w:right w:val="nil"/>
            </w:tcBorders>
            <w:shd w:val="clear" w:color="auto" w:fill="auto"/>
            <w:noWrap/>
            <w:vAlign w:val="center"/>
            <w:hideMark/>
          </w:tcPr>
          <w:p w14:paraId="4013B7CB" w14:textId="2B5A761F" w:rsidR="00DE09A0" w:rsidRPr="00D92E20" w:rsidRDefault="00DE09A0" w:rsidP="00DE09A0">
            <w:pPr>
              <w:spacing w:after="0" w:line="240" w:lineRule="auto"/>
              <w:jc w:val="center"/>
              <w:rPr>
                <w:rFonts w:cs="Arial"/>
                <w:color w:val="000000"/>
                <w:sz w:val="16"/>
                <w:szCs w:val="16"/>
              </w:rPr>
            </w:pPr>
            <w:r>
              <w:rPr>
                <w:rFonts w:cs="Arial"/>
                <w:color w:val="000000"/>
                <w:sz w:val="16"/>
                <w:szCs w:val="16"/>
              </w:rPr>
              <w:t>42,2</w:t>
            </w:r>
          </w:p>
        </w:tc>
        <w:tc>
          <w:tcPr>
            <w:tcW w:w="709" w:type="dxa"/>
            <w:tcBorders>
              <w:top w:val="nil"/>
              <w:left w:val="nil"/>
              <w:bottom w:val="nil"/>
              <w:right w:val="nil"/>
            </w:tcBorders>
            <w:shd w:val="clear" w:color="auto" w:fill="auto"/>
            <w:noWrap/>
            <w:vAlign w:val="center"/>
            <w:hideMark/>
          </w:tcPr>
          <w:p w14:paraId="4F7EC5D4" w14:textId="66286317" w:rsidR="00DE09A0" w:rsidRPr="00D92E20" w:rsidRDefault="00DE09A0" w:rsidP="00DE09A0">
            <w:pPr>
              <w:spacing w:after="0" w:line="240" w:lineRule="auto"/>
              <w:jc w:val="center"/>
              <w:rPr>
                <w:rFonts w:cs="Arial"/>
                <w:color w:val="000000"/>
                <w:sz w:val="16"/>
                <w:szCs w:val="16"/>
              </w:rPr>
            </w:pPr>
            <w:r>
              <w:rPr>
                <w:rFonts w:cs="Arial"/>
                <w:color w:val="000000"/>
                <w:sz w:val="16"/>
                <w:szCs w:val="16"/>
              </w:rPr>
              <w:t>33,8</w:t>
            </w:r>
          </w:p>
        </w:tc>
        <w:tc>
          <w:tcPr>
            <w:tcW w:w="709" w:type="dxa"/>
            <w:tcBorders>
              <w:top w:val="nil"/>
              <w:left w:val="nil"/>
              <w:bottom w:val="nil"/>
              <w:right w:val="nil"/>
            </w:tcBorders>
            <w:shd w:val="clear" w:color="auto" w:fill="auto"/>
            <w:noWrap/>
            <w:vAlign w:val="center"/>
            <w:hideMark/>
          </w:tcPr>
          <w:p w14:paraId="4D78431C" w14:textId="41B82872" w:rsidR="00DE09A0" w:rsidRPr="00D92E20" w:rsidRDefault="00DE09A0" w:rsidP="00DE09A0">
            <w:pPr>
              <w:spacing w:after="0" w:line="240" w:lineRule="auto"/>
              <w:jc w:val="center"/>
              <w:rPr>
                <w:rFonts w:cs="Arial"/>
                <w:color w:val="000000"/>
                <w:sz w:val="16"/>
                <w:szCs w:val="16"/>
              </w:rPr>
            </w:pPr>
            <w:r>
              <w:rPr>
                <w:rFonts w:cs="Arial"/>
                <w:color w:val="000000"/>
                <w:sz w:val="16"/>
                <w:szCs w:val="16"/>
              </w:rPr>
              <w:t>23,1</w:t>
            </w:r>
          </w:p>
        </w:tc>
      </w:tr>
      <w:tr w:rsidR="00DE09A0" w:rsidRPr="00D92E20" w14:paraId="7AC7BFB6"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149C1CBA"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Karlovarský kraj</w:t>
            </w:r>
          </w:p>
        </w:tc>
        <w:tc>
          <w:tcPr>
            <w:tcW w:w="709" w:type="dxa"/>
            <w:tcBorders>
              <w:top w:val="nil"/>
              <w:left w:val="nil"/>
              <w:bottom w:val="nil"/>
              <w:right w:val="nil"/>
            </w:tcBorders>
            <w:shd w:val="clear" w:color="auto" w:fill="auto"/>
            <w:noWrap/>
            <w:vAlign w:val="center"/>
            <w:hideMark/>
          </w:tcPr>
          <w:p w14:paraId="4406C6FD" w14:textId="4C173B3A" w:rsidR="00DE09A0" w:rsidRPr="00D92E20" w:rsidRDefault="00DE09A0" w:rsidP="00DE09A0">
            <w:pPr>
              <w:spacing w:after="0" w:line="240" w:lineRule="auto"/>
              <w:jc w:val="center"/>
              <w:rPr>
                <w:rFonts w:cs="Arial"/>
                <w:color w:val="000000"/>
                <w:sz w:val="16"/>
                <w:szCs w:val="16"/>
              </w:rPr>
            </w:pPr>
            <w:r>
              <w:rPr>
                <w:rFonts w:cs="Arial"/>
                <w:sz w:val="16"/>
                <w:szCs w:val="16"/>
              </w:rPr>
              <w:t>41,9</w:t>
            </w:r>
          </w:p>
        </w:tc>
        <w:tc>
          <w:tcPr>
            <w:tcW w:w="709" w:type="dxa"/>
            <w:tcBorders>
              <w:top w:val="nil"/>
              <w:left w:val="nil"/>
              <w:bottom w:val="nil"/>
              <w:right w:val="nil"/>
            </w:tcBorders>
            <w:shd w:val="clear" w:color="auto" w:fill="auto"/>
            <w:noWrap/>
            <w:vAlign w:val="center"/>
            <w:hideMark/>
          </w:tcPr>
          <w:p w14:paraId="530CB352" w14:textId="0EA44D50" w:rsidR="00DE09A0" w:rsidRPr="00D92E20" w:rsidRDefault="00DE09A0" w:rsidP="00DE09A0">
            <w:pPr>
              <w:spacing w:after="0" w:line="240" w:lineRule="auto"/>
              <w:jc w:val="center"/>
              <w:rPr>
                <w:rFonts w:cs="Arial"/>
                <w:color w:val="000000"/>
                <w:sz w:val="16"/>
                <w:szCs w:val="16"/>
              </w:rPr>
            </w:pPr>
            <w:r>
              <w:rPr>
                <w:rFonts w:cs="Arial"/>
                <w:sz w:val="16"/>
                <w:szCs w:val="16"/>
              </w:rPr>
              <w:t>40,2</w:t>
            </w:r>
          </w:p>
        </w:tc>
        <w:tc>
          <w:tcPr>
            <w:tcW w:w="709" w:type="dxa"/>
            <w:tcBorders>
              <w:top w:val="nil"/>
              <w:left w:val="nil"/>
              <w:bottom w:val="nil"/>
              <w:right w:val="nil"/>
            </w:tcBorders>
            <w:shd w:val="clear" w:color="auto" w:fill="auto"/>
            <w:noWrap/>
            <w:vAlign w:val="center"/>
            <w:hideMark/>
          </w:tcPr>
          <w:p w14:paraId="294841B5" w14:textId="5A1BDB6F" w:rsidR="00DE09A0" w:rsidRPr="00D92E20" w:rsidRDefault="00DE09A0" w:rsidP="00DE09A0">
            <w:pPr>
              <w:spacing w:after="0" w:line="240" w:lineRule="auto"/>
              <w:jc w:val="center"/>
              <w:rPr>
                <w:rFonts w:cs="Arial"/>
                <w:color w:val="000000"/>
                <w:sz w:val="16"/>
                <w:szCs w:val="16"/>
              </w:rPr>
            </w:pPr>
            <w:r>
              <w:rPr>
                <w:rFonts w:cs="Arial"/>
                <w:sz w:val="16"/>
                <w:szCs w:val="16"/>
              </w:rPr>
              <w:t>41,2</w:t>
            </w:r>
          </w:p>
        </w:tc>
        <w:tc>
          <w:tcPr>
            <w:tcW w:w="709" w:type="dxa"/>
            <w:tcBorders>
              <w:top w:val="nil"/>
              <w:left w:val="nil"/>
              <w:bottom w:val="nil"/>
              <w:right w:val="nil"/>
            </w:tcBorders>
            <w:shd w:val="clear" w:color="auto" w:fill="auto"/>
            <w:noWrap/>
            <w:vAlign w:val="center"/>
            <w:hideMark/>
          </w:tcPr>
          <w:p w14:paraId="540D8C54" w14:textId="0F4587D1" w:rsidR="00DE09A0" w:rsidRPr="00D92E20" w:rsidRDefault="00DE09A0" w:rsidP="00DE09A0">
            <w:pPr>
              <w:spacing w:after="0" w:line="240" w:lineRule="auto"/>
              <w:jc w:val="center"/>
              <w:rPr>
                <w:rFonts w:cs="Arial"/>
                <w:color w:val="000000"/>
                <w:sz w:val="16"/>
                <w:szCs w:val="16"/>
              </w:rPr>
            </w:pPr>
            <w:r>
              <w:rPr>
                <w:rFonts w:cs="Arial"/>
                <w:sz w:val="16"/>
                <w:szCs w:val="16"/>
              </w:rPr>
              <w:t>36,8</w:t>
            </w:r>
          </w:p>
        </w:tc>
        <w:tc>
          <w:tcPr>
            <w:tcW w:w="709" w:type="dxa"/>
            <w:tcBorders>
              <w:top w:val="nil"/>
              <w:left w:val="nil"/>
              <w:bottom w:val="nil"/>
              <w:right w:val="nil"/>
            </w:tcBorders>
            <w:shd w:val="clear" w:color="auto" w:fill="auto"/>
            <w:noWrap/>
            <w:vAlign w:val="center"/>
            <w:hideMark/>
          </w:tcPr>
          <w:p w14:paraId="26CD489C" w14:textId="0C5F6502" w:rsidR="00DE09A0" w:rsidRPr="00D92E20" w:rsidRDefault="00DE09A0" w:rsidP="00DE09A0">
            <w:pPr>
              <w:spacing w:after="0" w:line="240" w:lineRule="auto"/>
              <w:jc w:val="center"/>
              <w:rPr>
                <w:rFonts w:cs="Arial"/>
                <w:color w:val="000000"/>
                <w:sz w:val="16"/>
                <w:szCs w:val="16"/>
              </w:rPr>
            </w:pPr>
            <w:r>
              <w:rPr>
                <w:rFonts w:cs="Arial"/>
                <w:sz w:val="16"/>
                <w:szCs w:val="16"/>
              </w:rPr>
              <w:t>38,7</w:t>
            </w:r>
          </w:p>
        </w:tc>
        <w:tc>
          <w:tcPr>
            <w:tcW w:w="709" w:type="dxa"/>
            <w:tcBorders>
              <w:top w:val="nil"/>
              <w:left w:val="nil"/>
              <w:bottom w:val="nil"/>
              <w:right w:val="nil"/>
            </w:tcBorders>
            <w:shd w:val="clear" w:color="auto" w:fill="auto"/>
            <w:noWrap/>
            <w:vAlign w:val="center"/>
            <w:hideMark/>
          </w:tcPr>
          <w:p w14:paraId="2C675733" w14:textId="5F52C662" w:rsidR="00DE09A0" w:rsidRPr="00D92E20" w:rsidRDefault="00DE09A0" w:rsidP="00DE09A0">
            <w:pPr>
              <w:spacing w:after="0" w:line="240" w:lineRule="auto"/>
              <w:jc w:val="center"/>
              <w:rPr>
                <w:rFonts w:cs="Arial"/>
                <w:color w:val="000000"/>
                <w:sz w:val="16"/>
                <w:szCs w:val="16"/>
              </w:rPr>
            </w:pPr>
            <w:r>
              <w:rPr>
                <w:rFonts w:cs="Arial"/>
                <w:sz w:val="16"/>
                <w:szCs w:val="16"/>
              </w:rPr>
              <w:t>37,5</w:t>
            </w:r>
          </w:p>
        </w:tc>
        <w:tc>
          <w:tcPr>
            <w:tcW w:w="709" w:type="dxa"/>
            <w:tcBorders>
              <w:top w:val="nil"/>
              <w:left w:val="nil"/>
              <w:bottom w:val="nil"/>
              <w:right w:val="nil"/>
            </w:tcBorders>
            <w:shd w:val="clear" w:color="auto" w:fill="auto"/>
            <w:noWrap/>
            <w:vAlign w:val="center"/>
            <w:hideMark/>
          </w:tcPr>
          <w:p w14:paraId="138900CB" w14:textId="3D0C88C5" w:rsidR="00DE09A0" w:rsidRPr="00D92E20" w:rsidRDefault="00DE09A0" w:rsidP="00DE09A0">
            <w:pPr>
              <w:spacing w:after="0" w:line="240" w:lineRule="auto"/>
              <w:jc w:val="center"/>
              <w:rPr>
                <w:rFonts w:cs="Arial"/>
                <w:color w:val="000000"/>
                <w:sz w:val="16"/>
                <w:szCs w:val="16"/>
              </w:rPr>
            </w:pPr>
            <w:r>
              <w:rPr>
                <w:rFonts w:cs="Arial"/>
                <w:color w:val="000000"/>
                <w:sz w:val="16"/>
                <w:szCs w:val="16"/>
              </w:rPr>
              <w:t>36,1</w:t>
            </w:r>
          </w:p>
        </w:tc>
        <w:tc>
          <w:tcPr>
            <w:tcW w:w="709" w:type="dxa"/>
            <w:tcBorders>
              <w:top w:val="nil"/>
              <w:left w:val="nil"/>
              <w:bottom w:val="nil"/>
              <w:right w:val="nil"/>
            </w:tcBorders>
            <w:shd w:val="clear" w:color="auto" w:fill="auto"/>
            <w:noWrap/>
            <w:vAlign w:val="center"/>
            <w:hideMark/>
          </w:tcPr>
          <w:p w14:paraId="09F0273E" w14:textId="68EB48B2"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40,3</w:t>
            </w:r>
          </w:p>
        </w:tc>
        <w:tc>
          <w:tcPr>
            <w:tcW w:w="709" w:type="dxa"/>
            <w:tcBorders>
              <w:top w:val="nil"/>
              <w:left w:val="nil"/>
              <w:bottom w:val="nil"/>
              <w:right w:val="nil"/>
            </w:tcBorders>
            <w:shd w:val="clear" w:color="auto" w:fill="auto"/>
            <w:noWrap/>
            <w:vAlign w:val="center"/>
            <w:hideMark/>
          </w:tcPr>
          <w:p w14:paraId="5D1E318A" w14:textId="25EF7DC2" w:rsidR="00DE09A0" w:rsidRPr="00D92E20" w:rsidRDefault="00DE09A0" w:rsidP="00DE09A0">
            <w:pPr>
              <w:spacing w:after="0" w:line="240" w:lineRule="auto"/>
              <w:jc w:val="center"/>
              <w:rPr>
                <w:rFonts w:cs="Arial"/>
                <w:color w:val="000000"/>
                <w:sz w:val="16"/>
                <w:szCs w:val="16"/>
              </w:rPr>
            </w:pPr>
            <w:r>
              <w:rPr>
                <w:rFonts w:cs="Arial"/>
                <w:color w:val="000000"/>
                <w:sz w:val="16"/>
                <w:szCs w:val="16"/>
              </w:rPr>
              <w:t>44,4</w:t>
            </w:r>
          </w:p>
        </w:tc>
        <w:tc>
          <w:tcPr>
            <w:tcW w:w="709" w:type="dxa"/>
            <w:tcBorders>
              <w:top w:val="nil"/>
              <w:left w:val="nil"/>
              <w:bottom w:val="nil"/>
              <w:right w:val="nil"/>
            </w:tcBorders>
            <w:shd w:val="clear" w:color="auto" w:fill="auto"/>
            <w:noWrap/>
            <w:vAlign w:val="center"/>
            <w:hideMark/>
          </w:tcPr>
          <w:p w14:paraId="6A5F67ED" w14:textId="0A5AFC62" w:rsidR="00DE09A0" w:rsidRPr="00D92E20" w:rsidRDefault="00DE09A0" w:rsidP="00DE09A0">
            <w:pPr>
              <w:spacing w:after="0" w:line="240" w:lineRule="auto"/>
              <w:jc w:val="center"/>
              <w:rPr>
                <w:rFonts w:cs="Arial"/>
                <w:color w:val="000000"/>
                <w:sz w:val="16"/>
                <w:szCs w:val="16"/>
              </w:rPr>
            </w:pPr>
            <w:r>
              <w:rPr>
                <w:rFonts w:cs="Arial"/>
                <w:color w:val="000000"/>
                <w:sz w:val="16"/>
                <w:szCs w:val="16"/>
              </w:rPr>
              <w:t>35,6</w:t>
            </w:r>
          </w:p>
        </w:tc>
        <w:tc>
          <w:tcPr>
            <w:tcW w:w="709" w:type="dxa"/>
            <w:tcBorders>
              <w:top w:val="nil"/>
              <w:left w:val="nil"/>
              <w:bottom w:val="nil"/>
              <w:right w:val="nil"/>
            </w:tcBorders>
            <w:shd w:val="clear" w:color="auto" w:fill="auto"/>
            <w:noWrap/>
            <w:vAlign w:val="center"/>
            <w:hideMark/>
          </w:tcPr>
          <w:p w14:paraId="6922E568" w14:textId="54FA31E7" w:rsidR="00DE09A0" w:rsidRPr="00D92E20" w:rsidRDefault="00DE09A0" w:rsidP="00DE09A0">
            <w:pPr>
              <w:spacing w:after="0" w:line="240" w:lineRule="auto"/>
              <w:jc w:val="center"/>
              <w:rPr>
                <w:rFonts w:cs="Arial"/>
                <w:color w:val="000000"/>
                <w:sz w:val="16"/>
                <w:szCs w:val="16"/>
              </w:rPr>
            </w:pPr>
            <w:r>
              <w:rPr>
                <w:rFonts w:cs="Arial"/>
                <w:color w:val="000000"/>
                <w:sz w:val="16"/>
                <w:szCs w:val="16"/>
              </w:rPr>
              <w:t>24,8</w:t>
            </w:r>
          </w:p>
        </w:tc>
      </w:tr>
      <w:tr w:rsidR="00DE09A0" w:rsidRPr="00D92E20" w14:paraId="1E820421"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5C12AFC3"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Ústecký kraj</w:t>
            </w:r>
          </w:p>
        </w:tc>
        <w:tc>
          <w:tcPr>
            <w:tcW w:w="709" w:type="dxa"/>
            <w:tcBorders>
              <w:top w:val="nil"/>
              <w:left w:val="nil"/>
              <w:bottom w:val="nil"/>
              <w:right w:val="nil"/>
            </w:tcBorders>
            <w:shd w:val="clear" w:color="auto" w:fill="auto"/>
            <w:noWrap/>
            <w:vAlign w:val="center"/>
            <w:hideMark/>
          </w:tcPr>
          <w:p w14:paraId="53EDB56A" w14:textId="0813B119" w:rsidR="00DE09A0" w:rsidRPr="00D92E20" w:rsidRDefault="00DE09A0" w:rsidP="00DE09A0">
            <w:pPr>
              <w:spacing w:after="0" w:line="240" w:lineRule="auto"/>
              <w:jc w:val="center"/>
              <w:rPr>
                <w:rFonts w:cs="Arial"/>
                <w:color w:val="000000"/>
                <w:sz w:val="16"/>
                <w:szCs w:val="16"/>
              </w:rPr>
            </w:pPr>
            <w:r>
              <w:rPr>
                <w:rFonts w:cs="Arial"/>
                <w:sz w:val="16"/>
                <w:szCs w:val="16"/>
              </w:rPr>
              <w:t>50,4</w:t>
            </w:r>
          </w:p>
        </w:tc>
        <w:tc>
          <w:tcPr>
            <w:tcW w:w="709" w:type="dxa"/>
            <w:tcBorders>
              <w:top w:val="nil"/>
              <w:left w:val="nil"/>
              <w:bottom w:val="nil"/>
              <w:right w:val="nil"/>
            </w:tcBorders>
            <w:shd w:val="clear" w:color="auto" w:fill="auto"/>
            <w:noWrap/>
            <w:vAlign w:val="center"/>
            <w:hideMark/>
          </w:tcPr>
          <w:p w14:paraId="61557AB9" w14:textId="4E8FC0A0" w:rsidR="00DE09A0" w:rsidRPr="00D92E20" w:rsidRDefault="00DE09A0" w:rsidP="00DE09A0">
            <w:pPr>
              <w:spacing w:after="0" w:line="240" w:lineRule="auto"/>
              <w:jc w:val="center"/>
              <w:rPr>
                <w:rFonts w:cs="Arial"/>
                <w:color w:val="000000"/>
                <w:sz w:val="16"/>
                <w:szCs w:val="16"/>
              </w:rPr>
            </w:pPr>
            <w:r>
              <w:rPr>
                <w:rFonts w:cs="Arial"/>
                <w:sz w:val="16"/>
                <w:szCs w:val="16"/>
              </w:rPr>
              <w:t>44,8</w:t>
            </w:r>
          </w:p>
        </w:tc>
        <w:tc>
          <w:tcPr>
            <w:tcW w:w="709" w:type="dxa"/>
            <w:tcBorders>
              <w:top w:val="nil"/>
              <w:left w:val="nil"/>
              <w:bottom w:val="nil"/>
              <w:right w:val="nil"/>
            </w:tcBorders>
            <w:shd w:val="clear" w:color="auto" w:fill="auto"/>
            <w:noWrap/>
            <w:vAlign w:val="center"/>
            <w:hideMark/>
          </w:tcPr>
          <w:p w14:paraId="2751F588" w14:textId="7E03C217" w:rsidR="00DE09A0" w:rsidRPr="00D92E20" w:rsidRDefault="00DE09A0" w:rsidP="00DE09A0">
            <w:pPr>
              <w:spacing w:after="0" w:line="240" w:lineRule="auto"/>
              <w:jc w:val="center"/>
              <w:rPr>
                <w:rFonts w:cs="Arial"/>
                <w:color w:val="000000"/>
                <w:sz w:val="16"/>
                <w:szCs w:val="16"/>
              </w:rPr>
            </w:pPr>
            <w:r>
              <w:rPr>
                <w:rFonts w:cs="Arial"/>
                <w:sz w:val="16"/>
                <w:szCs w:val="16"/>
              </w:rPr>
              <w:t>48,2</w:t>
            </w:r>
          </w:p>
        </w:tc>
        <w:tc>
          <w:tcPr>
            <w:tcW w:w="709" w:type="dxa"/>
            <w:tcBorders>
              <w:top w:val="nil"/>
              <w:left w:val="nil"/>
              <w:bottom w:val="nil"/>
              <w:right w:val="nil"/>
            </w:tcBorders>
            <w:shd w:val="clear" w:color="auto" w:fill="auto"/>
            <w:noWrap/>
            <w:vAlign w:val="center"/>
            <w:hideMark/>
          </w:tcPr>
          <w:p w14:paraId="0E453295" w14:textId="54970E51" w:rsidR="00DE09A0" w:rsidRPr="00D92E20" w:rsidRDefault="00DE09A0" w:rsidP="00DE09A0">
            <w:pPr>
              <w:spacing w:after="0" w:line="240" w:lineRule="auto"/>
              <w:jc w:val="center"/>
              <w:rPr>
                <w:rFonts w:cs="Arial"/>
                <w:color w:val="000000"/>
                <w:sz w:val="16"/>
                <w:szCs w:val="16"/>
              </w:rPr>
            </w:pPr>
            <w:r>
              <w:rPr>
                <w:rFonts w:cs="Arial"/>
                <w:sz w:val="16"/>
                <w:szCs w:val="16"/>
              </w:rPr>
              <w:t>41,6</w:t>
            </w:r>
          </w:p>
        </w:tc>
        <w:tc>
          <w:tcPr>
            <w:tcW w:w="709" w:type="dxa"/>
            <w:tcBorders>
              <w:top w:val="nil"/>
              <w:left w:val="nil"/>
              <w:bottom w:val="nil"/>
              <w:right w:val="nil"/>
            </w:tcBorders>
            <w:shd w:val="clear" w:color="auto" w:fill="auto"/>
            <w:noWrap/>
            <w:vAlign w:val="center"/>
            <w:hideMark/>
          </w:tcPr>
          <w:p w14:paraId="0FB23F3F" w14:textId="0E57BEF6" w:rsidR="00DE09A0" w:rsidRPr="00D92E20" w:rsidRDefault="00DE09A0" w:rsidP="00DE09A0">
            <w:pPr>
              <w:spacing w:after="0" w:line="240" w:lineRule="auto"/>
              <w:jc w:val="center"/>
              <w:rPr>
                <w:rFonts w:cs="Arial"/>
                <w:color w:val="000000"/>
                <w:sz w:val="16"/>
                <w:szCs w:val="16"/>
              </w:rPr>
            </w:pPr>
            <w:r>
              <w:rPr>
                <w:rFonts w:cs="Arial"/>
                <w:sz w:val="16"/>
                <w:szCs w:val="16"/>
              </w:rPr>
              <w:t>42,0</w:t>
            </w:r>
          </w:p>
        </w:tc>
        <w:tc>
          <w:tcPr>
            <w:tcW w:w="709" w:type="dxa"/>
            <w:tcBorders>
              <w:top w:val="nil"/>
              <w:left w:val="nil"/>
              <w:bottom w:val="nil"/>
              <w:right w:val="nil"/>
            </w:tcBorders>
            <w:shd w:val="clear" w:color="auto" w:fill="auto"/>
            <w:noWrap/>
            <w:vAlign w:val="center"/>
            <w:hideMark/>
          </w:tcPr>
          <w:p w14:paraId="44310171" w14:textId="224E7E70" w:rsidR="00DE09A0" w:rsidRPr="00D92E20" w:rsidRDefault="00DE09A0" w:rsidP="00DE09A0">
            <w:pPr>
              <w:spacing w:after="0" w:line="240" w:lineRule="auto"/>
              <w:jc w:val="center"/>
              <w:rPr>
                <w:rFonts w:cs="Arial"/>
                <w:color w:val="000000"/>
                <w:sz w:val="16"/>
                <w:szCs w:val="16"/>
              </w:rPr>
            </w:pPr>
            <w:r>
              <w:rPr>
                <w:rFonts w:cs="Arial"/>
                <w:sz w:val="16"/>
                <w:szCs w:val="16"/>
              </w:rPr>
              <w:t>41,7</w:t>
            </w:r>
          </w:p>
        </w:tc>
        <w:tc>
          <w:tcPr>
            <w:tcW w:w="709" w:type="dxa"/>
            <w:tcBorders>
              <w:top w:val="nil"/>
              <w:left w:val="nil"/>
              <w:bottom w:val="nil"/>
              <w:right w:val="nil"/>
            </w:tcBorders>
            <w:shd w:val="clear" w:color="auto" w:fill="auto"/>
            <w:noWrap/>
            <w:vAlign w:val="center"/>
            <w:hideMark/>
          </w:tcPr>
          <w:p w14:paraId="271136AD" w14:textId="3CDA7445" w:rsidR="00DE09A0" w:rsidRPr="00D92E20" w:rsidRDefault="00DE09A0" w:rsidP="00DE09A0">
            <w:pPr>
              <w:spacing w:after="0" w:line="240" w:lineRule="auto"/>
              <w:jc w:val="center"/>
              <w:rPr>
                <w:rFonts w:cs="Arial"/>
                <w:color w:val="000000"/>
                <w:sz w:val="16"/>
                <w:szCs w:val="16"/>
              </w:rPr>
            </w:pPr>
            <w:r>
              <w:rPr>
                <w:rFonts w:cs="Arial"/>
                <w:color w:val="000000"/>
                <w:sz w:val="16"/>
                <w:szCs w:val="16"/>
              </w:rPr>
              <w:t>39,1</w:t>
            </w:r>
          </w:p>
        </w:tc>
        <w:tc>
          <w:tcPr>
            <w:tcW w:w="709" w:type="dxa"/>
            <w:tcBorders>
              <w:top w:val="nil"/>
              <w:left w:val="nil"/>
              <w:bottom w:val="nil"/>
              <w:right w:val="nil"/>
            </w:tcBorders>
            <w:shd w:val="clear" w:color="auto" w:fill="auto"/>
            <w:noWrap/>
            <w:vAlign w:val="center"/>
            <w:hideMark/>
          </w:tcPr>
          <w:p w14:paraId="5A6B5088" w14:textId="000A4CC4" w:rsidR="00DE09A0" w:rsidRPr="00D92E20" w:rsidRDefault="00DE09A0" w:rsidP="00DE09A0">
            <w:pPr>
              <w:spacing w:after="0" w:line="240" w:lineRule="auto"/>
              <w:jc w:val="center"/>
              <w:rPr>
                <w:rFonts w:cs="Arial"/>
                <w:color w:val="000000"/>
                <w:sz w:val="16"/>
                <w:szCs w:val="16"/>
              </w:rPr>
            </w:pPr>
            <w:r>
              <w:rPr>
                <w:rFonts w:cs="Arial"/>
                <w:color w:val="000000"/>
                <w:sz w:val="16"/>
                <w:szCs w:val="16"/>
              </w:rPr>
              <w:t>42,2</w:t>
            </w:r>
          </w:p>
        </w:tc>
        <w:tc>
          <w:tcPr>
            <w:tcW w:w="709" w:type="dxa"/>
            <w:tcBorders>
              <w:top w:val="nil"/>
              <w:left w:val="nil"/>
              <w:bottom w:val="nil"/>
              <w:right w:val="nil"/>
            </w:tcBorders>
            <w:shd w:val="clear" w:color="auto" w:fill="auto"/>
            <w:noWrap/>
            <w:vAlign w:val="center"/>
            <w:hideMark/>
          </w:tcPr>
          <w:p w14:paraId="61FD4865" w14:textId="0E7B18D1" w:rsidR="00DE09A0" w:rsidRPr="00D92E20" w:rsidRDefault="00DE09A0" w:rsidP="00DE09A0">
            <w:pPr>
              <w:spacing w:after="0" w:line="240" w:lineRule="auto"/>
              <w:jc w:val="center"/>
              <w:rPr>
                <w:rFonts w:cs="Arial"/>
                <w:color w:val="000000"/>
                <w:sz w:val="16"/>
                <w:szCs w:val="16"/>
              </w:rPr>
            </w:pPr>
            <w:r>
              <w:rPr>
                <w:rFonts w:cs="Arial"/>
                <w:color w:val="000000"/>
                <w:sz w:val="16"/>
                <w:szCs w:val="16"/>
              </w:rPr>
              <w:t>44,4</w:t>
            </w:r>
          </w:p>
        </w:tc>
        <w:tc>
          <w:tcPr>
            <w:tcW w:w="709" w:type="dxa"/>
            <w:tcBorders>
              <w:top w:val="nil"/>
              <w:left w:val="nil"/>
              <w:bottom w:val="nil"/>
              <w:right w:val="nil"/>
            </w:tcBorders>
            <w:shd w:val="clear" w:color="auto" w:fill="auto"/>
            <w:noWrap/>
            <w:vAlign w:val="center"/>
            <w:hideMark/>
          </w:tcPr>
          <w:p w14:paraId="4CCF4679" w14:textId="2DCDC0B5" w:rsidR="00DE09A0" w:rsidRPr="00D92E20" w:rsidRDefault="00DE09A0" w:rsidP="00DE09A0">
            <w:pPr>
              <w:spacing w:after="0" w:line="240" w:lineRule="auto"/>
              <w:jc w:val="center"/>
              <w:rPr>
                <w:rFonts w:cs="Arial"/>
                <w:color w:val="000000"/>
                <w:sz w:val="16"/>
                <w:szCs w:val="16"/>
              </w:rPr>
            </w:pPr>
            <w:r>
              <w:rPr>
                <w:rFonts w:cs="Arial"/>
                <w:color w:val="000000"/>
                <w:sz w:val="16"/>
                <w:szCs w:val="16"/>
              </w:rPr>
              <w:t>34,8</w:t>
            </w:r>
          </w:p>
        </w:tc>
        <w:tc>
          <w:tcPr>
            <w:tcW w:w="709" w:type="dxa"/>
            <w:tcBorders>
              <w:top w:val="nil"/>
              <w:left w:val="nil"/>
              <w:bottom w:val="nil"/>
              <w:right w:val="nil"/>
            </w:tcBorders>
            <w:shd w:val="clear" w:color="auto" w:fill="auto"/>
            <w:noWrap/>
            <w:vAlign w:val="center"/>
            <w:hideMark/>
          </w:tcPr>
          <w:p w14:paraId="46CF6C7E" w14:textId="02B1A780" w:rsidR="00DE09A0" w:rsidRPr="00D92E20" w:rsidRDefault="00DE09A0" w:rsidP="00DE09A0">
            <w:pPr>
              <w:spacing w:after="0" w:line="240" w:lineRule="auto"/>
              <w:jc w:val="center"/>
              <w:rPr>
                <w:rFonts w:cs="Arial"/>
                <w:color w:val="000000"/>
                <w:sz w:val="16"/>
                <w:szCs w:val="16"/>
              </w:rPr>
            </w:pPr>
            <w:r>
              <w:rPr>
                <w:rFonts w:cs="Arial"/>
                <w:color w:val="000000"/>
                <w:sz w:val="16"/>
                <w:szCs w:val="16"/>
              </w:rPr>
              <w:t>24,3</w:t>
            </w:r>
          </w:p>
        </w:tc>
      </w:tr>
      <w:tr w:rsidR="00DE09A0" w:rsidRPr="00D92E20" w14:paraId="72DD9458"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7CE51E1B"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Liberecký kraj</w:t>
            </w:r>
          </w:p>
        </w:tc>
        <w:tc>
          <w:tcPr>
            <w:tcW w:w="709" w:type="dxa"/>
            <w:tcBorders>
              <w:top w:val="nil"/>
              <w:left w:val="nil"/>
              <w:bottom w:val="nil"/>
              <w:right w:val="nil"/>
            </w:tcBorders>
            <w:shd w:val="clear" w:color="auto" w:fill="auto"/>
            <w:noWrap/>
            <w:vAlign w:val="center"/>
            <w:hideMark/>
          </w:tcPr>
          <w:p w14:paraId="7CC0F3E1" w14:textId="116F936D" w:rsidR="00DE09A0" w:rsidRPr="00D92E20" w:rsidRDefault="00DE09A0" w:rsidP="00DE09A0">
            <w:pPr>
              <w:spacing w:after="0" w:line="240" w:lineRule="auto"/>
              <w:jc w:val="center"/>
              <w:rPr>
                <w:rFonts w:cs="Arial"/>
                <w:color w:val="000000"/>
                <w:sz w:val="16"/>
                <w:szCs w:val="16"/>
              </w:rPr>
            </w:pPr>
            <w:r>
              <w:rPr>
                <w:rFonts w:cs="Arial"/>
                <w:sz w:val="16"/>
                <w:szCs w:val="16"/>
              </w:rPr>
              <w:t>47,3</w:t>
            </w:r>
          </w:p>
        </w:tc>
        <w:tc>
          <w:tcPr>
            <w:tcW w:w="709" w:type="dxa"/>
            <w:tcBorders>
              <w:top w:val="nil"/>
              <w:left w:val="nil"/>
              <w:bottom w:val="nil"/>
              <w:right w:val="nil"/>
            </w:tcBorders>
            <w:shd w:val="clear" w:color="auto" w:fill="auto"/>
            <w:noWrap/>
            <w:vAlign w:val="center"/>
            <w:hideMark/>
          </w:tcPr>
          <w:p w14:paraId="11590B88" w14:textId="036EFF6B" w:rsidR="00DE09A0" w:rsidRPr="00D92E20" w:rsidRDefault="00DE09A0" w:rsidP="00DE09A0">
            <w:pPr>
              <w:spacing w:after="0" w:line="240" w:lineRule="auto"/>
              <w:jc w:val="center"/>
              <w:rPr>
                <w:rFonts w:cs="Arial"/>
                <w:color w:val="000000"/>
                <w:sz w:val="16"/>
                <w:szCs w:val="16"/>
              </w:rPr>
            </w:pPr>
            <w:r>
              <w:rPr>
                <w:rFonts w:cs="Arial"/>
                <w:sz w:val="16"/>
                <w:szCs w:val="16"/>
              </w:rPr>
              <w:t>40,2</w:t>
            </w:r>
          </w:p>
        </w:tc>
        <w:tc>
          <w:tcPr>
            <w:tcW w:w="709" w:type="dxa"/>
            <w:tcBorders>
              <w:top w:val="nil"/>
              <w:left w:val="nil"/>
              <w:bottom w:val="nil"/>
              <w:right w:val="nil"/>
            </w:tcBorders>
            <w:shd w:val="clear" w:color="auto" w:fill="auto"/>
            <w:noWrap/>
            <w:vAlign w:val="center"/>
            <w:hideMark/>
          </w:tcPr>
          <w:p w14:paraId="201C1F93" w14:textId="20541A0D" w:rsidR="00DE09A0" w:rsidRPr="00D92E20" w:rsidRDefault="00DE09A0" w:rsidP="00DE09A0">
            <w:pPr>
              <w:spacing w:after="0" w:line="240" w:lineRule="auto"/>
              <w:jc w:val="center"/>
              <w:rPr>
                <w:rFonts w:cs="Arial"/>
                <w:color w:val="000000"/>
                <w:sz w:val="16"/>
                <w:szCs w:val="16"/>
              </w:rPr>
            </w:pPr>
            <w:r>
              <w:rPr>
                <w:rFonts w:cs="Arial"/>
                <w:sz w:val="16"/>
                <w:szCs w:val="16"/>
              </w:rPr>
              <w:t>43,2</w:t>
            </w:r>
          </w:p>
        </w:tc>
        <w:tc>
          <w:tcPr>
            <w:tcW w:w="709" w:type="dxa"/>
            <w:tcBorders>
              <w:top w:val="nil"/>
              <w:left w:val="nil"/>
              <w:bottom w:val="nil"/>
              <w:right w:val="nil"/>
            </w:tcBorders>
            <w:shd w:val="clear" w:color="auto" w:fill="auto"/>
            <w:noWrap/>
            <w:vAlign w:val="center"/>
            <w:hideMark/>
          </w:tcPr>
          <w:p w14:paraId="71F40299" w14:textId="7E5E8A80" w:rsidR="00DE09A0" w:rsidRPr="00D92E20" w:rsidRDefault="00DE09A0" w:rsidP="00DE09A0">
            <w:pPr>
              <w:spacing w:after="0" w:line="240" w:lineRule="auto"/>
              <w:jc w:val="center"/>
              <w:rPr>
                <w:rFonts w:cs="Arial"/>
                <w:color w:val="000000"/>
                <w:sz w:val="16"/>
                <w:szCs w:val="16"/>
              </w:rPr>
            </w:pPr>
            <w:r>
              <w:rPr>
                <w:rFonts w:cs="Arial"/>
                <w:sz w:val="16"/>
                <w:szCs w:val="16"/>
              </w:rPr>
              <w:t>37,8</w:t>
            </w:r>
          </w:p>
        </w:tc>
        <w:tc>
          <w:tcPr>
            <w:tcW w:w="709" w:type="dxa"/>
            <w:tcBorders>
              <w:top w:val="nil"/>
              <w:left w:val="nil"/>
              <w:bottom w:val="nil"/>
              <w:right w:val="nil"/>
            </w:tcBorders>
            <w:shd w:val="clear" w:color="auto" w:fill="auto"/>
            <w:noWrap/>
            <w:vAlign w:val="center"/>
            <w:hideMark/>
          </w:tcPr>
          <w:p w14:paraId="39148A43" w14:textId="38BD04A3" w:rsidR="00DE09A0" w:rsidRPr="00D92E20" w:rsidRDefault="00DE09A0" w:rsidP="00DE09A0">
            <w:pPr>
              <w:spacing w:after="0" w:line="240" w:lineRule="auto"/>
              <w:jc w:val="center"/>
              <w:rPr>
                <w:rFonts w:cs="Arial"/>
                <w:color w:val="000000"/>
                <w:sz w:val="16"/>
                <w:szCs w:val="16"/>
              </w:rPr>
            </w:pPr>
            <w:r>
              <w:rPr>
                <w:rFonts w:cs="Arial"/>
                <w:sz w:val="16"/>
                <w:szCs w:val="16"/>
              </w:rPr>
              <w:t>38,5</w:t>
            </w:r>
          </w:p>
        </w:tc>
        <w:tc>
          <w:tcPr>
            <w:tcW w:w="709" w:type="dxa"/>
            <w:tcBorders>
              <w:top w:val="nil"/>
              <w:left w:val="nil"/>
              <w:bottom w:val="nil"/>
              <w:right w:val="nil"/>
            </w:tcBorders>
            <w:shd w:val="clear" w:color="auto" w:fill="auto"/>
            <w:noWrap/>
            <w:vAlign w:val="center"/>
            <w:hideMark/>
          </w:tcPr>
          <w:p w14:paraId="64090EB8" w14:textId="11805C4A" w:rsidR="00DE09A0" w:rsidRPr="00D92E20" w:rsidRDefault="00DE09A0" w:rsidP="00DE09A0">
            <w:pPr>
              <w:spacing w:after="0" w:line="240" w:lineRule="auto"/>
              <w:jc w:val="center"/>
              <w:rPr>
                <w:rFonts w:cs="Arial"/>
                <w:color w:val="000000"/>
                <w:sz w:val="16"/>
                <w:szCs w:val="16"/>
              </w:rPr>
            </w:pPr>
            <w:r>
              <w:rPr>
                <w:rFonts w:cs="Arial"/>
                <w:sz w:val="16"/>
                <w:szCs w:val="16"/>
              </w:rPr>
              <w:t>37,8</w:t>
            </w:r>
          </w:p>
        </w:tc>
        <w:tc>
          <w:tcPr>
            <w:tcW w:w="709" w:type="dxa"/>
            <w:tcBorders>
              <w:top w:val="nil"/>
              <w:left w:val="nil"/>
              <w:bottom w:val="nil"/>
              <w:right w:val="nil"/>
            </w:tcBorders>
            <w:shd w:val="clear" w:color="auto" w:fill="auto"/>
            <w:noWrap/>
            <w:vAlign w:val="center"/>
            <w:hideMark/>
          </w:tcPr>
          <w:p w14:paraId="4A8695A4" w14:textId="24492CBD" w:rsidR="00DE09A0" w:rsidRPr="00D92E20" w:rsidRDefault="00DE09A0" w:rsidP="00DE09A0">
            <w:pPr>
              <w:spacing w:after="0" w:line="240" w:lineRule="auto"/>
              <w:jc w:val="center"/>
              <w:rPr>
                <w:rFonts w:cs="Arial"/>
                <w:color w:val="000000"/>
                <w:sz w:val="16"/>
                <w:szCs w:val="16"/>
              </w:rPr>
            </w:pPr>
            <w:r>
              <w:rPr>
                <w:rFonts w:cs="Arial"/>
                <w:color w:val="000000"/>
                <w:sz w:val="16"/>
                <w:szCs w:val="16"/>
              </w:rPr>
              <w:t>35,3</w:t>
            </w:r>
          </w:p>
        </w:tc>
        <w:tc>
          <w:tcPr>
            <w:tcW w:w="709" w:type="dxa"/>
            <w:tcBorders>
              <w:top w:val="nil"/>
              <w:left w:val="nil"/>
              <w:bottom w:val="nil"/>
              <w:right w:val="nil"/>
            </w:tcBorders>
            <w:shd w:val="clear" w:color="auto" w:fill="auto"/>
            <w:noWrap/>
            <w:vAlign w:val="center"/>
            <w:hideMark/>
          </w:tcPr>
          <w:p w14:paraId="28278487" w14:textId="679EA0F2" w:rsidR="00DE09A0" w:rsidRPr="00D92E20" w:rsidRDefault="00DE09A0" w:rsidP="00DE09A0">
            <w:pPr>
              <w:spacing w:after="0" w:line="240" w:lineRule="auto"/>
              <w:jc w:val="center"/>
              <w:rPr>
                <w:rFonts w:cs="Arial"/>
                <w:color w:val="000000"/>
                <w:sz w:val="16"/>
                <w:szCs w:val="16"/>
              </w:rPr>
            </w:pPr>
            <w:r>
              <w:rPr>
                <w:rFonts w:cs="Arial"/>
                <w:color w:val="000000"/>
                <w:sz w:val="16"/>
                <w:szCs w:val="16"/>
              </w:rPr>
              <w:t>38,6</w:t>
            </w:r>
          </w:p>
        </w:tc>
        <w:tc>
          <w:tcPr>
            <w:tcW w:w="709" w:type="dxa"/>
            <w:tcBorders>
              <w:top w:val="nil"/>
              <w:left w:val="nil"/>
              <w:bottom w:val="nil"/>
              <w:right w:val="nil"/>
            </w:tcBorders>
            <w:shd w:val="clear" w:color="auto" w:fill="auto"/>
            <w:noWrap/>
            <w:vAlign w:val="center"/>
            <w:hideMark/>
          </w:tcPr>
          <w:p w14:paraId="0F14019E" w14:textId="1ED27D17" w:rsidR="00DE09A0" w:rsidRPr="00D92E20" w:rsidRDefault="00DE09A0" w:rsidP="00DE09A0">
            <w:pPr>
              <w:spacing w:after="0" w:line="240" w:lineRule="auto"/>
              <w:jc w:val="center"/>
              <w:rPr>
                <w:rFonts w:cs="Arial"/>
                <w:color w:val="000000"/>
                <w:sz w:val="16"/>
                <w:szCs w:val="16"/>
              </w:rPr>
            </w:pPr>
            <w:r>
              <w:rPr>
                <w:rFonts w:cs="Arial"/>
                <w:color w:val="000000"/>
                <w:sz w:val="16"/>
                <w:szCs w:val="16"/>
              </w:rPr>
              <w:t>41,2</w:t>
            </w:r>
          </w:p>
        </w:tc>
        <w:tc>
          <w:tcPr>
            <w:tcW w:w="709" w:type="dxa"/>
            <w:tcBorders>
              <w:top w:val="nil"/>
              <w:left w:val="nil"/>
              <w:bottom w:val="nil"/>
              <w:right w:val="nil"/>
            </w:tcBorders>
            <w:shd w:val="clear" w:color="auto" w:fill="auto"/>
            <w:noWrap/>
            <w:vAlign w:val="center"/>
            <w:hideMark/>
          </w:tcPr>
          <w:p w14:paraId="0D8EC452" w14:textId="31B0B794" w:rsidR="00DE09A0" w:rsidRPr="00D92E20" w:rsidRDefault="00DE09A0" w:rsidP="00DE09A0">
            <w:pPr>
              <w:spacing w:after="0" w:line="240" w:lineRule="auto"/>
              <w:jc w:val="center"/>
              <w:rPr>
                <w:rFonts w:cs="Arial"/>
                <w:color w:val="000000"/>
                <w:sz w:val="16"/>
                <w:szCs w:val="16"/>
              </w:rPr>
            </w:pPr>
            <w:r>
              <w:rPr>
                <w:rFonts w:cs="Arial"/>
                <w:color w:val="000000"/>
                <w:sz w:val="16"/>
                <w:szCs w:val="16"/>
              </w:rPr>
              <w:t>32,6</w:t>
            </w:r>
          </w:p>
        </w:tc>
        <w:tc>
          <w:tcPr>
            <w:tcW w:w="709" w:type="dxa"/>
            <w:tcBorders>
              <w:top w:val="nil"/>
              <w:left w:val="nil"/>
              <w:bottom w:val="nil"/>
              <w:right w:val="nil"/>
            </w:tcBorders>
            <w:shd w:val="clear" w:color="auto" w:fill="auto"/>
            <w:noWrap/>
            <w:vAlign w:val="center"/>
            <w:hideMark/>
          </w:tcPr>
          <w:p w14:paraId="390E40ED" w14:textId="2C4F76AA" w:rsidR="00DE09A0" w:rsidRPr="00D92E20" w:rsidRDefault="00DE09A0" w:rsidP="00DE09A0">
            <w:pPr>
              <w:spacing w:after="0" w:line="240" w:lineRule="auto"/>
              <w:jc w:val="center"/>
              <w:rPr>
                <w:rFonts w:cs="Arial"/>
                <w:color w:val="000000"/>
                <w:sz w:val="16"/>
                <w:szCs w:val="16"/>
              </w:rPr>
            </w:pPr>
            <w:r>
              <w:rPr>
                <w:rFonts w:cs="Arial"/>
                <w:color w:val="000000"/>
                <w:sz w:val="16"/>
                <w:szCs w:val="16"/>
              </w:rPr>
              <w:t>22,8</w:t>
            </w:r>
          </w:p>
        </w:tc>
      </w:tr>
      <w:tr w:rsidR="00DE09A0" w:rsidRPr="00D92E20" w14:paraId="021B216A"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3990E26A"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Královéhradecký kraj</w:t>
            </w:r>
          </w:p>
        </w:tc>
        <w:tc>
          <w:tcPr>
            <w:tcW w:w="709" w:type="dxa"/>
            <w:tcBorders>
              <w:top w:val="nil"/>
              <w:left w:val="nil"/>
              <w:bottom w:val="nil"/>
              <w:right w:val="nil"/>
            </w:tcBorders>
            <w:shd w:val="clear" w:color="auto" w:fill="auto"/>
            <w:noWrap/>
            <w:vAlign w:val="center"/>
            <w:hideMark/>
          </w:tcPr>
          <w:p w14:paraId="064ACC76" w14:textId="26007679" w:rsidR="00DE09A0" w:rsidRPr="00D92E20" w:rsidRDefault="00DE09A0" w:rsidP="00DE09A0">
            <w:pPr>
              <w:spacing w:after="0" w:line="240" w:lineRule="auto"/>
              <w:jc w:val="center"/>
              <w:rPr>
                <w:rFonts w:cs="Arial"/>
                <w:color w:val="000000"/>
                <w:sz w:val="16"/>
                <w:szCs w:val="16"/>
              </w:rPr>
            </w:pPr>
            <w:r>
              <w:rPr>
                <w:rFonts w:cs="Arial"/>
                <w:sz w:val="16"/>
                <w:szCs w:val="16"/>
              </w:rPr>
              <w:t>45,2</w:t>
            </w:r>
          </w:p>
        </w:tc>
        <w:tc>
          <w:tcPr>
            <w:tcW w:w="709" w:type="dxa"/>
            <w:tcBorders>
              <w:top w:val="nil"/>
              <w:left w:val="nil"/>
              <w:bottom w:val="nil"/>
              <w:right w:val="nil"/>
            </w:tcBorders>
            <w:shd w:val="clear" w:color="auto" w:fill="auto"/>
            <w:noWrap/>
            <w:vAlign w:val="center"/>
            <w:hideMark/>
          </w:tcPr>
          <w:p w14:paraId="7E927712" w14:textId="4326DB71" w:rsidR="00DE09A0" w:rsidRPr="00D92E20" w:rsidRDefault="00DE09A0" w:rsidP="00DE09A0">
            <w:pPr>
              <w:spacing w:after="0" w:line="240" w:lineRule="auto"/>
              <w:jc w:val="center"/>
              <w:rPr>
                <w:rFonts w:cs="Arial"/>
                <w:color w:val="000000"/>
                <w:sz w:val="16"/>
                <w:szCs w:val="16"/>
              </w:rPr>
            </w:pPr>
            <w:r>
              <w:rPr>
                <w:rFonts w:cs="Arial"/>
                <w:sz w:val="16"/>
                <w:szCs w:val="16"/>
              </w:rPr>
              <w:t>39,5</w:t>
            </w:r>
          </w:p>
        </w:tc>
        <w:tc>
          <w:tcPr>
            <w:tcW w:w="709" w:type="dxa"/>
            <w:tcBorders>
              <w:top w:val="nil"/>
              <w:left w:val="nil"/>
              <w:bottom w:val="nil"/>
              <w:right w:val="nil"/>
            </w:tcBorders>
            <w:shd w:val="clear" w:color="auto" w:fill="auto"/>
            <w:noWrap/>
            <w:vAlign w:val="center"/>
            <w:hideMark/>
          </w:tcPr>
          <w:p w14:paraId="53EEF42F" w14:textId="2D9FA5FC" w:rsidR="00DE09A0" w:rsidRPr="00D92E20" w:rsidRDefault="00DE09A0" w:rsidP="00DE09A0">
            <w:pPr>
              <w:spacing w:after="0" w:line="240" w:lineRule="auto"/>
              <w:jc w:val="center"/>
              <w:rPr>
                <w:rFonts w:cs="Arial"/>
                <w:color w:val="000000"/>
                <w:sz w:val="16"/>
                <w:szCs w:val="16"/>
              </w:rPr>
            </w:pPr>
            <w:r>
              <w:rPr>
                <w:rFonts w:cs="Arial"/>
                <w:sz w:val="16"/>
                <w:szCs w:val="16"/>
              </w:rPr>
              <w:t>43,7</w:t>
            </w:r>
          </w:p>
        </w:tc>
        <w:tc>
          <w:tcPr>
            <w:tcW w:w="709" w:type="dxa"/>
            <w:tcBorders>
              <w:top w:val="nil"/>
              <w:left w:val="nil"/>
              <w:bottom w:val="nil"/>
              <w:right w:val="nil"/>
            </w:tcBorders>
            <w:shd w:val="clear" w:color="auto" w:fill="auto"/>
            <w:noWrap/>
            <w:vAlign w:val="center"/>
            <w:hideMark/>
          </w:tcPr>
          <w:p w14:paraId="111A98A7" w14:textId="4A12FC58" w:rsidR="00DE09A0" w:rsidRPr="00D92E20" w:rsidRDefault="00DE09A0" w:rsidP="00DE09A0">
            <w:pPr>
              <w:spacing w:after="0" w:line="240" w:lineRule="auto"/>
              <w:jc w:val="center"/>
              <w:rPr>
                <w:rFonts w:cs="Arial"/>
                <w:color w:val="000000"/>
                <w:sz w:val="16"/>
                <w:szCs w:val="16"/>
              </w:rPr>
            </w:pPr>
            <w:r>
              <w:rPr>
                <w:rFonts w:cs="Arial"/>
                <w:sz w:val="16"/>
                <w:szCs w:val="16"/>
              </w:rPr>
              <w:t>38,4</w:t>
            </w:r>
          </w:p>
        </w:tc>
        <w:tc>
          <w:tcPr>
            <w:tcW w:w="709" w:type="dxa"/>
            <w:tcBorders>
              <w:top w:val="nil"/>
              <w:left w:val="nil"/>
              <w:bottom w:val="nil"/>
              <w:right w:val="nil"/>
            </w:tcBorders>
            <w:shd w:val="clear" w:color="auto" w:fill="auto"/>
            <w:noWrap/>
            <w:vAlign w:val="center"/>
            <w:hideMark/>
          </w:tcPr>
          <w:p w14:paraId="445EEF85" w14:textId="016C7D91" w:rsidR="00DE09A0" w:rsidRPr="00D92E20" w:rsidRDefault="00DE09A0" w:rsidP="00DE09A0">
            <w:pPr>
              <w:spacing w:after="0" w:line="240" w:lineRule="auto"/>
              <w:jc w:val="center"/>
              <w:rPr>
                <w:rFonts w:cs="Arial"/>
                <w:color w:val="000000"/>
                <w:sz w:val="16"/>
                <w:szCs w:val="16"/>
              </w:rPr>
            </w:pPr>
            <w:r>
              <w:rPr>
                <w:rFonts w:cs="Arial"/>
                <w:sz w:val="16"/>
                <w:szCs w:val="16"/>
              </w:rPr>
              <w:t>39,0</w:t>
            </w:r>
          </w:p>
        </w:tc>
        <w:tc>
          <w:tcPr>
            <w:tcW w:w="709" w:type="dxa"/>
            <w:tcBorders>
              <w:top w:val="nil"/>
              <w:left w:val="nil"/>
              <w:bottom w:val="nil"/>
              <w:right w:val="nil"/>
            </w:tcBorders>
            <w:shd w:val="clear" w:color="auto" w:fill="auto"/>
            <w:noWrap/>
            <w:vAlign w:val="center"/>
            <w:hideMark/>
          </w:tcPr>
          <w:p w14:paraId="0917ABA5" w14:textId="0ABC17BA" w:rsidR="00DE09A0" w:rsidRPr="00D92E20" w:rsidRDefault="00DE09A0" w:rsidP="00DE09A0">
            <w:pPr>
              <w:spacing w:after="0" w:line="240" w:lineRule="auto"/>
              <w:jc w:val="center"/>
              <w:rPr>
                <w:rFonts w:cs="Arial"/>
                <w:color w:val="000000"/>
                <w:sz w:val="16"/>
                <w:szCs w:val="16"/>
              </w:rPr>
            </w:pPr>
            <w:r>
              <w:rPr>
                <w:rFonts w:cs="Arial"/>
                <w:sz w:val="16"/>
                <w:szCs w:val="16"/>
              </w:rPr>
              <w:t>38,2</w:t>
            </w:r>
          </w:p>
        </w:tc>
        <w:tc>
          <w:tcPr>
            <w:tcW w:w="709" w:type="dxa"/>
            <w:tcBorders>
              <w:top w:val="nil"/>
              <w:left w:val="nil"/>
              <w:bottom w:val="nil"/>
              <w:right w:val="nil"/>
            </w:tcBorders>
            <w:shd w:val="clear" w:color="auto" w:fill="auto"/>
            <w:noWrap/>
            <w:vAlign w:val="center"/>
            <w:hideMark/>
          </w:tcPr>
          <w:p w14:paraId="6C2082C0" w14:textId="721BF5F8" w:rsidR="00DE09A0" w:rsidRPr="00D92E20" w:rsidRDefault="00DE09A0" w:rsidP="00DE09A0">
            <w:pPr>
              <w:spacing w:after="0" w:line="240" w:lineRule="auto"/>
              <w:jc w:val="center"/>
              <w:rPr>
                <w:rFonts w:cs="Arial"/>
                <w:color w:val="000000"/>
                <w:sz w:val="16"/>
                <w:szCs w:val="16"/>
              </w:rPr>
            </w:pPr>
            <w:r>
              <w:rPr>
                <w:rFonts w:cs="Arial"/>
                <w:color w:val="000000"/>
                <w:sz w:val="16"/>
                <w:szCs w:val="16"/>
              </w:rPr>
              <w:t>36,1</w:t>
            </w:r>
          </w:p>
        </w:tc>
        <w:tc>
          <w:tcPr>
            <w:tcW w:w="709" w:type="dxa"/>
            <w:tcBorders>
              <w:top w:val="nil"/>
              <w:left w:val="nil"/>
              <w:bottom w:val="nil"/>
              <w:right w:val="nil"/>
            </w:tcBorders>
            <w:shd w:val="clear" w:color="auto" w:fill="auto"/>
            <w:noWrap/>
            <w:vAlign w:val="center"/>
            <w:hideMark/>
          </w:tcPr>
          <w:p w14:paraId="3644E73A" w14:textId="73176EBC" w:rsidR="00DE09A0" w:rsidRPr="00D92E20" w:rsidRDefault="00DE09A0" w:rsidP="00DE09A0">
            <w:pPr>
              <w:spacing w:after="0" w:line="240" w:lineRule="auto"/>
              <w:jc w:val="center"/>
              <w:rPr>
                <w:rFonts w:cs="Arial"/>
                <w:color w:val="000000"/>
                <w:sz w:val="16"/>
                <w:szCs w:val="16"/>
              </w:rPr>
            </w:pPr>
            <w:r>
              <w:rPr>
                <w:rFonts w:cs="Arial"/>
                <w:color w:val="000000"/>
                <w:sz w:val="16"/>
                <w:szCs w:val="16"/>
              </w:rPr>
              <w:t>38,7</w:t>
            </w:r>
          </w:p>
        </w:tc>
        <w:tc>
          <w:tcPr>
            <w:tcW w:w="709" w:type="dxa"/>
            <w:tcBorders>
              <w:top w:val="nil"/>
              <w:left w:val="nil"/>
              <w:bottom w:val="nil"/>
              <w:right w:val="nil"/>
            </w:tcBorders>
            <w:shd w:val="clear" w:color="auto" w:fill="auto"/>
            <w:noWrap/>
            <w:vAlign w:val="center"/>
            <w:hideMark/>
          </w:tcPr>
          <w:p w14:paraId="0C677012" w14:textId="51B3F4C3" w:rsidR="00DE09A0" w:rsidRPr="00D92E20" w:rsidRDefault="00DE09A0" w:rsidP="00DE09A0">
            <w:pPr>
              <w:spacing w:after="0" w:line="240" w:lineRule="auto"/>
              <w:jc w:val="center"/>
              <w:rPr>
                <w:rFonts w:cs="Arial"/>
                <w:color w:val="000000"/>
                <w:sz w:val="16"/>
                <w:szCs w:val="16"/>
              </w:rPr>
            </w:pPr>
            <w:r>
              <w:rPr>
                <w:rFonts w:cs="Arial"/>
                <w:color w:val="000000"/>
                <w:sz w:val="16"/>
                <w:szCs w:val="16"/>
              </w:rPr>
              <w:t>41,8</w:t>
            </w:r>
          </w:p>
        </w:tc>
        <w:tc>
          <w:tcPr>
            <w:tcW w:w="709" w:type="dxa"/>
            <w:tcBorders>
              <w:top w:val="nil"/>
              <w:left w:val="nil"/>
              <w:bottom w:val="nil"/>
              <w:right w:val="nil"/>
            </w:tcBorders>
            <w:shd w:val="clear" w:color="auto" w:fill="auto"/>
            <w:noWrap/>
            <w:vAlign w:val="center"/>
            <w:hideMark/>
          </w:tcPr>
          <w:p w14:paraId="77430767" w14:textId="4400349A" w:rsidR="00DE09A0" w:rsidRPr="00D92E20" w:rsidRDefault="00DE09A0" w:rsidP="00DE09A0">
            <w:pPr>
              <w:spacing w:after="0" w:line="240" w:lineRule="auto"/>
              <w:jc w:val="center"/>
              <w:rPr>
                <w:rFonts w:cs="Arial"/>
                <w:color w:val="000000"/>
                <w:sz w:val="16"/>
                <w:szCs w:val="16"/>
              </w:rPr>
            </w:pPr>
            <w:r>
              <w:rPr>
                <w:rFonts w:cs="Arial"/>
                <w:color w:val="000000"/>
                <w:sz w:val="16"/>
                <w:szCs w:val="16"/>
              </w:rPr>
              <w:t>32,5</w:t>
            </w:r>
          </w:p>
        </w:tc>
        <w:tc>
          <w:tcPr>
            <w:tcW w:w="709" w:type="dxa"/>
            <w:tcBorders>
              <w:top w:val="nil"/>
              <w:left w:val="nil"/>
              <w:bottom w:val="nil"/>
              <w:right w:val="nil"/>
            </w:tcBorders>
            <w:shd w:val="clear" w:color="auto" w:fill="auto"/>
            <w:noWrap/>
            <w:vAlign w:val="center"/>
            <w:hideMark/>
          </w:tcPr>
          <w:p w14:paraId="617FE258" w14:textId="2143B118" w:rsidR="00DE09A0" w:rsidRPr="00D92E20" w:rsidRDefault="00DE09A0" w:rsidP="00DE09A0">
            <w:pPr>
              <w:spacing w:after="0" w:line="240" w:lineRule="auto"/>
              <w:jc w:val="center"/>
              <w:rPr>
                <w:rFonts w:cs="Arial"/>
                <w:color w:val="000000"/>
                <w:sz w:val="16"/>
                <w:szCs w:val="16"/>
              </w:rPr>
            </w:pPr>
            <w:r>
              <w:rPr>
                <w:rFonts w:cs="Arial"/>
                <w:color w:val="000000"/>
                <w:sz w:val="16"/>
                <w:szCs w:val="16"/>
              </w:rPr>
              <w:t>22,6</w:t>
            </w:r>
          </w:p>
        </w:tc>
      </w:tr>
      <w:tr w:rsidR="00DE09A0" w:rsidRPr="00D92E20" w14:paraId="1812B0BF"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65DD9202"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Pardubický kraj</w:t>
            </w:r>
          </w:p>
        </w:tc>
        <w:tc>
          <w:tcPr>
            <w:tcW w:w="709" w:type="dxa"/>
            <w:tcBorders>
              <w:top w:val="nil"/>
              <w:left w:val="nil"/>
              <w:bottom w:val="nil"/>
              <w:right w:val="nil"/>
            </w:tcBorders>
            <w:shd w:val="clear" w:color="auto" w:fill="auto"/>
            <w:noWrap/>
            <w:vAlign w:val="center"/>
            <w:hideMark/>
          </w:tcPr>
          <w:p w14:paraId="003740E8" w14:textId="02B05E1D" w:rsidR="00DE09A0" w:rsidRPr="00D92E20" w:rsidRDefault="00DE09A0" w:rsidP="00DE09A0">
            <w:pPr>
              <w:spacing w:after="0" w:line="240" w:lineRule="auto"/>
              <w:jc w:val="center"/>
              <w:rPr>
                <w:rFonts w:cs="Arial"/>
                <w:color w:val="000000"/>
                <w:sz w:val="16"/>
                <w:szCs w:val="16"/>
              </w:rPr>
            </w:pPr>
            <w:r>
              <w:rPr>
                <w:rFonts w:cs="Arial"/>
                <w:sz w:val="16"/>
                <w:szCs w:val="16"/>
              </w:rPr>
              <w:t>46,6</w:t>
            </w:r>
          </w:p>
        </w:tc>
        <w:tc>
          <w:tcPr>
            <w:tcW w:w="709" w:type="dxa"/>
            <w:tcBorders>
              <w:top w:val="nil"/>
              <w:left w:val="nil"/>
              <w:bottom w:val="nil"/>
              <w:right w:val="nil"/>
            </w:tcBorders>
            <w:shd w:val="clear" w:color="auto" w:fill="auto"/>
            <w:noWrap/>
            <w:vAlign w:val="center"/>
            <w:hideMark/>
          </w:tcPr>
          <w:p w14:paraId="62C1B728" w14:textId="6E36941F" w:rsidR="00DE09A0" w:rsidRPr="00D92E20" w:rsidRDefault="00DE09A0" w:rsidP="00DE09A0">
            <w:pPr>
              <w:spacing w:after="0" w:line="240" w:lineRule="auto"/>
              <w:jc w:val="center"/>
              <w:rPr>
                <w:rFonts w:cs="Arial"/>
                <w:color w:val="000000"/>
                <w:sz w:val="16"/>
                <w:szCs w:val="16"/>
              </w:rPr>
            </w:pPr>
            <w:r>
              <w:rPr>
                <w:rFonts w:cs="Arial"/>
                <w:sz w:val="16"/>
                <w:szCs w:val="16"/>
              </w:rPr>
              <w:t>41,4</w:t>
            </w:r>
          </w:p>
        </w:tc>
        <w:tc>
          <w:tcPr>
            <w:tcW w:w="709" w:type="dxa"/>
            <w:tcBorders>
              <w:top w:val="nil"/>
              <w:left w:val="nil"/>
              <w:bottom w:val="nil"/>
              <w:right w:val="nil"/>
            </w:tcBorders>
            <w:shd w:val="clear" w:color="auto" w:fill="auto"/>
            <w:noWrap/>
            <w:vAlign w:val="center"/>
            <w:hideMark/>
          </w:tcPr>
          <w:p w14:paraId="3C9C602F" w14:textId="4C078FE0" w:rsidR="00DE09A0" w:rsidRPr="00D92E20" w:rsidRDefault="00DE09A0" w:rsidP="00DE09A0">
            <w:pPr>
              <w:spacing w:after="0" w:line="240" w:lineRule="auto"/>
              <w:jc w:val="center"/>
              <w:rPr>
                <w:rFonts w:cs="Arial"/>
                <w:color w:val="000000"/>
                <w:sz w:val="16"/>
                <w:szCs w:val="16"/>
              </w:rPr>
            </w:pPr>
            <w:r>
              <w:rPr>
                <w:rFonts w:cs="Arial"/>
                <w:sz w:val="16"/>
                <w:szCs w:val="16"/>
              </w:rPr>
              <w:t>45,5</w:t>
            </w:r>
          </w:p>
        </w:tc>
        <w:tc>
          <w:tcPr>
            <w:tcW w:w="709" w:type="dxa"/>
            <w:tcBorders>
              <w:top w:val="nil"/>
              <w:left w:val="nil"/>
              <w:bottom w:val="nil"/>
              <w:right w:val="nil"/>
            </w:tcBorders>
            <w:shd w:val="clear" w:color="auto" w:fill="auto"/>
            <w:noWrap/>
            <w:vAlign w:val="center"/>
            <w:hideMark/>
          </w:tcPr>
          <w:p w14:paraId="5622CD74" w14:textId="56F44E8A" w:rsidR="00DE09A0" w:rsidRPr="00D92E20" w:rsidRDefault="00DE09A0" w:rsidP="00DE09A0">
            <w:pPr>
              <w:spacing w:after="0" w:line="240" w:lineRule="auto"/>
              <w:jc w:val="center"/>
              <w:rPr>
                <w:rFonts w:cs="Arial"/>
                <w:color w:val="000000"/>
                <w:sz w:val="16"/>
                <w:szCs w:val="16"/>
              </w:rPr>
            </w:pPr>
            <w:r>
              <w:rPr>
                <w:rFonts w:cs="Arial"/>
                <w:sz w:val="16"/>
                <w:szCs w:val="16"/>
              </w:rPr>
              <w:t>39,7</w:t>
            </w:r>
          </w:p>
        </w:tc>
        <w:tc>
          <w:tcPr>
            <w:tcW w:w="709" w:type="dxa"/>
            <w:tcBorders>
              <w:top w:val="nil"/>
              <w:left w:val="nil"/>
              <w:bottom w:val="nil"/>
              <w:right w:val="nil"/>
            </w:tcBorders>
            <w:shd w:val="clear" w:color="auto" w:fill="auto"/>
            <w:noWrap/>
            <w:vAlign w:val="center"/>
            <w:hideMark/>
          </w:tcPr>
          <w:p w14:paraId="1030C7F1" w14:textId="464745D4" w:rsidR="00DE09A0" w:rsidRPr="00D92E20" w:rsidRDefault="00DE09A0" w:rsidP="00DE09A0">
            <w:pPr>
              <w:spacing w:after="0" w:line="240" w:lineRule="auto"/>
              <w:jc w:val="center"/>
              <w:rPr>
                <w:rFonts w:cs="Arial"/>
                <w:color w:val="000000"/>
                <w:sz w:val="16"/>
                <w:szCs w:val="16"/>
              </w:rPr>
            </w:pPr>
            <w:r>
              <w:rPr>
                <w:rFonts w:cs="Arial"/>
                <w:sz w:val="16"/>
                <w:szCs w:val="16"/>
              </w:rPr>
              <w:t>42,0</w:t>
            </w:r>
          </w:p>
        </w:tc>
        <w:tc>
          <w:tcPr>
            <w:tcW w:w="709" w:type="dxa"/>
            <w:tcBorders>
              <w:top w:val="nil"/>
              <w:left w:val="nil"/>
              <w:bottom w:val="nil"/>
              <w:right w:val="nil"/>
            </w:tcBorders>
            <w:shd w:val="clear" w:color="auto" w:fill="auto"/>
            <w:noWrap/>
            <w:vAlign w:val="center"/>
            <w:hideMark/>
          </w:tcPr>
          <w:p w14:paraId="3A731223" w14:textId="5E5BD1A5" w:rsidR="00DE09A0" w:rsidRPr="00D92E20" w:rsidRDefault="00DE09A0" w:rsidP="00DE09A0">
            <w:pPr>
              <w:spacing w:after="0" w:line="240" w:lineRule="auto"/>
              <w:jc w:val="center"/>
              <w:rPr>
                <w:rFonts w:cs="Arial"/>
                <w:color w:val="000000"/>
                <w:sz w:val="16"/>
                <w:szCs w:val="16"/>
              </w:rPr>
            </w:pPr>
            <w:r>
              <w:rPr>
                <w:rFonts w:cs="Arial"/>
                <w:sz w:val="16"/>
                <w:szCs w:val="16"/>
              </w:rPr>
              <w:t>41,0</w:t>
            </w:r>
          </w:p>
        </w:tc>
        <w:tc>
          <w:tcPr>
            <w:tcW w:w="709" w:type="dxa"/>
            <w:tcBorders>
              <w:top w:val="nil"/>
              <w:left w:val="nil"/>
              <w:bottom w:val="nil"/>
              <w:right w:val="nil"/>
            </w:tcBorders>
            <w:shd w:val="clear" w:color="auto" w:fill="auto"/>
            <w:noWrap/>
            <w:vAlign w:val="center"/>
            <w:hideMark/>
          </w:tcPr>
          <w:p w14:paraId="6B8B9B49" w14:textId="5E6857E4" w:rsidR="00DE09A0" w:rsidRPr="00D92E20" w:rsidRDefault="00DE09A0" w:rsidP="00DE09A0">
            <w:pPr>
              <w:spacing w:after="0" w:line="240" w:lineRule="auto"/>
              <w:jc w:val="center"/>
              <w:rPr>
                <w:rFonts w:cs="Arial"/>
                <w:color w:val="000000"/>
                <w:sz w:val="16"/>
                <w:szCs w:val="16"/>
              </w:rPr>
            </w:pPr>
            <w:r>
              <w:rPr>
                <w:rFonts w:cs="Arial"/>
                <w:color w:val="000000"/>
                <w:sz w:val="16"/>
                <w:szCs w:val="16"/>
              </w:rPr>
              <w:t>38,3</w:t>
            </w:r>
          </w:p>
        </w:tc>
        <w:tc>
          <w:tcPr>
            <w:tcW w:w="709" w:type="dxa"/>
            <w:tcBorders>
              <w:top w:val="nil"/>
              <w:left w:val="nil"/>
              <w:bottom w:val="nil"/>
              <w:right w:val="nil"/>
            </w:tcBorders>
            <w:shd w:val="clear" w:color="auto" w:fill="auto"/>
            <w:noWrap/>
            <w:vAlign w:val="center"/>
            <w:hideMark/>
          </w:tcPr>
          <w:p w14:paraId="65D11FCD" w14:textId="07842E97" w:rsidR="00DE09A0" w:rsidRPr="00D92E20" w:rsidRDefault="00DE09A0" w:rsidP="00DE09A0">
            <w:pPr>
              <w:spacing w:after="0" w:line="240" w:lineRule="auto"/>
              <w:jc w:val="center"/>
              <w:rPr>
                <w:rFonts w:cs="Arial"/>
                <w:color w:val="000000"/>
                <w:sz w:val="16"/>
                <w:szCs w:val="16"/>
              </w:rPr>
            </w:pPr>
            <w:r>
              <w:rPr>
                <w:rFonts w:cs="Arial"/>
                <w:color w:val="000000"/>
                <w:sz w:val="16"/>
                <w:szCs w:val="16"/>
              </w:rPr>
              <w:t>41,9</w:t>
            </w:r>
          </w:p>
        </w:tc>
        <w:tc>
          <w:tcPr>
            <w:tcW w:w="709" w:type="dxa"/>
            <w:tcBorders>
              <w:top w:val="nil"/>
              <w:left w:val="nil"/>
              <w:bottom w:val="nil"/>
              <w:right w:val="nil"/>
            </w:tcBorders>
            <w:shd w:val="clear" w:color="auto" w:fill="auto"/>
            <w:noWrap/>
            <w:vAlign w:val="center"/>
            <w:hideMark/>
          </w:tcPr>
          <w:p w14:paraId="22BDE50C" w14:textId="032DFBAD" w:rsidR="00DE09A0" w:rsidRPr="00D92E20" w:rsidRDefault="00DE09A0" w:rsidP="00DE09A0">
            <w:pPr>
              <w:spacing w:after="0" w:line="240" w:lineRule="auto"/>
              <w:jc w:val="center"/>
              <w:rPr>
                <w:rFonts w:cs="Arial"/>
                <w:color w:val="000000"/>
                <w:sz w:val="16"/>
                <w:szCs w:val="16"/>
              </w:rPr>
            </w:pPr>
            <w:r>
              <w:rPr>
                <w:rFonts w:cs="Arial"/>
                <w:color w:val="000000"/>
                <w:sz w:val="16"/>
                <w:szCs w:val="16"/>
              </w:rPr>
              <w:t>44,6</w:t>
            </w:r>
          </w:p>
        </w:tc>
        <w:tc>
          <w:tcPr>
            <w:tcW w:w="709" w:type="dxa"/>
            <w:tcBorders>
              <w:top w:val="nil"/>
              <w:left w:val="nil"/>
              <w:bottom w:val="nil"/>
              <w:right w:val="nil"/>
            </w:tcBorders>
            <w:shd w:val="clear" w:color="auto" w:fill="auto"/>
            <w:noWrap/>
            <w:vAlign w:val="center"/>
            <w:hideMark/>
          </w:tcPr>
          <w:p w14:paraId="6A08D493" w14:textId="6B97E5D3" w:rsidR="00DE09A0" w:rsidRPr="00D92E20" w:rsidRDefault="00DE09A0" w:rsidP="00DE09A0">
            <w:pPr>
              <w:spacing w:after="0" w:line="240" w:lineRule="auto"/>
              <w:jc w:val="center"/>
              <w:rPr>
                <w:rFonts w:cs="Arial"/>
                <w:color w:val="000000"/>
                <w:sz w:val="16"/>
                <w:szCs w:val="16"/>
              </w:rPr>
            </w:pPr>
            <w:r>
              <w:rPr>
                <w:rFonts w:cs="Arial"/>
                <w:color w:val="000000"/>
                <w:sz w:val="16"/>
                <w:szCs w:val="16"/>
              </w:rPr>
              <w:t>33,8</w:t>
            </w:r>
          </w:p>
        </w:tc>
        <w:tc>
          <w:tcPr>
            <w:tcW w:w="709" w:type="dxa"/>
            <w:tcBorders>
              <w:top w:val="nil"/>
              <w:left w:val="nil"/>
              <w:bottom w:val="nil"/>
              <w:right w:val="nil"/>
            </w:tcBorders>
            <w:shd w:val="clear" w:color="auto" w:fill="auto"/>
            <w:noWrap/>
            <w:vAlign w:val="center"/>
            <w:hideMark/>
          </w:tcPr>
          <w:p w14:paraId="6FCFF5B9" w14:textId="0E25F00B" w:rsidR="00DE09A0" w:rsidRPr="00D92E20" w:rsidRDefault="00DE09A0" w:rsidP="00DE09A0">
            <w:pPr>
              <w:spacing w:after="0" w:line="240" w:lineRule="auto"/>
              <w:jc w:val="center"/>
              <w:rPr>
                <w:rFonts w:cs="Arial"/>
                <w:color w:val="000000"/>
                <w:sz w:val="16"/>
                <w:szCs w:val="16"/>
              </w:rPr>
            </w:pPr>
            <w:r>
              <w:rPr>
                <w:rFonts w:cs="Arial"/>
                <w:color w:val="000000"/>
                <w:sz w:val="16"/>
                <w:szCs w:val="16"/>
              </w:rPr>
              <w:t>23,7</w:t>
            </w:r>
          </w:p>
        </w:tc>
      </w:tr>
      <w:tr w:rsidR="00DE09A0" w:rsidRPr="00D92E20" w14:paraId="5A9936A5"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201350A7"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Kraj Vysočina</w:t>
            </w:r>
          </w:p>
        </w:tc>
        <w:tc>
          <w:tcPr>
            <w:tcW w:w="709" w:type="dxa"/>
            <w:tcBorders>
              <w:top w:val="nil"/>
              <w:left w:val="nil"/>
              <w:bottom w:val="nil"/>
              <w:right w:val="nil"/>
            </w:tcBorders>
            <w:shd w:val="clear" w:color="auto" w:fill="auto"/>
            <w:noWrap/>
            <w:vAlign w:val="center"/>
            <w:hideMark/>
          </w:tcPr>
          <w:p w14:paraId="2009D22A" w14:textId="3E8D583E" w:rsidR="00DE09A0" w:rsidRPr="00D92E20" w:rsidRDefault="00DE09A0" w:rsidP="00DE09A0">
            <w:pPr>
              <w:spacing w:after="0" w:line="240" w:lineRule="auto"/>
              <w:jc w:val="center"/>
              <w:rPr>
                <w:rFonts w:cs="Arial"/>
                <w:color w:val="000000"/>
                <w:sz w:val="16"/>
                <w:szCs w:val="16"/>
              </w:rPr>
            </w:pPr>
            <w:r>
              <w:rPr>
                <w:rFonts w:cs="Arial"/>
                <w:sz w:val="16"/>
                <w:szCs w:val="16"/>
              </w:rPr>
              <w:t>45,6</w:t>
            </w:r>
          </w:p>
        </w:tc>
        <w:tc>
          <w:tcPr>
            <w:tcW w:w="709" w:type="dxa"/>
            <w:tcBorders>
              <w:top w:val="nil"/>
              <w:left w:val="nil"/>
              <w:bottom w:val="nil"/>
              <w:right w:val="nil"/>
            </w:tcBorders>
            <w:shd w:val="clear" w:color="auto" w:fill="auto"/>
            <w:noWrap/>
            <w:vAlign w:val="center"/>
            <w:hideMark/>
          </w:tcPr>
          <w:p w14:paraId="33D05147" w14:textId="58846392" w:rsidR="00DE09A0" w:rsidRPr="00D92E20" w:rsidRDefault="00DE09A0" w:rsidP="00DE09A0">
            <w:pPr>
              <w:spacing w:after="0" w:line="240" w:lineRule="auto"/>
              <w:jc w:val="center"/>
              <w:rPr>
                <w:rFonts w:cs="Arial"/>
                <w:color w:val="000000"/>
                <w:sz w:val="16"/>
                <w:szCs w:val="16"/>
              </w:rPr>
            </w:pPr>
            <w:r>
              <w:rPr>
                <w:rFonts w:cs="Arial"/>
                <w:sz w:val="16"/>
                <w:szCs w:val="16"/>
              </w:rPr>
              <w:t>41,6</w:t>
            </w:r>
          </w:p>
        </w:tc>
        <w:tc>
          <w:tcPr>
            <w:tcW w:w="709" w:type="dxa"/>
            <w:tcBorders>
              <w:top w:val="nil"/>
              <w:left w:val="nil"/>
              <w:bottom w:val="nil"/>
              <w:right w:val="nil"/>
            </w:tcBorders>
            <w:shd w:val="clear" w:color="auto" w:fill="auto"/>
            <w:noWrap/>
            <w:vAlign w:val="center"/>
            <w:hideMark/>
          </w:tcPr>
          <w:p w14:paraId="59CAD739" w14:textId="3A7EDEBF" w:rsidR="00DE09A0" w:rsidRPr="00D92E20" w:rsidRDefault="00DE09A0" w:rsidP="00DE09A0">
            <w:pPr>
              <w:spacing w:after="0" w:line="240" w:lineRule="auto"/>
              <w:jc w:val="center"/>
              <w:rPr>
                <w:rFonts w:cs="Arial"/>
                <w:color w:val="000000"/>
                <w:sz w:val="16"/>
                <w:szCs w:val="16"/>
              </w:rPr>
            </w:pPr>
            <w:r>
              <w:rPr>
                <w:rFonts w:cs="Arial"/>
                <w:sz w:val="16"/>
                <w:szCs w:val="16"/>
              </w:rPr>
              <w:t>46,6</w:t>
            </w:r>
          </w:p>
        </w:tc>
        <w:tc>
          <w:tcPr>
            <w:tcW w:w="709" w:type="dxa"/>
            <w:tcBorders>
              <w:top w:val="nil"/>
              <w:left w:val="nil"/>
              <w:bottom w:val="nil"/>
              <w:right w:val="nil"/>
            </w:tcBorders>
            <w:shd w:val="clear" w:color="auto" w:fill="auto"/>
            <w:noWrap/>
            <w:vAlign w:val="center"/>
            <w:hideMark/>
          </w:tcPr>
          <w:p w14:paraId="55AF9C05" w14:textId="56C4D21A" w:rsidR="00DE09A0" w:rsidRPr="00D92E20" w:rsidRDefault="00DE09A0" w:rsidP="00DE09A0">
            <w:pPr>
              <w:spacing w:after="0" w:line="240" w:lineRule="auto"/>
              <w:jc w:val="center"/>
              <w:rPr>
                <w:rFonts w:cs="Arial"/>
                <w:color w:val="000000"/>
                <w:sz w:val="16"/>
                <w:szCs w:val="16"/>
              </w:rPr>
            </w:pPr>
            <w:r>
              <w:rPr>
                <w:rFonts w:cs="Arial"/>
                <w:sz w:val="16"/>
                <w:szCs w:val="16"/>
              </w:rPr>
              <w:t>40,4</w:t>
            </w:r>
          </w:p>
        </w:tc>
        <w:tc>
          <w:tcPr>
            <w:tcW w:w="709" w:type="dxa"/>
            <w:tcBorders>
              <w:top w:val="nil"/>
              <w:left w:val="nil"/>
              <w:bottom w:val="nil"/>
              <w:right w:val="nil"/>
            </w:tcBorders>
            <w:shd w:val="clear" w:color="auto" w:fill="auto"/>
            <w:noWrap/>
            <w:vAlign w:val="center"/>
            <w:hideMark/>
          </w:tcPr>
          <w:p w14:paraId="4D013E63" w14:textId="0925B230" w:rsidR="00DE09A0" w:rsidRPr="00D92E20" w:rsidRDefault="00DE09A0" w:rsidP="00DE09A0">
            <w:pPr>
              <w:spacing w:after="0" w:line="240" w:lineRule="auto"/>
              <w:jc w:val="center"/>
              <w:rPr>
                <w:rFonts w:cs="Arial"/>
                <w:color w:val="000000"/>
                <w:sz w:val="16"/>
                <w:szCs w:val="16"/>
              </w:rPr>
            </w:pPr>
            <w:r>
              <w:rPr>
                <w:rFonts w:cs="Arial"/>
                <w:sz w:val="16"/>
                <w:szCs w:val="16"/>
              </w:rPr>
              <w:t>43,7</w:t>
            </w:r>
          </w:p>
        </w:tc>
        <w:tc>
          <w:tcPr>
            <w:tcW w:w="709" w:type="dxa"/>
            <w:tcBorders>
              <w:top w:val="nil"/>
              <w:left w:val="nil"/>
              <w:bottom w:val="nil"/>
              <w:right w:val="nil"/>
            </w:tcBorders>
            <w:shd w:val="clear" w:color="auto" w:fill="auto"/>
            <w:noWrap/>
            <w:vAlign w:val="center"/>
            <w:hideMark/>
          </w:tcPr>
          <w:p w14:paraId="43C33C3F" w14:textId="36F3D0CB" w:rsidR="00DE09A0" w:rsidRPr="00D92E20" w:rsidRDefault="00DE09A0" w:rsidP="00DE09A0">
            <w:pPr>
              <w:spacing w:after="0" w:line="240" w:lineRule="auto"/>
              <w:jc w:val="center"/>
              <w:rPr>
                <w:rFonts w:cs="Arial"/>
                <w:color w:val="000000"/>
                <w:sz w:val="16"/>
                <w:szCs w:val="16"/>
              </w:rPr>
            </w:pPr>
            <w:r>
              <w:rPr>
                <w:rFonts w:cs="Arial"/>
                <w:sz w:val="16"/>
                <w:szCs w:val="16"/>
              </w:rPr>
              <w:t>42,9</w:t>
            </w:r>
          </w:p>
        </w:tc>
        <w:tc>
          <w:tcPr>
            <w:tcW w:w="709" w:type="dxa"/>
            <w:tcBorders>
              <w:top w:val="nil"/>
              <w:left w:val="nil"/>
              <w:bottom w:val="nil"/>
              <w:right w:val="nil"/>
            </w:tcBorders>
            <w:shd w:val="clear" w:color="auto" w:fill="auto"/>
            <w:noWrap/>
            <w:vAlign w:val="center"/>
            <w:hideMark/>
          </w:tcPr>
          <w:p w14:paraId="33EB2663" w14:textId="38D8F28A"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40,8</w:t>
            </w:r>
          </w:p>
        </w:tc>
        <w:tc>
          <w:tcPr>
            <w:tcW w:w="709" w:type="dxa"/>
            <w:tcBorders>
              <w:top w:val="nil"/>
              <w:left w:val="nil"/>
              <w:bottom w:val="nil"/>
              <w:right w:val="nil"/>
            </w:tcBorders>
            <w:shd w:val="clear" w:color="auto" w:fill="auto"/>
            <w:noWrap/>
            <w:vAlign w:val="center"/>
            <w:hideMark/>
          </w:tcPr>
          <w:p w14:paraId="5F2C7436" w14:textId="4B9B0CEE" w:rsidR="00DE09A0" w:rsidRPr="00D92E20" w:rsidRDefault="00DE09A0" w:rsidP="00DE09A0">
            <w:pPr>
              <w:spacing w:after="0" w:line="240" w:lineRule="auto"/>
              <w:jc w:val="center"/>
              <w:rPr>
                <w:rFonts w:cs="Arial"/>
                <w:color w:val="000000"/>
                <w:sz w:val="16"/>
                <w:szCs w:val="16"/>
              </w:rPr>
            </w:pPr>
            <w:r>
              <w:rPr>
                <w:rFonts w:cs="Arial"/>
                <w:color w:val="000000"/>
                <w:sz w:val="16"/>
                <w:szCs w:val="16"/>
              </w:rPr>
              <w:t>45,2</w:t>
            </w:r>
          </w:p>
        </w:tc>
        <w:tc>
          <w:tcPr>
            <w:tcW w:w="709" w:type="dxa"/>
            <w:tcBorders>
              <w:top w:val="nil"/>
              <w:left w:val="nil"/>
              <w:bottom w:val="nil"/>
              <w:right w:val="nil"/>
            </w:tcBorders>
            <w:shd w:val="clear" w:color="auto" w:fill="auto"/>
            <w:noWrap/>
            <w:vAlign w:val="center"/>
            <w:hideMark/>
          </w:tcPr>
          <w:p w14:paraId="47732A10" w14:textId="78DA30C7" w:rsidR="00DE09A0" w:rsidRPr="00D92E20" w:rsidRDefault="00DE09A0" w:rsidP="00DE09A0">
            <w:pPr>
              <w:spacing w:after="0" w:line="240" w:lineRule="auto"/>
              <w:jc w:val="center"/>
              <w:rPr>
                <w:rFonts w:cs="Arial"/>
                <w:color w:val="000000"/>
                <w:sz w:val="16"/>
                <w:szCs w:val="16"/>
              </w:rPr>
            </w:pPr>
            <w:r>
              <w:rPr>
                <w:rFonts w:cs="Arial"/>
                <w:color w:val="000000"/>
                <w:sz w:val="16"/>
                <w:szCs w:val="16"/>
              </w:rPr>
              <w:t>47,8</w:t>
            </w:r>
          </w:p>
        </w:tc>
        <w:tc>
          <w:tcPr>
            <w:tcW w:w="709" w:type="dxa"/>
            <w:tcBorders>
              <w:top w:val="nil"/>
              <w:left w:val="nil"/>
              <w:bottom w:val="nil"/>
              <w:right w:val="nil"/>
            </w:tcBorders>
            <w:shd w:val="clear" w:color="auto" w:fill="auto"/>
            <w:noWrap/>
            <w:vAlign w:val="center"/>
            <w:hideMark/>
          </w:tcPr>
          <w:p w14:paraId="2821779D" w14:textId="1D661637" w:rsidR="00DE09A0" w:rsidRPr="00D92E20" w:rsidRDefault="00DE09A0" w:rsidP="00DE09A0">
            <w:pPr>
              <w:spacing w:after="0" w:line="240" w:lineRule="auto"/>
              <w:jc w:val="center"/>
              <w:rPr>
                <w:rFonts w:cs="Arial"/>
                <w:color w:val="000000"/>
                <w:sz w:val="16"/>
                <w:szCs w:val="16"/>
              </w:rPr>
            </w:pPr>
            <w:r>
              <w:rPr>
                <w:rFonts w:cs="Arial"/>
                <w:color w:val="000000"/>
                <w:sz w:val="16"/>
                <w:szCs w:val="16"/>
              </w:rPr>
              <w:t>37,5</w:t>
            </w:r>
          </w:p>
        </w:tc>
        <w:tc>
          <w:tcPr>
            <w:tcW w:w="709" w:type="dxa"/>
            <w:tcBorders>
              <w:top w:val="nil"/>
              <w:left w:val="nil"/>
              <w:bottom w:val="nil"/>
              <w:right w:val="nil"/>
            </w:tcBorders>
            <w:shd w:val="clear" w:color="auto" w:fill="auto"/>
            <w:noWrap/>
            <w:vAlign w:val="center"/>
            <w:hideMark/>
          </w:tcPr>
          <w:p w14:paraId="26F686AC" w14:textId="6B7D8652" w:rsidR="00DE09A0" w:rsidRPr="00D92E20" w:rsidRDefault="00DE09A0" w:rsidP="00DE09A0">
            <w:pPr>
              <w:spacing w:after="0" w:line="240" w:lineRule="auto"/>
              <w:jc w:val="center"/>
              <w:rPr>
                <w:rFonts w:cs="Arial"/>
                <w:color w:val="000000"/>
                <w:sz w:val="16"/>
                <w:szCs w:val="16"/>
              </w:rPr>
            </w:pPr>
            <w:r>
              <w:rPr>
                <w:rFonts w:cs="Arial"/>
                <w:color w:val="000000"/>
                <w:sz w:val="16"/>
                <w:szCs w:val="16"/>
              </w:rPr>
              <w:t>25,4</w:t>
            </w:r>
          </w:p>
        </w:tc>
      </w:tr>
      <w:tr w:rsidR="00DE09A0" w:rsidRPr="00D92E20" w14:paraId="4FD377EA"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42D240B1"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Jihomoravský kraj</w:t>
            </w:r>
          </w:p>
        </w:tc>
        <w:tc>
          <w:tcPr>
            <w:tcW w:w="709" w:type="dxa"/>
            <w:tcBorders>
              <w:top w:val="nil"/>
              <w:left w:val="nil"/>
              <w:bottom w:val="nil"/>
              <w:right w:val="nil"/>
            </w:tcBorders>
            <w:shd w:val="clear" w:color="auto" w:fill="auto"/>
            <w:noWrap/>
            <w:vAlign w:val="center"/>
            <w:hideMark/>
          </w:tcPr>
          <w:p w14:paraId="17089D98" w14:textId="3BA9CB94" w:rsidR="00DE09A0" w:rsidRPr="00D92E20" w:rsidRDefault="00DE09A0" w:rsidP="00DE09A0">
            <w:pPr>
              <w:spacing w:after="0" w:line="240" w:lineRule="auto"/>
              <w:jc w:val="center"/>
              <w:rPr>
                <w:rFonts w:cs="Arial"/>
                <w:color w:val="000000"/>
                <w:sz w:val="16"/>
                <w:szCs w:val="16"/>
              </w:rPr>
            </w:pPr>
            <w:r>
              <w:rPr>
                <w:rFonts w:cs="Arial"/>
                <w:sz w:val="16"/>
                <w:szCs w:val="16"/>
              </w:rPr>
              <w:t>49,6</w:t>
            </w:r>
          </w:p>
        </w:tc>
        <w:tc>
          <w:tcPr>
            <w:tcW w:w="709" w:type="dxa"/>
            <w:tcBorders>
              <w:top w:val="nil"/>
              <w:left w:val="nil"/>
              <w:bottom w:val="nil"/>
              <w:right w:val="nil"/>
            </w:tcBorders>
            <w:shd w:val="clear" w:color="auto" w:fill="auto"/>
            <w:noWrap/>
            <w:vAlign w:val="center"/>
            <w:hideMark/>
          </w:tcPr>
          <w:p w14:paraId="40929B26" w14:textId="512E2475" w:rsidR="00DE09A0" w:rsidRPr="00D92E20" w:rsidRDefault="00DE09A0" w:rsidP="00DE09A0">
            <w:pPr>
              <w:spacing w:after="0" w:line="240" w:lineRule="auto"/>
              <w:jc w:val="center"/>
              <w:rPr>
                <w:rFonts w:cs="Arial"/>
                <w:color w:val="000000"/>
                <w:sz w:val="16"/>
                <w:szCs w:val="16"/>
              </w:rPr>
            </w:pPr>
            <w:r>
              <w:rPr>
                <w:rFonts w:cs="Arial"/>
                <w:sz w:val="16"/>
                <w:szCs w:val="16"/>
              </w:rPr>
              <w:t>43,5</w:t>
            </w:r>
          </w:p>
        </w:tc>
        <w:tc>
          <w:tcPr>
            <w:tcW w:w="709" w:type="dxa"/>
            <w:tcBorders>
              <w:top w:val="nil"/>
              <w:left w:val="nil"/>
              <w:bottom w:val="nil"/>
              <w:right w:val="nil"/>
            </w:tcBorders>
            <w:shd w:val="clear" w:color="auto" w:fill="auto"/>
            <w:noWrap/>
            <w:vAlign w:val="center"/>
            <w:hideMark/>
          </w:tcPr>
          <w:p w14:paraId="5356CCDB" w14:textId="1FB7B414" w:rsidR="00DE09A0" w:rsidRPr="00D92E20" w:rsidRDefault="00DE09A0" w:rsidP="00DE09A0">
            <w:pPr>
              <w:spacing w:after="0" w:line="240" w:lineRule="auto"/>
              <w:jc w:val="center"/>
              <w:rPr>
                <w:rFonts w:cs="Arial"/>
                <w:color w:val="000000"/>
                <w:sz w:val="16"/>
                <w:szCs w:val="16"/>
              </w:rPr>
            </w:pPr>
            <w:r>
              <w:rPr>
                <w:rFonts w:cs="Arial"/>
                <w:sz w:val="16"/>
                <w:szCs w:val="16"/>
              </w:rPr>
              <w:t>47,2</w:t>
            </w:r>
          </w:p>
        </w:tc>
        <w:tc>
          <w:tcPr>
            <w:tcW w:w="709" w:type="dxa"/>
            <w:tcBorders>
              <w:top w:val="nil"/>
              <w:left w:val="nil"/>
              <w:bottom w:val="nil"/>
              <w:right w:val="nil"/>
            </w:tcBorders>
            <w:shd w:val="clear" w:color="auto" w:fill="auto"/>
            <w:noWrap/>
            <w:vAlign w:val="center"/>
            <w:hideMark/>
          </w:tcPr>
          <w:p w14:paraId="43FDD569" w14:textId="172FCB49" w:rsidR="00DE09A0" w:rsidRPr="00D92E20" w:rsidRDefault="00DE09A0" w:rsidP="00DE09A0">
            <w:pPr>
              <w:spacing w:after="0" w:line="240" w:lineRule="auto"/>
              <w:jc w:val="center"/>
              <w:rPr>
                <w:rFonts w:cs="Arial"/>
                <w:color w:val="000000"/>
                <w:sz w:val="16"/>
                <w:szCs w:val="16"/>
              </w:rPr>
            </w:pPr>
            <w:r>
              <w:rPr>
                <w:rFonts w:cs="Arial"/>
                <w:sz w:val="16"/>
                <w:szCs w:val="16"/>
              </w:rPr>
              <w:t>41,4</w:t>
            </w:r>
          </w:p>
        </w:tc>
        <w:tc>
          <w:tcPr>
            <w:tcW w:w="709" w:type="dxa"/>
            <w:tcBorders>
              <w:top w:val="nil"/>
              <w:left w:val="nil"/>
              <w:bottom w:val="nil"/>
              <w:right w:val="nil"/>
            </w:tcBorders>
            <w:shd w:val="clear" w:color="auto" w:fill="auto"/>
            <w:noWrap/>
            <w:vAlign w:val="center"/>
            <w:hideMark/>
          </w:tcPr>
          <w:p w14:paraId="7BF0ED8A" w14:textId="6829D941" w:rsidR="00DE09A0" w:rsidRPr="00D92E20" w:rsidRDefault="00DE09A0" w:rsidP="00DE09A0">
            <w:pPr>
              <w:spacing w:after="0" w:line="240" w:lineRule="auto"/>
              <w:jc w:val="center"/>
              <w:rPr>
                <w:rFonts w:cs="Arial"/>
                <w:color w:val="000000"/>
                <w:sz w:val="16"/>
                <w:szCs w:val="16"/>
              </w:rPr>
            </w:pPr>
            <w:r>
              <w:rPr>
                <w:rFonts w:cs="Arial"/>
                <w:sz w:val="16"/>
                <w:szCs w:val="16"/>
              </w:rPr>
              <w:t>44,3</w:t>
            </w:r>
          </w:p>
        </w:tc>
        <w:tc>
          <w:tcPr>
            <w:tcW w:w="709" w:type="dxa"/>
            <w:tcBorders>
              <w:top w:val="nil"/>
              <w:left w:val="nil"/>
              <w:bottom w:val="nil"/>
              <w:right w:val="nil"/>
            </w:tcBorders>
            <w:shd w:val="clear" w:color="auto" w:fill="auto"/>
            <w:noWrap/>
            <w:vAlign w:val="center"/>
            <w:hideMark/>
          </w:tcPr>
          <w:p w14:paraId="64D5C383" w14:textId="647F50C6" w:rsidR="00DE09A0" w:rsidRPr="00D92E20" w:rsidRDefault="00DE09A0" w:rsidP="00DE09A0">
            <w:pPr>
              <w:spacing w:after="0" w:line="240" w:lineRule="auto"/>
              <w:jc w:val="center"/>
              <w:rPr>
                <w:rFonts w:cs="Arial"/>
                <w:color w:val="000000"/>
                <w:sz w:val="16"/>
                <w:szCs w:val="16"/>
              </w:rPr>
            </w:pPr>
            <w:r>
              <w:rPr>
                <w:rFonts w:cs="Arial"/>
                <w:sz w:val="16"/>
                <w:szCs w:val="16"/>
              </w:rPr>
              <w:t>42,0</w:t>
            </w:r>
          </w:p>
        </w:tc>
        <w:tc>
          <w:tcPr>
            <w:tcW w:w="709" w:type="dxa"/>
            <w:tcBorders>
              <w:top w:val="nil"/>
              <w:left w:val="nil"/>
              <w:bottom w:val="nil"/>
              <w:right w:val="nil"/>
            </w:tcBorders>
            <w:shd w:val="clear" w:color="auto" w:fill="auto"/>
            <w:noWrap/>
            <w:vAlign w:val="center"/>
            <w:hideMark/>
          </w:tcPr>
          <w:p w14:paraId="77BA6682" w14:textId="60912A87" w:rsidR="00DE09A0" w:rsidRPr="00D92E20" w:rsidRDefault="00DE09A0" w:rsidP="00DE09A0">
            <w:pPr>
              <w:spacing w:after="0" w:line="240" w:lineRule="auto"/>
              <w:jc w:val="center"/>
              <w:rPr>
                <w:rFonts w:cs="Arial"/>
                <w:color w:val="000000"/>
                <w:sz w:val="16"/>
                <w:szCs w:val="16"/>
              </w:rPr>
            </w:pPr>
            <w:r>
              <w:rPr>
                <w:rFonts w:cs="Arial"/>
                <w:color w:val="000000"/>
                <w:sz w:val="16"/>
                <w:szCs w:val="16"/>
              </w:rPr>
              <w:t>39,9</w:t>
            </w:r>
          </w:p>
        </w:tc>
        <w:tc>
          <w:tcPr>
            <w:tcW w:w="709" w:type="dxa"/>
            <w:tcBorders>
              <w:top w:val="nil"/>
              <w:left w:val="nil"/>
              <w:bottom w:val="nil"/>
              <w:right w:val="nil"/>
            </w:tcBorders>
            <w:shd w:val="clear" w:color="auto" w:fill="auto"/>
            <w:noWrap/>
            <w:vAlign w:val="center"/>
            <w:hideMark/>
          </w:tcPr>
          <w:p w14:paraId="44FB74F9" w14:textId="369C5CF2" w:rsidR="00DE09A0" w:rsidRPr="00D92E20" w:rsidRDefault="00DE09A0" w:rsidP="00DE09A0">
            <w:pPr>
              <w:spacing w:after="0" w:line="240" w:lineRule="auto"/>
              <w:jc w:val="center"/>
              <w:rPr>
                <w:rFonts w:cs="Arial"/>
                <w:color w:val="000000"/>
                <w:sz w:val="16"/>
                <w:szCs w:val="16"/>
              </w:rPr>
            </w:pPr>
            <w:r>
              <w:rPr>
                <w:rFonts w:cs="Arial"/>
                <w:color w:val="000000"/>
                <w:sz w:val="16"/>
                <w:szCs w:val="16"/>
              </w:rPr>
              <w:t>44,0</w:t>
            </w:r>
          </w:p>
        </w:tc>
        <w:tc>
          <w:tcPr>
            <w:tcW w:w="709" w:type="dxa"/>
            <w:tcBorders>
              <w:top w:val="nil"/>
              <w:left w:val="nil"/>
              <w:bottom w:val="nil"/>
              <w:right w:val="nil"/>
            </w:tcBorders>
            <w:shd w:val="clear" w:color="auto" w:fill="auto"/>
            <w:noWrap/>
            <w:vAlign w:val="center"/>
            <w:hideMark/>
          </w:tcPr>
          <w:p w14:paraId="7DC35616" w14:textId="3913F8E7" w:rsidR="00DE09A0" w:rsidRPr="00D92E20" w:rsidRDefault="00DE09A0" w:rsidP="00DE09A0">
            <w:pPr>
              <w:spacing w:after="0" w:line="240" w:lineRule="auto"/>
              <w:jc w:val="center"/>
              <w:rPr>
                <w:rFonts w:cs="Arial"/>
                <w:color w:val="000000"/>
                <w:sz w:val="16"/>
                <w:szCs w:val="16"/>
              </w:rPr>
            </w:pPr>
            <w:r>
              <w:rPr>
                <w:rFonts w:cs="Arial"/>
                <w:color w:val="000000"/>
                <w:sz w:val="16"/>
                <w:szCs w:val="16"/>
              </w:rPr>
              <w:t>45,9</w:t>
            </w:r>
          </w:p>
        </w:tc>
        <w:tc>
          <w:tcPr>
            <w:tcW w:w="709" w:type="dxa"/>
            <w:tcBorders>
              <w:top w:val="nil"/>
              <w:left w:val="nil"/>
              <w:bottom w:val="nil"/>
              <w:right w:val="nil"/>
            </w:tcBorders>
            <w:shd w:val="clear" w:color="auto" w:fill="auto"/>
            <w:noWrap/>
            <w:vAlign w:val="center"/>
            <w:hideMark/>
          </w:tcPr>
          <w:p w14:paraId="49CA7DD5" w14:textId="1A2621B3" w:rsidR="00DE09A0" w:rsidRPr="00D92E20" w:rsidRDefault="00DE09A0" w:rsidP="00DE09A0">
            <w:pPr>
              <w:spacing w:after="0" w:line="240" w:lineRule="auto"/>
              <w:jc w:val="center"/>
              <w:rPr>
                <w:rFonts w:cs="Arial"/>
                <w:color w:val="000000"/>
                <w:sz w:val="16"/>
                <w:szCs w:val="16"/>
              </w:rPr>
            </w:pPr>
            <w:r>
              <w:rPr>
                <w:rFonts w:cs="Arial"/>
                <w:color w:val="000000"/>
                <w:sz w:val="16"/>
                <w:szCs w:val="16"/>
              </w:rPr>
              <w:t>38,7</w:t>
            </w:r>
          </w:p>
        </w:tc>
        <w:tc>
          <w:tcPr>
            <w:tcW w:w="709" w:type="dxa"/>
            <w:tcBorders>
              <w:top w:val="nil"/>
              <w:left w:val="nil"/>
              <w:bottom w:val="nil"/>
              <w:right w:val="nil"/>
            </w:tcBorders>
            <w:shd w:val="clear" w:color="auto" w:fill="auto"/>
            <w:noWrap/>
            <w:vAlign w:val="center"/>
            <w:hideMark/>
          </w:tcPr>
          <w:p w14:paraId="784A2752" w14:textId="259287AE" w:rsidR="00DE09A0" w:rsidRPr="00D92E20" w:rsidRDefault="00DE09A0" w:rsidP="00DE09A0">
            <w:pPr>
              <w:spacing w:after="0" w:line="240" w:lineRule="auto"/>
              <w:jc w:val="center"/>
              <w:rPr>
                <w:rFonts w:cs="Arial"/>
                <w:color w:val="000000"/>
                <w:sz w:val="16"/>
                <w:szCs w:val="16"/>
              </w:rPr>
            </w:pPr>
            <w:r>
              <w:rPr>
                <w:rFonts w:cs="Arial"/>
                <w:color w:val="000000"/>
                <w:sz w:val="16"/>
                <w:szCs w:val="16"/>
              </w:rPr>
              <w:t>25,0</w:t>
            </w:r>
          </w:p>
        </w:tc>
      </w:tr>
      <w:tr w:rsidR="00DE09A0" w:rsidRPr="00D92E20" w14:paraId="26E57087"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7EAC210C"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Olomoucký kraj</w:t>
            </w:r>
          </w:p>
        </w:tc>
        <w:tc>
          <w:tcPr>
            <w:tcW w:w="709" w:type="dxa"/>
            <w:tcBorders>
              <w:top w:val="nil"/>
              <w:left w:val="nil"/>
              <w:bottom w:val="nil"/>
              <w:right w:val="nil"/>
            </w:tcBorders>
            <w:shd w:val="clear" w:color="auto" w:fill="auto"/>
            <w:noWrap/>
            <w:vAlign w:val="center"/>
            <w:hideMark/>
          </w:tcPr>
          <w:p w14:paraId="2C7CCFC8" w14:textId="25238764" w:rsidR="00DE09A0" w:rsidRPr="00D92E20" w:rsidRDefault="00DE09A0" w:rsidP="00DE09A0">
            <w:pPr>
              <w:spacing w:after="0" w:line="240" w:lineRule="auto"/>
              <w:jc w:val="center"/>
              <w:rPr>
                <w:rFonts w:cs="Arial"/>
                <w:color w:val="000000"/>
                <w:sz w:val="16"/>
                <w:szCs w:val="16"/>
              </w:rPr>
            </w:pPr>
            <w:r>
              <w:rPr>
                <w:rFonts w:cs="Arial"/>
                <w:sz w:val="16"/>
                <w:szCs w:val="16"/>
              </w:rPr>
              <w:t>54,5</w:t>
            </w:r>
          </w:p>
        </w:tc>
        <w:tc>
          <w:tcPr>
            <w:tcW w:w="709" w:type="dxa"/>
            <w:tcBorders>
              <w:top w:val="nil"/>
              <w:left w:val="nil"/>
              <w:bottom w:val="nil"/>
              <w:right w:val="nil"/>
            </w:tcBorders>
            <w:shd w:val="clear" w:color="auto" w:fill="auto"/>
            <w:noWrap/>
            <w:vAlign w:val="center"/>
            <w:hideMark/>
          </w:tcPr>
          <w:p w14:paraId="4B3C0066" w14:textId="2D73A61F" w:rsidR="00DE09A0" w:rsidRPr="00D92E20" w:rsidRDefault="00DE09A0" w:rsidP="00DE09A0">
            <w:pPr>
              <w:spacing w:after="0" w:line="240" w:lineRule="auto"/>
              <w:jc w:val="center"/>
              <w:rPr>
                <w:rFonts w:cs="Arial"/>
                <w:color w:val="000000"/>
                <w:sz w:val="16"/>
                <w:szCs w:val="16"/>
              </w:rPr>
            </w:pPr>
            <w:r>
              <w:rPr>
                <w:rFonts w:cs="Arial"/>
                <w:sz w:val="16"/>
                <w:szCs w:val="16"/>
              </w:rPr>
              <w:t>48,0</w:t>
            </w:r>
          </w:p>
        </w:tc>
        <w:tc>
          <w:tcPr>
            <w:tcW w:w="709" w:type="dxa"/>
            <w:tcBorders>
              <w:top w:val="nil"/>
              <w:left w:val="nil"/>
              <w:bottom w:val="nil"/>
              <w:right w:val="nil"/>
            </w:tcBorders>
            <w:shd w:val="clear" w:color="auto" w:fill="auto"/>
            <w:noWrap/>
            <w:vAlign w:val="center"/>
            <w:hideMark/>
          </w:tcPr>
          <w:p w14:paraId="57E8339A" w14:textId="7395DC24" w:rsidR="00DE09A0" w:rsidRPr="00D92E20" w:rsidRDefault="00DE09A0" w:rsidP="00DE09A0">
            <w:pPr>
              <w:spacing w:after="0" w:line="240" w:lineRule="auto"/>
              <w:jc w:val="center"/>
              <w:rPr>
                <w:rFonts w:cs="Arial"/>
                <w:color w:val="000000"/>
                <w:sz w:val="16"/>
                <w:szCs w:val="16"/>
              </w:rPr>
            </w:pPr>
            <w:r>
              <w:rPr>
                <w:rFonts w:cs="Arial"/>
                <w:sz w:val="16"/>
                <w:szCs w:val="16"/>
              </w:rPr>
              <w:t>54,8</w:t>
            </w:r>
          </w:p>
        </w:tc>
        <w:tc>
          <w:tcPr>
            <w:tcW w:w="709" w:type="dxa"/>
            <w:tcBorders>
              <w:top w:val="nil"/>
              <w:left w:val="nil"/>
              <w:bottom w:val="nil"/>
              <w:right w:val="nil"/>
            </w:tcBorders>
            <w:shd w:val="clear" w:color="auto" w:fill="auto"/>
            <w:noWrap/>
            <w:vAlign w:val="center"/>
            <w:hideMark/>
          </w:tcPr>
          <w:p w14:paraId="02108007" w14:textId="33BA6A40" w:rsidR="00DE09A0" w:rsidRPr="00D92E20" w:rsidRDefault="00DE09A0" w:rsidP="00DE09A0">
            <w:pPr>
              <w:spacing w:after="0" w:line="240" w:lineRule="auto"/>
              <w:jc w:val="center"/>
              <w:rPr>
                <w:rFonts w:cs="Arial"/>
                <w:color w:val="000000"/>
                <w:sz w:val="16"/>
                <w:szCs w:val="16"/>
              </w:rPr>
            </w:pPr>
            <w:r>
              <w:rPr>
                <w:rFonts w:cs="Arial"/>
                <w:sz w:val="16"/>
                <w:szCs w:val="16"/>
              </w:rPr>
              <w:t>44,0</w:t>
            </w:r>
          </w:p>
        </w:tc>
        <w:tc>
          <w:tcPr>
            <w:tcW w:w="709" w:type="dxa"/>
            <w:tcBorders>
              <w:top w:val="nil"/>
              <w:left w:val="nil"/>
              <w:bottom w:val="nil"/>
              <w:right w:val="nil"/>
            </w:tcBorders>
            <w:shd w:val="clear" w:color="auto" w:fill="auto"/>
            <w:noWrap/>
            <w:vAlign w:val="center"/>
            <w:hideMark/>
          </w:tcPr>
          <w:p w14:paraId="4E0C414B" w14:textId="1B969FC7" w:rsidR="00DE09A0" w:rsidRPr="00D92E20" w:rsidRDefault="00DE09A0" w:rsidP="00DE09A0">
            <w:pPr>
              <w:spacing w:after="0" w:line="240" w:lineRule="auto"/>
              <w:jc w:val="center"/>
              <w:rPr>
                <w:rFonts w:cs="Arial"/>
                <w:color w:val="000000"/>
                <w:sz w:val="16"/>
                <w:szCs w:val="16"/>
              </w:rPr>
            </w:pPr>
            <w:r>
              <w:rPr>
                <w:rFonts w:cs="Arial"/>
                <w:sz w:val="16"/>
                <w:szCs w:val="16"/>
              </w:rPr>
              <w:t>47,0</w:t>
            </w:r>
          </w:p>
        </w:tc>
        <w:tc>
          <w:tcPr>
            <w:tcW w:w="709" w:type="dxa"/>
            <w:tcBorders>
              <w:top w:val="nil"/>
              <w:left w:val="nil"/>
              <w:bottom w:val="nil"/>
              <w:right w:val="nil"/>
            </w:tcBorders>
            <w:shd w:val="clear" w:color="auto" w:fill="auto"/>
            <w:noWrap/>
            <w:vAlign w:val="center"/>
            <w:hideMark/>
          </w:tcPr>
          <w:p w14:paraId="4731AF4B" w14:textId="4AB234B1" w:rsidR="00DE09A0" w:rsidRPr="00D92E20" w:rsidRDefault="00DE09A0" w:rsidP="00DE09A0">
            <w:pPr>
              <w:spacing w:after="0" w:line="240" w:lineRule="auto"/>
              <w:jc w:val="center"/>
              <w:rPr>
                <w:rFonts w:cs="Arial"/>
                <w:color w:val="000000"/>
                <w:sz w:val="16"/>
                <w:szCs w:val="16"/>
              </w:rPr>
            </w:pPr>
            <w:r>
              <w:rPr>
                <w:rFonts w:cs="Arial"/>
                <w:sz w:val="16"/>
                <w:szCs w:val="16"/>
              </w:rPr>
              <w:t>45,0</w:t>
            </w:r>
          </w:p>
        </w:tc>
        <w:tc>
          <w:tcPr>
            <w:tcW w:w="709" w:type="dxa"/>
            <w:tcBorders>
              <w:top w:val="nil"/>
              <w:left w:val="nil"/>
              <w:bottom w:val="nil"/>
              <w:right w:val="nil"/>
            </w:tcBorders>
            <w:shd w:val="clear" w:color="auto" w:fill="auto"/>
            <w:noWrap/>
            <w:vAlign w:val="center"/>
            <w:hideMark/>
          </w:tcPr>
          <w:p w14:paraId="581EA0F1" w14:textId="50E98207" w:rsidR="00DE09A0" w:rsidRPr="00D92E20" w:rsidRDefault="00DE09A0" w:rsidP="00DE09A0">
            <w:pPr>
              <w:spacing w:after="0" w:line="240" w:lineRule="auto"/>
              <w:jc w:val="center"/>
              <w:rPr>
                <w:rFonts w:cs="Arial"/>
                <w:color w:val="000000"/>
                <w:sz w:val="16"/>
                <w:szCs w:val="16"/>
              </w:rPr>
            </w:pPr>
            <w:r>
              <w:rPr>
                <w:rFonts w:cs="Arial"/>
                <w:color w:val="000000"/>
                <w:sz w:val="16"/>
                <w:szCs w:val="16"/>
              </w:rPr>
              <w:t>42,7</w:t>
            </w:r>
          </w:p>
        </w:tc>
        <w:tc>
          <w:tcPr>
            <w:tcW w:w="709" w:type="dxa"/>
            <w:tcBorders>
              <w:top w:val="nil"/>
              <w:left w:val="nil"/>
              <w:bottom w:val="nil"/>
              <w:right w:val="nil"/>
            </w:tcBorders>
            <w:shd w:val="clear" w:color="auto" w:fill="auto"/>
            <w:noWrap/>
            <w:vAlign w:val="center"/>
            <w:hideMark/>
          </w:tcPr>
          <w:p w14:paraId="2A112F72" w14:textId="6B7A4BCE" w:rsidR="00DE09A0" w:rsidRPr="00D92E20" w:rsidRDefault="00DE09A0" w:rsidP="00DE09A0">
            <w:pPr>
              <w:spacing w:after="0" w:line="240" w:lineRule="auto"/>
              <w:jc w:val="center"/>
              <w:rPr>
                <w:rFonts w:cs="Arial"/>
                <w:color w:val="000000"/>
                <w:sz w:val="16"/>
                <w:szCs w:val="16"/>
              </w:rPr>
            </w:pPr>
            <w:r>
              <w:rPr>
                <w:rFonts w:cs="Arial"/>
                <w:color w:val="000000"/>
                <w:sz w:val="16"/>
                <w:szCs w:val="16"/>
              </w:rPr>
              <w:t>46,3</w:t>
            </w:r>
          </w:p>
        </w:tc>
        <w:tc>
          <w:tcPr>
            <w:tcW w:w="709" w:type="dxa"/>
            <w:tcBorders>
              <w:top w:val="nil"/>
              <w:left w:val="nil"/>
              <w:bottom w:val="nil"/>
              <w:right w:val="nil"/>
            </w:tcBorders>
            <w:shd w:val="clear" w:color="auto" w:fill="auto"/>
            <w:noWrap/>
            <w:vAlign w:val="center"/>
            <w:hideMark/>
          </w:tcPr>
          <w:p w14:paraId="7055DF7C" w14:textId="19A26F40" w:rsidR="00DE09A0" w:rsidRPr="00D92E20" w:rsidRDefault="00DE09A0" w:rsidP="00DE09A0">
            <w:pPr>
              <w:spacing w:after="0" w:line="240" w:lineRule="auto"/>
              <w:jc w:val="center"/>
              <w:rPr>
                <w:rFonts w:cs="Arial"/>
                <w:color w:val="000000"/>
                <w:sz w:val="16"/>
                <w:szCs w:val="16"/>
              </w:rPr>
            </w:pPr>
            <w:r>
              <w:rPr>
                <w:rFonts w:cs="Arial"/>
                <w:color w:val="000000"/>
                <w:sz w:val="16"/>
                <w:szCs w:val="16"/>
              </w:rPr>
              <w:t>44,2</w:t>
            </w:r>
          </w:p>
        </w:tc>
        <w:tc>
          <w:tcPr>
            <w:tcW w:w="709" w:type="dxa"/>
            <w:tcBorders>
              <w:top w:val="nil"/>
              <w:left w:val="nil"/>
              <w:bottom w:val="nil"/>
              <w:right w:val="nil"/>
            </w:tcBorders>
            <w:shd w:val="clear" w:color="auto" w:fill="auto"/>
            <w:noWrap/>
            <w:vAlign w:val="center"/>
            <w:hideMark/>
          </w:tcPr>
          <w:p w14:paraId="296B854B" w14:textId="2209B418" w:rsidR="00DE09A0" w:rsidRPr="00D92E20" w:rsidRDefault="00DE09A0" w:rsidP="00DE09A0">
            <w:pPr>
              <w:spacing w:after="0" w:line="240" w:lineRule="auto"/>
              <w:jc w:val="center"/>
              <w:rPr>
                <w:rFonts w:cs="Arial"/>
                <w:color w:val="000000"/>
                <w:sz w:val="16"/>
                <w:szCs w:val="16"/>
              </w:rPr>
            </w:pPr>
            <w:r>
              <w:rPr>
                <w:rFonts w:cs="Arial"/>
                <w:color w:val="000000"/>
                <w:sz w:val="16"/>
                <w:szCs w:val="16"/>
              </w:rPr>
              <w:t>38,6</w:t>
            </w:r>
          </w:p>
        </w:tc>
        <w:tc>
          <w:tcPr>
            <w:tcW w:w="709" w:type="dxa"/>
            <w:tcBorders>
              <w:top w:val="nil"/>
              <w:left w:val="nil"/>
              <w:bottom w:val="nil"/>
              <w:right w:val="nil"/>
            </w:tcBorders>
            <w:shd w:val="clear" w:color="auto" w:fill="auto"/>
            <w:noWrap/>
            <w:vAlign w:val="center"/>
            <w:hideMark/>
          </w:tcPr>
          <w:p w14:paraId="1CE561CB" w14:textId="0C820C0D" w:rsidR="00DE09A0" w:rsidRPr="00D92E20" w:rsidRDefault="00DE09A0" w:rsidP="00DE09A0">
            <w:pPr>
              <w:spacing w:after="0" w:line="240" w:lineRule="auto"/>
              <w:jc w:val="center"/>
              <w:rPr>
                <w:rFonts w:cs="Arial"/>
                <w:color w:val="000000"/>
                <w:sz w:val="16"/>
                <w:szCs w:val="16"/>
              </w:rPr>
            </w:pPr>
            <w:r>
              <w:rPr>
                <w:rFonts w:cs="Arial"/>
                <w:color w:val="000000"/>
                <w:sz w:val="16"/>
                <w:szCs w:val="16"/>
              </w:rPr>
              <w:t>26,2</w:t>
            </w:r>
          </w:p>
        </w:tc>
      </w:tr>
      <w:tr w:rsidR="00DE09A0" w:rsidRPr="00D92E20" w14:paraId="32F60489"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4B1AC555"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Zlínský kraj</w:t>
            </w:r>
          </w:p>
        </w:tc>
        <w:tc>
          <w:tcPr>
            <w:tcW w:w="709" w:type="dxa"/>
            <w:tcBorders>
              <w:top w:val="nil"/>
              <w:left w:val="nil"/>
              <w:bottom w:val="nil"/>
              <w:right w:val="nil"/>
            </w:tcBorders>
            <w:shd w:val="clear" w:color="auto" w:fill="auto"/>
            <w:noWrap/>
            <w:vAlign w:val="center"/>
            <w:hideMark/>
          </w:tcPr>
          <w:p w14:paraId="5D1122FF" w14:textId="682FAB99" w:rsidR="00DE09A0" w:rsidRPr="00D92E20" w:rsidRDefault="00DE09A0" w:rsidP="00DE09A0">
            <w:pPr>
              <w:spacing w:after="0" w:line="240" w:lineRule="auto"/>
              <w:jc w:val="center"/>
              <w:rPr>
                <w:rFonts w:cs="Arial"/>
                <w:color w:val="000000"/>
                <w:sz w:val="16"/>
                <w:szCs w:val="16"/>
              </w:rPr>
            </w:pPr>
            <w:r>
              <w:rPr>
                <w:rFonts w:cs="Arial"/>
                <w:sz w:val="16"/>
                <w:szCs w:val="16"/>
              </w:rPr>
              <w:t>56,1</w:t>
            </w:r>
          </w:p>
        </w:tc>
        <w:tc>
          <w:tcPr>
            <w:tcW w:w="709" w:type="dxa"/>
            <w:tcBorders>
              <w:top w:val="nil"/>
              <w:left w:val="nil"/>
              <w:bottom w:val="nil"/>
              <w:right w:val="nil"/>
            </w:tcBorders>
            <w:shd w:val="clear" w:color="auto" w:fill="auto"/>
            <w:noWrap/>
            <w:vAlign w:val="center"/>
            <w:hideMark/>
          </w:tcPr>
          <w:p w14:paraId="757877A9" w14:textId="5DB6A7D9" w:rsidR="00DE09A0" w:rsidRPr="00D92E20" w:rsidRDefault="00DE09A0" w:rsidP="00DE09A0">
            <w:pPr>
              <w:spacing w:after="0" w:line="240" w:lineRule="auto"/>
              <w:jc w:val="center"/>
              <w:rPr>
                <w:rFonts w:cs="Arial"/>
                <w:color w:val="000000"/>
                <w:sz w:val="16"/>
                <w:szCs w:val="16"/>
              </w:rPr>
            </w:pPr>
            <w:r>
              <w:rPr>
                <w:rFonts w:cs="Arial"/>
                <w:sz w:val="16"/>
                <w:szCs w:val="16"/>
              </w:rPr>
              <w:t>51,4</w:t>
            </w:r>
          </w:p>
        </w:tc>
        <w:tc>
          <w:tcPr>
            <w:tcW w:w="709" w:type="dxa"/>
            <w:tcBorders>
              <w:top w:val="nil"/>
              <w:left w:val="nil"/>
              <w:bottom w:val="nil"/>
              <w:right w:val="nil"/>
            </w:tcBorders>
            <w:shd w:val="clear" w:color="auto" w:fill="auto"/>
            <w:noWrap/>
            <w:vAlign w:val="center"/>
            <w:hideMark/>
          </w:tcPr>
          <w:p w14:paraId="2993853C" w14:textId="406EB8F2" w:rsidR="00DE09A0" w:rsidRPr="00D92E20" w:rsidRDefault="00DE09A0" w:rsidP="00DE09A0">
            <w:pPr>
              <w:spacing w:after="0" w:line="240" w:lineRule="auto"/>
              <w:jc w:val="center"/>
              <w:rPr>
                <w:rFonts w:cs="Arial"/>
                <w:color w:val="000000"/>
                <w:sz w:val="16"/>
                <w:szCs w:val="16"/>
              </w:rPr>
            </w:pPr>
            <w:r>
              <w:rPr>
                <w:rFonts w:cs="Arial"/>
                <w:sz w:val="16"/>
                <w:szCs w:val="16"/>
              </w:rPr>
              <w:t>56,4</w:t>
            </w:r>
          </w:p>
        </w:tc>
        <w:tc>
          <w:tcPr>
            <w:tcW w:w="709" w:type="dxa"/>
            <w:tcBorders>
              <w:top w:val="nil"/>
              <w:left w:val="nil"/>
              <w:bottom w:val="nil"/>
              <w:right w:val="nil"/>
            </w:tcBorders>
            <w:shd w:val="clear" w:color="auto" w:fill="auto"/>
            <w:noWrap/>
            <w:vAlign w:val="center"/>
            <w:hideMark/>
          </w:tcPr>
          <w:p w14:paraId="1B6B0592" w14:textId="629184BB" w:rsidR="00DE09A0" w:rsidRPr="00D92E20" w:rsidRDefault="00DE09A0" w:rsidP="00DE09A0">
            <w:pPr>
              <w:spacing w:after="0" w:line="240" w:lineRule="auto"/>
              <w:jc w:val="center"/>
              <w:rPr>
                <w:rFonts w:cs="Arial"/>
                <w:color w:val="000000"/>
                <w:sz w:val="16"/>
                <w:szCs w:val="16"/>
              </w:rPr>
            </w:pPr>
            <w:r>
              <w:rPr>
                <w:rFonts w:cs="Arial"/>
                <w:sz w:val="16"/>
                <w:szCs w:val="16"/>
              </w:rPr>
              <w:t>47,0</w:t>
            </w:r>
          </w:p>
        </w:tc>
        <w:tc>
          <w:tcPr>
            <w:tcW w:w="709" w:type="dxa"/>
            <w:tcBorders>
              <w:top w:val="nil"/>
              <w:left w:val="nil"/>
              <w:bottom w:val="nil"/>
              <w:right w:val="nil"/>
            </w:tcBorders>
            <w:shd w:val="clear" w:color="auto" w:fill="auto"/>
            <w:noWrap/>
            <w:vAlign w:val="center"/>
            <w:hideMark/>
          </w:tcPr>
          <w:p w14:paraId="73C18369" w14:textId="5E2A670A" w:rsidR="00DE09A0" w:rsidRPr="00D92E20" w:rsidRDefault="00DE09A0" w:rsidP="00DE09A0">
            <w:pPr>
              <w:spacing w:after="0" w:line="240" w:lineRule="auto"/>
              <w:jc w:val="center"/>
              <w:rPr>
                <w:rFonts w:cs="Arial"/>
                <w:color w:val="000000"/>
                <w:sz w:val="16"/>
                <w:szCs w:val="16"/>
              </w:rPr>
            </w:pPr>
            <w:r>
              <w:rPr>
                <w:rFonts w:cs="Arial"/>
                <w:sz w:val="16"/>
                <w:szCs w:val="16"/>
              </w:rPr>
              <w:t>50,5</w:t>
            </w:r>
          </w:p>
        </w:tc>
        <w:tc>
          <w:tcPr>
            <w:tcW w:w="709" w:type="dxa"/>
            <w:tcBorders>
              <w:top w:val="nil"/>
              <w:left w:val="nil"/>
              <w:bottom w:val="nil"/>
              <w:right w:val="nil"/>
            </w:tcBorders>
            <w:shd w:val="clear" w:color="auto" w:fill="auto"/>
            <w:noWrap/>
            <w:vAlign w:val="center"/>
            <w:hideMark/>
          </w:tcPr>
          <w:p w14:paraId="61DB3706" w14:textId="2BCC2EFC" w:rsidR="00DE09A0" w:rsidRPr="00D92E20" w:rsidRDefault="00DE09A0" w:rsidP="00DE09A0">
            <w:pPr>
              <w:spacing w:after="0" w:line="240" w:lineRule="auto"/>
              <w:jc w:val="center"/>
              <w:rPr>
                <w:rFonts w:cs="Arial"/>
                <w:color w:val="000000"/>
                <w:sz w:val="16"/>
                <w:szCs w:val="16"/>
              </w:rPr>
            </w:pPr>
            <w:r>
              <w:rPr>
                <w:rFonts w:cs="Arial"/>
                <w:sz w:val="16"/>
                <w:szCs w:val="16"/>
              </w:rPr>
              <w:t>48,2</w:t>
            </w:r>
          </w:p>
        </w:tc>
        <w:tc>
          <w:tcPr>
            <w:tcW w:w="709" w:type="dxa"/>
            <w:tcBorders>
              <w:top w:val="nil"/>
              <w:left w:val="nil"/>
              <w:bottom w:val="nil"/>
              <w:right w:val="nil"/>
            </w:tcBorders>
            <w:shd w:val="clear" w:color="auto" w:fill="auto"/>
            <w:noWrap/>
            <w:vAlign w:val="center"/>
            <w:hideMark/>
          </w:tcPr>
          <w:p w14:paraId="31DABFF7" w14:textId="72B6D2C6" w:rsidR="00DE09A0" w:rsidRPr="00D92E20" w:rsidRDefault="00DE09A0" w:rsidP="00DE09A0">
            <w:pPr>
              <w:spacing w:after="0" w:line="240" w:lineRule="auto"/>
              <w:jc w:val="center"/>
              <w:rPr>
                <w:rFonts w:cs="Arial"/>
                <w:color w:val="000000"/>
                <w:sz w:val="16"/>
                <w:szCs w:val="16"/>
              </w:rPr>
            </w:pPr>
            <w:r>
              <w:rPr>
                <w:rFonts w:cs="Arial"/>
                <w:color w:val="000000"/>
                <w:sz w:val="16"/>
                <w:szCs w:val="16"/>
              </w:rPr>
              <w:t>46,1</w:t>
            </w:r>
          </w:p>
        </w:tc>
        <w:tc>
          <w:tcPr>
            <w:tcW w:w="709" w:type="dxa"/>
            <w:tcBorders>
              <w:top w:val="nil"/>
              <w:left w:val="nil"/>
              <w:bottom w:val="nil"/>
              <w:right w:val="nil"/>
            </w:tcBorders>
            <w:shd w:val="clear" w:color="auto" w:fill="auto"/>
            <w:noWrap/>
            <w:vAlign w:val="center"/>
            <w:hideMark/>
          </w:tcPr>
          <w:p w14:paraId="300337F4" w14:textId="04622E20" w:rsidR="00DE09A0" w:rsidRPr="00D92E20" w:rsidRDefault="00DE09A0" w:rsidP="00DE09A0">
            <w:pPr>
              <w:spacing w:after="0" w:line="240" w:lineRule="auto"/>
              <w:jc w:val="center"/>
              <w:rPr>
                <w:rFonts w:cs="Arial"/>
                <w:color w:val="000000"/>
                <w:sz w:val="16"/>
                <w:szCs w:val="16"/>
              </w:rPr>
            </w:pPr>
            <w:r>
              <w:rPr>
                <w:rFonts w:cs="Arial"/>
                <w:color w:val="000000"/>
                <w:sz w:val="16"/>
                <w:szCs w:val="16"/>
              </w:rPr>
              <w:t>49,3</w:t>
            </w:r>
          </w:p>
        </w:tc>
        <w:tc>
          <w:tcPr>
            <w:tcW w:w="709" w:type="dxa"/>
            <w:tcBorders>
              <w:top w:val="nil"/>
              <w:left w:val="nil"/>
              <w:bottom w:val="nil"/>
              <w:right w:val="nil"/>
            </w:tcBorders>
            <w:shd w:val="clear" w:color="auto" w:fill="auto"/>
            <w:noWrap/>
            <w:vAlign w:val="center"/>
            <w:hideMark/>
          </w:tcPr>
          <w:p w14:paraId="06866196" w14:textId="46E4E88B" w:rsidR="00DE09A0" w:rsidRPr="00D92E20" w:rsidRDefault="00DE09A0" w:rsidP="00DE09A0">
            <w:pPr>
              <w:spacing w:after="0" w:line="240" w:lineRule="auto"/>
              <w:jc w:val="center"/>
              <w:rPr>
                <w:rFonts w:cs="Arial"/>
                <w:color w:val="000000"/>
                <w:sz w:val="16"/>
                <w:szCs w:val="16"/>
              </w:rPr>
            </w:pPr>
            <w:r>
              <w:rPr>
                <w:rFonts w:cs="Arial"/>
                <w:color w:val="000000"/>
                <w:sz w:val="16"/>
                <w:szCs w:val="16"/>
              </w:rPr>
              <w:t>51,8</w:t>
            </w:r>
          </w:p>
        </w:tc>
        <w:tc>
          <w:tcPr>
            <w:tcW w:w="709" w:type="dxa"/>
            <w:tcBorders>
              <w:top w:val="nil"/>
              <w:left w:val="nil"/>
              <w:bottom w:val="nil"/>
              <w:right w:val="nil"/>
            </w:tcBorders>
            <w:shd w:val="clear" w:color="auto" w:fill="auto"/>
            <w:noWrap/>
            <w:vAlign w:val="center"/>
            <w:hideMark/>
          </w:tcPr>
          <w:p w14:paraId="6C5A7814" w14:textId="350CCB5C" w:rsidR="00DE09A0" w:rsidRPr="00D92E20" w:rsidRDefault="00DE09A0" w:rsidP="00DE09A0">
            <w:pPr>
              <w:spacing w:after="0" w:line="240" w:lineRule="auto"/>
              <w:jc w:val="center"/>
              <w:rPr>
                <w:rFonts w:cs="Arial"/>
                <w:color w:val="000000"/>
                <w:sz w:val="16"/>
                <w:szCs w:val="16"/>
              </w:rPr>
            </w:pPr>
            <w:r>
              <w:rPr>
                <w:rFonts w:cs="Arial"/>
                <w:color w:val="000000"/>
                <w:sz w:val="16"/>
                <w:szCs w:val="16"/>
              </w:rPr>
              <w:t>42,4</w:t>
            </w:r>
          </w:p>
        </w:tc>
        <w:tc>
          <w:tcPr>
            <w:tcW w:w="709" w:type="dxa"/>
            <w:tcBorders>
              <w:top w:val="nil"/>
              <w:left w:val="nil"/>
              <w:bottom w:val="nil"/>
              <w:right w:val="nil"/>
            </w:tcBorders>
            <w:shd w:val="clear" w:color="auto" w:fill="auto"/>
            <w:noWrap/>
            <w:vAlign w:val="center"/>
            <w:hideMark/>
          </w:tcPr>
          <w:p w14:paraId="65BD8722" w14:textId="71CD04F4" w:rsidR="00DE09A0" w:rsidRPr="00D92E20" w:rsidRDefault="00DE09A0" w:rsidP="00DE09A0">
            <w:pPr>
              <w:spacing w:after="0" w:line="240" w:lineRule="auto"/>
              <w:jc w:val="center"/>
              <w:rPr>
                <w:rFonts w:cs="Arial"/>
                <w:color w:val="000000"/>
                <w:sz w:val="16"/>
                <w:szCs w:val="16"/>
              </w:rPr>
            </w:pPr>
            <w:r>
              <w:rPr>
                <w:rFonts w:cs="Arial"/>
                <w:color w:val="000000"/>
                <w:sz w:val="16"/>
                <w:szCs w:val="16"/>
              </w:rPr>
              <w:t>27,0</w:t>
            </w:r>
          </w:p>
        </w:tc>
      </w:tr>
      <w:tr w:rsidR="00DE09A0" w:rsidRPr="00D92E20" w14:paraId="3BEAF281" w14:textId="77777777" w:rsidTr="00161606">
        <w:trPr>
          <w:trHeight w:val="300"/>
        </w:trPr>
        <w:tc>
          <w:tcPr>
            <w:tcW w:w="1871" w:type="dxa"/>
            <w:tcBorders>
              <w:top w:val="nil"/>
              <w:left w:val="nil"/>
              <w:bottom w:val="nil"/>
              <w:right w:val="single" w:sz="4" w:space="0" w:color="auto"/>
            </w:tcBorders>
            <w:shd w:val="clear" w:color="auto" w:fill="auto"/>
            <w:noWrap/>
            <w:vAlign w:val="center"/>
            <w:hideMark/>
          </w:tcPr>
          <w:p w14:paraId="2318C5CD" w14:textId="77777777" w:rsidR="00DE09A0" w:rsidRPr="00D92E20" w:rsidRDefault="00DE09A0" w:rsidP="00DE09A0">
            <w:pPr>
              <w:spacing w:after="0" w:line="240" w:lineRule="auto"/>
              <w:ind w:firstLineChars="100" w:firstLine="160"/>
              <w:rPr>
                <w:rFonts w:cs="Arial"/>
                <w:color w:val="000000"/>
                <w:sz w:val="16"/>
                <w:szCs w:val="16"/>
              </w:rPr>
            </w:pPr>
            <w:r w:rsidRPr="00D92E20">
              <w:rPr>
                <w:rFonts w:cs="Arial"/>
                <w:color w:val="000000"/>
                <w:sz w:val="16"/>
                <w:szCs w:val="16"/>
              </w:rPr>
              <w:t>Moravskoslezský kraj</w:t>
            </w:r>
          </w:p>
        </w:tc>
        <w:tc>
          <w:tcPr>
            <w:tcW w:w="709" w:type="dxa"/>
            <w:tcBorders>
              <w:top w:val="nil"/>
              <w:left w:val="nil"/>
              <w:bottom w:val="nil"/>
              <w:right w:val="nil"/>
            </w:tcBorders>
            <w:shd w:val="clear" w:color="auto" w:fill="auto"/>
            <w:noWrap/>
            <w:vAlign w:val="center"/>
            <w:hideMark/>
          </w:tcPr>
          <w:p w14:paraId="08690EA3" w14:textId="0960C575" w:rsidR="00DE09A0" w:rsidRPr="00D92E20" w:rsidRDefault="00DE09A0" w:rsidP="00DE09A0">
            <w:pPr>
              <w:spacing w:after="0" w:line="240" w:lineRule="auto"/>
              <w:jc w:val="center"/>
              <w:rPr>
                <w:rFonts w:cs="Arial"/>
                <w:color w:val="000000"/>
                <w:sz w:val="16"/>
                <w:szCs w:val="16"/>
              </w:rPr>
            </w:pPr>
            <w:r>
              <w:rPr>
                <w:rFonts w:cs="Arial"/>
                <w:sz w:val="16"/>
                <w:szCs w:val="16"/>
              </w:rPr>
              <w:t>52,2</w:t>
            </w:r>
          </w:p>
        </w:tc>
        <w:tc>
          <w:tcPr>
            <w:tcW w:w="709" w:type="dxa"/>
            <w:tcBorders>
              <w:top w:val="nil"/>
              <w:left w:val="nil"/>
              <w:bottom w:val="nil"/>
              <w:right w:val="nil"/>
            </w:tcBorders>
            <w:shd w:val="clear" w:color="auto" w:fill="auto"/>
            <w:noWrap/>
            <w:vAlign w:val="center"/>
            <w:hideMark/>
          </w:tcPr>
          <w:p w14:paraId="4163296E" w14:textId="3D3015C7" w:rsidR="00DE09A0" w:rsidRPr="00D92E20" w:rsidRDefault="00DE09A0" w:rsidP="00DE09A0">
            <w:pPr>
              <w:spacing w:after="0" w:line="240" w:lineRule="auto"/>
              <w:jc w:val="center"/>
              <w:rPr>
                <w:rFonts w:cs="Arial"/>
                <w:color w:val="000000"/>
                <w:sz w:val="16"/>
                <w:szCs w:val="16"/>
              </w:rPr>
            </w:pPr>
            <w:r>
              <w:rPr>
                <w:rFonts w:cs="Arial"/>
                <w:sz w:val="16"/>
                <w:szCs w:val="16"/>
              </w:rPr>
              <w:t>47,6</w:t>
            </w:r>
          </w:p>
        </w:tc>
        <w:tc>
          <w:tcPr>
            <w:tcW w:w="709" w:type="dxa"/>
            <w:tcBorders>
              <w:top w:val="nil"/>
              <w:left w:val="nil"/>
              <w:bottom w:val="nil"/>
              <w:right w:val="nil"/>
            </w:tcBorders>
            <w:shd w:val="clear" w:color="auto" w:fill="auto"/>
            <w:noWrap/>
            <w:vAlign w:val="center"/>
            <w:hideMark/>
          </w:tcPr>
          <w:p w14:paraId="14392CDE" w14:textId="015C658F" w:rsidR="00DE09A0" w:rsidRPr="00D92E20" w:rsidRDefault="00DE09A0" w:rsidP="00DE09A0">
            <w:pPr>
              <w:spacing w:after="0" w:line="240" w:lineRule="auto"/>
              <w:jc w:val="center"/>
              <w:rPr>
                <w:rFonts w:cs="Arial"/>
                <w:color w:val="000000"/>
                <w:sz w:val="16"/>
                <w:szCs w:val="16"/>
              </w:rPr>
            </w:pPr>
            <w:r>
              <w:rPr>
                <w:rFonts w:cs="Arial"/>
                <w:sz w:val="16"/>
                <w:szCs w:val="16"/>
              </w:rPr>
              <w:t>53,4</w:t>
            </w:r>
          </w:p>
        </w:tc>
        <w:tc>
          <w:tcPr>
            <w:tcW w:w="709" w:type="dxa"/>
            <w:tcBorders>
              <w:top w:val="nil"/>
              <w:left w:val="nil"/>
              <w:bottom w:val="nil"/>
              <w:right w:val="nil"/>
            </w:tcBorders>
            <w:shd w:val="clear" w:color="auto" w:fill="auto"/>
            <w:noWrap/>
            <w:vAlign w:val="center"/>
            <w:hideMark/>
          </w:tcPr>
          <w:p w14:paraId="707AF432" w14:textId="28A28700" w:rsidR="00DE09A0" w:rsidRPr="00D92E20" w:rsidRDefault="00DE09A0" w:rsidP="00DE09A0">
            <w:pPr>
              <w:spacing w:after="0" w:line="240" w:lineRule="auto"/>
              <w:jc w:val="center"/>
              <w:rPr>
                <w:rFonts w:cs="Arial"/>
                <w:color w:val="000000"/>
                <w:sz w:val="16"/>
                <w:szCs w:val="16"/>
              </w:rPr>
            </w:pPr>
            <w:r>
              <w:rPr>
                <w:rFonts w:cs="Arial"/>
                <w:sz w:val="16"/>
                <w:szCs w:val="16"/>
              </w:rPr>
              <w:t>46,0</w:t>
            </w:r>
          </w:p>
        </w:tc>
        <w:tc>
          <w:tcPr>
            <w:tcW w:w="709" w:type="dxa"/>
            <w:tcBorders>
              <w:top w:val="nil"/>
              <w:left w:val="nil"/>
              <w:bottom w:val="nil"/>
              <w:right w:val="nil"/>
            </w:tcBorders>
            <w:shd w:val="clear" w:color="auto" w:fill="auto"/>
            <w:noWrap/>
            <w:vAlign w:val="center"/>
            <w:hideMark/>
          </w:tcPr>
          <w:p w14:paraId="37F7212B" w14:textId="7180A9E0" w:rsidR="00DE09A0" w:rsidRPr="00D92E20" w:rsidRDefault="00DE09A0" w:rsidP="00DE09A0">
            <w:pPr>
              <w:spacing w:after="0" w:line="240" w:lineRule="auto"/>
              <w:jc w:val="center"/>
              <w:rPr>
                <w:rFonts w:cs="Arial"/>
                <w:color w:val="000000"/>
                <w:sz w:val="16"/>
                <w:szCs w:val="16"/>
              </w:rPr>
            </w:pPr>
            <w:r>
              <w:rPr>
                <w:rFonts w:cs="Arial"/>
                <w:sz w:val="16"/>
                <w:szCs w:val="16"/>
              </w:rPr>
              <w:t>48,6</w:t>
            </w:r>
          </w:p>
        </w:tc>
        <w:tc>
          <w:tcPr>
            <w:tcW w:w="709" w:type="dxa"/>
            <w:tcBorders>
              <w:top w:val="nil"/>
              <w:left w:val="nil"/>
              <w:bottom w:val="nil"/>
              <w:right w:val="nil"/>
            </w:tcBorders>
            <w:shd w:val="clear" w:color="auto" w:fill="auto"/>
            <w:noWrap/>
            <w:vAlign w:val="center"/>
            <w:hideMark/>
          </w:tcPr>
          <w:p w14:paraId="1EC043F7" w14:textId="142FB69B" w:rsidR="00DE09A0" w:rsidRPr="00D92E20" w:rsidRDefault="00DE09A0" w:rsidP="00DE09A0">
            <w:pPr>
              <w:spacing w:after="0" w:line="240" w:lineRule="auto"/>
              <w:jc w:val="center"/>
              <w:rPr>
                <w:rFonts w:cs="Arial"/>
                <w:color w:val="000000"/>
                <w:sz w:val="16"/>
                <w:szCs w:val="16"/>
              </w:rPr>
            </w:pPr>
            <w:r>
              <w:rPr>
                <w:rFonts w:cs="Arial"/>
                <w:sz w:val="16"/>
                <w:szCs w:val="16"/>
              </w:rPr>
              <w:t>47,4</w:t>
            </w:r>
          </w:p>
        </w:tc>
        <w:tc>
          <w:tcPr>
            <w:tcW w:w="709" w:type="dxa"/>
            <w:tcBorders>
              <w:top w:val="nil"/>
              <w:left w:val="nil"/>
              <w:bottom w:val="nil"/>
              <w:right w:val="nil"/>
            </w:tcBorders>
            <w:shd w:val="clear" w:color="auto" w:fill="auto"/>
            <w:noWrap/>
            <w:vAlign w:val="center"/>
            <w:hideMark/>
          </w:tcPr>
          <w:p w14:paraId="50FC304C" w14:textId="294B2EEB" w:rsidR="00DE09A0" w:rsidRPr="00D92E20" w:rsidRDefault="00DE09A0" w:rsidP="00DE09A0">
            <w:pPr>
              <w:spacing w:after="0" w:line="240" w:lineRule="auto"/>
              <w:jc w:val="center"/>
              <w:rPr>
                <w:rFonts w:cs="Arial"/>
                <w:color w:val="000000"/>
                <w:sz w:val="16"/>
                <w:szCs w:val="16"/>
              </w:rPr>
            </w:pPr>
            <w:r>
              <w:rPr>
                <w:rFonts w:cs="Arial"/>
                <w:color w:val="000000"/>
                <w:sz w:val="16"/>
                <w:szCs w:val="16"/>
              </w:rPr>
              <w:t>44,4</w:t>
            </w:r>
          </w:p>
        </w:tc>
        <w:tc>
          <w:tcPr>
            <w:tcW w:w="709" w:type="dxa"/>
            <w:tcBorders>
              <w:top w:val="nil"/>
              <w:left w:val="nil"/>
              <w:bottom w:val="nil"/>
              <w:right w:val="nil"/>
            </w:tcBorders>
            <w:shd w:val="clear" w:color="auto" w:fill="auto"/>
            <w:noWrap/>
            <w:vAlign w:val="center"/>
            <w:hideMark/>
          </w:tcPr>
          <w:p w14:paraId="75D5BE14" w14:textId="59485FBE" w:rsidR="00DE09A0" w:rsidRPr="00D92E20" w:rsidRDefault="00DE09A0" w:rsidP="00DE09A0">
            <w:pPr>
              <w:spacing w:after="0" w:line="240" w:lineRule="auto"/>
              <w:jc w:val="center"/>
              <w:rPr>
                <w:rFonts w:cs="Arial"/>
                <w:color w:val="000000"/>
                <w:sz w:val="16"/>
                <w:szCs w:val="16"/>
              </w:rPr>
            </w:pPr>
            <w:r>
              <w:rPr>
                <w:rFonts w:cs="Arial"/>
                <w:color w:val="000000"/>
                <w:sz w:val="16"/>
                <w:szCs w:val="16"/>
              </w:rPr>
              <w:t>49,0</w:t>
            </w:r>
          </w:p>
        </w:tc>
        <w:tc>
          <w:tcPr>
            <w:tcW w:w="709" w:type="dxa"/>
            <w:tcBorders>
              <w:top w:val="nil"/>
              <w:left w:val="nil"/>
              <w:bottom w:val="nil"/>
              <w:right w:val="nil"/>
            </w:tcBorders>
            <w:shd w:val="clear" w:color="auto" w:fill="auto"/>
            <w:noWrap/>
            <w:vAlign w:val="center"/>
            <w:hideMark/>
          </w:tcPr>
          <w:p w14:paraId="23EA09BE" w14:textId="04CB0B87" w:rsidR="00DE09A0" w:rsidRPr="00D92E20" w:rsidRDefault="00DE09A0" w:rsidP="00DE09A0">
            <w:pPr>
              <w:spacing w:after="0" w:line="240" w:lineRule="auto"/>
              <w:jc w:val="center"/>
              <w:rPr>
                <w:rFonts w:cs="Arial"/>
                <w:color w:val="000000"/>
                <w:sz w:val="16"/>
                <w:szCs w:val="16"/>
              </w:rPr>
            </w:pPr>
            <w:r>
              <w:rPr>
                <w:rFonts w:cs="Arial"/>
                <w:color w:val="000000"/>
                <w:sz w:val="16"/>
                <w:szCs w:val="16"/>
              </w:rPr>
              <w:t>48,8</w:t>
            </w:r>
          </w:p>
        </w:tc>
        <w:tc>
          <w:tcPr>
            <w:tcW w:w="709" w:type="dxa"/>
            <w:tcBorders>
              <w:top w:val="nil"/>
              <w:left w:val="nil"/>
              <w:bottom w:val="nil"/>
              <w:right w:val="nil"/>
            </w:tcBorders>
            <w:shd w:val="clear" w:color="auto" w:fill="auto"/>
            <w:noWrap/>
            <w:vAlign w:val="center"/>
            <w:hideMark/>
          </w:tcPr>
          <w:p w14:paraId="648476E4" w14:textId="3BB3396F" w:rsidR="00DE09A0" w:rsidRPr="00D92E20" w:rsidRDefault="00DE09A0" w:rsidP="00DE09A0">
            <w:pPr>
              <w:spacing w:after="0" w:line="240" w:lineRule="auto"/>
              <w:jc w:val="center"/>
              <w:rPr>
                <w:rFonts w:cs="Arial"/>
                <w:color w:val="000000"/>
                <w:sz w:val="16"/>
                <w:szCs w:val="16"/>
              </w:rPr>
            </w:pPr>
            <w:r>
              <w:rPr>
                <w:rFonts w:cs="Arial"/>
                <w:color w:val="000000"/>
                <w:sz w:val="16"/>
                <w:szCs w:val="16"/>
              </w:rPr>
              <w:t>40,9</w:t>
            </w:r>
          </w:p>
        </w:tc>
        <w:tc>
          <w:tcPr>
            <w:tcW w:w="709" w:type="dxa"/>
            <w:tcBorders>
              <w:top w:val="nil"/>
              <w:left w:val="nil"/>
              <w:bottom w:val="nil"/>
              <w:right w:val="nil"/>
            </w:tcBorders>
            <w:shd w:val="clear" w:color="auto" w:fill="auto"/>
            <w:noWrap/>
            <w:vAlign w:val="center"/>
            <w:hideMark/>
          </w:tcPr>
          <w:p w14:paraId="48D203DC" w14:textId="0BBBF86B" w:rsidR="00DE09A0" w:rsidRPr="00D92E20" w:rsidRDefault="00DE09A0" w:rsidP="00DE09A0">
            <w:pPr>
              <w:spacing w:after="0" w:line="240" w:lineRule="auto"/>
              <w:jc w:val="center"/>
              <w:rPr>
                <w:rFonts w:cs="Arial"/>
                <w:color w:val="000000"/>
                <w:sz w:val="16"/>
                <w:szCs w:val="16"/>
              </w:rPr>
            </w:pPr>
            <w:r>
              <w:rPr>
                <w:rFonts w:cs="Arial"/>
                <w:color w:val="000000"/>
                <w:sz w:val="16"/>
                <w:szCs w:val="16"/>
              </w:rPr>
              <w:t>28,2</w:t>
            </w:r>
          </w:p>
        </w:tc>
      </w:tr>
    </w:tbl>
    <w:p w14:paraId="3F6601B3" w14:textId="77777777" w:rsidR="004A31C1" w:rsidRPr="00D92E20" w:rsidRDefault="004A31C1" w:rsidP="004A31C1">
      <w:pPr>
        <w:spacing w:before="120"/>
        <w:rPr>
          <w:sz w:val="16"/>
        </w:rPr>
      </w:pPr>
      <w:r w:rsidRPr="00D92E20">
        <w:rPr>
          <w:sz w:val="16"/>
        </w:rPr>
        <w:t>Zdroj: ČSÚ</w:t>
      </w:r>
    </w:p>
    <w:p w14:paraId="0334B10B" w14:textId="77777777" w:rsidR="004A31C1" w:rsidRDefault="004A31C1">
      <w:pPr>
        <w:spacing w:after="0" w:line="240" w:lineRule="auto"/>
        <w:rPr>
          <w:b/>
          <w:spacing w:val="-4"/>
        </w:rPr>
      </w:pPr>
      <w:r>
        <w:rPr>
          <w:b/>
          <w:spacing w:val="-4"/>
        </w:rPr>
        <w:br w:type="page"/>
      </w:r>
    </w:p>
    <w:p w14:paraId="19E33E55" w14:textId="77777777" w:rsidR="00626EB8" w:rsidRPr="006D1946" w:rsidRDefault="00626EB8" w:rsidP="00626EB8">
      <w:pPr>
        <w:jc w:val="both"/>
        <w:rPr>
          <w:b/>
          <w:spacing w:val="-4"/>
        </w:rPr>
      </w:pPr>
      <w:r w:rsidRPr="006D1946">
        <w:rPr>
          <w:b/>
          <w:spacing w:val="-4"/>
        </w:rPr>
        <w:lastRenderedPageBreak/>
        <w:t>Kartogram 2.1: Průměrná délka trvání dočasné pracovní neschopnosti v okresech a krajích ČR, 1. pol. 2022</w:t>
      </w:r>
    </w:p>
    <w:p w14:paraId="560FAFAE" w14:textId="7FC72D2A" w:rsidR="00693023" w:rsidRPr="00D92E20" w:rsidRDefault="00626EB8" w:rsidP="007B0701">
      <w:pPr>
        <w:jc w:val="both"/>
        <w:rPr>
          <w:b/>
        </w:rPr>
      </w:pPr>
      <w:r w:rsidRPr="006D1946">
        <w:rPr>
          <w:b/>
          <w:noProof/>
        </w:rPr>
        <w:drawing>
          <wp:inline distT="0" distB="0" distL="0" distR="0" wp14:anchorId="171CA8A9" wp14:editId="004A5E0E">
            <wp:extent cx="6120130" cy="4152900"/>
            <wp:effectExtent l="0" t="0" r="0" b="0"/>
            <wp:docPr id="40" name="Obrázek 40" descr="D:\hykysova23070\Documents\PN\2022\1. pol\publ\KTG\02\PN_2022_dny_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hykysova23070\Documents\PN\2022\1. pol\publ\KTG\02\PN_2022_dny_02.png"/>
                    <pic:cNvPicPr>
                      <a:picLocks noChangeAspect="1" noChangeArrowheads="1"/>
                    </pic:cNvPicPr>
                  </pic:nvPicPr>
                  <pic:blipFill rotWithShape="1">
                    <a:blip r:embed="rId30">
                      <a:extLst>
                        <a:ext uri="{28A0092B-C50C-407E-A947-70E740481C1C}">
                          <a14:useLocalDpi xmlns:a14="http://schemas.microsoft.com/office/drawing/2010/main" val="0"/>
                        </a:ext>
                      </a:extLst>
                    </a:blip>
                    <a:srcRect t="1980" b="2055"/>
                    <a:stretch/>
                  </pic:blipFill>
                  <pic:spPr bwMode="auto">
                    <a:xfrm>
                      <a:off x="0" y="0"/>
                      <a:ext cx="6120130" cy="4152900"/>
                    </a:xfrm>
                    <a:prstGeom prst="rect">
                      <a:avLst/>
                    </a:prstGeom>
                    <a:noFill/>
                    <a:ln>
                      <a:noFill/>
                    </a:ln>
                    <a:extLst>
                      <a:ext uri="{53640926-AAD7-44D8-BBD7-CCE9431645EC}">
                        <a14:shadowObscured xmlns:a14="http://schemas.microsoft.com/office/drawing/2010/main"/>
                      </a:ext>
                    </a:extLst>
                  </pic:spPr>
                </pic:pic>
              </a:graphicData>
            </a:graphic>
          </wp:inline>
        </w:drawing>
      </w:r>
    </w:p>
    <w:p w14:paraId="32D39987" w14:textId="77777777" w:rsidR="007B0701" w:rsidRPr="00D92E20" w:rsidRDefault="007B0701" w:rsidP="007B0701">
      <w:pPr>
        <w:spacing w:before="120"/>
        <w:rPr>
          <w:sz w:val="16"/>
        </w:rPr>
      </w:pPr>
      <w:r w:rsidRPr="00D92E20">
        <w:rPr>
          <w:sz w:val="16"/>
        </w:rPr>
        <w:t>Zdroj: ČSÚ</w:t>
      </w:r>
    </w:p>
    <w:p w14:paraId="161BB50D" w14:textId="04A14AF5" w:rsidR="007B0701" w:rsidRPr="00DE09A0" w:rsidRDefault="00551C14" w:rsidP="00000A90">
      <w:pPr>
        <w:spacing w:before="120" w:after="120"/>
        <w:jc w:val="both"/>
      </w:pPr>
      <w:r w:rsidRPr="00DE09A0">
        <w:rPr>
          <w:b/>
        </w:rPr>
        <w:t>Osoby samostatně výdělečně činné (</w:t>
      </w:r>
      <w:r w:rsidR="007B0701" w:rsidRPr="00DE09A0">
        <w:rPr>
          <w:b/>
        </w:rPr>
        <w:t>OSVČ</w:t>
      </w:r>
      <w:r w:rsidRPr="00DE09A0">
        <w:rPr>
          <w:b/>
        </w:rPr>
        <w:t>)</w:t>
      </w:r>
      <w:r w:rsidR="007B0701" w:rsidRPr="00DE09A0">
        <w:t xml:space="preserve"> nastupují do pracovní neschopnosti méně často než zaměstnanci (</w:t>
      </w:r>
      <w:r w:rsidR="008D7B44" w:rsidRPr="00DE09A0">
        <w:t>1</w:t>
      </w:r>
      <w:r w:rsidR="00DE09A0" w:rsidRPr="00DE09A0">
        <w:t>1</w:t>
      </w:r>
      <w:r w:rsidR="007B0701" w:rsidRPr="00DE09A0">
        <w:t xml:space="preserve"> případů na 100 nemocensky pojištěných OSVČ vs. </w:t>
      </w:r>
      <w:r w:rsidR="00DE09A0" w:rsidRPr="00DE09A0">
        <w:t>44</w:t>
      </w:r>
      <w:r w:rsidR="008D7B44" w:rsidRPr="00DE09A0">
        <w:t xml:space="preserve"> </w:t>
      </w:r>
      <w:r w:rsidR="007B0701" w:rsidRPr="00DE09A0">
        <w:t>případů u zaměstnanců za</w:t>
      </w:r>
      <w:r w:rsidR="00CD63E8" w:rsidRPr="00DE09A0">
        <w:t> </w:t>
      </w:r>
      <w:r w:rsidR="00DA3030" w:rsidRPr="00DE09A0">
        <w:t>1.</w:t>
      </w:r>
      <w:r w:rsidR="00CD63E8" w:rsidRPr="00DE09A0">
        <w:t> </w:t>
      </w:r>
      <w:r w:rsidR="00DA3030" w:rsidRPr="00DE09A0">
        <w:t>pol.</w:t>
      </w:r>
      <w:r w:rsidR="00CD63E8" w:rsidRPr="00DE09A0">
        <w:t> </w:t>
      </w:r>
      <w:r w:rsidR="00DA3030" w:rsidRPr="00DE09A0">
        <w:t>202</w:t>
      </w:r>
      <w:r w:rsidR="00DE09A0" w:rsidRPr="00DE09A0">
        <w:t>2</w:t>
      </w:r>
      <w:r w:rsidR="007B0701" w:rsidRPr="00DE09A0">
        <w:t>). Pokud jsou však ze zdravotních důvodů z výkonu práce indisponováni, průměrná délka jejich pracovní neschopnosti značně převyšuje ostatní sledované kategorie velikosti podniku (podle počtu zaměstnanců; viz</w:t>
      </w:r>
      <w:r w:rsidR="00B74855" w:rsidRPr="00DE09A0">
        <w:t> </w:t>
      </w:r>
      <w:r w:rsidR="007B0701" w:rsidRPr="00DE09A0">
        <w:t>graf 2.</w:t>
      </w:r>
      <w:r w:rsidR="008D7B44" w:rsidRPr="00DE09A0">
        <w:t>12</w:t>
      </w:r>
      <w:r w:rsidR="007B0701" w:rsidRPr="00DE09A0">
        <w:t>).</w:t>
      </w:r>
    </w:p>
    <w:p w14:paraId="4722479A" w14:textId="14EECE09" w:rsidR="004A31C1" w:rsidRPr="00CF3713" w:rsidRDefault="004A31C1" w:rsidP="004A31C1">
      <w:pPr>
        <w:spacing w:before="120" w:after="120"/>
        <w:jc w:val="both"/>
      </w:pPr>
      <w:r w:rsidRPr="00DE09A0">
        <w:t>Dočasná pracovní neschopnost OSVČ v 1. pol. 202</w:t>
      </w:r>
      <w:r w:rsidR="00DE09A0" w:rsidRPr="00DE09A0">
        <w:t>2</w:t>
      </w:r>
      <w:r w:rsidRPr="00DE09A0">
        <w:t xml:space="preserve"> trvala průměrně </w:t>
      </w:r>
      <w:r w:rsidR="00DE09A0" w:rsidRPr="00DE09A0">
        <w:t>78</w:t>
      </w:r>
      <w:r w:rsidRPr="00DE09A0">
        <w:t xml:space="preserve"> dní. Delší doba trvání pracovní neschopnosti u OSVČ může souviset se skutečností, že tato skupina pojištěnců v době prvních 14 dnů pracovní neschopnosti není finančně zabezpečena jako ostatní pojištěnci, je jim vypláceno až nemocenské od 15. dne. Vzhledem k tomuto faktu pak krátkodobé případy lehčích forem nemocí neřeší pracovní neschopností, tu si nechávají vystavit až při onemocnění vážnější chorobou, která si pak vyžádá dlouhodobější pracovní neschopnost. Další možností, kterou OSVČ mohou využít, je sjednání pojištění pracovní </w:t>
      </w:r>
      <w:r w:rsidRPr="00CF3713">
        <w:t>neschopnosti u soukromých pojišťoven v rámci životního pojištění. Tomu se však tato publikace nevěnuje.</w:t>
      </w:r>
    </w:p>
    <w:p w14:paraId="0921A84E" w14:textId="1C89B57C" w:rsidR="004A31C1" w:rsidRPr="00D92E20" w:rsidRDefault="004A31C1" w:rsidP="004A31C1">
      <w:pPr>
        <w:spacing w:before="120" w:after="120"/>
        <w:jc w:val="both"/>
      </w:pPr>
      <w:r w:rsidRPr="00CF3713">
        <w:t xml:space="preserve">U zaměstnanců byla průměrná délka pracovní neschopnosti (bez ohledu na příčinu) ve srovnání s OSVČ zhruba </w:t>
      </w:r>
      <w:r w:rsidR="00DE09A0" w:rsidRPr="00CF3713">
        <w:t>třetinová (24,3 dne)</w:t>
      </w:r>
      <w:r w:rsidRPr="00CF3713">
        <w:t>. Nejdelší zaznamenaly malé podniky mající do 49 zaměstnanců (</w:t>
      </w:r>
      <w:r w:rsidR="00CF3713" w:rsidRPr="00CF3713">
        <w:t>27</w:t>
      </w:r>
      <w:r w:rsidRPr="00CF3713">
        <w:t xml:space="preserve"> dnů). V ostatních velikostních kategoriích se tato hodnota pohybovala okolo </w:t>
      </w:r>
      <w:r w:rsidR="00CF3713" w:rsidRPr="00CF3713">
        <w:t>2</w:t>
      </w:r>
      <w:r w:rsidRPr="00CF3713">
        <w:t>4 dnů.</w:t>
      </w:r>
    </w:p>
    <w:p w14:paraId="6B60DFB2" w14:textId="77777777" w:rsidR="004A31C1" w:rsidRDefault="004A31C1">
      <w:pPr>
        <w:spacing w:after="0" w:line="240" w:lineRule="auto"/>
        <w:rPr>
          <w:b/>
        </w:rPr>
      </w:pPr>
      <w:r>
        <w:rPr>
          <w:b/>
        </w:rPr>
        <w:br w:type="page"/>
      </w:r>
    </w:p>
    <w:p w14:paraId="69C373E7" w14:textId="32782BBE" w:rsidR="007B0701" w:rsidRPr="00DC0DB3" w:rsidRDefault="007B0701" w:rsidP="00000A90">
      <w:pPr>
        <w:spacing w:after="0"/>
        <w:jc w:val="both"/>
        <w:rPr>
          <w:b/>
        </w:rPr>
      </w:pPr>
      <w:r w:rsidRPr="00DC0DB3">
        <w:rPr>
          <w:b/>
        </w:rPr>
        <w:lastRenderedPageBreak/>
        <w:t xml:space="preserve">Graf 2.12: Průměrná délka trvání dočasné pracovní neschopnosti podle velikosti podniku a příčiny, </w:t>
      </w:r>
      <w:r w:rsidR="00DC0DB3">
        <w:rPr>
          <w:b/>
        </w:rPr>
        <w:br/>
      </w:r>
      <w:r w:rsidR="00DC0DB3" w:rsidRPr="00DC0DB3">
        <w:rPr>
          <w:b/>
        </w:rPr>
        <w:t>1. pol. 202</w:t>
      </w:r>
      <w:r w:rsidR="00DE09A0">
        <w:rPr>
          <w:b/>
        </w:rPr>
        <w:t>2</w:t>
      </w:r>
    </w:p>
    <w:p w14:paraId="0A425FBB" w14:textId="76ACC602" w:rsidR="00A71AB2" w:rsidRPr="00D92E20" w:rsidRDefault="00DE09A0" w:rsidP="00C371A5">
      <w:pPr>
        <w:tabs>
          <w:tab w:val="left" w:pos="1418"/>
        </w:tabs>
        <w:spacing w:after="0"/>
        <w:jc w:val="both"/>
        <w:rPr>
          <w:rFonts w:cs="Arial"/>
        </w:rPr>
      </w:pPr>
      <w:r>
        <w:rPr>
          <w:noProof/>
        </w:rPr>
        <w:drawing>
          <wp:inline distT="0" distB="0" distL="0" distR="0" wp14:anchorId="5D353096" wp14:editId="21341336">
            <wp:extent cx="6105525" cy="2752725"/>
            <wp:effectExtent l="0" t="0" r="9525" b="9525"/>
            <wp:docPr id="46" name="Graf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2F5F313F" w14:textId="36C314F3" w:rsidR="007B0701" w:rsidRDefault="007B0701" w:rsidP="007B0701">
      <w:pPr>
        <w:spacing w:before="120"/>
        <w:rPr>
          <w:sz w:val="16"/>
        </w:rPr>
      </w:pPr>
      <w:r w:rsidRPr="00D92E20">
        <w:rPr>
          <w:sz w:val="16"/>
        </w:rPr>
        <w:t>Zdroj: ČSÚ</w:t>
      </w:r>
    </w:p>
    <w:p w14:paraId="71F10D15" w14:textId="27BF3EA5" w:rsidR="000273BE" w:rsidRPr="00D92E20" w:rsidRDefault="000273BE" w:rsidP="00000A90">
      <w:pPr>
        <w:pStyle w:val="Nadpis3"/>
        <w:numPr>
          <w:ilvl w:val="2"/>
          <w:numId w:val="22"/>
        </w:numPr>
        <w:spacing w:after="120"/>
        <w:ind w:left="709"/>
        <w:jc w:val="both"/>
      </w:pPr>
      <w:bookmarkStart w:id="36" w:name="_Toc54262802"/>
      <w:bookmarkStart w:id="37" w:name="_Toc117774430"/>
      <w:r w:rsidRPr="00D92E20">
        <w:t>Průměrné procento dočasné pracovní nes</w:t>
      </w:r>
      <w:r w:rsidR="004A31C1">
        <w:t xml:space="preserve">chopnosti a průměrný denní stav </w:t>
      </w:r>
      <w:r w:rsidRPr="00D92E20">
        <w:t>dočasně práce neschopných</w:t>
      </w:r>
      <w:bookmarkEnd w:id="36"/>
      <w:bookmarkEnd w:id="37"/>
    </w:p>
    <w:p w14:paraId="478FDE9B" w14:textId="77777777" w:rsidR="000273BE" w:rsidRPr="00D92E20" w:rsidRDefault="000273BE" w:rsidP="00000A90">
      <w:pPr>
        <w:spacing w:after="120"/>
        <w:jc w:val="both"/>
      </w:pPr>
      <w:r w:rsidRPr="00D92E20">
        <w:t xml:space="preserve">Nejkomplexnějším ukazatelem statistiky pracovní neschopnosti pro nemoc a úraz je </w:t>
      </w:r>
      <w:r w:rsidRPr="00D92E20">
        <w:rPr>
          <w:b/>
        </w:rPr>
        <w:t>průměrné procento dočasné pracovní neschopnosti</w:t>
      </w:r>
      <w:r w:rsidRPr="00D92E20">
        <w:t xml:space="preserve">. Zohledňuje jak celkový počet případů pracovní neschopnosti (jak často lidé do pracovní neschopnosti nastupují), tak i průměrné trvání jednoho případu pracovní neschopnosti (jak dlouho v pracovní neschopnosti setrvávají). Statistiky pak doplňuje ještě další ukazatel – </w:t>
      </w:r>
      <w:r w:rsidRPr="00D92E20">
        <w:rPr>
          <w:b/>
        </w:rPr>
        <w:t>průměrný denní stav dočasně práce neschopných</w:t>
      </w:r>
      <w:r w:rsidRPr="00D92E20">
        <w:t>, který říká, kolik osob průměrně denně chybělo na pracovišti v důsledku dočasné pracovní neschopnosti pro nemoc a úraz.</w:t>
      </w:r>
    </w:p>
    <w:p w14:paraId="755BC370" w14:textId="77777777" w:rsidR="000273BE" w:rsidRPr="00D92E20" w:rsidRDefault="000273BE" w:rsidP="000273BE">
      <w:pPr>
        <w:pStyle w:val="Box1"/>
        <w:ind w:left="0"/>
        <w:jc w:val="both"/>
        <w:rPr>
          <w:i/>
        </w:rPr>
      </w:pPr>
      <w:r w:rsidRPr="00D92E20">
        <w:rPr>
          <w:b/>
          <w:i/>
        </w:rPr>
        <w:t xml:space="preserve">Průměrné procento dočasné pracovní neschopnosti </w:t>
      </w:r>
      <w:r w:rsidRPr="00D92E20">
        <w:rPr>
          <w:i/>
        </w:rPr>
        <w:t xml:space="preserve">– ukazatel udává, kolik ze 100 nemocensky pojištěných je průměrně každý den v pracovní neschopnosti pro nemoc či úraz. </w:t>
      </w:r>
    </w:p>
    <w:p w14:paraId="5C658570" w14:textId="77777777" w:rsidR="000273BE" w:rsidRPr="00D92E20" w:rsidRDefault="000273BE" w:rsidP="000273BE">
      <w:pPr>
        <w:pStyle w:val="Box1"/>
        <w:ind w:left="0"/>
        <w:jc w:val="both"/>
        <w:rPr>
          <w:i/>
          <w:u w:val="single"/>
        </w:rPr>
      </w:pPr>
      <w:r w:rsidRPr="00D92E20">
        <w:rPr>
          <w:i/>
          <w:u w:val="single"/>
        </w:rPr>
        <w:t>Způsob výpočtu:</w:t>
      </w:r>
    </w:p>
    <w:p w14:paraId="3DBD0D4D" w14:textId="77777777" w:rsidR="000273BE" w:rsidRPr="00D92E20" w:rsidRDefault="000273BE" w:rsidP="00000A90">
      <w:pPr>
        <w:pStyle w:val="Box1"/>
        <w:spacing w:before="120" w:after="120"/>
        <w:ind w:left="0"/>
        <w:contextualSpacing w:val="0"/>
        <w:jc w:val="both"/>
        <w:rPr>
          <w:i/>
        </w:rPr>
      </w:pPr>
      <w:r w:rsidRPr="00D92E20">
        <w:rPr>
          <w:i/>
        </w:rPr>
        <w:t>Průměrné procento dočasné pracovní neschopnosti = počet kalendářních dnů dočasné pracovní neschopnosti x 100 / (průměrný počet osob nemocensky pojištěných x počet kalendářních dnů ve sledovaném období).</w:t>
      </w:r>
    </w:p>
    <w:p w14:paraId="18B4273B" w14:textId="1B5DF887" w:rsidR="000273BE" w:rsidRPr="00D92E20" w:rsidRDefault="000273BE" w:rsidP="000273BE">
      <w:pPr>
        <w:pStyle w:val="Box1"/>
        <w:ind w:left="0"/>
        <w:jc w:val="both"/>
        <w:rPr>
          <w:i/>
        </w:rPr>
      </w:pPr>
      <w:r w:rsidRPr="00D92E20">
        <w:rPr>
          <w:b/>
          <w:i/>
        </w:rPr>
        <w:t xml:space="preserve">Průměrný denní stav </w:t>
      </w:r>
      <w:r w:rsidR="008B4180" w:rsidRPr="00D92E20">
        <w:rPr>
          <w:b/>
          <w:i/>
        </w:rPr>
        <w:t xml:space="preserve">dočasně </w:t>
      </w:r>
      <w:r w:rsidRPr="00D92E20">
        <w:rPr>
          <w:b/>
          <w:i/>
        </w:rPr>
        <w:t xml:space="preserve">práce neschopných </w:t>
      </w:r>
      <w:r w:rsidRPr="00D92E20">
        <w:rPr>
          <w:i/>
        </w:rPr>
        <w:t>– ukazatel vyjadřuje počet nemocensky pojištěných, kteří byli ve sledovaném období (</w:t>
      </w:r>
      <w:r w:rsidR="00FF4E21">
        <w:rPr>
          <w:i/>
        </w:rPr>
        <w:t>1. pololetí</w:t>
      </w:r>
      <w:r w:rsidRPr="00D92E20">
        <w:rPr>
          <w:i/>
        </w:rPr>
        <w:t xml:space="preserve">) denně nepřítomni v práci z důvodů pracovní neschopnosti. </w:t>
      </w:r>
    </w:p>
    <w:p w14:paraId="5251B742" w14:textId="77777777" w:rsidR="000273BE" w:rsidRPr="00D92E20" w:rsidRDefault="000273BE" w:rsidP="000273BE">
      <w:pPr>
        <w:pStyle w:val="Box1"/>
        <w:ind w:left="0"/>
        <w:jc w:val="both"/>
        <w:rPr>
          <w:i/>
          <w:u w:val="single"/>
        </w:rPr>
      </w:pPr>
      <w:r w:rsidRPr="00D92E20">
        <w:rPr>
          <w:i/>
          <w:u w:val="single"/>
        </w:rPr>
        <w:t>Způsob výpočtu:</w:t>
      </w:r>
    </w:p>
    <w:p w14:paraId="23F03AFE" w14:textId="0E01620F" w:rsidR="000273BE" w:rsidRPr="00D92E20" w:rsidRDefault="000273BE" w:rsidP="00000A90">
      <w:pPr>
        <w:pStyle w:val="Box1"/>
        <w:spacing w:before="120" w:after="120"/>
        <w:ind w:left="0"/>
        <w:contextualSpacing w:val="0"/>
        <w:jc w:val="both"/>
        <w:rPr>
          <w:i/>
        </w:rPr>
      </w:pPr>
      <w:r w:rsidRPr="00D92E20">
        <w:rPr>
          <w:i/>
        </w:rPr>
        <w:t xml:space="preserve">Průměrný denní stav </w:t>
      </w:r>
      <w:r w:rsidR="008B4180" w:rsidRPr="00D92E20">
        <w:rPr>
          <w:i/>
        </w:rPr>
        <w:t xml:space="preserve">dočasně </w:t>
      </w:r>
      <w:r w:rsidRPr="00D92E20">
        <w:rPr>
          <w:i/>
        </w:rPr>
        <w:t xml:space="preserve">práce neschopných = </w:t>
      </w:r>
      <w:r w:rsidR="00BE43F5">
        <w:rPr>
          <w:i/>
        </w:rPr>
        <w:t xml:space="preserve">počet </w:t>
      </w:r>
      <w:r w:rsidRPr="00D92E20">
        <w:rPr>
          <w:i/>
        </w:rPr>
        <w:t>kalendářní</w:t>
      </w:r>
      <w:r w:rsidR="00BE43F5">
        <w:rPr>
          <w:i/>
        </w:rPr>
        <w:t>ch</w:t>
      </w:r>
      <w:r w:rsidRPr="00D92E20">
        <w:rPr>
          <w:i/>
        </w:rPr>
        <w:t xml:space="preserve"> dn</w:t>
      </w:r>
      <w:r w:rsidR="00BE43F5">
        <w:rPr>
          <w:i/>
        </w:rPr>
        <w:t>ů</w:t>
      </w:r>
      <w:r w:rsidRPr="00D92E20">
        <w:rPr>
          <w:i/>
        </w:rPr>
        <w:t xml:space="preserve"> dočasné pracovní neschopnosti / počet kalendářních dnů ve sledovaném období.</w:t>
      </w:r>
    </w:p>
    <w:p w14:paraId="5213D7D9" w14:textId="29C0A828" w:rsidR="00425CDF" w:rsidRPr="00D92E20" w:rsidRDefault="00425CDF" w:rsidP="00000A90">
      <w:pPr>
        <w:spacing w:before="120" w:after="120"/>
        <w:jc w:val="both"/>
      </w:pPr>
      <w:r w:rsidRPr="00D92E20">
        <w:t xml:space="preserve">Hodnota ukazatele </w:t>
      </w:r>
      <w:r w:rsidRPr="00D92E20">
        <w:rPr>
          <w:b/>
        </w:rPr>
        <w:t>průměrné procento dočasné pracovní neschopnosti</w:t>
      </w:r>
      <w:r w:rsidR="00A100AA">
        <w:t xml:space="preserve"> měla</w:t>
      </w:r>
      <w:r w:rsidRPr="00D92E20">
        <w:t xml:space="preserve"> od </w:t>
      </w:r>
      <w:r w:rsidR="00FF4E21">
        <w:t>1. pol. 2015</w:t>
      </w:r>
      <w:r w:rsidRPr="00D92E20">
        <w:t xml:space="preserve"> </w:t>
      </w:r>
      <w:r w:rsidR="00A100AA">
        <w:t xml:space="preserve">až do loňského roku </w:t>
      </w:r>
      <w:r w:rsidRPr="00D92E20">
        <w:t xml:space="preserve">rostoucí tendenci. Meziročně oproti </w:t>
      </w:r>
      <w:r w:rsidR="00A100AA">
        <w:t>1. pol. 2021 mírně poklesla</w:t>
      </w:r>
      <w:r w:rsidRPr="00D92E20">
        <w:t xml:space="preserve"> o 0,</w:t>
      </w:r>
      <w:r w:rsidR="00A100AA">
        <w:t>1</w:t>
      </w:r>
      <w:r w:rsidRPr="00D92E20">
        <w:t xml:space="preserve"> p. b. na </w:t>
      </w:r>
      <w:r w:rsidR="00A100AA">
        <w:t>5,9</w:t>
      </w:r>
      <w:r w:rsidRPr="00D92E20">
        <w:t xml:space="preserve"> % v</w:t>
      </w:r>
      <w:r w:rsidR="00FF4E21">
        <w:t> 1. pol. 202</w:t>
      </w:r>
      <w:r w:rsidR="00A100AA">
        <w:t>2</w:t>
      </w:r>
      <w:r w:rsidRPr="00D92E20">
        <w:t>. Ve srovnání s</w:t>
      </w:r>
      <w:r w:rsidR="00FF4E21">
        <w:t xml:space="preserve"> 1. pol. </w:t>
      </w:r>
      <w:r w:rsidRPr="00D92E20">
        <w:t xml:space="preserve">2012 </w:t>
      </w:r>
      <w:r w:rsidR="006F113C" w:rsidRPr="00D92E20">
        <w:t xml:space="preserve">průměrné procento dočasné pracovní neschopnosti </w:t>
      </w:r>
      <w:r w:rsidRPr="00D92E20">
        <w:t>vzrostl</w:t>
      </w:r>
      <w:r w:rsidR="006F113C" w:rsidRPr="00D92E20">
        <w:t>o</w:t>
      </w:r>
      <w:r w:rsidRPr="00D92E20">
        <w:t xml:space="preserve"> o 2</w:t>
      </w:r>
      <w:r w:rsidR="00A100AA">
        <w:t>,3</w:t>
      </w:r>
      <w:r w:rsidRPr="00D92E20">
        <w:t xml:space="preserve"> p. b. Podíl na růstu může mít mj. </w:t>
      </w:r>
      <w:r w:rsidR="00551C14" w:rsidRPr="00D92E20">
        <w:t xml:space="preserve">i </w:t>
      </w:r>
      <w:r w:rsidRPr="00D92E20">
        <w:t>stárnutí populace a zvyšování průměrného věku zaměstnanců (dáno vyšším věkem odchodu do důchodu</w:t>
      </w:r>
      <w:r w:rsidR="00105452">
        <w:t>,</w:t>
      </w:r>
      <w:r w:rsidRPr="00D92E20">
        <w:t xml:space="preserve"> než bylo v minulosti). Průměrné procento dočasné pracovní neschopnosti je dlouhodobě vyšší u žen</w:t>
      </w:r>
      <w:r w:rsidR="00BE43F5">
        <w:t>, u kterých</w:t>
      </w:r>
      <w:r w:rsidR="00A771D5">
        <w:t xml:space="preserve"> v 1. pol. 202</w:t>
      </w:r>
      <w:r w:rsidR="00A100AA">
        <w:t>2</w:t>
      </w:r>
      <w:r w:rsidR="00BE43F5">
        <w:t xml:space="preserve"> č</w:t>
      </w:r>
      <w:r w:rsidRPr="00D92E20">
        <w:t xml:space="preserve">inilo </w:t>
      </w:r>
      <w:r w:rsidR="006F113C" w:rsidRPr="00D92E20">
        <w:t>6</w:t>
      </w:r>
      <w:r w:rsidR="00FF4E21">
        <w:t>,4</w:t>
      </w:r>
      <w:r w:rsidRPr="00D92E20">
        <w:t xml:space="preserve"> %, zatímco pro muže 5</w:t>
      </w:r>
      <w:r w:rsidR="00FF4E21">
        <w:t>,</w:t>
      </w:r>
      <w:r w:rsidR="00A100AA">
        <w:t>4</w:t>
      </w:r>
      <w:r w:rsidRPr="00D92E20">
        <w:t xml:space="preserve"> %.</w:t>
      </w:r>
    </w:p>
    <w:p w14:paraId="37D71C20" w14:textId="77777777" w:rsidR="00350B58" w:rsidRDefault="00350B58">
      <w:pPr>
        <w:spacing w:after="0" w:line="240" w:lineRule="auto"/>
        <w:rPr>
          <w:b/>
        </w:rPr>
      </w:pPr>
      <w:r>
        <w:rPr>
          <w:b/>
        </w:rPr>
        <w:br w:type="page"/>
      </w:r>
    </w:p>
    <w:p w14:paraId="5E4C74CD" w14:textId="5B5A2DF2" w:rsidR="006F113C" w:rsidRDefault="006F113C" w:rsidP="00000A90">
      <w:pPr>
        <w:spacing w:after="0"/>
        <w:jc w:val="both"/>
        <w:rPr>
          <w:b/>
        </w:rPr>
      </w:pPr>
      <w:r w:rsidRPr="00D92E20">
        <w:rPr>
          <w:b/>
        </w:rPr>
        <w:lastRenderedPageBreak/>
        <w:t xml:space="preserve">Graf 2.13: Průměrné procento dočasné pracovní neschopnosti podle odvětví (sekce CZ-NACE), </w:t>
      </w:r>
      <w:r w:rsidR="00FF4E21">
        <w:rPr>
          <w:b/>
        </w:rPr>
        <w:br/>
      </w:r>
      <w:r w:rsidR="00A100AA">
        <w:rPr>
          <w:b/>
        </w:rPr>
        <w:t>1. pol. 2022</w:t>
      </w:r>
    </w:p>
    <w:p w14:paraId="2DA17BC6" w14:textId="2B3DFBF0" w:rsidR="00A100AA" w:rsidRPr="00D92E20" w:rsidRDefault="00A100AA" w:rsidP="00000A90">
      <w:pPr>
        <w:spacing w:after="0"/>
        <w:jc w:val="both"/>
        <w:rPr>
          <w:b/>
        </w:rPr>
      </w:pPr>
      <w:r>
        <w:rPr>
          <w:noProof/>
        </w:rPr>
        <w:drawing>
          <wp:inline distT="0" distB="0" distL="0" distR="0" wp14:anchorId="03F6FDEF" wp14:editId="3B50CA7B">
            <wp:extent cx="5881689" cy="4938714"/>
            <wp:effectExtent l="0" t="0" r="5080" b="14605"/>
            <wp:docPr id="18" name="Graf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3629B590" w14:textId="68D87EBF" w:rsidR="006F113C" w:rsidRPr="00D92E20" w:rsidRDefault="006F113C" w:rsidP="00000A90">
      <w:pPr>
        <w:pStyle w:val="Seznam"/>
        <w:jc w:val="both"/>
      </w:pPr>
      <w:r w:rsidRPr="00D92E20">
        <w:rPr>
          <w:sz w:val="16"/>
        </w:rPr>
        <w:t>Zdroj: ČSÚ</w:t>
      </w:r>
    </w:p>
    <w:p w14:paraId="6F1D9EC7" w14:textId="4C7BC448" w:rsidR="00350B58" w:rsidRDefault="006F113C" w:rsidP="006C7D54">
      <w:pPr>
        <w:spacing w:before="120" w:after="120"/>
        <w:jc w:val="both"/>
        <w:rPr>
          <w:rFonts w:cs="Arial"/>
          <w:color w:val="000000"/>
          <w:szCs w:val="16"/>
        </w:rPr>
      </w:pPr>
      <w:r w:rsidRPr="00D92E20">
        <w:rPr>
          <w:rFonts w:cs="Arial"/>
          <w:color w:val="000000"/>
          <w:szCs w:val="16"/>
        </w:rPr>
        <w:t xml:space="preserve">Nejvyšší průměrné procento dočasné pracovní neschopnosti </w:t>
      </w:r>
      <w:r w:rsidRPr="00D92E20">
        <w:rPr>
          <w:rFonts w:cs="Arial"/>
          <w:b/>
          <w:color w:val="000000"/>
          <w:szCs w:val="16"/>
        </w:rPr>
        <w:t>z hlediska odvětvové činnosti</w:t>
      </w:r>
      <w:r w:rsidRPr="00D92E20">
        <w:rPr>
          <w:rFonts w:cs="Arial"/>
          <w:color w:val="000000"/>
          <w:szCs w:val="16"/>
        </w:rPr>
        <w:t xml:space="preserve"> bylo zaznamenáno v odvětví </w:t>
      </w:r>
      <w:r w:rsidR="0001377E">
        <w:rPr>
          <w:rFonts w:cs="Arial"/>
          <w:color w:val="000000"/>
          <w:szCs w:val="16"/>
        </w:rPr>
        <w:t xml:space="preserve">Zpracovatelský průmysl </w:t>
      </w:r>
      <w:r w:rsidRPr="00D92E20">
        <w:rPr>
          <w:rFonts w:cs="Arial"/>
          <w:color w:val="000000"/>
          <w:szCs w:val="16"/>
        </w:rPr>
        <w:t>(</w:t>
      </w:r>
      <w:r w:rsidR="0001377E">
        <w:rPr>
          <w:rFonts w:cs="Arial"/>
          <w:color w:val="000000"/>
          <w:szCs w:val="16"/>
        </w:rPr>
        <w:t>7</w:t>
      </w:r>
      <w:r w:rsidR="00FF4E21">
        <w:rPr>
          <w:rFonts w:cs="Arial"/>
          <w:color w:val="000000"/>
          <w:szCs w:val="16"/>
        </w:rPr>
        <w:t>,</w:t>
      </w:r>
      <w:r w:rsidR="0001377E">
        <w:rPr>
          <w:rFonts w:cs="Arial"/>
          <w:color w:val="000000"/>
          <w:szCs w:val="16"/>
        </w:rPr>
        <w:t>6</w:t>
      </w:r>
      <w:r w:rsidRPr="00D92E20">
        <w:rPr>
          <w:rFonts w:cs="Arial"/>
          <w:color w:val="000000"/>
          <w:szCs w:val="16"/>
        </w:rPr>
        <w:t xml:space="preserve"> %)</w:t>
      </w:r>
      <w:r w:rsidR="006C7D54">
        <w:rPr>
          <w:rFonts w:cs="Arial"/>
          <w:color w:val="000000"/>
          <w:szCs w:val="16"/>
        </w:rPr>
        <w:t xml:space="preserve">. Jinými slovy, téměř </w:t>
      </w:r>
      <w:r w:rsidR="0001377E">
        <w:rPr>
          <w:rFonts w:cs="Arial"/>
          <w:color w:val="000000"/>
          <w:szCs w:val="16"/>
        </w:rPr>
        <w:t>8</w:t>
      </w:r>
      <w:r w:rsidRPr="00D92E20">
        <w:rPr>
          <w:rFonts w:cs="Arial"/>
          <w:color w:val="000000"/>
          <w:szCs w:val="16"/>
        </w:rPr>
        <w:t xml:space="preserve"> % pojištěnců pracujících v</w:t>
      </w:r>
      <w:r w:rsidR="0001377E">
        <w:rPr>
          <w:rFonts w:cs="Arial"/>
          <w:color w:val="000000"/>
          <w:szCs w:val="16"/>
        </w:rPr>
        <w:t xml:space="preserve"> této sekci </w:t>
      </w:r>
      <w:r w:rsidRPr="00D92E20">
        <w:rPr>
          <w:rFonts w:cs="Arial"/>
          <w:color w:val="000000"/>
          <w:szCs w:val="16"/>
        </w:rPr>
        <w:t>bylo denně v </w:t>
      </w:r>
      <w:r w:rsidR="00A9687B">
        <w:rPr>
          <w:rFonts w:cs="Arial"/>
          <w:color w:val="000000"/>
          <w:szCs w:val="16"/>
        </w:rPr>
        <w:t>pracovní neschopnosti. Odvětvím</w:t>
      </w:r>
      <w:r w:rsidRPr="00D92E20">
        <w:rPr>
          <w:rFonts w:cs="Arial"/>
          <w:color w:val="000000"/>
          <w:szCs w:val="16"/>
        </w:rPr>
        <w:t xml:space="preserve"> s</w:t>
      </w:r>
      <w:r w:rsidR="00BE43F5">
        <w:rPr>
          <w:rFonts w:cs="Arial"/>
          <w:color w:val="000000"/>
          <w:szCs w:val="16"/>
        </w:rPr>
        <w:t xml:space="preserve"> více než </w:t>
      </w:r>
      <w:r w:rsidRPr="00D92E20">
        <w:rPr>
          <w:rFonts w:cs="Arial"/>
          <w:color w:val="000000"/>
          <w:szCs w:val="16"/>
        </w:rPr>
        <w:t xml:space="preserve">7% podílem osob </w:t>
      </w:r>
      <w:r w:rsidR="00BE43F5">
        <w:rPr>
          <w:rFonts w:cs="Arial"/>
          <w:color w:val="000000"/>
          <w:szCs w:val="16"/>
        </w:rPr>
        <w:t xml:space="preserve">denně </w:t>
      </w:r>
      <w:r w:rsidRPr="00D92E20">
        <w:rPr>
          <w:rFonts w:cs="Arial"/>
          <w:color w:val="000000"/>
          <w:szCs w:val="16"/>
        </w:rPr>
        <w:t>dočasně práce neschopných byl</w:t>
      </w:r>
      <w:r w:rsidR="00A9687B">
        <w:rPr>
          <w:rFonts w:cs="Arial"/>
          <w:color w:val="000000"/>
          <w:szCs w:val="16"/>
        </w:rPr>
        <w:t xml:space="preserve">a </w:t>
      </w:r>
      <w:r w:rsidRPr="00D92E20">
        <w:rPr>
          <w:rFonts w:cs="Arial"/>
          <w:color w:val="000000"/>
          <w:szCs w:val="16"/>
        </w:rPr>
        <w:t>i </w:t>
      </w:r>
      <w:r w:rsidR="00A9687B">
        <w:rPr>
          <w:rFonts w:cs="Arial"/>
          <w:color w:val="000000"/>
          <w:szCs w:val="16"/>
        </w:rPr>
        <w:t>Těžba a dobývání</w:t>
      </w:r>
      <w:r w:rsidRPr="00D92E20">
        <w:rPr>
          <w:rFonts w:cs="Arial"/>
          <w:color w:val="000000"/>
          <w:szCs w:val="16"/>
        </w:rPr>
        <w:t xml:space="preserve"> (7,</w:t>
      </w:r>
      <w:r w:rsidR="00A9687B">
        <w:rPr>
          <w:rFonts w:cs="Arial"/>
          <w:color w:val="000000"/>
          <w:szCs w:val="16"/>
        </w:rPr>
        <w:t xml:space="preserve">3 %). </w:t>
      </w:r>
      <w:r w:rsidRPr="00D92E20">
        <w:rPr>
          <w:rFonts w:cs="Arial"/>
          <w:color w:val="000000"/>
          <w:szCs w:val="16"/>
        </w:rPr>
        <w:t xml:space="preserve">Naopak nejméně pracovníků </w:t>
      </w:r>
      <w:r w:rsidR="00600B22">
        <w:rPr>
          <w:rFonts w:cs="Arial"/>
          <w:color w:val="000000"/>
          <w:szCs w:val="16"/>
        </w:rPr>
        <w:t>na neschopence</w:t>
      </w:r>
      <w:r w:rsidRPr="00D92E20">
        <w:rPr>
          <w:rFonts w:cs="Arial"/>
          <w:color w:val="000000"/>
          <w:szCs w:val="16"/>
        </w:rPr>
        <w:t xml:space="preserve"> ze 100 pojištěnců bylo denně evidováno v odvětví Informa</w:t>
      </w:r>
      <w:r w:rsidR="00CD287A" w:rsidRPr="00D92E20">
        <w:rPr>
          <w:rFonts w:cs="Arial"/>
          <w:color w:val="000000"/>
          <w:szCs w:val="16"/>
        </w:rPr>
        <w:t>ční a komunikační činnosti (</w:t>
      </w:r>
      <w:r w:rsidR="006C7D54">
        <w:rPr>
          <w:rFonts w:cs="Arial"/>
          <w:color w:val="000000"/>
          <w:szCs w:val="16"/>
        </w:rPr>
        <w:t>2,0</w:t>
      </w:r>
      <w:r w:rsidRPr="00D92E20">
        <w:rPr>
          <w:rFonts w:cs="Arial"/>
          <w:color w:val="000000"/>
          <w:szCs w:val="16"/>
        </w:rPr>
        <w:t>) a Peněžnictví a</w:t>
      </w:r>
      <w:r w:rsidR="00A9687B">
        <w:rPr>
          <w:rFonts w:cs="Arial"/>
          <w:color w:val="000000"/>
          <w:szCs w:val="16"/>
        </w:rPr>
        <w:t> </w:t>
      </w:r>
      <w:r w:rsidRPr="00D92E20">
        <w:rPr>
          <w:rFonts w:cs="Arial"/>
          <w:color w:val="000000"/>
          <w:szCs w:val="16"/>
        </w:rPr>
        <w:t>pojišťovnictví (2,</w:t>
      </w:r>
      <w:r w:rsidR="00A9687B">
        <w:rPr>
          <w:rFonts w:cs="Arial"/>
          <w:color w:val="000000"/>
          <w:szCs w:val="16"/>
        </w:rPr>
        <w:t>7</w:t>
      </w:r>
      <w:r w:rsidRPr="00D92E20">
        <w:rPr>
          <w:rFonts w:cs="Arial"/>
          <w:color w:val="000000"/>
          <w:szCs w:val="16"/>
        </w:rPr>
        <w:t>). Podrobněji viz graf 2.13 a</w:t>
      </w:r>
      <w:r w:rsidR="00C02C40" w:rsidRPr="00D92E20">
        <w:rPr>
          <w:rFonts w:cs="Arial"/>
          <w:color w:val="000000"/>
          <w:szCs w:val="16"/>
        </w:rPr>
        <w:t> </w:t>
      </w:r>
      <w:r w:rsidRPr="00D92E20">
        <w:rPr>
          <w:rFonts w:cs="Arial"/>
          <w:color w:val="000000"/>
          <w:szCs w:val="16"/>
        </w:rPr>
        <w:t>tabulka</w:t>
      </w:r>
      <w:r w:rsidR="00CD287A" w:rsidRPr="00D92E20">
        <w:rPr>
          <w:rFonts w:cs="Arial"/>
          <w:color w:val="000000"/>
          <w:szCs w:val="16"/>
        </w:rPr>
        <w:t> </w:t>
      </w:r>
      <w:r w:rsidRPr="00D92E20">
        <w:rPr>
          <w:rFonts w:cs="Arial"/>
          <w:color w:val="000000"/>
          <w:szCs w:val="16"/>
        </w:rPr>
        <w:t>2.8.</w:t>
      </w:r>
    </w:p>
    <w:p w14:paraId="7262CA26" w14:textId="77777777" w:rsidR="00350B58" w:rsidRDefault="00350B58">
      <w:pPr>
        <w:spacing w:after="0" w:line="240" w:lineRule="auto"/>
        <w:rPr>
          <w:rFonts w:cs="Arial"/>
          <w:color w:val="000000"/>
          <w:szCs w:val="16"/>
        </w:rPr>
      </w:pPr>
      <w:r>
        <w:rPr>
          <w:rFonts w:cs="Arial"/>
          <w:color w:val="000000"/>
          <w:szCs w:val="16"/>
        </w:rPr>
        <w:br w:type="page"/>
      </w:r>
    </w:p>
    <w:p w14:paraId="5E612935" w14:textId="34131B54" w:rsidR="006F113C" w:rsidRPr="006C7D54" w:rsidRDefault="006F113C" w:rsidP="00000A90">
      <w:pPr>
        <w:spacing w:before="120" w:after="0"/>
        <w:jc w:val="both"/>
        <w:rPr>
          <w:rFonts w:cs="Arial"/>
          <w:b/>
          <w:color w:val="000000"/>
          <w:szCs w:val="16"/>
        </w:rPr>
      </w:pPr>
      <w:r w:rsidRPr="006C7D54">
        <w:rPr>
          <w:rFonts w:cs="Arial"/>
          <w:b/>
          <w:color w:val="000000"/>
          <w:szCs w:val="16"/>
        </w:rPr>
        <w:lastRenderedPageBreak/>
        <w:t xml:space="preserve">Tab. 2.8: Průměrné procento dočasné pracovní neschopnosti podle odvětví (sekce CZ-NACE), </w:t>
      </w:r>
      <w:r w:rsidR="006C7D54">
        <w:rPr>
          <w:rFonts w:cs="Arial"/>
          <w:b/>
          <w:color w:val="000000"/>
          <w:szCs w:val="16"/>
        </w:rPr>
        <w:br/>
      </w:r>
      <w:r w:rsidR="009F34CD" w:rsidRPr="0050059C">
        <w:rPr>
          <w:b/>
          <w:spacing w:val="-2"/>
        </w:rPr>
        <w:t>1. pol. 201</w:t>
      </w:r>
      <w:r w:rsidR="009F34CD">
        <w:rPr>
          <w:b/>
          <w:spacing w:val="-2"/>
        </w:rPr>
        <w:t>2</w:t>
      </w:r>
      <w:r w:rsidR="009F34CD" w:rsidRPr="0050059C">
        <w:rPr>
          <w:b/>
          <w:spacing w:val="-2"/>
        </w:rPr>
        <w:t xml:space="preserve"> až 1. pol. 202</w:t>
      </w:r>
      <w:r w:rsidR="009F34CD">
        <w:rPr>
          <w:b/>
          <w:spacing w:val="-2"/>
        </w:rPr>
        <w:t>2</w:t>
      </w:r>
    </w:p>
    <w:tbl>
      <w:tblPr>
        <w:tblW w:w="9663" w:type="dxa"/>
        <w:tblCellMar>
          <w:left w:w="70" w:type="dxa"/>
          <w:right w:w="70" w:type="dxa"/>
        </w:tblCellMar>
        <w:tblLook w:val="04A0" w:firstRow="1" w:lastRow="0" w:firstColumn="1" w:lastColumn="0" w:noHBand="0" w:noVBand="1"/>
      </w:tblPr>
      <w:tblGrid>
        <w:gridCol w:w="3118"/>
        <w:gridCol w:w="595"/>
        <w:gridCol w:w="595"/>
        <w:gridCol w:w="595"/>
        <w:gridCol w:w="595"/>
        <w:gridCol w:w="595"/>
        <w:gridCol w:w="595"/>
        <w:gridCol w:w="595"/>
        <w:gridCol w:w="595"/>
        <w:gridCol w:w="595"/>
        <w:gridCol w:w="595"/>
        <w:gridCol w:w="595"/>
      </w:tblGrid>
      <w:tr w:rsidR="00A9687B" w:rsidRPr="00D92E20" w14:paraId="048D215C" w14:textId="77777777" w:rsidTr="006C7D54">
        <w:trPr>
          <w:trHeight w:val="300"/>
        </w:trPr>
        <w:tc>
          <w:tcPr>
            <w:tcW w:w="3118" w:type="dxa"/>
            <w:tcBorders>
              <w:top w:val="single" w:sz="4" w:space="0" w:color="auto"/>
              <w:left w:val="nil"/>
              <w:bottom w:val="single" w:sz="4" w:space="0" w:color="auto"/>
              <w:right w:val="single" w:sz="4" w:space="0" w:color="auto"/>
            </w:tcBorders>
            <w:shd w:val="clear" w:color="000000" w:fill="F5DADD"/>
            <w:vAlign w:val="center"/>
            <w:hideMark/>
          </w:tcPr>
          <w:p w14:paraId="5076CC44" w14:textId="77777777" w:rsidR="00A9687B" w:rsidRPr="00D92E20" w:rsidRDefault="00A9687B" w:rsidP="00A9687B">
            <w:pPr>
              <w:spacing w:after="0" w:line="240" w:lineRule="auto"/>
              <w:jc w:val="center"/>
              <w:rPr>
                <w:rFonts w:cs="Arial"/>
                <w:color w:val="000000"/>
                <w:sz w:val="16"/>
                <w:szCs w:val="16"/>
              </w:rPr>
            </w:pPr>
            <w:r w:rsidRPr="00D92E20">
              <w:rPr>
                <w:rFonts w:cs="Arial"/>
                <w:color w:val="000000"/>
                <w:sz w:val="16"/>
                <w:szCs w:val="16"/>
              </w:rPr>
              <w:t>Sekce CZ-NACE</w:t>
            </w:r>
          </w:p>
        </w:tc>
        <w:tc>
          <w:tcPr>
            <w:tcW w:w="595" w:type="dxa"/>
            <w:tcBorders>
              <w:top w:val="single" w:sz="4" w:space="0" w:color="auto"/>
              <w:left w:val="nil"/>
              <w:bottom w:val="single" w:sz="4" w:space="0" w:color="auto"/>
              <w:right w:val="nil"/>
            </w:tcBorders>
            <w:shd w:val="clear" w:color="000000" w:fill="F5DADD"/>
            <w:noWrap/>
            <w:vAlign w:val="bottom"/>
            <w:hideMark/>
          </w:tcPr>
          <w:p w14:paraId="788729C3" w14:textId="0400B330" w:rsidR="00A9687B" w:rsidRPr="00D92E20" w:rsidRDefault="00A9687B" w:rsidP="00A9687B">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2012</w:t>
            </w:r>
          </w:p>
        </w:tc>
        <w:tc>
          <w:tcPr>
            <w:tcW w:w="595" w:type="dxa"/>
            <w:tcBorders>
              <w:top w:val="single" w:sz="4" w:space="0" w:color="auto"/>
              <w:left w:val="nil"/>
              <w:bottom w:val="single" w:sz="4" w:space="0" w:color="auto"/>
              <w:right w:val="nil"/>
            </w:tcBorders>
            <w:shd w:val="clear" w:color="000000" w:fill="F5DADD"/>
            <w:noWrap/>
            <w:vAlign w:val="bottom"/>
            <w:hideMark/>
          </w:tcPr>
          <w:p w14:paraId="745A0E9B" w14:textId="19D8AE7C" w:rsidR="00A9687B" w:rsidRPr="00D92E20" w:rsidRDefault="00A9687B" w:rsidP="00A9687B">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2013</w:t>
            </w:r>
          </w:p>
        </w:tc>
        <w:tc>
          <w:tcPr>
            <w:tcW w:w="595" w:type="dxa"/>
            <w:tcBorders>
              <w:top w:val="single" w:sz="4" w:space="0" w:color="auto"/>
              <w:left w:val="nil"/>
              <w:bottom w:val="single" w:sz="4" w:space="0" w:color="auto"/>
              <w:right w:val="nil"/>
            </w:tcBorders>
            <w:shd w:val="clear" w:color="000000" w:fill="F5DADD"/>
            <w:noWrap/>
            <w:vAlign w:val="bottom"/>
            <w:hideMark/>
          </w:tcPr>
          <w:p w14:paraId="3DEF3862" w14:textId="3359A319" w:rsidR="00A9687B" w:rsidRPr="00D92E20" w:rsidRDefault="00A9687B" w:rsidP="00A9687B">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2014</w:t>
            </w:r>
          </w:p>
        </w:tc>
        <w:tc>
          <w:tcPr>
            <w:tcW w:w="595" w:type="dxa"/>
            <w:tcBorders>
              <w:top w:val="single" w:sz="4" w:space="0" w:color="auto"/>
              <w:left w:val="nil"/>
              <w:bottom w:val="single" w:sz="4" w:space="0" w:color="auto"/>
              <w:right w:val="nil"/>
            </w:tcBorders>
            <w:shd w:val="clear" w:color="000000" w:fill="F5DADD"/>
            <w:noWrap/>
            <w:vAlign w:val="bottom"/>
            <w:hideMark/>
          </w:tcPr>
          <w:p w14:paraId="1D52ECFB" w14:textId="00E454E7" w:rsidR="00A9687B" w:rsidRPr="00D92E20" w:rsidRDefault="00A9687B" w:rsidP="00A9687B">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2015</w:t>
            </w:r>
          </w:p>
        </w:tc>
        <w:tc>
          <w:tcPr>
            <w:tcW w:w="595" w:type="dxa"/>
            <w:tcBorders>
              <w:top w:val="single" w:sz="4" w:space="0" w:color="auto"/>
              <w:left w:val="nil"/>
              <w:bottom w:val="single" w:sz="4" w:space="0" w:color="auto"/>
              <w:right w:val="nil"/>
            </w:tcBorders>
            <w:shd w:val="clear" w:color="000000" w:fill="F5DADD"/>
            <w:noWrap/>
            <w:vAlign w:val="bottom"/>
            <w:hideMark/>
          </w:tcPr>
          <w:p w14:paraId="115A29CF" w14:textId="749EDE36" w:rsidR="00A9687B" w:rsidRPr="00D92E20" w:rsidRDefault="00A9687B" w:rsidP="00A9687B">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2016</w:t>
            </w:r>
          </w:p>
        </w:tc>
        <w:tc>
          <w:tcPr>
            <w:tcW w:w="595" w:type="dxa"/>
            <w:tcBorders>
              <w:top w:val="single" w:sz="4" w:space="0" w:color="auto"/>
              <w:left w:val="nil"/>
              <w:bottom w:val="single" w:sz="4" w:space="0" w:color="auto"/>
              <w:right w:val="nil"/>
            </w:tcBorders>
            <w:shd w:val="clear" w:color="000000" w:fill="F5DADD"/>
            <w:noWrap/>
            <w:vAlign w:val="bottom"/>
            <w:hideMark/>
          </w:tcPr>
          <w:p w14:paraId="4B02AEC2" w14:textId="10382F29" w:rsidR="00A9687B" w:rsidRPr="00D92E20" w:rsidRDefault="00A9687B" w:rsidP="00A9687B">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2017</w:t>
            </w:r>
          </w:p>
        </w:tc>
        <w:tc>
          <w:tcPr>
            <w:tcW w:w="595" w:type="dxa"/>
            <w:tcBorders>
              <w:top w:val="single" w:sz="4" w:space="0" w:color="auto"/>
              <w:left w:val="nil"/>
              <w:bottom w:val="single" w:sz="4" w:space="0" w:color="auto"/>
              <w:right w:val="nil"/>
            </w:tcBorders>
            <w:shd w:val="clear" w:color="000000" w:fill="F5DADD"/>
            <w:noWrap/>
            <w:vAlign w:val="bottom"/>
            <w:hideMark/>
          </w:tcPr>
          <w:p w14:paraId="40F72A09" w14:textId="0485D0AE" w:rsidR="00A9687B" w:rsidRPr="00D92E20" w:rsidRDefault="00A9687B" w:rsidP="00A9687B">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2018</w:t>
            </w:r>
          </w:p>
        </w:tc>
        <w:tc>
          <w:tcPr>
            <w:tcW w:w="595" w:type="dxa"/>
            <w:tcBorders>
              <w:top w:val="single" w:sz="4" w:space="0" w:color="auto"/>
              <w:left w:val="nil"/>
              <w:bottom w:val="single" w:sz="4" w:space="0" w:color="auto"/>
              <w:right w:val="nil"/>
            </w:tcBorders>
            <w:shd w:val="clear" w:color="000000" w:fill="F5DADD"/>
            <w:noWrap/>
            <w:vAlign w:val="bottom"/>
            <w:hideMark/>
          </w:tcPr>
          <w:p w14:paraId="651461C6" w14:textId="409D96FB" w:rsidR="00A9687B" w:rsidRPr="00D92E20" w:rsidRDefault="00A9687B" w:rsidP="00A9687B">
            <w:pPr>
              <w:spacing w:after="0" w:line="240" w:lineRule="auto"/>
              <w:jc w:val="center"/>
              <w:rPr>
                <w:rFonts w:cs="Arial"/>
                <w:color w:val="000000"/>
                <w:sz w:val="16"/>
                <w:szCs w:val="16"/>
              </w:rPr>
            </w:pPr>
            <w:r>
              <w:rPr>
                <w:rFonts w:cs="Arial"/>
                <w:sz w:val="16"/>
                <w:szCs w:val="16"/>
              </w:rPr>
              <w:t>1. pol. 2019</w:t>
            </w:r>
          </w:p>
        </w:tc>
        <w:tc>
          <w:tcPr>
            <w:tcW w:w="595" w:type="dxa"/>
            <w:tcBorders>
              <w:top w:val="single" w:sz="4" w:space="0" w:color="auto"/>
              <w:left w:val="nil"/>
              <w:bottom w:val="single" w:sz="4" w:space="0" w:color="auto"/>
              <w:right w:val="nil"/>
            </w:tcBorders>
            <w:shd w:val="clear" w:color="000000" w:fill="F5DADD"/>
            <w:noWrap/>
            <w:vAlign w:val="bottom"/>
            <w:hideMark/>
          </w:tcPr>
          <w:p w14:paraId="59F7E635" w14:textId="7829917A" w:rsidR="00A9687B" w:rsidRPr="00D92E20" w:rsidRDefault="00A9687B" w:rsidP="00A9687B">
            <w:pPr>
              <w:spacing w:after="0" w:line="240" w:lineRule="auto"/>
              <w:jc w:val="center"/>
              <w:rPr>
                <w:rFonts w:cs="Arial"/>
                <w:color w:val="000000"/>
                <w:sz w:val="16"/>
                <w:szCs w:val="16"/>
              </w:rPr>
            </w:pPr>
            <w:r>
              <w:rPr>
                <w:rFonts w:cs="Arial"/>
                <w:sz w:val="16"/>
                <w:szCs w:val="16"/>
              </w:rPr>
              <w:t>1. pol. 2020</w:t>
            </w:r>
          </w:p>
        </w:tc>
        <w:tc>
          <w:tcPr>
            <w:tcW w:w="595" w:type="dxa"/>
            <w:tcBorders>
              <w:top w:val="single" w:sz="4" w:space="0" w:color="auto"/>
              <w:left w:val="nil"/>
              <w:bottom w:val="single" w:sz="4" w:space="0" w:color="auto"/>
              <w:right w:val="nil"/>
            </w:tcBorders>
            <w:shd w:val="clear" w:color="000000" w:fill="F5DADD"/>
            <w:noWrap/>
            <w:vAlign w:val="bottom"/>
            <w:hideMark/>
          </w:tcPr>
          <w:p w14:paraId="16477412" w14:textId="511A7038" w:rsidR="00A9687B" w:rsidRPr="00D92E20" w:rsidRDefault="00A9687B" w:rsidP="00A9687B">
            <w:pPr>
              <w:spacing w:after="0" w:line="240" w:lineRule="auto"/>
              <w:jc w:val="center"/>
              <w:rPr>
                <w:rFonts w:cs="Arial"/>
                <w:color w:val="000000"/>
                <w:sz w:val="16"/>
                <w:szCs w:val="16"/>
              </w:rPr>
            </w:pPr>
            <w:r>
              <w:rPr>
                <w:rFonts w:cs="Arial"/>
                <w:sz w:val="16"/>
                <w:szCs w:val="16"/>
              </w:rPr>
              <w:t>1. pol. 2021</w:t>
            </w:r>
          </w:p>
        </w:tc>
        <w:tc>
          <w:tcPr>
            <w:tcW w:w="595" w:type="dxa"/>
            <w:tcBorders>
              <w:top w:val="single" w:sz="4" w:space="0" w:color="auto"/>
              <w:left w:val="nil"/>
              <w:bottom w:val="single" w:sz="4" w:space="0" w:color="auto"/>
              <w:right w:val="nil"/>
            </w:tcBorders>
            <w:shd w:val="clear" w:color="000000" w:fill="F5DADD"/>
            <w:noWrap/>
            <w:vAlign w:val="bottom"/>
            <w:hideMark/>
          </w:tcPr>
          <w:p w14:paraId="4E3C90D5" w14:textId="5E2EB330" w:rsidR="00A9687B" w:rsidRPr="00D92E20" w:rsidRDefault="00A9687B" w:rsidP="00A9687B">
            <w:pPr>
              <w:spacing w:after="0" w:line="240" w:lineRule="auto"/>
              <w:jc w:val="center"/>
              <w:rPr>
                <w:rFonts w:cs="Arial"/>
                <w:color w:val="000000"/>
                <w:sz w:val="16"/>
                <w:szCs w:val="16"/>
              </w:rPr>
            </w:pPr>
            <w:r>
              <w:rPr>
                <w:rFonts w:cs="Arial"/>
                <w:sz w:val="16"/>
                <w:szCs w:val="16"/>
              </w:rPr>
              <w:t>1. pol. 2022</w:t>
            </w:r>
          </w:p>
        </w:tc>
      </w:tr>
      <w:tr w:rsidR="00A9687B" w:rsidRPr="00D92E20" w14:paraId="7A24A8AA"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35458211" w14:textId="77777777" w:rsidR="00A9687B" w:rsidRPr="00D92E20" w:rsidRDefault="00A9687B" w:rsidP="00A9687B">
            <w:pPr>
              <w:spacing w:after="0" w:line="240" w:lineRule="auto"/>
              <w:rPr>
                <w:rFonts w:cs="Arial"/>
                <w:b/>
                <w:bCs/>
                <w:color w:val="000000"/>
                <w:sz w:val="16"/>
                <w:szCs w:val="16"/>
              </w:rPr>
            </w:pPr>
            <w:r w:rsidRPr="00D92E20">
              <w:rPr>
                <w:rFonts w:cs="Arial"/>
                <w:b/>
                <w:bCs/>
                <w:color w:val="000000"/>
                <w:sz w:val="16"/>
                <w:szCs w:val="16"/>
              </w:rPr>
              <w:t>Celkem</w:t>
            </w:r>
          </w:p>
        </w:tc>
        <w:tc>
          <w:tcPr>
            <w:tcW w:w="595" w:type="dxa"/>
            <w:tcBorders>
              <w:top w:val="nil"/>
              <w:left w:val="nil"/>
              <w:bottom w:val="nil"/>
              <w:right w:val="nil"/>
            </w:tcBorders>
            <w:shd w:val="clear" w:color="auto" w:fill="auto"/>
            <w:noWrap/>
            <w:vAlign w:val="center"/>
            <w:hideMark/>
          </w:tcPr>
          <w:p w14:paraId="469B9021" w14:textId="6950CBBB" w:rsidR="00A9687B" w:rsidRPr="00D92E20" w:rsidRDefault="00A9687B" w:rsidP="00A9687B">
            <w:pPr>
              <w:spacing w:after="0" w:line="240" w:lineRule="auto"/>
              <w:jc w:val="center"/>
              <w:rPr>
                <w:rFonts w:cs="Arial"/>
                <w:b/>
                <w:bCs/>
                <w:color w:val="000000"/>
                <w:sz w:val="16"/>
                <w:szCs w:val="16"/>
              </w:rPr>
            </w:pPr>
            <w:r>
              <w:rPr>
                <w:rFonts w:cs="Arial"/>
                <w:b/>
                <w:bCs/>
                <w:sz w:val="16"/>
                <w:szCs w:val="16"/>
              </w:rPr>
              <w:t>3,6</w:t>
            </w:r>
          </w:p>
        </w:tc>
        <w:tc>
          <w:tcPr>
            <w:tcW w:w="595" w:type="dxa"/>
            <w:tcBorders>
              <w:top w:val="nil"/>
              <w:left w:val="nil"/>
              <w:bottom w:val="nil"/>
              <w:right w:val="nil"/>
            </w:tcBorders>
            <w:shd w:val="clear" w:color="auto" w:fill="auto"/>
            <w:noWrap/>
            <w:vAlign w:val="center"/>
            <w:hideMark/>
          </w:tcPr>
          <w:p w14:paraId="58F5268A" w14:textId="5B486018" w:rsidR="00A9687B" w:rsidRPr="00D92E20" w:rsidRDefault="00A9687B" w:rsidP="00A9687B">
            <w:pPr>
              <w:spacing w:after="0" w:line="240" w:lineRule="auto"/>
              <w:jc w:val="center"/>
              <w:rPr>
                <w:rFonts w:cs="Arial"/>
                <w:b/>
                <w:bCs/>
                <w:color w:val="000000"/>
                <w:sz w:val="16"/>
                <w:szCs w:val="16"/>
              </w:rPr>
            </w:pPr>
            <w:r>
              <w:rPr>
                <w:rFonts w:cs="Arial"/>
                <w:b/>
                <w:bCs/>
                <w:sz w:val="16"/>
                <w:szCs w:val="16"/>
              </w:rPr>
              <w:t>4,0</w:t>
            </w:r>
          </w:p>
        </w:tc>
        <w:tc>
          <w:tcPr>
            <w:tcW w:w="595" w:type="dxa"/>
            <w:tcBorders>
              <w:top w:val="nil"/>
              <w:left w:val="nil"/>
              <w:bottom w:val="nil"/>
              <w:right w:val="nil"/>
            </w:tcBorders>
            <w:shd w:val="clear" w:color="auto" w:fill="auto"/>
            <w:noWrap/>
            <w:vAlign w:val="center"/>
            <w:hideMark/>
          </w:tcPr>
          <w:p w14:paraId="4FD47331" w14:textId="1B3C8F50" w:rsidR="00A9687B" w:rsidRPr="00D92E20" w:rsidRDefault="00A9687B" w:rsidP="00A9687B">
            <w:pPr>
              <w:spacing w:after="0" w:line="240" w:lineRule="auto"/>
              <w:jc w:val="center"/>
              <w:rPr>
                <w:rFonts w:cs="Arial"/>
                <w:b/>
                <w:bCs/>
                <w:color w:val="000000"/>
                <w:sz w:val="16"/>
                <w:szCs w:val="16"/>
              </w:rPr>
            </w:pPr>
            <w:r>
              <w:rPr>
                <w:rFonts w:cs="Arial"/>
                <w:b/>
                <w:bCs/>
                <w:sz w:val="16"/>
                <w:szCs w:val="16"/>
              </w:rPr>
              <w:t>3,8</w:t>
            </w:r>
          </w:p>
        </w:tc>
        <w:tc>
          <w:tcPr>
            <w:tcW w:w="595" w:type="dxa"/>
            <w:tcBorders>
              <w:top w:val="nil"/>
              <w:left w:val="nil"/>
              <w:bottom w:val="nil"/>
              <w:right w:val="nil"/>
            </w:tcBorders>
            <w:shd w:val="clear" w:color="auto" w:fill="auto"/>
            <w:noWrap/>
            <w:vAlign w:val="center"/>
            <w:hideMark/>
          </w:tcPr>
          <w:p w14:paraId="245410B2" w14:textId="6A74DE79" w:rsidR="00A9687B" w:rsidRPr="00D92E20" w:rsidRDefault="00A9687B" w:rsidP="00A9687B">
            <w:pPr>
              <w:spacing w:after="0" w:line="240" w:lineRule="auto"/>
              <w:jc w:val="center"/>
              <w:rPr>
                <w:rFonts w:cs="Arial"/>
                <w:b/>
                <w:bCs/>
                <w:color w:val="000000"/>
                <w:sz w:val="16"/>
                <w:szCs w:val="16"/>
              </w:rPr>
            </w:pPr>
            <w:r>
              <w:rPr>
                <w:rFonts w:cs="Arial"/>
                <w:b/>
                <w:bCs/>
                <w:sz w:val="16"/>
                <w:szCs w:val="16"/>
              </w:rPr>
              <w:t>4,3</w:t>
            </w:r>
          </w:p>
        </w:tc>
        <w:tc>
          <w:tcPr>
            <w:tcW w:w="595" w:type="dxa"/>
            <w:tcBorders>
              <w:top w:val="nil"/>
              <w:left w:val="nil"/>
              <w:bottom w:val="nil"/>
              <w:right w:val="nil"/>
            </w:tcBorders>
            <w:shd w:val="clear" w:color="auto" w:fill="auto"/>
            <w:noWrap/>
            <w:vAlign w:val="center"/>
            <w:hideMark/>
          </w:tcPr>
          <w:p w14:paraId="481133BC" w14:textId="10DAC3D1" w:rsidR="00A9687B" w:rsidRPr="00D92E20" w:rsidRDefault="00A9687B" w:rsidP="00A9687B">
            <w:pPr>
              <w:spacing w:after="0" w:line="240" w:lineRule="auto"/>
              <w:jc w:val="center"/>
              <w:rPr>
                <w:rFonts w:cs="Arial"/>
                <w:b/>
                <w:bCs/>
                <w:color w:val="000000"/>
                <w:sz w:val="16"/>
                <w:szCs w:val="16"/>
              </w:rPr>
            </w:pPr>
            <w:r>
              <w:rPr>
                <w:rFonts w:cs="Arial"/>
                <w:b/>
                <w:bCs/>
                <w:color w:val="000000"/>
                <w:sz w:val="16"/>
                <w:szCs w:val="16"/>
              </w:rPr>
              <w:t>4,5</w:t>
            </w:r>
          </w:p>
        </w:tc>
        <w:tc>
          <w:tcPr>
            <w:tcW w:w="595" w:type="dxa"/>
            <w:tcBorders>
              <w:top w:val="nil"/>
              <w:left w:val="nil"/>
              <w:bottom w:val="nil"/>
              <w:right w:val="nil"/>
            </w:tcBorders>
            <w:shd w:val="clear" w:color="auto" w:fill="auto"/>
            <w:noWrap/>
            <w:vAlign w:val="center"/>
            <w:hideMark/>
          </w:tcPr>
          <w:p w14:paraId="56FAA08B" w14:textId="3D24F201" w:rsidR="00A9687B" w:rsidRPr="00D92E20" w:rsidRDefault="00A9687B" w:rsidP="00A9687B">
            <w:pPr>
              <w:spacing w:after="0" w:line="240" w:lineRule="auto"/>
              <w:jc w:val="center"/>
              <w:rPr>
                <w:rFonts w:cs="Arial"/>
                <w:b/>
                <w:bCs/>
                <w:color w:val="000000"/>
                <w:sz w:val="16"/>
                <w:szCs w:val="16"/>
              </w:rPr>
            </w:pPr>
            <w:r>
              <w:rPr>
                <w:rFonts w:cs="Arial"/>
                <w:b/>
                <w:bCs/>
                <w:color w:val="000000"/>
                <w:sz w:val="16"/>
                <w:szCs w:val="16"/>
              </w:rPr>
              <w:t>4,6</w:t>
            </w:r>
          </w:p>
        </w:tc>
        <w:tc>
          <w:tcPr>
            <w:tcW w:w="595" w:type="dxa"/>
            <w:tcBorders>
              <w:top w:val="nil"/>
              <w:left w:val="nil"/>
              <w:bottom w:val="nil"/>
              <w:right w:val="nil"/>
            </w:tcBorders>
            <w:shd w:val="clear" w:color="auto" w:fill="auto"/>
            <w:noWrap/>
            <w:vAlign w:val="center"/>
            <w:hideMark/>
          </w:tcPr>
          <w:p w14:paraId="67EDC7E4" w14:textId="33E119E8" w:rsidR="00A9687B" w:rsidRPr="00D92E20" w:rsidRDefault="00A9687B" w:rsidP="00A9687B">
            <w:pPr>
              <w:spacing w:after="0" w:line="240" w:lineRule="auto"/>
              <w:jc w:val="center"/>
              <w:rPr>
                <w:rFonts w:cs="Arial"/>
                <w:b/>
                <w:bCs/>
                <w:color w:val="000000"/>
                <w:sz w:val="16"/>
                <w:szCs w:val="16"/>
              </w:rPr>
            </w:pPr>
            <w:r>
              <w:rPr>
                <w:rFonts w:cs="Arial"/>
                <w:b/>
                <w:bCs/>
                <w:color w:val="000000"/>
                <w:sz w:val="16"/>
                <w:szCs w:val="16"/>
              </w:rPr>
              <w:t>4,8</w:t>
            </w:r>
          </w:p>
        </w:tc>
        <w:tc>
          <w:tcPr>
            <w:tcW w:w="595" w:type="dxa"/>
            <w:tcBorders>
              <w:top w:val="nil"/>
              <w:left w:val="nil"/>
              <w:bottom w:val="nil"/>
              <w:right w:val="nil"/>
            </w:tcBorders>
            <w:shd w:val="clear" w:color="auto" w:fill="auto"/>
            <w:noWrap/>
            <w:vAlign w:val="center"/>
            <w:hideMark/>
          </w:tcPr>
          <w:p w14:paraId="281A560A" w14:textId="1FB5B5EB" w:rsidR="00A9687B" w:rsidRPr="00D92E20" w:rsidRDefault="00A9687B" w:rsidP="00A9687B">
            <w:pPr>
              <w:spacing w:after="0" w:line="240" w:lineRule="auto"/>
              <w:jc w:val="center"/>
              <w:rPr>
                <w:rFonts w:cs="Arial"/>
                <w:b/>
                <w:bCs/>
                <w:color w:val="000000"/>
                <w:sz w:val="16"/>
                <w:szCs w:val="16"/>
              </w:rPr>
            </w:pPr>
            <w:r>
              <w:rPr>
                <w:rFonts w:cs="Arial"/>
                <w:b/>
                <w:bCs/>
                <w:color w:val="000000"/>
                <w:sz w:val="16"/>
                <w:szCs w:val="16"/>
              </w:rPr>
              <w:t>4,8</w:t>
            </w:r>
          </w:p>
        </w:tc>
        <w:tc>
          <w:tcPr>
            <w:tcW w:w="595" w:type="dxa"/>
            <w:tcBorders>
              <w:top w:val="nil"/>
              <w:left w:val="nil"/>
              <w:bottom w:val="nil"/>
              <w:right w:val="nil"/>
            </w:tcBorders>
            <w:shd w:val="clear" w:color="auto" w:fill="auto"/>
            <w:noWrap/>
            <w:vAlign w:val="center"/>
            <w:hideMark/>
          </w:tcPr>
          <w:p w14:paraId="156379CE" w14:textId="31805FC7" w:rsidR="00A9687B" w:rsidRPr="00D92E20" w:rsidRDefault="00A9687B" w:rsidP="00A9687B">
            <w:pPr>
              <w:spacing w:after="0" w:line="240" w:lineRule="auto"/>
              <w:jc w:val="center"/>
              <w:rPr>
                <w:rFonts w:cs="Arial"/>
                <w:b/>
                <w:bCs/>
                <w:color w:val="000000"/>
                <w:sz w:val="16"/>
                <w:szCs w:val="16"/>
              </w:rPr>
            </w:pPr>
            <w:r>
              <w:rPr>
                <w:rFonts w:cs="Arial"/>
                <w:b/>
                <w:bCs/>
                <w:color w:val="000000"/>
                <w:sz w:val="16"/>
                <w:szCs w:val="16"/>
              </w:rPr>
              <w:t>5,6</w:t>
            </w:r>
          </w:p>
        </w:tc>
        <w:tc>
          <w:tcPr>
            <w:tcW w:w="595" w:type="dxa"/>
            <w:tcBorders>
              <w:top w:val="nil"/>
              <w:left w:val="nil"/>
              <w:bottom w:val="nil"/>
              <w:right w:val="nil"/>
            </w:tcBorders>
            <w:shd w:val="clear" w:color="auto" w:fill="auto"/>
            <w:noWrap/>
            <w:vAlign w:val="center"/>
            <w:hideMark/>
          </w:tcPr>
          <w:p w14:paraId="244481D8" w14:textId="53B1C0E7" w:rsidR="00A9687B" w:rsidRPr="00D92E20" w:rsidRDefault="00A9687B" w:rsidP="00A9687B">
            <w:pPr>
              <w:spacing w:after="0" w:line="240" w:lineRule="auto"/>
              <w:jc w:val="center"/>
              <w:rPr>
                <w:rFonts w:cs="Arial"/>
                <w:b/>
                <w:bCs/>
                <w:color w:val="000000"/>
                <w:sz w:val="16"/>
                <w:szCs w:val="16"/>
              </w:rPr>
            </w:pPr>
            <w:r>
              <w:rPr>
                <w:rFonts w:cs="Arial"/>
                <w:b/>
                <w:bCs/>
                <w:color w:val="000000"/>
                <w:sz w:val="16"/>
                <w:szCs w:val="16"/>
              </w:rPr>
              <w:t>6,0</w:t>
            </w:r>
          </w:p>
        </w:tc>
        <w:tc>
          <w:tcPr>
            <w:tcW w:w="595" w:type="dxa"/>
            <w:tcBorders>
              <w:top w:val="nil"/>
              <w:left w:val="nil"/>
              <w:bottom w:val="nil"/>
              <w:right w:val="nil"/>
            </w:tcBorders>
            <w:shd w:val="clear" w:color="auto" w:fill="auto"/>
            <w:noWrap/>
            <w:vAlign w:val="center"/>
            <w:hideMark/>
          </w:tcPr>
          <w:p w14:paraId="7336032C" w14:textId="3998512F" w:rsidR="00A9687B" w:rsidRPr="00D92E20" w:rsidRDefault="00A9687B" w:rsidP="00A9687B">
            <w:pPr>
              <w:spacing w:after="0" w:line="240" w:lineRule="auto"/>
              <w:jc w:val="center"/>
              <w:rPr>
                <w:rFonts w:cs="Arial"/>
                <w:b/>
                <w:bCs/>
                <w:color w:val="000000"/>
                <w:sz w:val="16"/>
                <w:szCs w:val="16"/>
              </w:rPr>
            </w:pPr>
            <w:r>
              <w:rPr>
                <w:rFonts w:cs="Arial"/>
                <w:b/>
                <w:bCs/>
                <w:color w:val="000000"/>
                <w:sz w:val="16"/>
                <w:szCs w:val="16"/>
              </w:rPr>
              <w:t>5,9</w:t>
            </w:r>
          </w:p>
        </w:tc>
      </w:tr>
      <w:tr w:rsidR="00A9687B" w:rsidRPr="00D92E20" w14:paraId="20663403"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7CDA8D25" w14:textId="450F19BF"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A – Zemědělství, lesnictví a rybářství</w:t>
            </w:r>
          </w:p>
        </w:tc>
        <w:tc>
          <w:tcPr>
            <w:tcW w:w="595" w:type="dxa"/>
            <w:tcBorders>
              <w:top w:val="nil"/>
              <w:left w:val="nil"/>
              <w:bottom w:val="nil"/>
              <w:right w:val="nil"/>
            </w:tcBorders>
            <w:shd w:val="clear" w:color="auto" w:fill="auto"/>
            <w:noWrap/>
            <w:vAlign w:val="center"/>
            <w:hideMark/>
          </w:tcPr>
          <w:p w14:paraId="6765C5D7" w14:textId="7D1FB849" w:rsidR="00A9687B" w:rsidRPr="00D92E20" w:rsidRDefault="00A9687B" w:rsidP="00A9687B">
            <w:pPr>
              <w:spacing w:after="0" w:line="240" w:lineRule="auto"/>
              <w:jc w:val="center"/>
              <w:rPr>
                <w:rFonts w:cs="Arial"/>
                <w:color w:val="000000"/>
                <w:sz w:val="16"/>
                <w:szCs w:val="16"/>
              </w:rPr>
            </w:pPr>
            <w:r>
              <w:rPr>
                <w:rFonts w:cs="Arial"/>
                <w:sz w:val="16"/>
                <w:szCs w:val="16"/>
              </w:rPr>
              <w:t>4,5</w:t>
            </w:r>
          </w:p>
        </w:tc>
        <w:tc>
          <w:tcPr>
            <w:tcW w:w="595" w:type="dxa"/>
            <w:tcBorders>
              <w:top w:val="nil"/>
              <w:left w:val="nil"/>
              <w:bottom w:val="nil"/>
              <w:right w:val="nil"/>
            </w:tcBorders>
            <w:shd w:val="clear" w:color="auto" w:fill="auto"/>
            <w:noWrap/>
            <w:vAlign w:val="center"/>
            <w:hideMark/>
          </w:tcPr>
          <w:p w14:paraId="4663BD9E" w14:textId="6F9C4593" w:rsidR="00A9687B" w:rsidRPr="00D92E20" w:rsidRDefault="00A9687B" w:rsidP="00A9687B">
            <w:pPr>
              <w:spacing w:after="0" w:line="240" w:lineRule="auto"/>
              <w:jc w:val="center"/>
              <w:rPr>
                <w:rFonts w:cs="Arial"/>
                <w:color w:val="000000"/>
                <w:sz w:val="16"/>
                <w:szCs w:val="16"/>
              </w:rPr>
            </w:pPr>
            <w:r>
              <w:rPr>
                <w:rFonts w:cs="Arial"/>
                <w:sz w:val="16"/>
                <w:szCs w:val="16"/>
              </w:rPr>
              <w:t>5,0</w:t>
            </w:r>
          </w:p>
        </w:tc>
        <w:tc>
          <w:tcPr>
            <w:tcW w:w="595" w:type="dxa"/>
            <w:tcBorders>
              <w:top w:val="nil"/>
              <w:left w:val="nil"/>
              <w:bottom w:val="nil"/>
              <w:right w:val="nil"/>
            </w:tcBorders>
            <w:shd w:val="clear" w:color="auto" w:fill="auto"/>
            <w:noWrap/>
            <w:vAlign w:val="center"/>
            <w:hideMark/>
          </w:tcPr>
          <w:p w14:paraId="7B6E418B" w14:textId="2376FC0F" w:rsidR="00A9687B" w:rsidRPr="00D92E20" w:rsidRDefault="00A9687B" w:rsidP="00A9687B">
            <w:pPr>
              <w:spacing w:after="0" w:line="240" w:lineRule="auto"/>
              <w:jc w:val="center"/>
              <w:rPr>
                <w:rFonts w:cs="Arial"/>
                <w:color w:val="000000"/>
                <w:sz w:val="16"/>
                <w:szCs w:val="16"/>
              </w:rPr>
            </w:pPr>
            <w:r>
              <w:rPr>
                <w:rFonts w:cs="Arial"/>
                <w:sz w:val="16"/>
                <w:szCs w:val="16"/>
              </w:rPr>
              <w:t>4,8</w:t>
            </w:r>
          </w:p>
        </w:tc>
        <w:tc>
          <w:tcPr>
            <w:tcW w:w="595" w:type="dxa"/>
            <w:tcBorders>
              <w:top w:val="nil"/>
              <w:left w:val="nil"/>
              <w:bottom w:val="nil"/>
              <w:right w:val="nil"/>
            </w:tcBorders>
            <w:shd w:val="clear" w:color="auto" w:fill="auto"/>
            <w:noWrap/>
            <w:vAlign w:val="center"/>
            <w:hideMark/>
          </w:tcPr>
          <w:p w14:paraId="4FD567F5" w14:textId="5D4CACE5" w:rsidR="00A9687B" w:rsidRPr="00D92E20" w:rsidRDefault="00A9687B" w:rsidP="00A9687B">
            <w:pPr>
              <w:spacing w:after="0" w:line="240" w:lineRule="auto"/>
              <w:jc w:val="center"/>
              <w:rPr>
                <w:rFonts w:cs="Arial"/>
                <w:color w:val="000000"/>
                <w:sz w:val="16"/>
                <w:szCs w:val="16"/>
              </w:rPr>
            </w:pPr>
            <w:r>
              <w:rPr>
                <w:rFonts w:cs="Arial"/>
                <w:sz w:val="16"/>
                <w:szCs w:val="16"/>
              </w:rPr>
              <w:t>5,3</w:t>
            </w:r>
          </w:p>
        </w:tc>
        <w:tc>
          <w:tcPr>
            <w:tcW w:w="595" w:type="dxa"/>
            <w:tcBorders>
              <w:top w:val="nil"/>
              <w:left w:val="nil"/>
              <w:bottom w:val="nil"/>
              <w:right w:val="nil"/>
            </w:tcBorders>
            <w:shd w:val="clear" w:color="auto" w:fill="auto"/>
            <w:noWrap/>
            <w:vAlign w:val="center"/>
            <w:hideMark/>
          </w:tcPr>
          <w:p w14:paraId="49020296" w14:textId="2F67E58C" w:rsidR="00A9687B" w:rsidRPr="00D92E20" w:rsidRDefault="00A9687B" w:rsidP="00A9687B">
            <w:pPr>
              <w:spacing w:after="0" w:line="240" w:lineRule="auto"/>
              <w:jc w:val="center"/>
              <w:rPr>
                <w:rFonts w:cs="Arial"/>
                <w:color w:val="000000"/>
                <w:sz w:val="16"/>
                <w:szCs w:val="16"/>
              </w:rPr>
            </w:pPr>
            <w:r>
              <w:rPr>
                <w:rFonts w:cs="Arial"/>
                <w:color w:val="000000"/>
                <w:sz w:val="16"/>
                <w:szCs w:val="16"/>
              </w:rPr>
              <w:t>5,4</w:t>
            </w:r>
          </w:p>
        </w:tc>
        <w:tc>
          <w:tcPr>
            <w:tcW w:w="595" w:type="dxa"/>
            <w:tcBorders>
              <w:top w:val="nil"/>
              <w:left w:val="nil"/>
              <w:bottom w:val="nil"/>
              <w:right w:val="nil"/>
            </w:tcBorders>
            <w:shd w:val="clear" w:color="auto" w:fill="auto"/>
            <w:noWrap/>
            <w:vAlign w:val="center"/>
            <w:hideMark/>
          </w:tcPr>
          <w:p w14:paraId="6D2A1380" w14:textId="43FD90A8" w:rsidR="00A9687B" w:rsidRPr="00D92E20" w:rsidRDefault="00A9687B" w:rsidP="00A9687B">
            <w:pPr>
              <w:spacing w:after="0" w:line="240" w:lineRule="auto"/>
              <w:jc w:val="center"/>
              <w:rPr>
                <w:rFonts w:cs="Arial"/>
                <w:color w:val="000000"/>
                <w:sz w:val="16"/>
                <w:szCs w:val="16"/>
              </w:rPr>
            </w:pPr>
            <w:r>
              <w:rPr>
                <w:rFonts w:cs="Arial"/>
                <w:color w:val="000000"/>
                <w:sz w:val="16"/>
                <w:szCs w:val="16"/>
              </w:rPr>
              <w:t>5,7</w:t>
            </w:r>
          </w:p>
        </w:tc>
        <w:tc>
          <w:tcPr>
            <w:tcW w:w="595" w:type="dxa"/>
            <w:tcBorders>
              <w:top w:val="nil"/>
              <w:left w:val="nil"/>
              <w:bottom w:val="nil"/>
              <w:right w:val="nil"/>
            </w:tcBorders>
            <w:shd w:val="clear" w:color="auto" w:fill="auto"/>
            <w:noWrap/>
            <w:vAlign w:val="center"/>
            <w:hideMark/>
          </w:tcPr>
          <w:p w14:paraId="023AFBA2" w14:textId="21206802" w:rsidR="00A9687B" w:rsidRPr="00D92E20" w:rsidRDefault="00A9687B" w:rsidP="00A9687B">
            <w:pPr>
              <w:spacing w:after="0" w:line="240" w:lineRule="auto"/>
              <w:jc w:val="center"/>
              <w:rPr>
                <w:rFonts w:cs="Arial"/>
                <w:color w:val="000000"/>
                <w:sz w:val="16"/>
                <w:szCs w:val="16"/>
              </w:rPr>
            </w:pPr>
            <w:r>
              <w:rPr>
                <w:rFonts w:cs="Arial"/>
                <w:color w:val="000000"/>
                <w:sz w:val="16"/>
                <w:szCs w:val="16"/>
              </w:rPr>
              <w:t>5,8</w:t>
            </w:r>
          </w:p>
        </w:tc>
        <w:tc>
          <w:tcPr>
            <w:tcW w:w="595" w:type="dxa"/>
            <w:tcBorders>
              <w:top w:val="nil"/>
              <w:left w:val="nil"/>
              <w:bottom w:val="nil"/>
              <w:right w:val="nil"/>
            </w:tcBorders>
            <w:shd w:val="clear" w:color="auto" w:fill="auto"/>
            <w:noWrap/>
            <w:vAlign w:val="center"/>
            <w:hideMark/>
          </w:tcPr>
          <w:p w14:paraId="2BD41925" w14:textId="6457C0F1" w:rsidR="00A9687B" w:rsidRPr="00D92E20" w:rsidRDefault="00A9687B" w:rsidP="00A9687B">
            <w:pPr>
              <w:spacing w:after="0" w:line="240" w:lineRule="auto"/>
              <w:jc w:val="center"/>
              <w:rPr>
                <w:rFonts w:cs="Arial"/>
                <w:color w:val="000000"/>
                <w:sz w:val="16"/>
                <w:szCs w:val="16"/>
              </w:rPr>
            </w:pPr>
            <w:r>
              <w:rPr>
                <w:rFonts w:cs="Arial"/>
                <w:color w:val="000000"/>
                <w:sz w:val="16"/>
                <w:szCs w:val="16"/>
              </w:rPr>
              <w:t>5,8</w:t>
            </w:r>
          </w:p>
        </w:tc>
        <w:tc>
          <w:tcPr>
            <w:tcW w:w="595" w:type="dxa"/>
            <w:tcBorders>
              <w:top w:val="nil"/>
              <w:left w:val="nil"/>
              <w:bottom w:val="nil"/>
              <w:right w:val="nil"/>
            </w:tcBorders>
            <w:shd w:val="clear" w:color="auto" w:fill="auto"/>
            <w:noWrap/>
            <w:vAlign w:val="center"/>
            <w:hideMark/>
          </w:tcPr>
          <w:p w14:paraId="02D56921" w14:textId="121E4A0A" w:rsidR="00A9687B" w:rsidRPr="00D92E20" w:rsidRDefault="00A9687B" w:rsidP="00A9687B">
            <w:pPr>
              <w:spacing w:after="0" w:line="240" w:lineRule="auto"/>
              <w:jc w:val="center"/>
              <w:rPr>
                <w:rFonts w:cs="Arial"/>
                <w:color w:val="000000"/>
                <w:sz w:val="16"/>
                <w:szCs w:val="16"/>
              </w:rPr>
            </w:pPr>
            <w:r>
              <w:rPr>
                <w:rFonts w:cs="Arial"/>
                <w:color w:val="000000"/>
                <w:sz w:val="16"/>
                <w:szCs w:val="16"/>
              </w:rPr>
              <w:t>6,0</w:t>
            </w:r>
          </w:p>
        </w:tc>
        <w:tc>
          <w:tcPr>
            <w:tcW w:w="595" w:type="dxa"/>
            <w:tcBorders>
              <w:top w:val="nil"/>
              <w:left w:val="nil"/>
              <w:bottom w:val="nil"/>
              <w:right w:val="nil"/>
            </w:tcBorders>
            <w:shd w:val="clear" w:color="auto" w:fill="auto"/>
            <w:noWrap/>
            <w:vAlign w:val="center"/>
            <w:hideMark/>
          </w:tcPr>
          <w:p w14:paraId="502EC272" w14:textId="56556EEE" w:rsidR="00A9687B" w:rsidRPr="00D92E20" w:rsidRDefault="00A9687B" w:rsidP="00A9687B">
            <w:pPr>
              <w:spacing w:after="0" w:line="240" w:lineRule="auto"/>
              <w:jc w:val="center"/>
              <w:rPr>
                <w:rFonts w:cs="Arial"/>
                <w:color w:val="000000"/>
                <w:sz w:val="16"/>
                <w:szCs w:val="16"/>
              </w:rPr>
            </w:pPr>
            <w:r>
              <w:rPr>
                <w:rFonts w:cs="Arial"/>
                <w:color w:val="000000"/>
                <w:sz w:val="16"/>
                <w:szCs w:val="16"/>
              </w:rPr>
              <w:t>7,0</w:t>
            </w:r>
          </w:p>
        </w:tc>
        <w:tc>
          <w:tcPr>
            <w:tcW w:w="595" w:type="dxa"/>
            <w:tcBorders>
              <w:top w:val="nil"/>
              <w:left w:val="nil"/>
              <w:bottom w:val="nil"/>
              <w:right w:val="nil"/>
            </w:tcBorders>
            <w:shd w:val="clear" w:color="auto" w:fill="auto"/>
            <w:noWrap/>
            <w:vAlign w:val="center"/>
            <w:hideMark/>
          </w:tcPr>
          <w:p w14:paraId="2CE676BE" w14:textId="1EB61555" w:rsidR="00A9687B" w:rsidRPr="00D92E20" w:rsidRDefault="00A9687B" w:rsidP="00A9687B">
            <w:pPr>
              <w:spacing w:after="0" w:line="240" w:lineRule="auto"/>
              <w:jc w:val="center"/>
              <w:rPr>
                <w:rFonts w:cs="Arial"/>
                <w:color w:val="000000"/>
                <w:sz w:val="16"/>
                <w:szCs w:val="16"/>
              </w:rPr>
            </w:pPr>
            <w:r>
              <w:rPr>
                <w:rFonts w:cs="Arial"/>
                <w:color w:val="000000"/>
                <w:sz w:val="16"/>
                <w:szCs w:val="16"/>
              </w:rPr>
              <w:t>6,7</w:t>
            </w:r>
          </w:p>
        </w:tc>
      </w:tr>
      <w:tr w:rsidR="00A9687B" w:rsidRPr="00D92E20" w14:paraId="1113BCCA"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0BE61A87" w14:textId="77777777"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B – Těžba a dobývání</w:t>
            </w:r>
          </w:p>
        </w:tc>
        <w:tc>
          <w:tcPr>
            <w:tcW w:w="595" w:type="dxa"/>
            <w:tcBorders>
              <w:top w:val="nil"/>
              <w:left w:val="nil"/>
              <w:bottom w:val="nil"/>
              <w:right w:val="nil"/>
            </w:tcBorders>
            <w:shd w:val="clear" w:color="auto" w:fill="auto"/>
            <w:noWrap/>
            <w:vAlign w:val="center"/>
            <w:hideMark/>
          </w:tcPr>
          <w:p w14:paraId="159472CE" w14:textId="73FEAD39" w:rsidR="00A9687B" w:rsidRPr="00D92E20" w:rsidRDefault="00A9687B" w:rsidP="00A9687B">
            <w:pPr>
              <w:spacing w:after="0" w:line="240" w:lineRule="auto"/>
              <w:jc w:val="center"/>
              <w:rPr>
                <w:rFonts w:cs="Arial"/>
                <w:color w:val="000000"/>
                <w:sz w:val="16"/>
                <w:szCs w:val="16"/>
              </w:rPr>
            </w:pPr>
            <w:r>
              <w:rPr>
                <w:rFonts w:cs="Arial"/>
                <w:sz w:val="16"/>
                <w:szCs w:val="16"/>
              </w:rPr>
              <w:t>4,3</w:t>
            </w:r>
          </w:p>
        </w:tc>
        <w:tc>
          <w:tcPr>
            <w:tcW w:w="595" w:type="dxa"/>
            <w:tcBorders>
              <w:top w:val="nil"/>
              <w:left w:val="nil"/>
              <w:bottom w:val="nil"/>
              <w:right w:val="nil"/>
            </w:tcBorders>
            <w:shd w:val="clear" w:color="auto" w:fill="auto"/>
            <w:noWrap/>
            <w:vAlign w:val="center"/>
            <w:hideMark/>
          </w:tcPr>
          <w:p w14:paraId="7B05006E" w14:textId="4C95DCC6" w:rsidR="00A9687B" w:rsidRPr="00D92E20" w:rsidRDefault="00A9687B" w:rsidP="00A9687B">
            <w:pPr>
              <w:spacing w:after="0" w:line="240" w:lineRule="auto"/>
              <w:jc w:val="center"/>
              <w:rPr>
                <w:rFonts w:cs="Arial"/>
                <w:color w:val="000000"/>
                <w:sz w:val="16"/>
                <w:szCs w:val="16"/>
              </w:rPr>
            </w:pPr>
            <w:r>
              <w:rPr>
                <w:rFonts w:cs="Arial"/>
                <w:sz w:val="16"/>
                <w:szCs w:val="16"/>
              </w:rPr>
              <w:t>4,9</w:t>
            </w:r>
          </w:p>
        </w:tc>
        <w:tc>
          <w:tcPr>
            <w:tcW w:w="595" w:type="dxa"/>
            <w:tcBorders>
              <w:top w:val="nil"/>
              <w:left w:val="nil"/>
              <w:bottom w:val="nil"/>
              <w:right w:val="nil"/>
            </w:tcBorders>
            <w:shd w:val="clear" w:color="auto" w:fill="auto"/>
            <w:noWrap/>
            <w:vAlign w:val="center"/>
            <w:hideMark/>
          </w:tcPr>
          <w:p w14:paraId="09EE73A0" w14:textId="35926028" w:rsidR="00A9687B" w:rsidRPr="00D92E20" w:rsidRDefault="00A9687B" w:rsidP="00A9687B">
            <w:pPr>
              <w:spacing w:after="0" w:line="240" w:lineRule="auto"/>
              <w:jc w:val="center"/>
              <w:rPr>
                <w:rFonts w:cs="Arial"/>
                <w:color w:val="000000"/>
                <w:sz w:val="16"/>
                <w:szCs w:val="16"/>
              </w:rPr>
            </w:pPr>
            <w:r>
              <w:rPr>
                <w:rFonts w:cs="Arial"/>
                <w:sz w:val="16"/>
                <w:szCs w:val="16"/>
              </w:rPr>
              <w:t>4,8</w:t>
            </w:r>
          </w:p>
        </w:tc>
        <w:tc>
          <w:tcPr>
            <w:tcW w:w="595" w:type="dxa"/>
            <w:tcBorders>
              <w:top w:val="nil"/>
              <w:left w:val="nil"/>
              <w:bottom w:val="nil"/>
              <w:right w:val="nil"/>
            </w:tcBorders>
            <w:shd w:val="clear" w:color="auto" w:fill="auto"/>
            <w:noWrap/>
            <w:vAlign w:val="center"/>
            <w:hideMark/>
          </w:tcPr>
          <w:p w14:paraId="1BD677C0" w14:textId="7DEAC504" w:rsidR="00A9687B" w:rsidRPr="00D92E20" w:rsidRDefault="00A9687B" w:rsidP="00A9687B">
            <w:pPr>
              <w:spacing w:after="0" w:line="240" w:lineRule="auto"/>
              <w:jc w:val="center"/>
              <w:rPr>
                <w:rFonts w:cs="Arial"/>
                <w:color w:val="000000"/>
                <w:sz w:val="16"/>
                <w:szCs w:val="16"/>
              </w:rPr>
            </w:pPr>
            <w:r>
              <w:rPr>
                <w:rFonts w:cs="Arial"/>
                <w:sz w:val="16"/>
                <w:szCs w:val="16"/>
              </w:rPr>
              <w:t>5,0</w:t>
            </w:r>
          </w:p>
        </w:tc>
        <w:tc>
          <w:tcPr>
            <w:tcW w:w="595" w:type="dxa"/>
            <w:tcBorders>
              <w:top w:val="nil"/>
              <w:left w:val="nil"/>
              <w:bottom w:val="nil"/>
              <w:right w:val="nil"/>
            </w:tcBorders>
            <w:shd w:val="clear" w:color="auto" w:fill="auto"/>
            <w:noWrap/>
            <w:vAlign w:val="center"/>
            <w:hideMark/>
          </w:tcPr>
          <w:p w14:paraId="0DBCC430" w14:textId="1FB1DF6F" w:rsidR="00A9687B" w:rsidRPr="00D92E20" w:rsidRDefault="00A9687B" w:rsidP="00A9687B">
            <w:pPr>
              <w:spacing w:after="0" w:line="240" w:lineRule="auto"/>
              <w:jc w:val="center"/>
              <w:rPr>
                <w:rFonts w:cs="Arial"/>
                <w:color w:val="000000"/>
                <w:sz w:val="16"/>
                <w:szCs w:val="16"/>
              </w:rPr>
            </w:pPr>
            <w:r>
              <w:rPr>
                <w:rFonts w:cs="Arial"/>
                <w:color w:val="000000"/>
                <w:sz w:val="16"/>
                <w:szCs w:val="16"/>
              </w:rPr>
              <w:t>5,7</w:t>
            </w:r>
          </w:p>
        </w:tc>
        <w:tc>
          <w:tcPr>
            <w:tcW w:w="595" w:type="dxa"/>
            <w:tcBorders>
              <w:top w:val="nil"/>
              <w:left w:val="nil"/>
              <w:bottom w:val="nil"/>
              <w:right w:val="nil"/>
            </w:tcBorders>
            <w:shd w:val="clear" w:color="auto" w:fill="auto"/>
            <w:noWrap/>
            <w:vAlign w:val="center"/>
            <w:hideMark/>
          </w:tcPr>
          <w:p w14:paraId="1DBF2B33" w14:textId="65B696E4" w:rsidR="00A9687B" w:rsidRPr="00D92E20" w:rsidRDefault="00A9687B" w:rsidP="00A9687B">
            <w:pPr>
              <w:spacing w:after="0" w:line="240" w:lineRule="auto"/>
              <w:jc w:val="center"/>
              <w:rPr>
                <w:rFonts w:cs="Arial"/>
                <w:color w:val="000000"/>
                <w:sz w:val="16"/>
                <w:szCs w:val="16"/>
              </w:rPr>
            </w:pPr>
            <w:r>
              <w:rPr>
                <w:rFonts w:cs="Arial"/>
                <w:color w:val="000000"/>
                <w:sz w:val="16"/>
                <w:szCs w:val="16"/>
              </w:rPr>
              <w:t>6,6</w:t>
            </w:r>
          </w:p>
        </w:tc>
        <w:tc>
          <w:tcPr>
            <w:tcW w:w="595" w:type="dxa"/>
            <w:tcBorders>
              <w:top w:val="nil"/>
              <w:left w:val="nil"/>
              <w:bottom w:val="nil"/>
              <w:right w:val="nil"/>
            </w:tcBorders>
            <w:shd w:val="clear" w:color="auto" w:fill="auto"/>
            <w:noWrap/>
            <w:vAlign w:val="center"/>
            <w:hideMark/>
          </w:tcPr>
          <w:p w14:paraId="49E8FB20" w14:textId="0C9E6140" w:rsidR="00A9687B" w:rsidRPr="00D92E20" w:rsidRDefault="00A9687B" w:rsidP="00A9687B">
            <w:pPr>
              <w:spacing w:after="0" w:line="240" w:lineRule="auto"/>
              <w:jc w:val="center"/>
              <w:rPr>
                <w:rFonts w:cs="Arial"/>
                <w:color w:val="000000"/>
                <w:sz w:val="16"/>
                <w:szCs w:val="16"/>
              </w:rPr>
            </w:pPr>
            <w:r>
              <w:rPr>
                <w:rFonts w:cs="Arial"/>
                <w:color w:val="000000"/>
                <w:sz w:val="16"/>
                <w:szCs w:val="16"/>
              </w:rPr>
              <w:t>5,9</w:t>
            </w:r>
          </w:p>
        </w:tc>
        <w:tc>
          <w:tcPr>
            <w:tcW w:w="595" w:type="dxa"/>
            <w:tcBorders>
              <w:top w:val="nil"/>
              <w:left w:val="nil"/>
              <w:bottom w:val="nil"/>
              <w:right w:val="nil"/>
            </w:tcBorders>
            <w:shd w:val="clear" w:color="auto" w:fill="auto"/>
            <w:noWrap/>
            <w:vAlign w:val="center"/>
            <w:hideMark/>
          </w:tcPr>
          <w:p w14:paraId="09F6CBED" w14:textId="742C73A6" w:rsidR="00A9687B" w:rsidRPr="00D92E20" w:rsidRDefault="00A9687B" w:rsidP="00A9687B">
            <w:pPr>
              <w:spacing w:after="0" w:line="240" w:lineRule="auto"/>
              <w:jc w:val="center"/>
              <w:rPr>
                <w:rFonts w:cs="Arial"/>
                <w:color w:val="000000"/>
                <w:sz w:val="16"/>
                <w:szCs w:val="16"/>
              </w:rPr>
            </w:pPr>
            <w:r>
              <w:rPr>
                <w:rFonts w:cs="Arial"/>
                <w:color w:val="000000"/>
                <w:sz w:val="16"/>
                <w:szCs w:val="16"/>
              </w:rPr>
              <w:t>6,1</w:t>
            </w:r>
          </w:p>
        </w:tc>
        <w:tc>
          <w:tcPr>
            <w:tcW w:w="595" w:type="dxa"/>
            <w:tcBorders>
              <w:top w:val="nil"/>
              <w:left w:val="nil"/>
              <w:bottom w:val="nil"/>
              <w:right w:val="nil"/>
            </w:tcBorders>
            <w:shd w:val="clear" w:color="auto" w:fill="auto"/>
            <w:noWrap/>
            <w:vAlign w:val="center"/>
            <w:hideMark/>
          </w:tcPr>
          <w:p w14:paraId="5BF9F9A5" w14:textId="68AB7D88" w:rsidR="00A9687B" w:rsidRPr="00D92E20" w:rsidRDefault="00A9687B" w:rsidP="00A9687B">
            <w:pPr>
              <w:spacing w:after="0" w:line="240" w:lineRule="auto"/>
              <w:jc w:val="center"/>
              <w:rPr>
                <w:rFonts w:cs="Arial"/>
                <w:color w:val="000000"/>
                <w:sz w:val="16"/>
                <w:szCs w:val="16"/>
              </w:rPr>
            </w:pPr>
            <w:r>
              <w:rPr>
                <w:rFonts w:cs="Arial"/>
                <w:color w:val="000000"/>
                <w:sz w:val="16"/>
                <w:szCs w:val="16"/>
              </w:rPr>
              <w:t>7,6</w:t>
            </w:r>
          </w:p>
        </w:tc>
        <w:tc>
          <w:tcPr>
            <w:tcW w:w="595" w:type="dxa"/>
            <w:tcBorders>
              <w:top w:val="nil"/>
              <w:left w:val="nil"/>
              <w:bottom w:val="nil"/>
              <w:right w:val="nil"/>
            </w:tcBorders>
            <w:shd w:val="clear" w:color="auto" w:fill="auto"/>
            <w:noWrap/>
            <w:vAlign w:val="center"/>
            <w:hideMark/>
          </w:tcPr>
          <w:p w14:paraId="1FEB11C6" w14:textId="7345E622" w:rsidR="00A9687B" w:rsidRPr="00D92E20" w:rsidRDefault="00A9687B" w:rsidP="00A9687B">
            <w:pPr>
              <w:spacing w:after="0" w:line="240" w:lineRule="auto"/>
              <w:jc w:val="center"/>
              <w:rPr>
                <w:rFonts w:cs="Arial"/>
                <w:color w:val="000000"/>
                <w:sz w:val="16"/>
                <w:szCs w:val="16"/>
              </w:rPr>
            </w:pPr>
            <w:r>
              <w:rPr>
                <w:rFonts w:cs="Arial"/>
                <w:color w:val="000000"/>
                <w:sz w:val="16"/>
                <w:szCs w:val="16"/>
              </w:rPr>
              <w:t>8,8</w:t>
            </w:r>
          </w:p>
        </w:tc>
        <w:tc>
          <w:tcPr>
            <w:tcW w:w="595" w:type="dxa"/>
            <w:tcBorders>
              <w:top w:val="nil"/>
              <w:left w:val="nil"/>
              <w:bottom w:val="nil"/>
              <w:right w:val="nil"/>
            </w:tcBorders>
            <w:shd w:val="clear" w:color="auto" w:fill="auto"/>
            <w:noWrap/>
            <w:vAlign w:val="center"/>
            <w:hideMark/>
          </w:tcPr>
          <w:p w14:paraId="1815A2D0" w14:textId="53317295" w:rsidR="00A9687B" w:rsidRPr="00D92E20" w:rsidRDefault="00A9687B" w:rsidP="00A9687B">
            <w:pPr>
              <w:spacing w:after="0" w:line="240" w:lineRule="auto"/>
              <w:jc w:val="center"/>
              <w:rPr>
                <w:rFonts w:cs="Arial"/>
                <w:color w:val="000000"/>
                <w:sz w:val="16"/>
                <w:szCs w:val="16"/>
              </w:rPr>
            </w:pPr>
            <w:r>
              <w:rPr>
                <w:rFonts w:cs="Arial"/>
                <w:color w:val="000000"/>
                <w:sz w:val="16"/>
                <w:szCs w:val="16"/>
              </w:rPr>
              <w:t>7,3</w:t>
            </w:r>
          </w:p>
        </w:tc>
      </w:tr>
      <w:tr w:rsidR="00A9687B" w:rsidRPr="00D92E20" w14:paraId="049C815A"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3D3E3FD7" w14:textId="77777777"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C – Zpracovatelský průmysl</w:t>
            </w:r>
          </w:p>
        </w:tc>
        <w:tc>
          <w:tcPr>
            <w:tcW w:w="595" w:type="dxa"/>
            <w:tcBorders>
              <w:top w:val="nil"/>
              <w:left w:val="nil"/>
              <w:bottom w:val="nil"/>
              <w:right w:val="nil"/>
            </w:tcBorders>
            <w:shd w:val="clear" w:color="auto" w:fill="auto"/>
            <w:noWrap/>
            <w:vAlign w:val="center"/>
            <w:hideMark/>
          </w:tcPr>
          <w:p w14:paraId="1823E643" w14:textId="107E7873" w:rsidR="00A9687B" w:rsidRPr="00D92E20" w:rsidRDefault="00A9687B" w:rsidP="00A9687B">
            <w:pPr>
              <w:spacing w:after="0" w:line="240" w:lineRule="auto"/>
              <w:jc w:val="center"/>
              <w:rPr>
                <w:rFonts w:cs="Arial"/>
                <w:color w:val="000000"/>
                <w:sz w:val="16"/>
                <w:szCs w:val="16"/>
              </w:rPr>
            </w:pPr>
            <w:r>
              <w:rPr>
                <w:rFonts w:cs="Arial"/>
                <w:sz w:val="16"/>
                <w:szCs w:val="16"/>
              </w:rPr>
              <w:t>4,4</w:t>
            </w:r>
          </w:p>
        </w:tc>
        <w:tc>
          <w:tcPr>
            <w:tcW w:w="595" w:type="dxa"/>
            <w:tcBorders>
              <w:top w:val="nil"/>
              <w:left w:val="nil"/>
              <w:bottom w:val="nil"/>
              <w:right w:val="nil"/>
            </w:tcBorders>
            <w:shd w:val="clear" w:color="auto" w:fill="auto"/>
            <w:noWrap/>
            <w:vAlign w:val="center"/>
            <w:hideMark/>
          </w:tcPr>
          <w:p w14:paraId="344552EF" w14:textId="428AE0CF" w:rsidR="00A9687B" w:rsidRPr="00D92E20" w:rsidRDefault="00A9687B" w:rsidP="00A9687B">
            <w:pPr>
              <w:spacing w:after="0" w:line="240" w:lineRule="auto"/>
              <w:jc w:val="center"/>
              <w:rPr>
                <w:rFonts w:cs="Arial"/>
                <w:color w:val="000000"/>
                <w:sz w:val="16"/>
                <w:szCs w:val="16"/>
              </w:rPr>
            </w:pPr>
            <w:r>
              <w:rPr>
                <w:rFonts w:cs="Arial"/>
                <w:sz w:val="16"/>
                <w:szCs w:val="16"/>
              </w:rPr>
              <w:t>4,8</w:t>
            </w:r>
          </w:p>
        </w:tc>
        <w:tc>
          <w:tcPr>
            <w:tcW w:w="595" w:type="dxa"/>
            <w:tcBorders>
              <w:top w:val="nil"/>
              <w:left w:val="nil"/>
              <w:bottom w:val="nil"/>
              <w:right w:val="nil"/>
            </w:tcBorders>
            <w:shd w:val="clear" w:color="auto" w:fill="auto"/>
            <w:noWrap/>
            <w:vAlign w:val="center"/>
            <w:hideMark/>
          </w:tcPr>
          <w:p w14:paraId="628B764F" w14:textId="62825FD0" w:rsidR="00A9687B" w:rsidRPr="00D92E20" w:rsidRDefault="00A9687B" w:rsidP="00A9687B">
            <w:pPr>
              <w:spacing w:after="0" w:line="240" w:lineRule="auto"/>
              <w:jc w:val="center"/>
              <w:rPr>
                <w:rFonts w:cs="Arial"/>
                <w:color w:val="000000"/>
                <w:sz w:val="16"/>
                <w:szCs w:val="16"/>
              </w:rPr>
            </w:pPr>
            <w:r>
              <w:rPr>
                <w:rFonts w:cs="Arial"/>
                <w:sz w:val="16"/>
                <w:szCs w:val="16"/>
              </w:rPr>
              <w:t>4,6</w:t>
            </w:r>
          </w:p>
        </w:tc>
        <w:tc>
          <w:tcPr>
            <w:tcW w:w="595" w:type="dxa"/>
            <w:tcBorders>
              <w:top w:val="nil"/>
              <w:left w:val="nil"/>
              <w:bottom w:val="nil"/>
              <w:right w:val="nil"/>
            </w:tcBorders>
            <w:shd w:val="clear" w:color="auto" w:fill="auto"/>
            <w:noWrap/>
            <w:vAlign w:val="center"/>
            <w:hideMark/>
          </w:tcPr>
          <w:p w14:paraId="1B46AC96" w14:textId="7F7F64BF" w:rsidR="00A9687B" w:rsidRPr="00D92E20" w:rsidRDefault="00A9687B" w:rsidP="00A9687B">
            <w:pPr>
              <w:spacing w:after="0" w:line="240" w:lineRule="auto"/>
              <w:jc w:val="center"/>
              <w:rPr>
                <w:rFonts w:cs="Arial"/>
                <w:color w:val="000000"/>
                <w:sz w:val="16"/>
                <w:szCs w:val="16"/>
              </w:rPr>
            </w:pPr>
            <w:r>
              <w:rPr>
                <w:rFonts w:cs="Arial"/>
                <w:sz w:val="16"/>
                <w:szCs w:val="16"/>
              </w:rPr>
              <w:t>5,3</w:t>
            </w:r>
          </w:p>
        </w:tc>
        <w:tc>
          <w:tcPr>
            <w:tcW w:w="595" w:type="dxa"/>
            <w:tcBorders>
              <w:top w:val="nil"/>
              <w:left w:val="nil"/>
              <w:bottom w:val="nil"/>
              <w:right w:val="nil"/>
            </w:tcBorders>
            <w:shd w:val="clear" w:color="auto" w:fill="auto"/>
            <w:noWrap/>
            <w:vAlign w:val="center"/>
            <w:hideMark/>
          </w:tcPr>
          <w:p w14:paraId="0157C1F3" w14:textId="699366BD" w:rsidR="00A9687B" w:rsidRPr="00D92E20" w:rsidRDefault="00A9687B" w:rsidP="00A9687B">
            <w:pPr>
              <w:spacing w:after="0" w:line="240" w:lineRule="auto"/>
              <w:jc w:val="center"/>
              <w:rPr>
                <w:rFonts w:cs="Arial"/>
                <w:color w:val="000000"/>
                <w:sz w:val="16"/>
                <w:szCs w:val="16"/>
              </w:rPr>
            </w:pPr>
            <w:r>
              <w:rPr>
                <w:rFonts w:cs="Arial"/>
                <w:color w:val="000000"/>
                <w:sz w:val="16"/>
                <w:szCs w:val="16"/>
              </w:rPr>
              <w:t>5,7</w:t>
            </w:r>
          </w:p>
        </w:tc>
        <w:tc>
          <w:tcPr>
            <w:tcW w:w="595" w:type="dxa"/>
            <w:tcBorders>
              <w:top w:val="nil"/>
              <w:left w:val="nil"/>
              <w:bottom w:val="nil"/>
              <w:right w:val="nil"/>
            </w:tcBorders>
            <w:shd w:val="clear" w:color="auto" w:fill="auto"/>
            <w:noWrap/>
            <w:vAlign w:val="center"/>
            <w:hideMark/>
          </w:tcPr>
          <w:p w14:paraId="1EB83762" w14:textId="67CE24D9" w:rsidR="00A9687B" w:rsidRPr="00D92E20" w:rsidRDefault="00A9687B" w:rsidP="00A9687B">
            <w:pPr>
              <w:spacing w:after="0" w:line="240" w:lineRule="auto"/>
              <w:jc w:val="center"/>
              <w:rPr>
                <w:rFonts w:cs="Arial"/>
                <w:color w:val="000000"/>
                <w:sz w:val="16"/>
                <w:szCs w:val="16"/>
              </w:rPr>
            </w:pPr>
            <w:r>
              <w:rPr>
                <w:rFonts w:cs="Arial"/>
                <w:color w:val="000000"/>
                <w:sz w:val="16"/>
                <w:szCs w:val="16"/>
              </w:rPr>
              <w:t>5,9</w:t>
            </w:r>
          </w:p>
        </w:tc>
        <w:tc>
          <w:tcPr>
            <w:tcW w:w="595" w:type="dxa"/>
            <w:tcBorders>
              <w:top w:val="nil"/>
              <w:left w:val="nil"/>
              <w:bottom w:val="nil"/>
              <w:right w:val="nil"/>
            </w:tcBorders>
            <w:shd w:val="clear" w:color="auto" w:fill="auto"/>
            <w:noWrap/>
            <w:vAlign w:val="center"/>
            <w:hideMark/>
          </w:tcPr>
          <w:p w14:paraId="1C31759C" w14:textId="4953A4FC" w:rsidR="00A9687B" w:rsidRPr="00D92E20" w:rsidRDefault="00A9687B" w:rsidP="00A9687B">
            <w:pPr>
              <w:spacing w:after="0" w:line="240" w:lineRule="auto"/>
              <w:jc w:val="center"/>
              <w:rPr>
                <w:rFonts w:cs="Arial"/>
                <w:color w:val="000000"/>
                <w:sz w:val="16"/>
                <w:szCs w:val="16"/>
              </w:rPr>
            </w:pPr>
            <w:r>
              <w:rPr>
                <w:rFonts w:cs="Arial"/>
                <w:color w:val="000000"/>
                <w:sz w:val="16"/>
                <w:szCs w:val="16"/>
              </w:rPr>
              <w:t>6,1</w:t>
            </w:r>
          </w:p>
        </w:tc>
        <w:tc>
          <w:tcPr>
            <w:tcW w:w="595" w:type="dxa"/>
            <w:tcBorders>
              <w:top w:val="nil"/>
              <w:left w:val="nil"/>
              <w:bottom w:val="nil"/>
              <w:right w:val="nil"/>
            </w:tcBorders>
            <w:shd w:val="clear" w:color="auto" w:fill="auto"/>
            <w:noWrap/>
            <w:vAlign w:val="center"/>
            <w:hideMark/>
          </w:tcPr>
          <w:p w14:paraId="307999D5" w14:textId="2F9208DF" w:rsidR="00A9687B" w:rsidRPr="00D92E20" w:rsidRDefault="00A9687B" w:rsidP="00A9687B">
            <w:pPr>
              <w:spacing w:after="0" w:line="240" w:lineRule="auto"/>
              <w:jc w:val="center"/>
              <w:rPr>
                <w:rFonts w:cs="Arial"/>
                <w:color w:val="000000"/>
                <w:sz w:val="16"/>
                <w:szCs w:val="16"/>
              </w:rPr>
            </w:pPr>
            <w:r>
              <w:rPr>
                <w:rFonts w:cs="Arial"/>
                <w:color w:val="000000"/>
                <w:sz w:val="16"/>
                <w:szCs w:val="16"/>
              </w:rPr>
              <w:t>6,3</w:t>
            </w:r>
          </w:p>
        </w:tc>
        <w:tc>
          <w:tcPr>
            <w:tcW w:w="595" w:type="dxa"/>
            <w:tcBorders>
              <w:top w:val="nil"/>
              <w:left w:val="nil"/>
              <w:bottom w:val="nil"/>
              <w:right w:val="nil"/>
            </w:tcBorders>
            <w:shd w:val="clear" w:color="auto" w:fill="auto"/>
            <w:noWrap/>
            <w:vAlign w:val="center"/>
            <w:hideMark/>
          </w:tcPr>
          <w:p w14:paraId="440F4C65" w14:textId="761E0CFC" w:rsidR="00A9687B" w:rsidRPr="00D92E20" w:rsidRDefault="00A9687B" w:rsidP="00A9687B">
            <w:pPr>
              <w:spacing w:after="0" w:line="240" w:lineRule="auto"/>
              <w:jc w:val="center"/>
              <w:rPr>
                <w:rFonts w:cs="Arial"/>
                <w:color w:val="000000"/>
                <w:sz w:val="16"/>
                <w:szCs w:val="16"/>
              </w:rPr>
            </w:pPr>
            <w:r>
              <w:rPr>
                <w:rFonts w:cs="Arial"/>
                <w:color w:val="000000"/>
                <w:sz w:val="16"/>
                <w:szCs w:val="16"/>
              </w:rPr>
              <w:t>7,2</w:t>
            </w:r>
          </w:p>
        </w:tc>
        <w:tc>
          <w:tcPr>
            <w:tcW w:w="595" w:type="dxa"/>
            <w:tcBorders>
              <w:top w:val="nil"/>
              <w:left w:val="nil"/>
              <w:bottom w:val="nil"/>
              <w:right w:val="nil"/>
            </w:tcBorders>
            <w:shd w:val="clear" w:color="auto" w:fill="auto"/>
            <w:noWrap/>
            <w:vAlign w:val="center"/>
            <w:hideMark/>
          </w:tcPr>
          <w:p w14:paraId="19F28FE1" w14:textId="61DB2A4B" w:rsidR="00A9687B" w:rsidRPr="00D92E20" w:rsidRDefault="00A9687B" w:rsidP="00A9687B">
            <w:pPr>
              <w:spacing w:after="0" w:line="240" w:lineRule="auto"/>
              <w:jc w:val="center"/>
              <w:rPr>
                <w:rFonts w:cs="Arial"/>
                <w:color w:val="000000"/>
                <w:sz w:val="16"/>
                <w:szCs w:val="16"/>
              </w:rPr>
            </w:pPr>
            <w:r>
              <w:rPr>
                <w:rFonts w:cs="Arial"/>
                <w:color w:val="000000"/>
                <w:sz w:val="16"/>
                <w:szCs w:val="16"/>
              </w:rPr>
              <w:t>7,9</w:t>
            </w:r>
          </w:p>
        </w:tc>
        <w:tc>
          <w:tcPr>
            <w:tcW w:w="595" w:type="dxa"/>
            <w:tcBorders>
              <w:top w:val="nil"/>
              <w:left w:val="nil"/>
              <w:bottom w:val="nil"/>
              <w:right w:val="nil"/>
            </w:tcBorders>
            <w:shd w:val="clear" w:color="auto" w:fill="auto"/>
            <w:noWrap/>
            <w:vAlign w:val="center"/>
            <w:hideMark/>
          </w:tcPr>
          <w:p w14:paraId="098669FB" w14:textId="7F44F32E" w:rsidR="00A9687B" w:rsidRPr="00D92E20" w:rsidRDefault="00A9687B" w:rsidP="00A9687B">
            <w:pPr>
              <w:spacing w:after="0" w:line="240" w:lineRule="auto"/>
              <w:jc w:val="center"/>
              <w:rPr>
                <w:rFonts w:cs="Arial"/>
                <w:color w:val="000000"/>
                <w:sz w:val="16"/>
                <w:szCs w:val="16"/>
              </w:rPr>
            </w:pPr>
            <w:r>
              <w:rPr>
                <w:rFonts w:cs="Arial"/>
                <w:color w:val="000000"/>
                <w:sz w:val="16"/>
                <w:szCs w:val="16"/>
              </w:rPr>
              <w:t>7,6</w:t>
            </w:r>
          </w:p>
        </w:tc>
      </w:tr>
      <w:tr w:rsidR="00A9687B" w:rsidRPr="00D92E20" w14:paraId="4827B5E3" w14:textId="77777777" w:rsidTr="006C7D54">
        <w:trPr>
          <w:trHeight w:val="480"/>
        </w:trPr>
        <w:tc>
          <w:tcPr>
            <w:tcW w:w="3118" w:type="dxa"/>
            <w:tcBorders>
              <w:top w:val="nil"/>
              <w:left w:val="nil"/>
              <w:bottom w:val="nil"/>
              <w:right w:val="single" w:sz="4" w:space="0" w:color="auto"/>
            </w:tcBorders>
            <w:shd w:val="clear" w:color="auto" w:fill="auto"/>
            <w:vAlign w:val="center"/>
            <w:hideMark/>
          </w:tcPr>
          <w:p w14:paraId="7E463907" w14:textId="77777777" w:rsidR="00A9687B"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 xml:space="preserve">D – Výroba a rozvod elektřiny, </w:t>
            </w:r>
            <w:r>
              <w:rPr>
                <w:rFonts w:cs="Arial"/>
                <w:color w:val="000000"/>
                <w:sz w:val="16"/>
                <w:szCs w:val="16"/>
              </w:rPr>
              <w:t xml:space="preserve">plynu,  </w:t>
            </w:r>
          </w:p>
          <w:p w14:paraId="408A3A82" w14:textId="46351F35" w:rsidR="00A9687B" w:rsidRPr="00D92E20" w:rsidRDefault="00A9687B" w:rsidP="00A9687B">
            <w:pPr>
              <w:spacing w:after="0" w:line="240" w:lineRule="auto"/>
              <w:ind w:firstLineChars="100" w:firstLine="160"/>
              <w:rPr>
                <w:rFonts w:cs="Arial"/>
                <w:color w:val="000000"/>
                <w:sz w:val="16"/>
                <w:szCs w:val="16"/>
              </w:rPr>
            </w:pPr>
            <w:r>
              <w:rPr>
                <w:rFonts w:cs="Arial"/>
                <w:color w:val="000000"/>
                <w:sz w:val="16"/>
                <w:szCs w:val="16"/>
              </w:rPr>
              <w:t xml:space="preserve">       tepla</w:t>
            </w:r>
            <w:r w:rsidRPr="00D92E20">
              <w:rPr>
                <w:rFonts w:cs="Arial"/>
                <w:color w:val="000000"/>
                <w:sz w:val="16"/>
                <w:szCs w:val="16"/>
              </w:rPr>
              <w:t xml:space="preserve"> a klimatizovaného vzduchu</w:t>
            </w:r>
          </w:p>
        </w:tc>
        <w:tc>
          <w:tcPr>
            <w:tcW w:w="595" w:type="dxa"/>
            <w:tcBorders>
              <w:top w:val="nil"/>
              <w:left w:val="nil"/>
              <w:bottom w:val="nil"/>
              <w:right w:val="nil"/>
            </w:tcBorders>
            <w:shd w:val="clear" w:color="auto" w:fill="auto"/>
            <w:noWrap/>
            <w:vAlign w:val="center"/>
            <w:hideMark/>
          </w:tcPr>
          <w:p w14:paraId="11F36F8A" w14:textId="0372E84C" w:rsidR="00A9687B" w:rsidRPr="00D92E20" w:rsidRDefault="00A9687B" w:rsidP="00A9687B">
            <w:pPr>
              <w:spacing w:after="0" w:line="240" w:lineRule="auto"/>
              <w:jc w:val="center"/>
              <w:rPr>
                <w:rFonts w:cs="Arial"/>
                <w:color w:val="000000"/>
                <w:sz w:val="16"/>
                <w:szCs w:val="16"/>
              </w:rPr>
            </w:pPr>
            <w:r>
              <w:rPr>
                <w:rFonts w:cs="Arial"/>
                <w:sz w:val="16"/>
                <w:szCs w:val="16"/>
              </w:rPr>
              <w:t>2,2</w:t>
            </w:r>
          </w:p>
        </w:tc>
        <w:tc>
          <w:tcPr>
            <w:tcW w:w="595" w:type="dxa"/>
            <w:tcBorders>
              <w:top w:val="nil"/>
              <w:left w:val="nil"/>
              <w:bottom w:val="nil"/>
              <w:right w:val="nil"/>
            </w:tcBorders>
            <w:shd w:val="clear" w:color="auto" w:fill="auto"/>
            <w:noWrap/>
            <w:vAlign w:val="center"/>
            <w:hideMark/>
          </w:tcPr>
          <w:p w14:paraId="430AB13D" w14:textId="29C5F4A3" w:rsidR="00A9687B" w:rsidRPr="00D92E20" w:rsidRDefault="00A9687B" w:rsidP="00A9687B">
            <w:pPr>
              <w:spacing w:after="0" w:line="240" w:lineRule="auto"/>
              <w:jc w:val="center"/>
              <w:rPr>
                <w:rFonts w:cs="Arial"/>
                <w:color w:val="000000"/>
                <w:sz w:val="16"/>
                <w:szCs w:val="16"/>
              </w:rPr>
            </w:pPr>
            <w:r>
              <w:rPr>
                <w:rFonts w:cs="Arial"/>
                <w:sz w:val="16"/>
                <w:szCs w:val="16"/>
              </w:rPr>
              <w:t>2,4</w:t>
            </w:r>
          </w:p>
        </w:tc>
        <w:tc>
          <w:tcPr>
            <w:tcW w:w="595" w:type="dxa"/>
            <w:tcBorders>
              <w:top w:val="nil"/>
              <w:left w:val="nil"/>
              <w:bottom w:val="nil"/>
              <w:right w:val="nil"/>
            </w:tcBorders>
            <w:shd w:val="clear" w:color="auto" w:fill="auto"/>
            <w:noWrap/>
            <w:vAlign w:val="center"/>
            <w:hideMark/>
          </w:tcPr>
          <w:p w14:paraId="0C3E3C2B" w14:textId="7DB169E2" w:rsidR="00A9687B" w:rsidRPr="00D92E20" w:rsidRDefault="00A9687B" w:rsidP="00A9687B">
            <w:pPr>
              <w:spacing w:after="0" w:line="240" w:lineRule="auto"/>
              <w:jc w:val="center"/>
              <w:rPr>
                <w:rFonts w:cs="Arial"/>
                <w:color w:val="000000"/>
                <w:sz w:val="16"/>
                <w:szCs w:val="16"/>
              </w:rPr>
            </w:pPr>
            <w:r>
              <w:rPr>
                <w:rFonts w:cs="Arial"/>
                <w:sz w:val="16"/>
                <w:szCs w:val="16"/>
              </w:rPr>
              <w:t>2,2</w:t>
            </w:r>
          </w:p>
        </w:tc>
        <w:tc>
          <w:tcPr>
            <w:tcW w:w="595" w:type="dxa"/>
            <w:tcBorders>
              <w:top w:val="nil"/>
              <w:left w:val="nil"/>
              <w:bottom w:val="nil"/>
              <w:right w:val="nil"/>
            </w:tcBorders>
            <w:shd w:val="clear" w:color="auto" w:fill="auto"/>
            <w:noWrap/>
            <w:vAlign w:val="center"/>
            <w:hideMark/>
          </w:tcPr>
          <w:p w14:paraId="4A96EA47" w14:textId="727072AB" w:rsidR="00A9687B" w:rsidRPr="00D92E20" w:rsidRDefault="00A9687B" w:rsidP="00A9687B">
            <w:pPr>
              <w:spacing w:after="0" w:line="240" w:lineRule="auto"/>
              <w:jc w:val="center"/>
              <w:rPr>
                <w:rFonts w:cs="Arial"/>
                <w:color w:val="000000"/>
                <w:sz w:val="16"/>
                <w:szCs w:val="16"/>
              </w:rPr>
            </w:pPr>
            <w:r>
              <w:rPr>
                <w:rFonts w:cs="Arial"/>
                <w:sz w:val="16"/>
                <w:szCs w:val="16"/>
              </w:rPr>
              <w:t>2,8</w:t>
            </w:r>
          </w:p>
        </w:tc>
        <w:tc>
          <w:tcPr>
            <w:tcW w:w="595" w:type="dxa"/>
            <w:tcBorders>
              <w:top w:val="nil"/>
              <w:left w:val="nil"/>
              <w:bottom w:val="nil"/>
              <w:right w:val="nil"/>
            </w:tcBorders>
            <w:shd w:val="clear" w:color="auto" w:fill="auto"/>
            <w:noWrap/>
            <w:vAlign w:val="center"/>
            <w:hideMark/>
          </w:tcPr>
          <w:p w14:paraId="1AA68986" w14:textId="1EBF9636" w:rsidR="00A9687B" w:rsidRPr="00D92E20" w:rsidRDefault="00A9687B" w:rsidP="00A9687B">
            <w:pPr>
              <w:spacing w:after="0" w:line="240" w:lineRule="auto"/>
              <w:jc w:val="center"/>
              <w:rPr>
                <w:rFonts w:cs="Arial"/>
                <w:color w:val="000000"/>
                <w:sz w:val="16"/>
                <w:szCs w:val="16"/>
              </w:rPr>
            </w:pPr>
            <w:r>
              <w:rPr>
                <w:rFonts w:cs="Arial"/>
                <w:color w:val="000000"/>
                <w:sz w:val="16"/>
                <w:szCs w:val="16"/>
              </w:rPr>
              <w:t>2,8</w:t>
            </w:r>
          </w:p>
        </w:tc>
        <w:tc>
          <w:tcPr>
            <w:tcW w:w="595" w:type="dxa"/>
            <w:tcBorders>
              <w:top w:val="nil"/>
              <w:left w:val="nil"/>
              <w:bottom w:val="nil"/>
              <w:right w:val="nil"/>
            </w:tcBorders>
            <w:shd w:val="clear" w:color="auto" w:fill="auto"/>
            <w:noWrap/>
            <w:vAlign w:val="center"/>
            <w:hideMark/>
          </w:tcPr>
          <w:p w14:paraId="01F6AA75" w14:textId="0AC7EE6B" w:rsidR="00A9687B" w:rsidRPr="00D92E20" w:rsidRDefault="00A9687B" w:rsidP="00A9687B">
            <w:pPr>
              <w:spacing w:after="0" w:line="240" w:lineRule="auto"/>
              <w:jc w:val="center"/>
              <w:rPr>
                <w:rFonts w:cs="Arial"/>
                <w:color w:val="000000"/>
                <w:sz w:val="16"/>
                <w:szCs w:val="16"/>
              </w:rPr>
            </w:pPr>
            <w:r>
              <w:rPr>
                <w:rFonts w:cs="Arial"/>
                <w:color w:val="000000"/>
                <w:sz w:val="16"/>
                <w:szCs w:val="16"/>
              </w:rPr>
              <w:t>3,1</w:t>
            </w:r>
          </w:p>
        </w:tc>
        <w:tc>
          <w:tcPr>
            <w:tcW w:w="595" w:type="dxa"/>
            <w:tcBorders>
              <w:top w:val="nil"/>
              <w:left w:val="nil"/>
              <w:bottom w:val="nil"/>
              <w:right w:val="nil"/>
            </w:tcBorders>
            <w:shd w:val="clear" w:color="auto" w:fill="auto"/>
            <w:noWrap/>
            <w:vAlign w:val="center"/>
            <w:hideMark/>
          </w:tcPr>
          <w:p w14:paraId="6EF5F6A2" w14:textId="59CF4CC6" w:rsidR="00A9687B" w:rsidRPr="00D92E20" w:rsidRDefault="00A9687B" w:rsidP="00A9687B">
            <w:pPr>
              <w:spacing w:after="0" w:line="240" w:lineRule="auto"/>
              <w:jc w:val="center"/>
              <w:rPr>
                <w:rFonts w:cs="Arial"/>
                <w:color w:val="000000"/>
                <w:sz w:val="16"/>
                <w:szCs w:val="16"/>
              </w:rPr>
            </w:pPr>
            <w:r>
              <w:rPr>
                <w:rFonts w:cs="Arial"/>
                <w:color w:val="000000"/>
                <w:sz w:val="16"/>
                <w:szCs w:val="16"/>
              </w:rPr>
              <w:t>3,0</w:t>
            </w:r>
          </w:p>
        </w:tc>
        <w:tc>
          <w:tcPr>
            <w:tcW w:w="595" w:type="dxa"/>
            <w:tcBorders>
              <w:top w:val="nil"/>
              <w:left w:val="nil"/>
              <w:bottom w:val="nil"/>
              <w:right w:val="nil"/>
            </w:tcBorders>
            <w:shd w:val="clear" w:color="auto" w:fill="auto"/>
            <w:noWrap/>
            <w:vAlign w:val="center"/>
            <w:hideMark/>
          </w:tcPr>
          <w:p w14:paraId="6D03A487" w14:textId="0D83E55F" w:rsidR="00A9687B" w:rsidRPr="00D92E20" w:rsidRDefault="00A9687B" w:rsidP="00A9687B">
            <w:pPr>
              <w:spacing w:after="0" w:line="240" w:lineRule="auto"/>
              <w:jc w:val="center"/>
              <w:rPr>
                <w:rFonts w:cs="Arial"/>
                <w:color w:val="000000"/>
                <w:sz w:val="16"/>
                <w:szCs w:val="16"/>
              </w:rPr>
            </w:pPr>
            <w:r>
              <w:rPr>
                <w:rFonts w:cs="Arial"/>
                <w:color w:val="000000"/>
                <w:sz w:val="16"/>
                <w:szCs w:val="16"/>
              </w:rPr>
              <w:t>3,3</w:t>
            </w:r>
          </w:p>
        </w:tc>
        <w:tc>
          <w:tcPr>
            <w:tcW w:w="595" w:type="dxa"/>
            <w:tcBorders>
              <w:top w:val="nil"/>
              <w:left w:val="nil"/>
              <w:bottom w:val="nil"/>
              <w:right w:val="nil"/>
            </w:tcBorders>
            <w:shd w:val="clear" w:color="auto" w:fill="auto"/>
            <w:noWrap/>
            <w:vAlign w:val="center"/>
            <w:hideMark/>
          </w:tcPr>
          <w:p w14:paraId="3FCBD3BE" w14:textId="48FBDF44" w:rsidR="00A9687B" w:rsidRPr="00D92E20" w:rsidRDefault="00A9687B" w:rsidP="00A9687B">
            <w:pPr>
              <w:spacing w:after="0" w:line="240" w:lineRule="auto"/>
              <w:jc w:val="center"/>
              <w:rPr>
                <w:rFonts w:cs="Arial"/>
                <w:color w:val="000000"/>
                <w:sz w:val="16"/>
                <w:szCs w:val="16"/>
              </w:rPr>
            </w:pPr>
            <w:r>
              <w:rPr>
                <w:rFonts w:cs="Arial"/>
                <w:color w:val="000000"/>
                <w:sz w:val="16"/>
                <w:szCs w:val="16"/>
              </w:rPr>
              <w:t>3,2</w:t>
            </w:r>
          </w:p>
        </w:tc>
        <w:tc>
          <w:tcPr>
            <w:tcW w:w="595" w:type="dxa"/>
            <w:tcBorders>
              <w:top w:val="nil"/>
              <w:left w:val="nil"/>
              <w:bottom w:val="nil"/>
              <w:right w:val="nil"/>
            </w:tcBorders>
            <w:shd w:val="clear" w:color="auto" w:fill="auto"/>
            <w:noWrap/>
            <w:vAlign w:val="center"/>
            <w:hideMark/>
          </w:tcPr>
          <w:p w14:paraId="0986EDE1" w14:textId="030370CF" w:rsidR="00A9687B" w:rsidRPr="00D92E20" w:rsidRDefault="00A9687B" w:rsidP="00A9687B">
            <w:pPr>
              <w:spacing w:after="0" w:line="240" w:lineRule="auto"/>
              <w:jc w:val="center"/>
              <w:rPr>
                <w:rFonts w:cs="Arial"/>
                <w:color w:val="000000"/>
                <w:sz w:val="16"/>
                <w:szCs w:val="16"/>
              </w:rPr>
            </w:pPr>
            <w:r>
              <w:rPr>
                <w:rFonts w:cs="Arial"/>
                <w:color w:val="000000"/>
                <w:sz w:val="16"/>
                <w:szCs w:val="16"/>
              </w:rPr>
              <w:t>3,9</w:t>
            </w:r>
          </w:p>
        </w:tc>
        <w:tc>
          <w:tcPr>
            <w:tcW w:w="595" w:type="dxa"/>
            <w:tcBorders>
              <w:top w:val="nil"/>
              <w:left w:val="nil"/>
              <w:bottom w:val="nil"/>
              <w:right w:val="nil"/>
            </w:tcBorders>
            <w:shd w:val="clear" w:color="auto" w:fill="auto"/>
            <w:noWrap/>
            <w:vAlign w:val="center"/>
            <w:hideMark/>
          </w:tcPr>
          <w:p w14:paraId="186079A7" w14:textId="6D0C70EA" w:rsidR="00A9687B" w:rsidRPr="00D92E20" w:rsidRDefault="00A9687B" w:rsidP="00A9687B">
            <w:pPr>
              <w:spacing w:after="0" w:line="240" w:lineRule="auto"/>
              <w:jc w:val="center"/>
              <w:rPr>
                <w:rFonts w:cs="Arial"/>
                <w:color w:val="000000"/>
                <w:sz w:val="16"/>
                <w:szCs w:val="16"/>
              </w:rPr>
            </w:pPr>
            <w:r>
              <w:rPr>
                <w:rFonts w:cs="Arial"/>
                <w:color w:val="000000"/>
                <w:sz w:val="16"/>
                <w:szCs w:val="16"/>
              </w:rPr>
              <w:t>3,8</w:t>
            </w:r>
          </w:p>
        </w:tc>
      </w:tr>
      <w:tr w:rsidR="00A9687B" w:rsidRPr="00D92E20" w14:paraId="0C9189A1" w14:textId="77777777" w:rsidTr="006C7D54">
        <w:trPr>
          <w:trHeight w:val="480"/>
        </w:trPr>
        <w:tc>
          <w:tcPr>
            <w:tcW w:w="3118" w:type="dxa"/>
            <w:tcBorders>
              <w:top w:val="nil"/>
              <w:left w:val="nil"/>
              <w:bottom w:val="nil"/>
              <w:right w:val="single" w:sz="4" w:space="0" w:color="auto"/>
            </w:tcBorders>
            <w:shd w:val="clear" w:color="auto" w:fill="auto"/>
            <w:vAlign w:val="center"/>
            <w:hideMark/>
          </w:tcPr>
          <w:p w14:paraId="3679A47A" w14:textId="77777777"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 xml:space="preserve">E – Zásobování vodou; činnosti </w:t>
            </w:r>
            <w:r w:rsidRPr="00D92E20">
              <w:rPr>
                <w:rFonts w:cs="Arial"/>
                <w:color w:val="000000"/>
                <w:sz w:val="16"/>
                <w:szCs w:val="16"/>
              </w:rPr>
              <w:br/>
              <w:t xml:space="preserve">          související s odpady a sanacemi</w:t>
            </w:r>
          </w:p>
        </w:tc>
        <w:tc>
          <w:tcPr>
            <w:tcW w:w="595" w:type="dxa"/>
            <w:tcBorders>
              <w:top w:val="nil"/>
              <w:left w:val="nil"/>
              <w:bottom w:val="nil"/>
              <w:right w:val="nil"/>
            </w:tcBorders>
            <w:shd w:val="clear" w:color="auto" w:fill="auto"/>
            <w:noWrap/>
            <w:vAlign w:val="center"/>
            <w:hideMark/>
          </w:tcPr>
          <w:p w14:paraId="73A79C15" w14:textId="79997C67" w:rsidR="00A9687B" w:rsidRPr="00D92E20" w:rsidRDefault="00A9687B" w:rsidP="00A9687B">
            <w:pPr>
              <w:spacing w:after="0" w:line="240" w:lineRule="auto"/>
              <w:jc w:val="center"/>
              <w:rPr>
                <w:rFonts w:cs="Arial"/>
                <w:color w:val="000000"/>
                <w:sz w:val="16"/>
                <w:szCs w:val="16"/>
              </w:rPr>
            </w:pPr>
            <w:r>
              <w:rPr>
                <w:rFonts w:cs="Arial"/>
                <w:sz w:val="16"/>
                <w:szCs w:val="16"/>
              </w:rPr>
              <w:t>3,6</w:t>
            </w:r>
          </w:p>
        </w:tc>
        <w:tc>
          <w:tcPr>
            <w:tcW w:w="595" w:type="dxa"/>
            <w:tcBorders>
              <w:top w:val="nil"/>
              <w:left w:val="nil"/>
              <w:bottom w:val="nil"/>
              <w:right w:val="nil"/>
            </w:tcBorders>
            <w:shd w:val="clear" w:color="auto" w:fill="auto"/>
            <w:noWrap/>
            <w:vAlign w:val="center"/>
            <w:hideMark/>
          </w:tcPr>
          <w:p w14:paraId="001BC193" w14:textId="774F9F21" w:rsidR="00A9687B" w:rsidRPr="00D92E20" w:rsidRDefault="00A9687B" w:rsidP="00A9687B">
            <w:pPr>
              <w:spacing w:after="0" w:line="240" w:lineRule="auto"/>
              <w:jc w:val="center"/>
              <w:rPr>
                <w:rFonts w:cs="Arial"/>
                <w:color w:val="000000"/>
                <w:sz w:val="16"/>
                <w:szCs w:val="16"/>
              </w:rPr>
            </w:pPr>
            <w:r>
              <w:rPr>
                <w:rFonts w:cs="Arial"/>
                <w:sz w:val="16"/>
                <w:szCs w:val="16"/>
              </w:rPr>
              <w:t>3,9</w:t>
            </w:r>
          </w:p>
        </w:tc>
        <w:tc>
          <w:tcPr>
            <w:tcW w:w="595" w:type="dxa"/>
            <w:tcBorders>
              <w:top w:val="nil"/>
              <w:left w:val="nil"/>
              <w:bottom w:val="nil"/>
              <w:right w:val="nil"/>
            </w:tcBorders>
            <w:shd w:val="clear" w:color="auto" w:fill="auto"/>
            <w:noWrap/>
            <w:vAlign w:val="center"/>
            <w:hideMark/>
          </w:tcPr>
          <w:p w14:paraId="43DDE644" w14:textId="2FA89EEE" w:rsidR="00A9687B" w:rsidRPr="00D92E20" w:rsidRDefault="00A9687B" w:rsidP="00A9687B">
            <w:pPr>
              <w:spacing w:after="0" w:line="240" w:lineRule="auto"/>
              <w:jc w:val="center"/>
              <w:rPr>
                <w:rFonts w:cs="Arial"/>
                <w:color w:val="000000"/>
                <w:sz w:val="16"/>
                <w:szCs w:val="16"/>
              </w:rPr>
            </w:pPr>
            <w:r>
              <w:rPr>
                <w:rFonts w:cs="Arial"/>
                <w:sz w:val="16"/>
                <w:szCs w:val="16"/>
              </w:rPr>
              <w:t>4,0</w:t>
            </w:r>
          </w:p>
        </w:tc>
        <w:tc>
          <w:tcPr>
            <w:tcW w:w="595" w:type="dxa"/>
            <w:tcBorders>
              <w:top w:val="nil"/>
              <w:left w:val="nil"/>
              <w:bottom w:val="nil"/>
              <w:right w:val="nil"/>
            </w:tcBorders>
            <w:shd w:val="clear" w:color="auto" w:fill="auto"/>
            <w:noWrap/>
            <w:vAlign w:val="center"/>
            <w:hideMark/>
          </w:tcPr>
          <w:p w14:paraId="32D78B95" w14:textId="74D9B180" w:rsidR="00A9687B" w:rsidRPr="00D92E20" w:rsidRDefault="00A9687B" w:rsidP="00A9687B">
            <w:pPr>
              <w:spacing w:after="0" w:line="240" w:lineRule="auto"/>
              <w:jc w:val="center"/>
              <w:rPr>
                <w:rFonts w:cs="Arial"/>
                <w:color w:val="000000"/>
                <w:sz w:val="16"/>
                <w:szCs w:val="16"/>
              </w:rPr>
            </w:pPr>
            <w:r>
              <w:rPr>
                <w:rFonts w:cs="Arial"/>
                <w:sz w:val="16"/>
                <w:szCs w:val="16"/>
              </w:rPr>
              <w:t>4,5</w:t>
            </w:r>
          </w:p>
        </w:tc>
        <w:tc>
          <w:tcPr>
            <w:tcW w:w="595" w:type="dxa"/>
            <w:tcBorders>
              <w:top w:val="nil"/>
              <w:left w:val="nil"/>
              <w:bottom w:val="nil"/>
              <w:right w:val="nil"/>
            </w:tcBorders>
            <w:shd w:val="clear" w:color="auto" w:fill="auto"/>
            <w:noWrap/>
            <w:vAlign w:val="center"/>
            <w:hideMark/>
          </w:tcPr>
          <w:p w14:paraId="1212A2EE" w14:textId="42A735BE" w:rsidR="00A9687B" w:rsidRPr="00D92E20" w:rsidRDefault="00A9687B" w:rsidP="00A9687B">
            <w:pPr>
              <w:spacing w:after="0" w:line="240" w:lineRule="auto"/>
              <w:jc w:val="center"/>
              <w:rPr>
                <w:rFonts w:cs="Arial"/>
                <w:color w:val="000000"/>
                <w:sz w:val="16"/>
                <w:szCs w:val="16"/>
              </w:rPr>
            </w:pPr>
            <w:r>
              <w:rPr>
                <w:rFonts w:cs="Arial"/>
                <w:color w:val="000000"/>
                <w:sz w:val="16"/>
                <w:szCs w:val="16"/>
              </w:rPr>
              <w:t>4,6</w:t>
            </w:r>
          </w:p>
        </w:tc>
        <w:tc>
          <w:tcPr>
            <w:tcW w:w="595" w:type="dxa"/>
            <w:tcBorders>
              <w:top w:val="nil"/>
              <w:left w:val="nil"/>
              <w:bottom w:val="nil"/>
              <w:right w:val="nil"/>
            </w:tcBorders>
            <w:shd w:val="clear" w:color="auto" w:fill="auto"/>
            <w:noWrap/>
            <w:vAlign w:val="center"/>
            <w:hideMark/>
          </w:tcPr>
          <w:p w14:paraId="70014918" w14:textId="6B0056E6" w:rsidR="00A9687B" w:rsidRPr="00D92E20" w:rsidRDefault="00A9687B" w:rsidP="00A9687B">
            <w:pPr>
              <w:spacing w:after="0" w:line="240" w:lineRule="auto"/>
              <w:jc w:val="center"/>
              <w:rPr>
                <w:rFonts w:cs="Arial"/>
                <w:color w:val="000000"/>
                <w:sz w:val="16"/>
                <w:szCs w:val="16"/>
              </w:rPr>
            </w:pPr>
            <w:r>
              <w:rPr>
                <w:rFonts w:cs="Arial"/>
                <w:color w:val="000000"/>
                <w:sz w:val="16"/>
                <w:szCs w:val="16"/>
              </w:rPr>
              <w:t>5,0</w:t>
            </w:r>
          </w:p>
        </w:tc>
        <w:tc>
          <w:tcPr>
            <w:tcW w:w="595" w:type="dxa"/>
            <w:tcBorders>
              <w:top w:val="nil"/>
              <w:left w:val="nil"/>
              <w:bottom w:val="nil"/>
              <w:right w:val="nil"/>
            </w:tcBorders>
            <w:shd w:val="clear" w:color="auto" w:fill="auto"/>
            <w:noWrap/>
            <w:vAlign w:val="center"/>
            <w:hideMark/>
          </w:tcPr>
          <w:p w14:paraId="7C5E063E" w14:textId="711364FB" w:rsidR="00A9687B" w:rsidRPr="00D92E20" w:rsidRDefault="00A9687B" w:rsidP="00A9687B">
            <w:pPr>
              <w:spacing w:after="0" w:line="240" w:lineRule="auto"/>
              <w:jc w:val="center"/>
              <w:rPr>
                <w:rFonts w:cs="Arial"/>
                <w:color w:val="000000"/>
                <w:sz w:val="16"/>
                <w:szCs w:val="16"/>
              </w:rPr>
            </w:pPr>
            <w:r>
              <w:rPr>
                <w:rFonts w:cs="Arial"/>
                <w:color w:val="000000"/>
                <w:sz w:val="16"/>
                <w:szCs w:val="16"/>
              </w:rPr>
              <w:t>5,2</w:t>
            </w:r>
          </w:p>
        </w:tc>
        <w:tc>
          <w:tcPr>
            <w:tcW w:w="595" w:type="dxa"/>
            <w:tcBorders>
              <w:top w:val="nil"/>
              <w:left w:val="nil"/>
              <w:bottom w:val="nil"/>
              <w:right w:val="nil"/>
            </w:tcBorders>
            <w:shd w:val="clear" w:color="auto" w:fill="auto"/>
            <w:noWrap/>
            <w:vAlign w:val="center"/>
            <w:hideMark/>
          </w:tcPr>
          <w:p w14:paraId="3E226159" w14:textId="32F46AA5" w:rsidR="00A9687B" w:rsidRPr="00D92E20" w:rsidRDefault="00A9687B" w:rsidP="00A9687B">
            <w:pPr>
              <w:spacing w:after="0" w:line="240" w:lineRule="auto"/>
              <w:jc w:val="center"/>
              <w:rPr>
                <w:rFonts w:cs="Arial"/>
                <w:color w:val="000000"/>
                <w:sz w:val="16"/>
                <w:szCs w:val="16"/>
              </w:rPr>
            </w:pPr>
            <w:r>
              <w:rPr>
                <w:rFonts w:cs="Arial"/>
                <w:color w:val="000000"/>
                <w:sz w:val="16"/>
                <w:szCs w:val="16"/>
              </w:rPr>
              <w:t>5,4</w:t>
            </w:r>
          </w:p>
        </w:tc>
        <w:tc>
          <w:tcPr>
            <w:tcW w:w="595" w:type="dxa"/>
            <w:tcBorders>
              <w:top w:val="nil"/>
              <w:left w:val="nil"/>
              <w:bottom w:val="nil"/>
              <w:right w:val="nil"/>
            </w:tcBorders>
            <w:shd w:val="clear" w:color="auto" w:fill="auto"/>
            <w:noWrap/>
            <w:vAlign w:val="center"/>
            <w:hideMark/>
          </w:tcPr>
          <w:p w14:paraId="47FD71AB" w14:textId="12F52C0D" w:rsidR="00A9687B" w:rsidRPr="00D92E20" w:rsidRDefault="00A9687B" w:rsidP="00A9687B">
            <w:pPr>
              <w:spacing w:after="0" w:line="240" w:lineRule="auto"/>
              <w:jc w:val="center"/>
              <w:rPr>
                <w:rFonts w:cs="Arial"/>
                <w:color w:val="000000"/>
                <w:sz w:val="16"/>
                <w:szCs w:val="16"/>
              </w:rPr>
            </w:pPr>
            <w:r>
              <w:rPr>
                <w:rFonts w:cs="Arial"/>
                <w:color w:val="000000"/>
                <w:sz w:val="16"/>
                <w:szCs w:val="16"/>
              </w:rPr>
              <w:t>5,9</w:t>
            </w:r>
          </w:p>
        </w:tc>
        <w:tc>
          <w:tcPr>
            <w:tcW w:w="595" w:type="dxa"/>
            <w:tcBorders>
              <w:top w:val="nil"/>
              <w:left w:val="nil"/>
              <w:bottom w:val="nil"/>
              <w:right w:val="nil"/>
            </w:tcBorders>
            <w:shd w:val="clear" w:color="auto" w:fill="auto"/>
            <w:noWrap/>
            <w:vAlign w:val="center"/>
            <w:hideMark/>
          </w:tcPr>
          <w:p w14:paraId="60FE7AE5" w14:textId="54FAA535" w:rsidR="00A9687B" w:rsidRPr="00D92E20" w:rsidRDefault="00A9687B" w:rsidP="00A9687B">
            <w:pPr>
              <w:spacing w:after="0" w:line="240" w:lineRule="auto"/>
              <w:jc w:val="center"/>
              <w:rPr>
                <w:rFonts w:cs="Arial"/>
                <w:color w:val="000000"/>
                <w:sz w:val="16"/>
                <w:szCs w:val="16"/>
              </w:rPr>
            </w:pPr>
            <w:r>
              <w:rPr>
                <w:rFonts w:cs="Arial"/>
                <w:color w:val="000000"/>
                <w:sz w:val="16"/>
                <w:szCs w:val="16"/>
              </w:rPr>
              <w:t>7,0</w:t>
            </w:r>
          </w:p>
        </w:tc>
        <w:tc>
          <w:tcPr>
            <w:tcW w:w="595" w:type="dxa"/>
            <w:tcBorders>
              <w:top w:val="nil"/>
              <w:left w:val="nil"/>
              <w:bottom w:val="nil"/>
              <w:right w:val="nil"/>
            </w:tcBorders>
            <w:shd w:val="clear" w:color="auto" w:fill="auto"/>
            <w:noWrap/>
            <w:vAlign w:val="center"/>
            <w:hideMark/>
          </w:tcPr>
          <w:p w14:paraId="1DBD91DD" w14:textId="668ADFD4" w:rsidR="00A9687B" w:rsidRPr="00D92E20" w:rsidRDefault="00A9687B" w:rsidP="00A9687B">
            <w:pPr>
              <w:spacing w:after="0" w:line="240" w:lineRule="auto"/>
              <w:jc w:val="center"/>
              <w:rPr>
                <w:rFonts w:cs="Arial"/>
                <w:color w:val="000000"/>
                <w:sz w:val="16"/>
                <w:szCs w:val="16"/>
              </w:rPr>
            </w:pPr>
            <w:r>
              <w:rPr>
                <w:rFonts w:cs="Arial"/>
                <w:color w:val="000000"/>
                <w:sz w:val="16"/>
                <w:szCs w:val="16"/>
              </w:rPr>
              <w:t>6,7</w:t>
            </w:r>
          </w:p>
        </w:tc>
      </w:tr>
      <w:tr w:rsidR="00A9687B" w:rsidRPr="00D92E20" w14:paraId="4F69138B"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46599DC2" w14:textId="77777777"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F – Stavebnictví</w:t>
            </w:r>
          </w:p>
        </w:tc>
        <w:tc>
          <w:tcPr>
            <w:tcW w:w="595" w:type="dxa"/>
            <w:tcBorders>
              <w:top w:val="nil"/>
              <w:left w:val="nil"/>
              <w:bottom w:val="nil"/>
              <w:right w:val="nil"/>
            </w:tcBorders>
            <w:shd w:val="clear" w:color="auto" w:fill="auto"/>
            <w:noWrap/>
            <w:vAlign w:val="center"/>
            <w:hideMark/>
          </w:tcPr>
          <w:p w14:paraId="7706051F" w14:textId="0948C945" w:rsidR="00A9687B" w:rsidRPr="00D92E20" w:rsidRDefault="00A9687B" w:rsidP="00A9687B">
            <w:pPr>
              <w:spacing w:after="0" w:line="240" w:lineRule="auto"/>
              <w:jc w:val="center"/>
              <w:rPr>
                <w:rFonts w:cs="Arial"/>
                <w:color w:val="000000"/>
                <w:sz w:val="16"/>
                <w:szCs w:val="16"/>
              </w:rPr>
            </w:pPr>
            <w:r>
              <w:rPr>
                <w:rFonts w:cs="Arial"/>
                <w:sz w:val="16"/>
                <w:szCs w:val="16"/>
              </w:rPr>
              <w:t>4,8</w:t>
            </w:r>
          </w:p>
        </w:tc>
        <w:tc>
          <w:tcPr>
            <w:tcW w:w="595" w:type="dxa"/>
            <w:tcBorders>
              <w:top w:val="nil"/>
              <w:left w:val="nil"/>
              <w:bottom w:val="nil"/>
              <w:right w:val="nil"/>
            </w:tcBorders>
            <w:shd w:val="clear" w:color="auto" w:fill="auto"/>
            <w:noWrap/>
            <w:vAlign w:val="center"/>
            <w:hideMark/>
          </w:tcPr>
          <w:p w14:paraId="3CFF7ACF" w14:textId="5D7582EC" w:rsidR="00A9687B" w:rsidRPr="00D92E20" w:rsidRDefault="00A9687B" w:rsidP="00A9687B">
            <w:pPr>
              <w:spacing w:after="0" w:line="240" w:lineRule="auto"/>
              <w:jc w:val="center"/>
              <w:rPr>
                <w:rFonts w:cs="Arial"/>
                <w:color w:val="000000"/>
                <w:sz w:val="16"/>
                <w:szCs w:val="16"/>
              </w:rPr>
            </w:pPr>
            <w:r>
              <w:rPr>
                <w:rFonts w:cs="Arial"/>
                <w:sz w:val="16"/>
                <w:szCs w:val="16"/>
              </w:rPr>
              <w:t>5,4</w:t>
            </w:r>
          </w:p>
        </w:tc>
        <w:tc>
          <w:tcPr>
            <w:tcW w:w="595" w:type="dxa"/>
            <w:tcBorders>
              <w:top w:val="nil"/>
              <w:left w:val="nil"/>
              <w:bottom w:val="nil"/>
              <w:right w:val="nil"/>
            </w:tcBorders>
            <w:shd w:val="clear" w:color="auto" w:fill="auto"/>
            <w:noWrap/>
            <w:vAlign w:val="center"/>
            <w:hideMark/>
          </w:tcPr>
          <w:p w14:paraId="30173D7A" w14:textId="46FF0431" w:rsidR="00A9687B" w:rsidRPr="00D92E20" w:rsidRDefault="00A9687B" w:rsidP="00A9687B">
            <w:pPr>
              <w:spacing w:after="0" w:line="240" w:lineRule="auto"/>
              <w:jc w:val="center"/>
              <w:rPr>
                <w:rFonts w:cs="Arial"/>
                <w:color w:val="000000"/>
                <w:sz w:val="16"/>
                <w:szCs w:val="16"/>
              </w:rPr>
            </w:pPr>
            <w:r>
              <w:rPr>
                <w:rFonts w:cs="Arial"/>
                <w:sz w:val="16"/>
                <w:szCs w:val="16"/>
              </w:rPr>
              <w:t>4,9</w:t>
            </w:r>
          </w:p>
        </w:tc>
        <w:tc>
          <w:tcPr>
            <w:tcW w:w="595" w:type="dxa"/>
            <w:tcBorders>
              <w:top w:val="nil"/>
              <w:left w:val="nil"/>
              <w:bottom w:val="nil"/>
              <w:right w:val="nil"/>
            </w:tcBorders>
            <w:shd w:val="clear" w:color="auto" w:fill="auto"/>
            <w:noWrap/>
            <w:vAlign w:val="center"/>
            <w:hideMark/>
          </w:tcPr>
          <w:p w14:paraId="069E48D7" w14:textId="70096EFB" w:rsidR="00A9687B" w:rsidRPr="00D92E20" w:rsidRDefault="00A9687B" w:rsidP="00A9687B">
            <w:pPr>
              <w:spacing w:after="0" w:line="240" w:lineRule="auto"/>
              <w:jc w:val="center"/>
              <w:rPr>
                <w:rFonts w:cs="Arial"/>
                <w:color w:val="000000"/>
                <w:sz w:val="16"/>
                <w:szCs w:val="16"/>
              </w:rPr>
            </w:pPr>
            <w:r>
              <w:rPr>
                <w:rFonts w:cs="Arial"/>
                <w:sz w:val="16"/>
                <w:szCs w:val="16"/>
              </w:rPr>
              <w:t>5,1</w:t>
            </w:r>
          </w:p>
        </w:tc>
        <w:tc>
          <w:tcPr>
            <w:tcW w:w="595" w:type="dxa"/>
            <w:tcBorders>
              <w:top w:val="nil"/>
              <w:left w:val="nil"/>
              <w:bottom w:val="nil"/>
              <w:right w:val="nil"/>
            </w:tcBorders>
            <w:shd w:val="clear" w:color="auto" w:fill="auto"/>
            <w:noWrap/>
            <w:vAlign w:val="center"/>
            <w:hideMark/>
          </w:tcPr>
          <w:p w14:paraId="015D1994" w14:textId="7C4AF2A9" w:rsidR="00A9687B" w:rsidRPr="00D92E20" w:rsidRDefault="00A9687B" w:rsidP="00A9687B">
            <w:pPr>
              <w:spacing w:after="0" w:line="240" w:lineRule="auto"/>
              <w:jc w:val="center"/>
              <w:rPr>
                <w:rFonts w:cs="Arial"/>
                <w:color w:val="000000"/>
                <w:sz w:val="16"/>
                <w:szCs w:val="16"/>
              </w:rPr>
            </w:pPr>
            <w:r>
              <w:rPr>
                <w:rFonts w:cs="Arial"/>
                <w:color w:val="000000"/>
                <w:sz w:val="16"/>
                <w:szCs w:val="16"/>
              </w:rPr>
              <w:t>5,2</w:t>
            </w:r>
          </w:p>
        </w:tc>
        <w:tc>
          <w:tcPr>
            <w:tcW w:w="595" w:type="dxa"/>
            <w:tcBorders>
              <w:top w:val="nil"/>
              <w:left w:val="nil"/>
              <w:bottom w:val="nil"/>
              <w:right w:val="nil"/>
            </w:tcBorders>
            <w:shd w:val="clear" w:color="auto" w:fill="auto"/>
            <w:noWrap/>
            <w:vAlign w:val="center"/>
            <w:hideMark/>
          </w:tcPr>
          <w:p w14:paraId="6BAB0274" w14:textId="2214C60F" w:rsidR="00A9687B" w:rsidRPr="00D92E20" w:rsidRDefault="00A9687B" w:rsidP="00A9687B">
            <w:pPr>
              <w:spacing w:after="0" w:line="240" w:lineRule="auto"/>
              <w:jc w:val="center"/>
              <w:rPr>
                <w:rFonts w:cs="Arial"/>
                <w:color w:val="000000"/>
                <w:sz w:val="16"/>
                <w:szCs w:val="16"/>
              </w:rPr>
            </w:pPr>
            <w:r>
              <w:rPr>
                <w:rFonts w:cs="Arial"/>
                <w:color w:val="000000"/>
                <w:sz w:val="16"/>
                <w:szCs w:val="16"/>
              </w:rPr>
              <w:t>5,3</w:t>
            </w:r>
          </w:p>
        </w:tc>
        <w:tc>
          <w:tcPr>
            <w:tcW w:w="595" w:type="dxa"/>
            <w:tcBorders>
              <w:top w:val="nil"/>
              <w:left w:val="nil"/>
              <w:bottom w:val="nil"/>
              <w:right w:val="nil"/>
            </w:tcBorders>
            <w:shd w:val="clear" w:color="auto" w:fill="auto"/>
            <w:noWrap/>
            <w:vAlign w:val="center"/>
            <w:hideMark/>
          </w:tcPr>
          <w:p w14:paraId="1A8A051E" w14:textId="7AF64B08" w:rsidR="00A9687B" w:rsidRPr="00D92E20" w:rsidRDefault="00A9687B" w:rsidP="00A9687B">
            <w:pPr>
              <w:spacing w:after="0" w:line="240" w:lineRule="auto"/>
              <w:jc w:val="center"/>
              <w:rPr>
                <w:rFonts w:cs="Arial"/>
                <w:color w:val="000000"/>
                <w:sz w:val="16"/>
                <w:szCs w:val="16"/>
              </w:rPr>
            </w:pPr>
            <w:r>
              <w:rPr>
                <w:rFonts w:cs="Arial"/>
                <w:color w:val="000000"/>
                <w:sz w:val="16"/>
                <w:szCs w:val="16"/>
              </w:rPr>
              <w:t>5,2</w:t>
            </w:r>
          </w:p>
        </w:tc>
        <w:tc>
          <w:tcPr>
            <w:tcW w:w="595" w:type="dxa"/>
            <w:tcBorders>
              <w:top w:val="nil"/>
              <w:left w:val="nil"/>
              <w:bottom w:val="nil"/>
              <w:right w:val="nil"/>
            </w:tcBorders>
            <w:shd w:val="clear" w:color="auto" w:fill="auto"/>
            <w:noWrap/>
            <w:vAlign w:val="center"/>
            <w:hideMark/>
          </w:tcPr>
          <w:p w14:paraId="3BF32159" w14:textId="60F5C90F" w:rsidR="00A9687B" w:rsidRPr="00D92E20" w:rsidRDefault="00A9687B" w:rsidP="00A9687B">
            <w:pPr>
              <w:spacing w:after="0" w:line="240" w:lineRule="auto"/>
              <w:jc w:val="center"/>
              <w:rPr>
                <w:rFonts w:cs="Arial"/>
                <w:color w:val="000000"/>
                <w:sz w:val="16"/>
                <w:szCs w:val="16"/>
              </w:rPr>
            </w:pPr>
            <w:r>
              <w:rPr>
                <w:rFonts w:cs="Arial"/>
                <w:color w:val="000000"/>
                <w:sz w:val="16"/>
                <w:szCs w:val="16"/>
              </w:rPr>
              <w:t>5,2</w:t>
            </w:r>
          </w:p>
        </w:tc>
        <w:tc>
          <w:tcPr>
            <w:tcW w:w="595" w:type="dxa"/>
            <w:tcBorders>
              <w:top w:val="nil"/>
              <w:left w:val="nil"/>
              <w:bottom w:val="nil"/>
              <w:right w:val="nil"/>
            </w:tcBorders>
            <w:shd w:val="clear" w:color="auto" w:fill="auto"/>
            <w:noWrap/>
            <w:vAlign w:val="center"/>
            <w:hideMark/>
          </w:tcPr>
          <w:p w14:paraId="795317D0" w14:textId="3ABDEDA6" w:rsidR="00A9687B" w:rsidRPr="00D92E20" w:rsidRDefault="00A9687B" w:rsidP="00A9687B">
            <w:pPr>
              <w:spacing w:after="0" w:line="240" w:lineRule="auto"/>
              <w:jc w:val="center"/>
              <w:rPr>
                <w:rFonts w:cs="Arial"/>
                <w:color w:val="000000"/>
                <w:sz w:val="16"/>
                <w:szCs w:val="16"/>
              </w:rPr>
            </w:pPr>
            <w:r>
              <w:rPr>
                <w:rFonts w:cs="Arial"/>
                <w:color w:val="000000"/>
                <w:sz w:val="16"/>
                <w:szCs w:val="16"/>
              </w:rPr>
              <w:t>5,9</w:t>
            </w:r>
          </w:p>
        </w:tc>
        <w:tc>
          <w:tcPr>
            <w:tcW w:w="595" w:type="dxa"/>
            <w:tcBorders>
              <w:top w:val="nil"/>
              <w:left w:val="nil"/>
              <w:bottom w:val="nil"/>
              <w:right w:val="nil"/>
            </w:tcBorders>
            <w:shd w:val="clear" w:color="auto" w:fill="auto"/>
            <w:noWrap/>
            <w:vAlign w:val="center"/>
            <w:hideMark/>
          </w:tcPr>
          <w:p w14:paraId="03C58785" w14:textId="3CD6D477" w:rsidR="00A9687B" w:rsidRPr="00D92E20" w:rsidRDefault="00A9687B" w:rsidP="00A9687B">
            <w:pPr>
              <w:spacing w:after="0" w:line="240" w:lineRule="auto"/>
              <w:jc w:val="center"/>
              <w:rPr>
                <w:rFonts w:cs="Arial"/>
                <w:color w:val="000000"/>
                <w:sz w:val="16"/>
                <w:szCs w:val="16"/>
              </w:rPr>
            </w:pPr>
            <w:r>
              <w:rPr>
                <w:rFonts w:cs="Arial"/>
                <w:color w:val="000000"/>
                <w:sz w:val="16"/>
                <w:szCs w:val="16"/>
              </w:rPr>
              <w:t>6,4</w:t>
            </w:r>
          </w:p>
        </w:tc>
        <w:tc>
          <w:tcPr>
            <w:tcW w:w="595" w:type="dxa"/>
            <w:tcBorders>
              <w:top w:val="nil"/>
              <w:left w:val="nil"/>
              <w:bottom w:val="nil"/>
              <w:right w:val="nil"/>
            </w:tcBorders>
            <w:shd w:val="clear" w:color="auto" w:fill="auto"/>
            <w:noWrap/>
            <w:vAlign w:val="center"/>
            <w:hideMark/>
          </w:tcPr>
          <w:p w14:paraId="4BEC9DA8" w14:textId="0E512BDC" w:rsidR="00A9687B" w:rsidRPr="00D92E20" w:rsidRDefault="00A9687B" w:rsidP="00A9687B">
            <w:pPr>
              <w:spacing w:after="0" w:line="240" w:lineRule="auto"/>
              <w:jc w:val="center"/>
              <w:rPr>
                <w:rFonts w:cs="Arial"/>
                <w:color w:val="000000"/>
                <w:sz w:val="16"/>
                <w:szCs w:val="16"/>
              </w:rPr>
            </w:pPr>
            <w:r>
              <w:rPr>
                <w:rFonts w:cs="Arial"/>
                <w:color w:val="000000"/>
                <w:sz w:val="16"/>
                <w:szCs w:val="16"/>
              </w:rPr>
              <w:t>5,9</w:t>
            </w:r>
          </w:p>
        </w:tc>
      </w:tr>
      <w:tr w:rsidR="00A9687B" w:rsidRPr="00D92E20" w14:paraId="679070A0" w14:textId="77777777" w:rsidTr="006C7D54">
        <w:trPr>
          <w:trHeight w:val="480"/>
        </w:trPr>
        <w:tc>
          <w:tcPr>
            <w:tcW w:w="3118" w:type="dxa"/>
            <w:tcBorders>
              <w:top w:val="nil"/>
              <w:left w:val="nil"/>
              <w:bottom w:val="nil"/>
              <w:right w:val="single" w:sz="4" w:space="0" w:color="auto"/>
            </w:tcBorders>
            <w:shd w:val="clear" w:color="auto" w:fill="auto"/>
            <w:vAlign w:val="center"/>
            <w:hideMark/>
          </w:tcPr>
          <w:p w14:paraId="0D1F895A" w14:textId="17B31194"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 xml:space="preserve">G – Velkoobchod a maloobchod; </w:t>
            </w:r>
            <w:r w:rsidRPr="00D92E20">
              <w:rPr>
                <w:rFonts w:cs="Arial"/>
                <w:color w:val="000000"/>
                <w:sz w:val="16"/>
                <w:szCs w:val="16"/>
              </w:rPr>
              <w:br/>
              <w:t xml:space="preserve">       </w:t>
            </w:r>
            <w:r>
              <w:rPr>
                <w:rFonts w:cs="Arial"/>
                <w:color w:val="000000"/>
                <w:sz w:val="16"/>
                <w:szCs w:val="16"/>
              </w:rPr>
              <w:t xml:space="preserve">  </w:t>
            </w:r>
            <w:r w:rsidRPr="00D92E20">
              <w:rPr>
                <w:rFonts w:cs="Arial"/>
                <w:color w:val="000000"/>
                <w:sz w:val="16"/>
                <w:szCs w:val="16"/>
              </w:rPr>
              <w:t>opravy a údržba motorových</w:t>
            </w:r>
            <w:r>
              <w:rPr>
                <w:rFonts w:cs="Arial"/>
                <w:color w:val="000000"/>
                <w:sz w:val="16"/>
                <w:szCs w:val="16"/>
              </w:rPr>
              <w:t xml:space="preserve"> </w:t>
            </w:r>
            <w:r w:rsidRPr="00D92E20">
              <w:rPr>
                <w:rFonts w:cs="Arial"/>
                <w:color w:val="000000"/>
                <w:sz w:val="16"/>
                <w:szCs w:val="16"/>
              </w:rPr>
              <w:t>vozidel</w:t>
            </w:r>
          </w:p>
        </w:tc>
        <w:tc>
          <w:tcPr>
            <w:tcW w:w="595" w:type="dxa"/>
            <w:tcBorders>
              <w:top w:val="nil"/>
              <w:left w:val="nil"/>
              <w:bottom w:val="nil"/>
              <w:right w:val="nil"/>
            </w:tcBorders>
            <w:shd w:val="clear" w:color="auto" w:fill="auto"/>
            <w:noWrap/>
            <w:vAlign w:val="center"/>
            <w:hideMark/>
          </w:tcPr>
          <w:p w14:paraId="0DE4EA9C" w14:textId="049439F1" w:rsidR="00A9687B" w:rsidRPr="00D92E20" w:rsidRDefault="00A9687B" w:rsidP="00A9687B">
            <w:pPr>
              <w:spacing w:after="0" w:line="240" w:lineRule="auto"/>
              <w:jc w:val="center"/>
              <w:rPr>
                <w:rFonts w:cs="Arial"/>
                <w:color w:val="000000"/>
                <w:sz w:val="16"/>
                <w:szCs w:val="16"/>
              </w:rPr>
            </w:pPr>
            <w:r>
              <w:rPr>
                <w:rFonts w:cs="Arial"/>
                <w:sz w:val="16"/>
                <w:szCs w:val="16"/>
              </w:rPr>
              <w:t>3,5</w:t>
            </w:r>
          </w:p>
        </w:tc>
        <w:tc>
          <w:tcPr>
            <w:tcW w:w="595" w:type="dxa"/>
            <w:tcBorders>
              <w:top w:val="nil"/>
              <w:left w:val="nil"/>
              <w:bottom w:val="nil"/>
              <w:right w:val="nil"/>
            </w:tcBorders>
            <w:shd w:val="clear" w:color="auto" w:fill="auto"/>
            <w:noWrap/>
            <w:vAlign w:val="center"/>
            <w:hideMark/>
          </w:tcPr>
          <w:p w14:paraId="22091CE5" w14:textId="48CCA623" w:rsidR="00A9687B" w:rsidRPr="00D92E20" w:rsidRDefault="00A9687B" w:rsidP="00A9687B">
            <w:pPr>
              <w:spacing w:after="0" w:line="240" w:lineRule="auto"/>
              <w:jc w:val="center"/>
              <w:rPr>
                <w:rFonts w:cs="Arial"/>
                <w:color w:val="000000"/>
                <w:sz w:val="16"/>
                <w:szCs w:val="16"/>
              </w:rPr>
            </w:pPr>
            <w:r>
              <w:rPr>
                <w:rFonts w:cs="Arial"/>
                <w:sz w:val="16"/>
                <w:szCs w:val="16"/>
              </w:rPr>
              <w:t>3,9</w:t>
            </w:r>
          </w:p>
        </w:tc>
        <w:tc>
          <w:tcPr>
            <w:tcW w:w="595" w:type="dxa"/>
            <w:tcBorders>
              <w:top w:val="nil"/>
              <w:left w:val="nil"/>
              <w:bottom w:val="nil"/>
              <w:right w:val="nil"/>
            </w:tcBorders>
            <w:shd w:val="clear" w:color="auto" w:fill="auto"/>
            <w:noWrap/>
            <w:vAlign w:val="center"/>
            <w:hideMark/>
          </w:tcPr>
          <w:p w14:paraId="52A635D6" w14:textId="39280B45" w:rsidR="00A9687B" w:rsidRPr="00D92E20" w:rsidRDefault="00A9687B" w:rsidP="00A9687B">
            <w:pPr>
              <w:spacing w:after="0" w:line="240" w:lineRule="auto"/>
              <w:jc w:val="center"/>
              <w:rPr>
                <w:rFonts w:cs="Arial"/>
                <w:color w:val="000000"/>
                <w:sz w:val="16"/>
                <w:szCs w:val="16"/>
              </w:rPr>
            </w:pPr>
            <w:r>
              <w:rPr>
                <w:rFonts w:cs="Arial"/>
                <w:sz w:val="16"/>
                <w:szCs w:val="16"/>
              </w:rPr>
              <w:t>3,8</w:t>
            </w:r>
          </w:p>
        </w:tc>
        <w:tc>
          <w:tcPr>
            <w:tcW w:w="595" w:type="dxa"/>
            <w:tcBorders>
              <w:top w:val="nil"/>
              <w:left w:val="nil"/>
              <w:bottom w:val="nil"/>
              <w:right w:val="nil"/>
            </w:tcBorders>
            <w:shd w:val="clear" w:color="auto" w:fill="auto"/>
            <w:noWrap/>
            <w:vAlign w:val="center"/>
            <w:hideMark/>
          </w:tcPr>
          <w:p w14:paraId="4D6C38DE" w14:textId="056355F6" w:rsidR="00A9687B" w:rsidRPr="00D92E20" w:rsidRDefault="00A9687B" w:rsidP="00A9687B">
            <w:pPr>
              <w:spacing w:after="0" w:line="240" w:lineRule="auto"/>
              <w:jc w:val="center"/>
              <w:rPr>
                <w:rFonts w:cs="Arial"/>
                <w:color w:val="000000"/>
                <w:sz w:val="16"/>
                <w:szCs w:val="16"/>
              </w:rPr>
            </w:pPr>
            <w:r>
              <w:rPr>
                <w:rFonts w:cs="Arial"/>
                <w:sz w:val="16"/>
                <w:szCs w:val="16"/>
              </w:rPr>
              <w:t>4,2</w:t>
            </w:r>
          </w:p>
        </w:tc>
        <w:tc>
          <w:tcPr>
            <w:tcW w:w="595" w:type="dxa"/>
            <w:tcBorders>
              <w:top w:val="nil"/>
              <w:left w:val="nil"/>
              <w:bottom w:val="nil"/>
              <w:right w:val="nil"/>
            </w:tcBorders>
            <w:shd w:val="clear" w:color="auto" w:fill="auto"/>
            <w:noWrap/>
            <w:vAlign w:val="center"/>
            <w:hideMark/>
          </w:tcPr>
          <w:p w14:paraId="4BCE8C97" w14:textId="556F6491" w:rsidR="00A9687B" w:rsidRPr="00D92E20" w:rsidRDefault="00A9687B" w:rsidP="00A9687B">
            <w:pPr>
              <w:spacing w:after="0" w:line="240" w:lineRule="auto"/>
              <w:jc w:val="center"/>
              <w:rPr>
                <w:rFonts w:cs="Arial"/>
                <w:color w:val="000000"/>
                <w:sz w:val="16"/>
                <w:szCs w:val="16"/>
              </w:rPr>
            </w:pPr>
            <w:r>
              <w:rPr>
                <w:rFonts w:cs="Arial"/>
                <w:color w:val="000000"/>
                <w:sz w:val="16"/>
                <w:szCs w:val="16"/>
              </w:rPr>
              <w:t>4,4</w:t>
            </w:r>
          </w:p>
        </w:tc>
        <w:tc>
          <w:tcPr>
            <w:tcW w:w="595" w:type="dxa"/>
            <w:tcBorders>
              <w:top w:val="nil"/>
              <w:left w:val="nil"/>
              <w:bottom w:val="nil"/>
              <w:right w:val="nil"/>
            </w:tcBorders>
            <w:shd w:val="clear" w:color="auto" w:fill="auto"/>
            <w:noWrap/>
            <w:vAlign w:val="center"/>
            <w:hideMark/>
          </w:tcPr>
          <w:p w14:paraId="4DF464EE" w14:textId="0944BB59" w:rsidR="00A9687B" w:rsidRPr="00D92E20" w:rsidRDefault="00A9687B" w:rsidP="00A9687B">
            <w:pPr>
              <w:spacing w:after="0" w:line="240" w:lineRule="auto"/>
              <w:jc w:val="center"/>
              <w:rPr>
                <w:rFonts w:cs="Arial"/>
                <w:color w:val="000000"/>
                <w:sz w:val="16"/>
                <w:szCs w:val="16"/>
              </w:rPr>
            </w:pPr>
            <w:r>
              <w:rPr>
                <w:rFonts w:cs="Arial"/>
                <w:color w:val="000000"/>
                <w:sz w:val="16"/>
                <w:szCs w:val="16"/>
              </w:rPr>
              <w:t>4,6</w:t>
            </w:r>
          </w:p>
        </w:tc>
        <w:tc>
          <w:tcPr>
            <w:tcW w:w="595" w:type="dxa"/>
            <w:tcBorders>
              <w:top w:val="nil"/>
              <w:left w:val="nil"/>
              <w:bottom w:val="nil"/>
              <w:right w:val="nil"/>
            </w:tcBorders>
            <w:shd w:val="clear" w:color="auto" w:fill="auto"/>
            <w:noWrap/>
            <w:vAlign w:val="center"/>
            <w:hideMark/>
          </w:tcPr>
          <w:p w14:paraId="33D0E3C4" w14:textId="5C16A232" w:rsidR="00A9687B" w:rsidRPr="00D92E20" w:rsidRDefault="00A9687B" w:rsidP="00A9687B">
            <w:pPr>
              <w:spacing w:after="0" w:line="240" w:lineRule="auto"/>
              <w:jc w:val="center"/>
              <w:rPr>
                <w:rFonts w:cs="Arial"/>
                <w:color w:val="000000"/>
                <w:sz w:val="16"/>
                <w:szCs w:val="16"/>
              </w:rPr>
            </w:pPr>
            <w:r>
              <w:rPr>
                <w:rFonts w:cs="Arial"/>
                <w:color w:val="000000"/>
                <w:sz w:val="16"/>
                <w:szCs w:val="16"/>
              </w:rPr>
              <w:t>4,9</w:t>
            </w:r>
          </w:p>
        </w:tc>
        <w:tc>
          <w:tcPr>
            <w:tcW w:w="595" w:type="dxa"/>
            <w:tcBorders>
              <w:top w:val="nil"/>
              <w:left w:val="nil"/>
              <w:bottom w:val="nil"/>
              <w:right w:val="nil"/>
            </w:tcBorders>
            <w:shd w:val="clear" w:color="auto" w:fill="auto"/>
            <w:noWrap/>
            <w:vAlign w:val="center"/>
            <w:hideMark/>
          </w:tcPr>
          <w:p w14:paraId="6FBE9FDB" w14:textId="5A868383" w:rsidR="00A9687B" w:rsidRPr="00D92E20" w:rsidRDefault="00A9687B" w:rsidP="00A9687B">
            <w:pPr>
              <w:spacing w:after="0" w:line="240" w:lineRule="auto"/>
              <w:jc w:val="center"/>
              <w:rPr>
                <w:rFonts w:cs="Arial"/>
                <w:color w:val="000000"/>
                <w:sz w:val="16"/>
                <w:szCs w:val="16"/>
              </w:rPr>
            </w:pPr>
            <w:r>
              <w:rPr>
                <w:rFonts w:cs="Arial"/>
                <w:color w:val="000000"/>
                <w:sz w:val="16"/>
                <w:szCs w:val="16"/>
              </w:rPr>
              <w:t>5,1</w:t>
            </w:r>
          </w:p>
        </w:tc>
        <w:tc>
          <w:tcPr>
            <w:tcW w:w="595" w:type="dxa"/>
            <w:tcBorders>
              <w:top w:val="nil"/>
              <w:left w:val="nil"/>
              <w:bottom w:val="nil"/>
              <w:right w:val="nil"/>
            </w:tcBorders>
            <w:shd w:val="clear" w:color="auto" w:fill="auto"/>
            <w:noWrap/>
            <w:vAlign w:val="center"/>
            <w:hideMark/>
          </w:tcPr>
          <w:p w14:paraId="7F078399" w14:textId="6B2EAD36" w:rsidR="00A9687B" w:rsidRPr="00D92E20" w:rsidRDefault="00A9687B" w:rsidP="00A9687B">
            <w:pPr>
              <w:spacing w:after="0" w:line="240" w:lineRule="auto"/>
              <w:jc w:val="center"/>
              <w:rPr>
                <w:rFonts w:cs="Arial"/>
                <w:color w:val="000000"/>
                <w:sz w:val="16"/>
                <w:szCs w:val="16"/>
              </w:rPr>
            </w:pPr>
            <w:r>
              <w:rPr>
                <w:rFonts w:cs="Arial"/>
                <w:color w:val="000000"/>
                <w:sz w:val="16"/>
                <w:szCs w:val="16"/>
              </w:rPr>
              <w:t>5,9</w:t>
            </w:r>
          </w:p>
        </w:tc>
        <w:tc>
          <w:tcPr>
            <w:tcW w:w="595" w:type="dxa"/>
            <w:tcBorders>
              <w:top w:val="nil"/>
              <w:left w:val="nil"/>
              <w:bottom w:val="nil"/>
              <w:right w:val="nil"/>
            </w:tcBorders>
            <w:shd w:val="clear" w:color="auto" w:fill="auto"/>
            <w:noWrap/>
            <w:vAlign w:val="center"/>
            <w:hideMark/>
          </w:tcPr>
          <w:p w14:paraId="5E508C47" w14:textId="423A0A13" w:rsidR="00A9687B" w:rsidRPr="00D92E20" w:rsidRDefault="00A9687B" w:rsidP="00A9687B">
            <w:pPr>
              <w:spacing w:after="0" w:line="240" w:lineRule="auto"/>
              <w:jc w:val="center"/>
              <w:rPr>
                <w:rFonts w:cs="Arial"/>
                <w:color w:val="000000"/>
                <w:sz w:val="16"/>
                <w:szCs w:val="16"/>
              </w:rPr>
            </w:pPr>
            <w:r>
              <w:rPr>
                <w:rFonts w:cs="Arial"/>
                <w:color w:val="000000"/>
                <w:sz w:val="16"/>
                <w:szCs w:val="16"/>
              </w:rPr>
              <w:t>6,3</w:t>
            </w:r>
          </w:p>
        </w:tc>
        <w:tc>
          <w:tcPr>
            <w:tcW w:w="595" w:type="dxa"/>
            <w:tcBorders>
              <w:top w:val="nil"/>
              <w:left w:val="nil"/>
              <w:bottom w:val="nil"/>
              <w:right w:val="nil"/>
            </w:tcBorders>
            <w:shd w:val="clear" w:color="auto" w:fill="auto"/>
            <w:noWrap/>
            <w:vAlign w:val="center"/>
            <w:hideMark/>
          </w:tcPr>
          <w:p w14:paraId="532257D5" w14:textId="10517053" w:rsidR="00A9687B" w:rsidRPr="00D92E20" w:rsidRDefault="00A9687B" w:rsidP="00A9687B">
            <w:pPr>
              <w:spacing w:after="0" w:line="240" w:lineRule="auto"/>
              <w:jc w:val="center"/>
              <w:rPr>
                <w:rFonts w:cs="Arial"/>
                <w:color w:val="000000"/>
                <w:sz w:val="16"/>
                <w:szCs w:val="16"/>
              </w:rPr>
            </w:pPr>
            <w:r>
              <w:rPr>
                <w:rFonts w:cs="Arial"/>
                <w:color w:val="000000"/>
                <w:sz w:val="16"/>
                <w:szCs w:val="16"/>
              </w:rPr>
              <w:t>6,1</w:t>
            </w:r>
          </w:p>
        </w:tc>
      </w:tr>
      <w:tr w:rsidR="00A9687B" w:rsidRPr="00D92E20" w14:paraId="19EAA2A1"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2B3D99B2" w14:textId="77777777"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H – Doprava a skladování</w:t>
            </w:r>
          </w:p>
        </w:tc>
        <w:tc>
          <w:tcPr>
            <w:tcW w:w="595" w:type="dxa"/>
            <w:tcBorders>
              <w:top w:val="nil"/>
              <w:left w:val="nil"/>
              <w:bottom w:val="nil"/>
              <w:right w:val="nil"/>
            </w:tcBorders>
            <w:shd w:val="clear" w:color="auto" w:fill="auto"/>
            <w:noWrap/>
            <w:vAlign w:val="center"/>
            <w:hideMark/>
          </w:tcPr>
          <w:p w14:paraId="753E06E5" w14:textId="2DA0DE98" w:rsidR="00A9687B" w:rsidRPr="00D92E20" w:rsidRDefault="00A9687B" w:rsidP="00A9687B">
            <w:pPr>
              <w:spacing w:after="0" w:line="240" w:lineRule="auto"/>
              <w:jc w:val="center"/>
              <w:rPr>
                <w:rFonts w:cs="Arial"/>
                <w:color w:val="000000"/>
                <w:sz w:val="16"/>
                <w:szCs w:val="16"/>
              </w:rPr>
            </w:pPr>
            <w:r>
              <w:rPr>
                <w:rFonts w:cs="Arial"/>
                <w:sz w:val="16"/>
                <w:szCs w:val="16"/>
              </w:rPr>
              <w:t>3,6</w:t>
            </w:r>
          </w:p>
        </w:tc>
        <w:tc>
          <w:tcPr>
            <w:tcW w:w="595" w:type="dxa"/>
            <w:tcBorders>
              <w:top w:val="nil"/>
              <w:left w:val="nil"/>
              <w:bottom w:val="nil"/>
              <w:right w:val="nil"/>
            </w:tcBorders>
            <w:shd w:val="clear" w:color="auto" w:fill="auto"/>
            <w:noWrap/>
            <w:vAlign w:val="center"/>
            <w:hideMark/>
          </w:tcPr>
          <w:p w14:paraId="679B7919" w14:textId="773AFD3A" w:rsidR="00A9687B" w:rsidRPr="00D92E20" w:rsidRDefault="00A9687B" w:rsidP="00A9687B">
            <w:pPr>
              <w:spacing w:after="0" w:line="240" w:lineRule="auto"/>
              <w:jc w:val="center"/>
              <w:rPr>
                <w:rFonts w:cs="Arial"/>
                <w:color w:val="000000"/>
                <w:sz w:val="16"/>
                <w:szCs w:val="16"/>
              </w:rPr>
            </w:pPr>
            <w:r>
              <w:rPr>
                <w:rFonts w:cs="Arial"/>
                <w:sz w:val="16"/>
                <w:szCs w:val="16"/>
              </w:rPr>
              <w:t>4,1</w:t>
            </w:r>
          </w:p>
        </w:tc>
        <w:tc>
          <w:tcPr>
            <w:tcW w:w="595" w:type="dxa"/>
            <w:tcBorders>
              <w:top w:val="nil"/>
              <w:left w:val="nil"/>
              <w:bottom w:val="nil"/>
              <w:right w:val="nil"/>
            </w:tcBorders>
            <w:shd w:val="clear" w:color="auto" w:fill="auto"/>
            <w:noWrap/>
            <w:vAlign w:val="center"/>
            <w:hideMark/>
          </w:tcPr>
          <w:p w14:paraId="5281A24D" w14:textId="14672310" w:rsidR="00A9687B" w:rsidRPr="00D92E20" w:rsidRDefault="00A9687B" w:rsidP="00A9687B">
            <w:pPr>
              <w:spacing w:after="0" w:line="240" w:lineRule="auto"/>
              <w:jc w:val="center"/>
              <w:rPr>
                <w:rFonts w:cs="Arial"/>
                <w:color w:val="000000"/>
                <w:sz w:val="16"/>
                <w:szCs w:val="16"/>
              </w:rPr>
            </w:pPr>
            <w:r>
              <w:rPr>
                <w:rFonts w:cs="Arial"/>
                <w:sz w:val="16"/>
                <w:szCs w:val="16"/>
              </w:rPr>
              <w:t>4,0</w:t>
            </w:r>
          </w:p>
        </w:tc>
        <w:tc>
          <w:tcPr>
            <w:tcW w:w="595" w:type="dxa"/>
            <w:tcBorders>
              <w:top w:val="nil"/>
              <w:left w:val="nil"/>
              <w:bottom w:val="nil"/>
              <w:right w:val="nil"/>
            </w:tcBorders>
            <w:shd w:val="clear" w:color="auto" w:fill="auto"/>
            <w:noWrap/>
            <w:vAlign w:val="center"/>
            <w:hideMark/>
          </w:tcPr>
          <w:p w14:paraId="523C453B" w14:textId="75EA43BB" w:rsidR="00A9687B" w:rsidRPr="00D92E20" w:rsidRDefault="00A9687B" w:rsidP="00A9687B">
            <w:pPr>
              <w:spacing w:after="0" w:line="240" w:lineRule="auto"/>
              <w:jc w:val="center"/>
              <w:rPr>
                <w:rFonts w:cs="Arial"/>
                <w:color w:val="000000"/>
                <w:sz w:val="16"/>
                <w:szCs w:val="16"/>
              </w:rPr>
            </w:pPr>
            <w:r>
              <w:rPr>
                <w:rFonts w:cs="Arial"/>
                <w:sz w:val="16"/>
                <w:szCs w:val="16"/>
              </w:rPr>
              <w:t>4,3</w:t>
            </w:r>
          </w:p>
        </w:tc>
        <w:tc>
          <w:tcPr>
            <w:tcW w:w="595" w:type="dxa"/>
            <w:tcBorders>
              <w:top w:val="nil"/>
              <w:left w:val="nil"/>
              <w:bottom w:val="nil"/>
              <w:right w:val="nil"/>
            </w:tcBorders>
            <w:shd w:val="clear" w:color="auto" w:fill="auto"/>
            <w:noWrap/>
            <w:vAlign w:val="center"/>
            <w:hideMark/>
          </w:tcPr>
          <w:p w14:paraId="6D38B96E" w14:textId="137F8DD8" w:rsidR="00A9687B" w:rsidRPr="00D92E20" w:rsidRDefault="00A9687B" w:rsidP="00A9687B">
            <w:pPr>
              <w:spacing w:after="0" w:line="240" w:lineRule="auto"/>
              <w:jc w:val="center"/>
              <w:rPr>
                <w:rFonts w:cs="Arial"/>
                <w:color w:val="000000"/>
                <w:sz w:val="16"/>
                <w:szCs w:val="16"/>
              </w:rPr>
            </w:pPr>
            <w:r>
              <w:rPr>
                <w:rFonts w:cs="Arial"/>
                <w:color w:val="000000"/>
                <w:sz w:val="16"/>
                <w:szCs w:val="16"/>
              </w:rPr>
              <w:t>4,5</w:t>
            </w:r>
          </w:p>
        </w:tc>
        <w:tc>
          <w:tcPr>
            <w:tcW w:w="595" w:type="dxa"/>
            <w:tcBorders>
              <w:top w:val="nil"/>
              <w:left w:val="nil"/>
              <w:bottom w:val="nil"/>
              <w:right w:val="nil"/>
            </w:tcBorders>
            <w:shd w:val="clear" w:color="auto" w:fill="auto"/>
            <w:noWrap/>
            <w:vAlign w:val="center"/>
            <w:hideMark/>
          </w:tcPr>
          <w:p w14:paraId="342E985D" w14:textId="5994093B" w:rsidR="00A9687B" w:rsidRPr="00D92E20" w:rsidRDefault="00A9687B" w:rsidP="00A9687B">
            <w:pPr>
              <w:spacing w:after="0" w:line="240" w:lineRule="auto"/>
              <w:jc w:val="center"/>
              <w:rPr>
                <w:rFonts w:cs="Arial"/>
                <w:color w:val="000000"/>
                <w:sz w:val="16"/>
                <w:szCs w:val="16"/>
              </w:rPr>
            </w:pPr>
            <w:r>
              <w:rPr>
                <w:rFonts w:cs="Arial"/>
                <w:color w:val="000000"/>
                <w:sz w:val="16"/>
                <w:szCs w:val="16"/>
              </w:rPr>
              <w:t>4,7</w:t>
            </w:r>
          </w:p>
        </w:tc>
        <w:tc>
          <w:tcPr>
            <w:tcW w:w="595" w:type="dxa"/>
            <w:tcBorders>
              <w:top w:val="nil"/>
              <w:left w:val="nil"/>
              <w:bottom w:val="nil"/>
              <w:right w:val="nil"/>
            </w:tcBorders>
            <w:shd w:val="clear" w:color="auto" w:fill="auto"/>
            <w:noWrap/>
            <w:vAlign w:val="center"/>
            <w:hideMark/>
          </w:tcPr>
          <w:p w14:paraId="7A97F4BC" w14:textId="017D88D7" w:rsidR="00A9687B" w:rsidRPr="00D92E20" w:rsidRDefault="00A9687B" w:rsidP="00A9687B">
            <w:pPr>
              <w:spacing w:after="0" w:line="240" w:lineRule="auto"/>
              <w:jc w:val="center"/>
              <w:rPr>
                <w:rFonts w:cs="Arial"/>
                <w:color w:val="000000"/>
                <w:sz w:val="16"/>
                <w:szCs w:val="16"/>
              </w:rPr>
            </w:pPr>
            <w:r>
              <w:rPr>
                <w:rFonts w:cs="Arial"/>
                <w:color w:val="000000"/>
                <w:sz w:val="16"/>
                <w:szCs w:val="16"/>
              </w:rPr>
              <w:t>5,1</w:t>
            </w:r>
          </w:p>
        </w:tc>
        <w:tc>
          <w:tcPr>
            <w:tcW w:w="595" w:type="dxa"/>
            <w:tcBorders>
              <w:top w:val="nil"/>
              <w:left w:val="nil"/>
              <w:bottom w:val="nil"/>
              <w:right w:val="nil"/>
            </w:tcBorders>
            <w:shd w:val="clear" w:color="auto" w:fill="auto"/>
            <w:noWrap/>
            <w:vAlign w:val="center"/>
            <w:hideMark/>
          </w:tcPr>
          <w:p w14:paraId="3294BF0B" w14:textId="731B11A8" w:rsidR="00A9687B" w:rsidRPr="00D92E20" w:rsidRDefault="00A9687B" w:rsidP="00A9687B">
            <w:pPr>
              <w:spacing w:after="0" w:line="240" w:lineRule="auto"/>
              <w:jc w:val="center"/>
              <w:rPr>
                <w:rFonts w:cs="Arial"/>
                <w:color w:val="000000"/>
                <w:sz w:val="16"/>
                <w:szCs w:val="16"/>
              </w:rPr>
            </w:pPr>
            <w:r>
              <w:rPr>
                <w:rFonts w:cs="Arial"/>
                <w:color w:val="000000"/>
                <w:sz w:val="16"/>
                <w:szCs w:val="16"/>
              </w:rPr>
              <w:t>5,1</w:t>
            </w:r>
          </w:p>
        </w:tc>
        <w:tc>
          <w:tcPr>
            <w:tcW w:w="595" w:type="dxa"/>
            <w:tcBorders>
              <w:top w:val="nil"/>
              <w:left w:val="nil"/>
              <w:bottom w:val="nil"/>
              <w:right w:val="nil"/>
            </w:tcBorders>
            <w:shd w:val="clear" w:color="auto" w:fill="auto"/>
            <w:noWrap/>
            <w:vAlign w:val="center"/>
            <w:hideMark/>
          </w:tcPr>
          <w:p w14:paraId="0F71CE75" w14:textId="2CDFC803" w:rsidR="00A9687B" w:rsidRPr="00D92E20" w:rsidRDefault="00A9687B" w:rsidP="00A9687B">
            <w:pPr>
              <w:spacing w:after="0" w:line="240" w:lineRule="auto"/>
              <w:jc w:val="center"/>
              <w:rPr>
                <w:rFonts w:cs="Arial"/>
                <w:color w:val="000000"/>
                <w:sz w:val="16"/>
                <w:szCs w:val="16"/>
              </w:rPr>
            </w:pPr>
            <w:r>
              <w:rPr>
                <w:rFonts w:cs="Arial"/>
                <w:color w:val="000000"/>
                <w:sz w:val="16"/>
                <w:szCs w:val="16"/>
              </w:rPr>
              <w:t>6,0</w:t>
            </w:r>
          </w:p>
        </w:tc>
        <w:tc>
          <w:tcPr>
            <w:tcW w:w="595" w:type="dxa"/>
            <w:tcBorders>
              <w:top w:val="nil"/>
              <w:left w:val="nil"/>
              <w:bottom w:val="nil"/>
              <w:right w:val="nil"/>
            </w:tcBorders>
            <w:shd w:val="clear" w:color="auto" w:fill="auto"/>
            <w:noWrap/>
            <w:vAlign w:val="center"/>
            <w:hideMark/>
          </w:tcPr>
          <w:p w14:paraId="1C0A2098" w14:textId="10087E66" w:rsidR="00A9687B" w:rsidRPr="00D92E20" w:rsidRDefault="00A9687B" w:rsidP="00A9687B">
            <w:pPr>
              <w:spacing w:after="0" w:line="240" w:lineRule="auto"/>
              <w:jc w:val="center"/>
              <w:rPr>
                <w:rFonts w:cs="Arial"/>
                <w:color w:val="000000"/>
                <w:sz w:val="16"/>
                <w:szCs w:val="16"/>
              </w:rPr>
            </w:pPr>
            <w:r>
              <w:rPr>
                <w:rFonts w:cs="Arial"/>
                <w:color w:val="000000"/>
                <w:sz w:val="16"/>
                <w:szCs w:val="16"/>
              </w:rPr>
              <w:t>6,7</w:t>
            </w:r>
          </w:p>
        </w:tc>
        <w:tc>
          <w:tcPr>
            <w:tcW w:w="595" w:type="dxa"/>
            <w:tcBorders>
              <w:top w:val="nil"/>
              <w:left w:val="nil"/>
              <w:bottom w:val="nil"/>
              <w:right w:val="nil"/>
            </w:tcBorders>
            <w:shd w:val="clear" w:color="auto" w:fill="auto"/>
            <w:noWrap/>
            <w:vAlign w:val="center"/>
            <w:hideMark/>
          </w:tcPr>
          <w:p w14:paraId="4B9122A3" w14:textId="7A1CA4CC" w:rsidR="00A9687B" w:rsidRPr="00D92E20" w:rsidRDefault="00A9687B" w:rsidP="00A9687B">
            <w:pPr>
              <w:spacing w:after="0" w:line="240" w:lineRule="auto"/>
              <w:jc w:val="center"/>
              <w:rPr>
                <w:rFonts w:cs="Arial"/>
                <w:color w:val="000000"/>
                <w:sz w:val="16"/>
                <w:szCs w:val="16"/>
              </w:rPr>
            </w:pPr>
            <w:r>
              <w:rPr>
                <w:rFonts w:cs="Arial"/>
                <w:color w:val="000000"/>
                <w:sz w:val="16"/>
                <w:szCs w:val="16"/>
              </w:rPr>
              <w:t>6,3</w:t>
            </w:r>
          </w:p>
        </w:tc>
      </w:tr>
      <w:tr w:rsidR="00A9687B" w:rsidRPr="00D92E20" w14:paraId="2269FFD1"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596DC50A" w14:textId="4E52F9BC"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I – Ubytování, stravování a pohostinství</w:t>
            </w:r>
          </w:p>
        </w:tc>
        <w:tc>
          <w:tcPr>
            <w:tcW w:w="595" w:type="dxa"/>
            <w:tcBorders>
              <w:top w:val="nil"/>
              <w:left w:val="nil"/>
              <w:bottom w:val="nil"/>
              <w:right w:val="nil"/>
            </w:tcBorders>
            <w:shd w:val="clear" w:color="auto" w:fill="auto"/>
            <w:noWrap/>
            <w:vAlign w:val="center"/>
            <w:hideMark/>
          </w:tcPr>
          <w:p w14:paraId="632D0691" w14:textId="53D0554F" w:rsidR="00A9687B" w:rsidRPr="00D92E20" w:rsidRDefault="00A9687B" w:rsidP="00A9687B">
            <w:pPr>
              <w:spacing w:after="0" w:line="240" w:lineRule="auto"/>
              <w:jc w:val="center"/>
              <w:rPr>
                <w:rFonts w:cs="Arial"/>
                <w:color w:val="000000"/>
                <w:sz w:val="16"/>
                <w:szCs w:val="16"/>
              </w:rPr>
            </w:pPr>
            <w:r>
              <w:rPr>
                <w:rFonts w:cs="Arial"/>
                <w:sz w:val="16"/>
                <w:szCs w:val="16"/>
              </w:rPr>
              <w:t>3,7</w:t>
            </w:r>
          </w:p>
        </w:tc>
        <w:tc>
          <w:tcPr>
            <w:tcW w:w="595" w:type="dxa"/>
            <w:tcBorders>
              <w:top w:val="nil"/>
              <w:left w:val="nil"/>
              <w:bottom w:val="nil"/>
              <w:right w:val="nil"/>
            </w:tcBorders>
            <w:shd w:val="clear" w:color="auto" w:fill="auto"/>
            <w:noWrap/>
            <w:vAlign w:val="center"/>
            <w:hideMark/>
          </w:tcPr>
          <w:p w14:paraId="5161E522" w14:textId="253410D1" w:rsidR="00A9687B" w:rsidRPr="00D92E20" w:rsidRDefault="00A9687B" w:rsidP="00A9687B">
            <w:pPr>
              <w:spacing w:after="0" w:line="240" w:lineRule="auto"/>
              <w:jc w:val="center"/>
              <w:rPr>
                <w:rFonts w:cs="Arial"/>
                <w:color w:val="000000"/>
                <w:sz w:val="16"/>
                <w:szCs w:val="16"/>
              </w:rPr>
            </w:pPr>
            <w:r>
              <w:rPr>
                <w:rFonts w:cs="Arial"/>
                <w:sz w:val="16"/>
                <w:szCs w:val="16"/>
              </w:rPr>
              <w:t>4,1</w:t>
            </w:r>
          </w:p>
        </w:tc>
        <w:tc>
          <w:tcPr>
            <w:tcW w:w="595" w:type="dxa"/>
            <w:tcBorders>
              <w:top w:val="nil"/>
              <w:left w:val="nil"/>
              <w:bottom w:val="nil"/>
              <w:right w:val="nil"/>
            </w:tcBorders>
            <w:shd w:val="clear" w:color="auto" w:fill="auto"/>
            <w:noWrap/>
            <w:vAlign w:val="center"/>
            <w:hideMark/>
          </w:tcPr>
          <w:p w14:paraId="33A017E1" w14:textId="1A600CE2" w:rsidR="00A9687B" w:rsidRPr="00D92E20" w:rsidRDefault="00A9687B" w:rsidP="00A9687B">
            <w:pPr>
              <w:spacing w:after="0" w:line="240" w:lineRule="auto"/>
              <w:jc w:val="center"/>
              <w:rPr>
                <w:rFonts w:cs="Arial"/>
                <w:color w:val="000000"/>
                <w:sz w:val="16"/>
                <w:szCs w:val="16"/>
              </w:rPr>
            </w:pPr>
            <w:r>
              <w:rPr>
                <w:rFonts w:cs="Arial"/>
                <w:sz w:val="16"/>
                <w:szCs w:val="16"/>
              </w:rPr>
              <w:t>4,0</w:t>
            </w:r>
          </w:p>
        </w:tc>
        <w:tc>
          <w:tcPr>
            <w:tcW w:w="595" w:type="dxa"/>
            <w:tcBorders>
              <w:top w:val="nil"/>
              <w:left w:val="nil"/>
              <w:bottom w:val="nil"/>
              <w:right w:val="nil"/>
            </w:tcBorders>
            <w:shd w:val="clear" w:color="auto" w:fill="auto"/>
            <w:noWrap/>
            <w:vAlign w:val="center"/>
            <w:hideMark/>
          </w:tcPr>
          <w:p w14:paraId="1FC0D401" w14:textId="78FB3FDD" w:rsidR="00A9687B" w:rsidRPr="00D92E20" w:rsidRDefault="00A9687B" w:rsidP="00A9687B">
            <w:pPr>
              <w:spacing w:after="0" w:line="240" w:lineRule="auto"/>
              <w:jc w:val="center"/>
              <w:rPr>
                <w:rFonts w:cs="Arial"/>
                <w:color w:val="000000"/>
                <w:sz w:val="16"/>
                <w:szCs w:val="16"/>
              </w:rPr>
            </w:pPr>
            <w:r>
              <w:rPr>
                <w:rFonts w:cs="Arial"/>
                <w:sz w:val="16"/>
                <w:szCs w:val="16"/>
              </w:rPr>
              <w:t>4,3</w:t>
            </w:r>
          </w:p>
        </w:tc>
        <w:tc>
          <w:tcPr>
            <w:tcW w:w="595" w:type="dxa"/>
            <w:tcBorders>
              <w:top w:val="nil"/>
              <w:left w:val="nil"/>
              <w:bottom w:val="nil"/>
              <w:right w:val="nil"/>
            </w:tcBorders>
            <w:shd w:val="clear" w:color="auto" w:fill="auto"/>
            <w:noWrap/>
            <w:vAlign w:val="center"/>
            <w:hideMark/>
          </w:tcPr>
          <w:p w14:paraId="4391E5DB" w14:textId="4CAF0617" w:rsidR="00A9687B" w:rsidRPr="00D92E20" w:rsidRDefault="00A9687B" w:rsidP="00A9687B">
            <w:pPr>
              <w:spacing w:after="0" w:line="240" w:lineRule="auto"/>
              <w:jc w:val="center"/>
              <w:rPr>
                <w:rFonts w:cs="Arial"/>
                <w:color w:val="000000"/>
                <w:sz w:val="16"/>
                <w:szCs w:val="16"/>
              </w:rPr>
            </w:pPr>
            <w:r>
              <w:rPr>
                <w:rFonts w:cs="Arial"/>
                <w:color w:val="000000"/>
                <w:sz w:val="16"/>
                <w:szCs w:val="16"/>
              </w:rPr>
              <w:t>4,3</w:t>
            </w:r>
          </w:p>
        </w:tc>
        <w:tc>
          <w:tcPr>
            <w:tcW w:w="595" w:type="dxa"/>
            <w:tcBorders>
              <w:top w:val="nil"/>
              <w:left w:val="nil"/>
              <w:bottom w:val="nil"/>
              <w:right w:val="nil"/>
            </w:tcBorders>
            <w:shd w:val="clear" w:color="auto" w:fill="auto"/>
            <w:noWrap/>
            <w:vAlign w:val="center"/>
            <w:hideMark/>
          </w:tcPr>
          <w:p w14:paraId="4F2BE4F0" w14:textId="4446A922" w:rsidR="00A9687B" w:rsidRPr="00D92E20" w:rsidRDefault="00A9687B" w:rsidP="00A9687B">
            <w:pPr>
              <w:spacing w:after="0" w:line="240" w:lineRule="auto"/>
              <w:jc w:val="center"/>
              <w:rPr>
                <w:rFonts w:cs="Arial"/>
                <w:color w:val="000000"/>
                <w:sz w:val="16"/>
                <w:szCs w:val="16"/>
              </w:rPr>
            </w:pPr>
            <w:r>
              <w:rPr>
                <w:rFonts w:cs="Arial"/>
                <w:color w:val="000000"/>
                <w:sz w:val="16"/>
                <w:szCs w:val="16"/>
              </w:rPr>
              <w:t>4,4</w:t>
            </w:r>
          </w:p>
        </w:tc>
        <w:tc>
          <w:tcPr>
            <w:tcW w:w="595" w:type="dxa"/>
            <w:tcBorders>
              <w:top w:val="nil"/>
              <w:left w:val="nil"/>
              <w:bottom w:val="nil"/>
              <w:right w:val="nil"/>
            </w:tcBorders>
            <w:shd w:val="clear" w:color="auto" w:fill="auto"/>
            <w:noWrap/>
            <w:vAlign w:val="center"/>
            <w:hideMark/>
          </w:tcPr>
          <w:p w14:paraId="61FAB7FB" w14:textId="7A7C652C" w:rsidR="00A9687B" w:rsidRPr="00D92E20" w:rsidRDefault="00A9687B" w:rsidP="00A9687B">
            <w:pPr>
              <w:spacing w:after="0" w:line="240" w:lineRule="auto"/>
              <w:jc w:val="center"/>
              <w:rPr>
                <w:rFonts w:cs="Arial"/>
                <w:color w:val="000000"/>
                <w:sz w:val="16"/>
                <w:szCs w:val="16"/>
              </w:rPr>
            </w:pPr>
            <w:r>
              <w:rPr>
                <w:rFonts w:cs="Arial"/>
                <w:color w:val="000000"/>
                <w:sz w:val="16"/>
                <w:szCs w:val="16"/>
              </w:rPr>
              <w:t>4,6</w:t>
            </w:r>
          </w:p>
        </w:tc>
        <w:tc>
          <w:tcPr>
            <w:tcW w:w="595" w:type="dxa"/>
            <w:tcBorders>
              <w:top w:val="nil"/>
              <w:left w:val="nil"/>
              <w:bottom w:val="nil"/>
              <w:right w:val="nil"/>
            </w:tcBorders>
            <w:shd w:val="clear" w:color="auto" w:fill="auto"/>
            <w:noWrap/>
            <w:vAlign w:val="center"/>
            <w:hideMark/>
          </w:tcPr>
          <w:p w14:paraId="6A710E7E" w14:textId="36F308B4" w:rsidR="00A9687B" w:rsidRPr="00D92E20" w:rsidRDefault="00A9687B" w:rsidP="00A9687B">
            <w:pPr>
              <w:spacing w:after="0" w:line="240" w:lineRule="auto"/>
              <w:jc w:val="center"/>
              <w:rPr>
                <w:rFonts w:cs="Arial"/>
                <w:color w:val="000000"/>
                <w:sz w:val="16"/>
                <w:szCs w:val="16"/>
              </w:rPr>
            </w:pPr>
            <w:r>
              <w:rPr>
                <w:rFonts w:cs="Arial"/>
                <w:color w:val="000000"/>
                <w:sz w:val="16"/>
                <w:szCs w:val="16"/>
              </w:rPr>
              <w:t>4,8</w:t>
            </w:r>
          </w:p>
        </w:tc>
        <w:tc>
          <w:tcPr>
            <w:tcW w:w="595" w:type="dxa"/>
            <w:tcBorders>
              <w:top w:val="nil"/>
              <w:left w:val="nil"/>
              <w:bottom w:val="nil"/>
              <w:right w:val="nil"/>
            </w:tcBorders>
            <w:shd w:val="clear" w:color="auto" w:fill="auto"/>
            <w:noWrap/>
            <w:vAlign w:val="center"/>
            <w:hideMark/>
          </w:tcPr>
          <w:p w14:paraId="0E45F0B6" w14:textId="694B529D" w:rsidR="00A9687B" w:rsidRPr="00D92E20" w:rsidRDefault="00A9687B" w:rsidP="00A9687B">
            <w:pPr>
              <w:spacing w:after="0" w:line="240" w:lineRule="auto"/>
              <w:jc w:val="center"/>
              <w:rPr>
                <w:rFonts w:cs="Arial"/>
                <w:color w:val="000000"/>
                <w:sz w:val="16"/>
                <w:szCs w:val="16"/>
              </w:rPr>
            </w:pPr>
            <w:r>
              <w:rPr>
                <w:rFonts w:cs="Arial"/>
                <w:color w:val="000000"/>
                <w:sz w:val="16"/>
                <w:szCs w:val="16"/>
              </w:rPr>
              <w:t>7,0</w:t>
            </w:r>
          </w:p>
        </w:tc>
        <w:tc>
          <w:tcPr>
            <w:tcW w:w="595" w:type="dxa"/>
            <w:tcBorders>
              <w:top w:val="nil"/>
              <w:left w:val="nil"/>
              <w:bottom w:val="nil"/>
              <w:right w:val="nil"/>
            </w:tcBorders>
            <w:shd w:val="clear" w:color="auto" w:fill="auto"/>
            <w:noWrap/>
            <w:vAlign w:val="center"/>
            <w:hideMark/>
          </w:tcPr>
          <w:p w14:paraId="2C30300A" w14:textId="5920C22F" w:rsidR="00A9687B" w:rsidRPr="00D92E20" w:rsidRDefault="00A9687B" w:rsidP="00A9687B">
            <w:pPr>
              <w:spacing w:after="0" w:line="240" w:lineRule="auto"/>
              <w:jc w:val="center"/>
              <w:rPr>
                <w:rFonts w:cs="Arial"/>
                <w:color w:val="000000"/>
                <w:sz w:val="16"/>
                <w:szCs w:val="16"/>
              </w:rPr>
            </w:pPr>
            <w:r>
              <w:rPr>
                <w:rFonts w:cs="Arial"/>
                <w:color w:val="000000"/>
                <w:sz w:val="16"/>
                <w:szCs w:val="16"/>
              </w:rPr>
              <w:t>5,5</w:t>
            </w:r>
          </w:p>
        </w:tc>
        <w:tc>
          <w:tcPr>
            <w:tcW w:w="595" w:type="dxa"/>
            <w:tcBorders>
              <w:top w:val="nil"/>
              <w:left w:val="nil"/>
              <w:bottom w:val="nil"/>
              <w:right w:val="nil"/>
            </w:tcBorders>
            <w:shd w:val="clear" w:color="auto" w:fill="auto"/>
            <w:noWrap/>
            <w:vAlign w:val="center"/>
            <w:hideMark/>
          </w:tcPr>
          <w:p w14:paraId="4FAFB2C5" w14:textId="4FCC0ACE" w:rsidR="00A9687B" w:rsidRPr="00D92E20" w:rsidRDefault="00A9687B" w:rsidP="00A9687B">
            <w:pPr>
              <w:spacing w:after="0" w:line="240" w:lineRule="auto"/>
              <w:jc w:val="center"/>
              <w:rPr>
                <w:rFonts w:cs="Arial"/>
                <w:color w:val="000000"/>
                <w:sz w:val="16"/>
                <w:szCs w:val="16"/>
              </w:rPr>
            </w:pPr>
            <w:r>
              <w:rPr>
                <w:rFonts w:cs="Arial"/>
                <w:color w:val="000000"/>
                <w:sz w:val="16"/>
                <w:szCs w:val="16"/>
              </w:rPr>
              <w:t>5,7</w:t>
            </w:r>
          </w:p>
        </w:tc>
      </w:tr>
      <w:tr w:rsidR="00A9687B" w:rsidRPr="00D92E20" w14:paraId="2D3175CC"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5787BD01" w14:textId="77777777"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J – Informační a komunikační činnosti</w:t>
            </w:r>
          </w:p>
        </w:tc>
        <w:tc>
          <w:tcPr>
            <w:tcW w:w="595" w:type="dxa"/>
            <w:tcBorders>
              <w:top w:val="nil"/>
              <w:left w:val="nil"/>
              <w:bottom w:val="nil"/>
              <w:right w:val="nil"/>
            </w:tcBorders>
            <w:shd w:val="clear" w:color="auto" w:fill="auto"/>
            <w:noWrap/>
            <w:vAlign w:val="center"/>
            <w:hideMark/>
          </w:tcPr>
          <w:p w14:paraId="0D6AC587" w14:textId="38EE4503" w:rsidR="00A9687B" w:rsidRPr="00D92E20" w:rsidRDefault="00A9687B" w:rsidP="00A9687B">
            <w:pPr>
              <w:spacing w:after="0" w:line="240" w:lineRule="auto"/>
              <w:jc w:val="center"/>
              <w:rPr>
                <w:rFonts w:cs="Arial"/>
                <w:color w:val="000000"/>
                <w:sz w:val="16"/>
                <w:szCs w:val="16"/>
              </w:rPr>
            </w:pPr>
            <w:r>
              <w:rPr>
                <w:rFonts w:cs="Arial"/>
                <w:sz w:val="16"/>
                <w:szCs w:val="16"/>
              </w:rPr>
              <w:t>1,7</w:t>
            </w:r>
          </w:p>
        </w:tc>
        <w:tc>
          <w:tcPr>
            <w:tcW w:w="595" w:type="dxa"/>
            <w:tcBorders>
              <w:top w:val="nil"/>
              <w:left w:val="nil"/>
              <w:bottom w:val="nil"/>
              <w:right w:val="nil"/>
            </w:tcBorders>
            <w:shd w:val="clear" w:color="auto" w:fill="auto"/>
            <w:noWrap/>
            <w:vAlign w:val="center"/>
            <w:hideMark/>
          </w:tcPr>
          <w:p w14:paraId="542890AD" w14:textId="7C080B06" w:rsidR="00A9687B" w:rsidRPr="00D92E20" w:rsidRDefault="00A9687B" w:rsidP="00A9687B">
            <w:pPr>
              <w:spacing w:after="0" w:line="240" w:lineRule="auto"/>
              <w:jc w:val="center"/>
              <w:rPr>
                <w:rFonts w:cs="Arial"/>
                <w:color w:val="000000"/>
                <w:sz w:val="16"/>
                <w:szCs w:val="16"/>
              </w:rPr>
            </w:pPr>
            <w:r>
              <w:rPr>
                <w:rFonts w:cs="Arial"/>
                <w:sz w:val="16"/>
                <w:szCs w:val="16"/>
              </w:rPr>
              <w:t>1,9</w:t>
            </w:r>
          </w:p>
        </w:tc>
        <w:tc>
          <w:tcPr>
            <w:tcW w:w="595" w:type="dxa"/>
            <w:tcBorders>
              <w:top w:val="nil"/>
              <w:left w:val="nil"/>
              <w:bottom w:val="nil"/>
              <w:right w:val="nil"/>
            </w:tcBorders>
            <w:shd w:val="clear" w:color="auto" w:fill="auto"/>
            <w:noWrap/>
            <w:vAlign w:val="center"/>
            <w:hideMark/>
          </w:tcPr>
          <w:p w14:paraId="33432560" w14:textId="03A535D8" w:rsidR="00A9687B" w:rsidRPr="00D92E20" w:rsidRDefault="00A9687B" w:rsidP="00A9687B">
            <w:pPr>
              <w:spacing w:after="0" w:line="240" w:lineRule="auto"/>
              <w:jc w:val="center"/>
              <w:rPr>
                <w:rFonts w:cs="Arial"/>
                <w:color w:val="000000"/>
                <w:sz w:val="16"/>
                <w:szCs w:val="16"/>
              </w:rPr>
            </w:pPr>
            <w:r>
              <w:rPr>
                <w:rFonts w:cs="Arial"/>
                <w:sz w:val="16"/>
                <w:szCs w:val="16"/>
              </w:rPr>
              <w:t>1,7</w:t>
            </w:r>
          </w:p>
        </w:tc>
        <w:tc>
          <w:tcPr>
            <w:tcW w:w="595" w:type="dxa"/>
            <w:tcBorders>
              <w:top w:val="nil"/>
              <w:left w:val="nil"/>
              <w:bottom w:val="nil"/>
              <w:right w:val="nil"/>
            </w:tcBorders>
            <w:shd w:val="clear" w:color="auto" w:fill="auto"/>
            <w:noWrap/>
            <w:vAlign w:val="center"/>
            <w:hideMark/>
          </w:tcPr>
          <w:p w14:paraId="31FD9643" w14:textId="08391EC2" w:rsidR="00A9687B" w:rsidRPr="00D92E20" w:rsidRDefault="00A9687B" w:rsidP="00A9687B">
            <w:pPr>
              <w:spacing w:after="0" w:line="240" w:lineRule="auto"/>
              <w:jc w:val="center"/>
              <w:rPr>
                <w:rFonts w:cs="Arial"/>
                <w:color w:val="000000"/>
                <w:sz w:val="16"/>
                <w:szCs w:val="16"/>
              </w:rPr>
            </w:pPr>
            <w:r>
              <w:rPr>
                <w:rFonts w:cs="Arial"/>
                <w:sz w:val="16"/>
                <w:szCs w:val="16"/>
              </w:rPr>
              <w:t>1,9</w:t>
            </w:r>
          </w:p>
        </w:tc>
        <w:tc>
          <w:tcPr>
            <w:tcW w:w="595" w:type="dxa"/>
            <w:tcBorders>
              <w:top w:val="nil"/>
              <w:left w:val="nil"/>
              <w:bottom w:val="nil"/>
              <w:right w:val="nil"/>
            </w:tcBorders>
            <w:shd w:val="clear" w:color="auto" w:fill="auto"/>
            <w:noWrap/>
            <w:vAlign w:val="center"/>
            <w:hideMark/>
          </w:tcPr>
          <w:p w14:paraId="687A5FA1" w14:textId="2DE84955" w:rsidR="00A9687B" w:rsidRPr="00D92E20" w:rsidRDefault="00A9687B" w:rsidP="00A9687B">
            <w:pPr>
              <w:spacing w:after="0" w:line="240" w:lineRule="auto"/>
              <w:jc w:val="center"/>
              <w:rPr>
                <w:rFonts w:cs="Arial"/>
                <w:color w:val="000000"/>
                <w:sz w:val="16"/>
                <w:szCs w:val="16"/>
              </w:rPr>
            </w:pPr>
            <w:r>
              <w:rPr>
                <w:rFonts w:cs="Arial"/>
                <w:color w:val="000000"/>
                <w:sz w:val="16"/>
                <w:szCs w:val="16"/>
              </w:rPr>
              <w:t>1,8</w:t>
            </w:r>
          </w:p>
        </w:tc>
        <w:tc>
          <w:tcPr>
            <w:tcW w:w="595" w:type="dxa"/>
            <w:tcBorders>
              <w:top w:val="nil"/>
              <w:left w:val="nil"/>
              <w:bottom w:val="nil"/>
              <w:right w:val="nil"/>
            </w:tcBorders>
            <w:shd w:val="clear" w:color="auto" w:fill="auto"/>
            <w:noWrap/>
            <w:vAlign w:val="center"/>
            <w:hideMark/>
          </w:tcPr>
          <w:p w14:paraId="39B394C8" w14:textId="3DF8CACB" w:rsidR="00A9687B" w:rsidRPr="00D92E20" w:rsidRDefault="00A9687B" w:rsidP="00A9687B">
            <w:pPr>
              <w:spacing w:after="0" w:line="240" w:lineRule="auto"/>
              <w:jc w:val="center"/>
              <w:rPr>
                <w:rFonts w:cs="Arial"/>
                <w:color w:val="000000"/>
                <w:sz w:val="16"/>
                <w:szCs w:val="16"/>
              </w:rPr>
            </w:pPr>
            <w:r>
              <w:rPr>
                <w:rFonts w:cs="Arial"/>
                <w:color w:val="000000"/>
                <w:sz w:val="16"/>
                <w:szCs w:val="16"/>
              </w:rPr>
              <w:t>1,9</w:t>
            </w:r>
          </w:p>
        </w:tc>
        <w:tc>
          <w:tcPr>
            <w:tcW w:w="595" w:type="dxa"/>
            <w:tcBorders>
              <w:top w:val="nil"/>
              <w:left w:val="nil"/>
              <w:bottom w:val="nil"/>
              <w:right w:val="nil"/>
            </w:tcBorders>
            <w:shd w:val="clear" w:color="auto" w:fill="auto"/>
            <w:noWrap/>
            <w:vAlign w:val="center"/>
            <w:hideMark/>
          </w:tcPr>
          <w:p w14:paraId="395F88B6" w14:textId="736F21B1" w:rsidR="00A9687B" w:rsidRPr="00D92E20" w:rsidRDefault="00A9687B" w:rsidP="00A9687B">
            <w:pPr>
              <w:spacing w:after="0" w:line="240" w:lineRule="auto"/>
              <w:jc w:val="center"/>
              <w:rPr>
                <w:rFonts w:cs="Arial"/>
                <w:color w:val="000000"/>
                <w:sz w:val="16"/>
                <w:szCs w:val="16"/>
              </w:rPr>
            </w:pPr>
            <w:r>
              <w:rPr>
                <w:rFonts w:cs="Arial"/>
                <w:color w:val="000000"/>
                <w:sz w:val="16"/>
                <w:szCs w:val="16"/>
              </w:rPr>
              <w:t>2,0</w:t>
            </w:r>
          </w:p>
        </w:tc>
        <w:tc>
          <w:tcPr>
            <w:tcW w:w="595" w:type="dxa"/>
            <w:tcBorders>
              <w:top w:val="nil"/>
              <w:left w:val="nil"/>
              <w:bottom w:val="nil"/>
              <w:right w:val="nil"/>
            </w:tcBorders>
            <w:shd w:val="clear" w:color="auto" w:fill="auto"/>
            <w:noWrap/>
            <w:vAlign w:val="center"/>
            <w:hideMark/>
          </w:tcPr>
          <w:p w14:paraId="210C6F9B" w14:textId="23E3B344" w:rsidR="00A9687B" w:rsidRPr="00D92E20" w:rsidRDefault="00A9687B" w:rsidP="00A9687B">
            <w:pPr>
              <w:spacing w:after="0" w:line="240" w:lineRule="auto"/>
              <w:jc w:val="center"/>
              <w:rPr>
                <w:rFonts w:cs="Arial"/>
                <w:color w:val="000000"/>
                <w:sz w:val="16"/>
                <w:szCs w:val="16"/>
              </w:rPr>
            </w:pPr>
            <w:r>
              <w:rPr>
                <w:rFonts w:cs="Arial"/>
                <w:color w:val="000000"/>
                <w:sz w:val="16"/>
                <w:szCs w:val="16"/>
              </w:rPr>
              <w:t>2,0</w:t>
            </w:r>
          </w:p>
        </w:tc>
        <w:tc>
          <w:tcPr>
            <w:tcW w:w="595" w:type="dxa"/>
            <w:tcBorders>
              <w:top w:val="nil"/>
              <w:left w:val="nil"/>
              <w:bottom w:val="nil"/>
              <w:right w:val="nil"/>
            </w:tcBorders>
            <w:shd w:val="clear" w:color="auto" w:fill="auto"/>
            <w:noWrap/>
            <w:vAlign w:val="center"/>
            <w:hideMark/>
          </w:tcPr>
          <w:p w14:paraId="75225DB4" w14:textId="317B0F3C" w:rsidR="00A9687B" w:rsidRPr="00D92E20" w:rsidRDefault="00A9687B" w:rsidP="00A9687B">
            <w:pPr>
              <w:spacing w:after="0" w:line="240" w:lineRule="auto"/>
              <w:jc w:val="center"/>
              <w:rPr>
                <w:rFonts w:cs="Arial"/>
                <w:color w:val="000000"/>
                <w:sz w:val="16"/>
                <w:szCs w:val="16"/>
              </w:rPr>
            </w:pPr>
            <w:r>
              <w:rPr>
                <w:rFonts w:cs="Arial"/>
                <w:color w:val="000000"/>
                <w:sz w:val="16"/>
                <w:szCs w:val="16"/>
              </w:rPr>
              <w:t>1,9</w:t>
            </w:r>
          </w:p>
        </w:tc>
        <w:tc>
          <w:tcPr>
            <w:tcW w:w="595" w:type="dxa"/>
            <w:tcBorders>
              <w:top w:val="nil"/>
              <w:left w:val="nil"/>
              <w:bottom w:val="nil"/>
              <w:right w:val="nil"/>
            </w:tcBorders>
            <w:shd w:val="clear" w:color="auto" w:fill="auto"/>
            <w:noWrap/>
            <w:vAlign w:val="center"/>
            <w:hideMark/>
          </w:tcPr>
          <w:p w14:paraId="4271BEC6" w14:textId="10AB0F30" w:rsidR="00A9687B" w:rsidRPr="00D92E20" w:rsidRDefault="00A9687B" w:rsidP="00A9687B">
            <w:pPr>
              <w:spacing w:after="0" w:line="240" w:lineRule="auto"/>
              <w:jc w:val="center"/>
              <w:rPr>
                <w:rFonts w:cs="Arial"/>
                <w:color w:val="000000"/>
                <w:sz w:val="16"/>
                <w:szCs w:val="16"/>
              </w:rPr>
            </w:pPr>
            <w:r>
              <w:rPr>
                <w:rFonts w:cs="Arial"/>
                <w:color w:val="000000"/>
                <w:sz w:val="16"/>
                <w:szCs w:val="16"/>
              </w:rPr>
              <w:t>2,0</w:t>
            </w:r>
          </w:p>
        </w:tc>
        <w:tc>
          <w:tcPr>
            <w:tcW w:w="595" w:type="dxa"/>
            <w:tcBorders>
              <w:top w:val="nil"/>
              <w:left w:val="nil"/>
              <w:bottom w:val="nil"/>
              <w:right w:val="nil"/>
            </w:tcBorders>
            <w:shd w:val="clear" w:color="auto" w:fill="auto"/>
            <w:noWrap/>
            <w:vAlign w:val="center"/>
            <w:hideMark/>
          </w:tcPr>
          <w:p w14:paraId="20B0797D" w14:textId="7932E031" w:rsidR="00A9687B" w:rsidRPr="00D92E20" w:rsidRDefault="00A9687B" w:rsidP="00A9687B">
            <w:pPr>
              <w:spacing w:after="0" w:line="240" w:lineRule="auto"/>
              <w:jc w:val="center"/>
              <w:rPr>
                <w:rFonts w:cs="Arial"/>
                <w:color w:val="000000"/>
                <w:sz w:val="16"/>
                <w:szCs w:val="16"/>
              </w:rPr>
            </w:pPr>
            <w:r>
              <w:rPr>
                <w:rFonts w:cs="Arial"/>
                <w:color w:val="000000"/>
                <w:sz w:val="16"/>
                <w:szCs w:val="16"/>
              </w:rPr>
              <w:t>2,0</w:t>
            </w:r>
          </w:p>
        </w:tc>
      </w:tr>
      <w:tr w:rsidR="00A9687B" w:rsidRPr="00D92E20" w14:paraId="25164450"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5D80CE3A" w14:textId="77777777"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K – Peněžnictví a pojišťovnictví</w:t>
            </w:r>
          </w:p>
        </w:tc>
        <w:tc>
          <w:tcPr>
            <w:tcW w:w="595" w:type="dxa"/>
            <w:tcBorders>
              <w:top w:val="nil"/>
              <w:left w:val="nil"/>
              <w:bottom w:val="nil"/>
              <w:right w:val="nil"/>
            </w:tcBorders>
            <w:shd w:val="clear" w:color="auto" w:fill="auto"/>
            <w:noWrap/>
            <w:vAlign w:val="center"/>
            <w:hideMark/>
          </w:tcPr>
          <w:p w14:paraId="31746CF9" w14:textId="4BED317A" w:rsidR="00A9687B" w:rsidRPr="00D92E20" w:rsidRDefault="00A9687B" w:rsidP="00A9687B">
            <w:pPr>
              <w:spacing w:after="0" w:line="240" w:lineRule="auto"/>
              <w:jc w:val="center"/>
              <w:rPr>
                <w:rFonts w:cs="Arial"/>
                <w:color w:val="000000"/>
                <w:sz w:val="16"/>
                <w:szCs w:val="16"/>
              </w:rPr>
            </w:pPr>
            <w:r>
              <w:rPr>
                <w:rFonts w:cs="Arial"/>
                <w:sz w:val="16"/>
                <w:szCs w:val="16"/>
              </w:rPr>
              <w:t>2,4</w:t>
            </w:r>
          </w:p>
        </w:tc>
        <w:tc>
          <w:tcPr>
            <w:tcW w:w="595" w:type="dxa"/>
            <w:tcBorders>
              <w:top w:val="nil"/>
              <w:left w:val="nil"/>
              <w:bottom w:val="nil"/>
              <w:right w:val="nil"/>
            </w:tcBorders>
            <w:shd w:val="clear" w:color="auto" w:fill="auto"/>
            <w:noWrap/>
            <w:vAlign w:val="center"/>
            <w:hideMark/>
          </w:tcPr>
          <w:p w14:paraId="5A85677E" w14:textId="5D2D3132" w:rsidR="00A9687B" w:rsidRPr="00D92E20" w:rsidRDefault="00A9687B" w:rsidP="00A9687B">
            <w:pPr>
              <w:spacing w:after="0" w:line="240" w:lineRule="auto"/>
              <w:jc w:val="center"/>
              <w:rPr>
                <w:rFonts w:cs="Arial"/>
                <w:color w:val="000000"/>
                <w:sz w:val="16"/>
                <w:szCs w:val="16"/>
              </w:rPr>
            </w:pPr>
            <w:r>
              <w:rPr>
                <w:rFonts w:cs="Arial"/>
                <w:sz w:val="16"/>
                <w:szCs w:val="16"/>
              </w:rPr>
              <w:t>2,5</w:t>
            </w:r>
          </w:p>
        </w:tc>
        <w:tc>
          <w:tcPr>
            <w:tcW w:w="595" w:type="dxa"/>
            <w:tcBorders>
              <w:top w:val="nil"/>
              <w:left w:val="nil"/>
              <w:bottom w:val="nil"/>
              <w:right w:val="nil"/>
            </w:tcBorders>
            <w:shd w:val="clear" w:color="auto" w:fill="auto"/>
            <w:noWrap/>
            <w:vAlign w:val="center"/>
            <w:hideMark/>
          </w:tcPr>
          <w:p w14:paraId="4AE04136" w14:textId="0D097371" w:rsidR="00A9687B" w:rsidRPr="00D92E20" w:rsidRDefault="00A9687B" w:rsidP="00A9687B">
            <w:pPr>
              <w:spacing w:after="0" w:line="240" w:lineRule="auto"/>
              <w:jc w:val="center"/>
              <w:rPr>
                <w:rFonts w:cs="Arial"/>
                <w:color w:val="000000"/>
                <w:sz w:val="16"/>
                <w:szCs w:val="16"/>
              </w:rPr>
            </w:pPr>
            <w:r>
              <w:rPr>
                <w:rFonts w:cs="Arial"/>
                <w:sz w:val="16"/>
                <w:szCs w:val="16"/>
              </w:rPr>
              <w:t>2,4</w:t>
            </w:r>
          </w:p>
        </w:tc>
        <w:tc>
          <w:tcPr>
            <w:tcW w:w="595" w:type="dxa"/>
            <w:tcBorders>
              <w:top w:val="nil"/>
              <w:left w:val="nil"/>
              <w:bottom w:val="nil"/>
              <w:right w:val="nil"/>
            </w:tcBorders>
            <w:shd w:val="clear" w:color="auto" w:fill="auto"/>
            <w:noWrap/>
            <w:vAlign w:val="center"/>
            <w:hideMark/>
          </w:tcPr>
          <w:p w14:paraId="183298CD" w14:textId="5E8B0E7B" w:rsidR="00A9687B" w:rsidRPr="00D92E20" w:rsidRDefault="00A9687B" w:rsidP="00A9687B">
            <w:pPr>
              <w:spacing w:after="0" w:line="240" w:lineRule="auto"/>
              <w:jc w:val="center"/>
              <w:rPr>
                <w:rFonts w:cs="Arial"/>
                <w:color w:val="000000"/>
                <w:sz w:val="16"/>
                <w:szCs w:val="16"/>
              </w:rPr>
            </w:pPr>
            <w:r>
              <w:rPr>
                <w:rFonts w:cs="Arial"/>
                <w:sz w:val="16"/>
                <w:szCs w:val="16"/>
              </w:rPr>
              <w:t>2,8</w:t>
            </w:r>
          </w:p>
        </w:tc>
        <w:tc>
          <w:tcPr>
            <w:tcW w:w="595" w:type="dxa"/>
            <w:tcBorders>
              <w:top w:val="nil"/>
              <w:left w:val="nil"/>
              <w:bottom w:val="nil"/>
              <w:right w:val="nil"/>
            </w:tcBorders>
            <w:shd w:val="clear" w:color="auto" w:fill="auto"/>
            <w:noWrap/>
            <w:vAlign w:val="center"/>
            <w:hideMark/>
          </w:tcPr>
          <w:p w14:paraId="681C9E54" w14:textId="726F984E" w:rsidR="00A9687B" w:rsidRPr="00D92E20" w:rsidRDefault="00A9687B" w:rsidP="00A9687B">
            <w:pPr>
              <w:spacing w:after="0" w:line="240" w:lineRule="auto"/>
              <w:jc w:val="center"/>
              <w:rPr>
                <w:rFonts w:cs="Arial"/>
                <w:color w:val="000000"/>
                <w:sz w:val="16"/>
                <w:szCs w:val="16"/>
              </w:rPr>
            </w:pPr>
            <w:r>
              <w:rPr>
                <w:rFonts w:cs="Arial"/>
                <w:color w:val="000000"/>
                <w:sz w:val="16"/>
                <w:szCs w:val="16"/>
              </w:rPr>
              <w:t>2,7</w:t>
            </w:r>
          </w:p>
        </w:tc>
        <w:tc>
          <w:tcPr>
            <w:tcW w:w="595" w:type="dxa"/>
            <w:tcBorders>
              <w:top w:val="nil"/>
              <w:left w:val="nil"/>
              <w:bottom w:val="nil"/>
              <w:right w:val="nil"/>
            </w:tcBorders>
            <w:shd w:val="clear" w:color="auto" w:fill="auto"/>
            <w:noWrap/>
            <w:vAlign w:val="center"/>
            <w:hideMark/>
          </w:tcPr>
          <w:p w14:paraId="2CF2DCA6" w14:textId="3E4153A6" w:rsidR="00A9687B" w:rsidRPr="00D92E20" w:rsidRDefault="00A9687B" w:rsidP="00A9687B">
            <w:pPr>
              <w:spacing w:after="0" w:line="240" w:lineRule="auto"/>
              <w:jc w:val="center"/>
              <w:rPr>
                <w:rFonts w:cs="Arial"/>
                <w:color w:val="000000"/>
                <w:sz w:val="16"/>
                <w:szCs w:val="16"/>
              </w:rPr>
            </w:pPr>
            <w:r>
              <w:rPr>
                <w:rFonts w:cs="Arial"/>
                <w:color w:val="000000"/>
                <w:sz w:val="16"/>
                <w:szCs w:val="16"/>
              </w:rPr>
              <w:t>2,7</w:t>
            </w:r>
          </w:p>
        </w:tc>
        <w:tc>
          <w:tcPr>
            <w:tcW w:w="595" w:type="dxa"/>
            <w:tcBorders>
              <w:top w:val="nil"/>
              <w:left w:val="nil"/>
              <w:bottom w:val="nil"/>
              <w:right w:val="nil"/>
            </w:tcBorders>
            <w:shd w:val="clear" w:color="auto" w:fill="auto"/>
            <w:noWrap/>
            <w:vAlign w:val="center"/>
            <w:hideMark/>
          </w:tcPr>
          <w:p w14:paraId="7C07A7DD" w14:textId="1687618F" w:rsidR="00A9687B" w:rsidRPr="00D92E20" w:rsidRDefault="00A9687B" w:rsidP="00A9687B">
            <w:pPr>
              <w:spacing w:after="0" w:line="240" w:lineRule="auto"/>
              <w:jc w:val="center"/>
              <w:rPr>
                <w:rFonts w:cs="Arial"/>
                <w:color w:val="000000"/>
                <w:sz w:val="16"/>
                <w:szCs w:val="16"/>
              </w:rPr>
            </w:pPr>
            <w:r>
              <w:rPr>
                <w:rFonts w:cs="Arial"/>
                <w:color w:val="000000"/>
                <w:sz w:val="16"/>
                <w:szCs w:val="16"/>
              </w:rPr>
              <w:t>2,8</w:t>
            </w:r>
          </w:p>
        </w:tc>
        <w:tc>
          <w:tcPr>
            <w:tcW w:w="595" w:type="dxa"/>
            <w:tcBorders>
              <w:top w:val="nil"/>
              <w:left w:val="nil"/>
              <w:bottom w:val="nil"/>
              <w:right w:val="nil"/>
            </w:tcBorders>
            <w:shd w:val="clear" w:color="auto" w:fill="auto"/>
            <w:noWrap/>
            <w:vAlign w:val="center"/>
            <w:hideMark/>
          </w:tcPr>
          <w:p w14:paraId="4CBFC823" w14:textId="0DA6DB5A" w:rsidR="00A9687B" w:rsidRPr="00D92E20" w:rsidRDefault="00A9687B" w:rsidP="00A9687B">
            <w:pPr>
              <w:spacing w:after="0" w:line="240" w:lineRule="auto"/>
              <w:jc w:val="center"/>
              <w:rPr>
                <w:rFonts w:cs="Arial"/>
                <w:color w:val="000000"/>
                <w:sz w:val="16"/>
                <w:szCs w:val="16"/>
              </w:rPr>
            </w:pPr>
            <w:r>
              <w:rPr>
                <w:rFonts w:cs="Arial"/>
                <w:color w:val="000000"/>
                <w:sz w:val="16"/>
                <w:szCs w:val="16"/>
              </w:rPr>
              <w:t>2,7</w:t>
            </w:r>
          </w:p>
        </w:tc>
        <w:tc>
          <w:tcPr>
            <w:tcW w:w="595" w:type="dxa"/>
            <w:tcBorders>
              <w:top w:val="nil"/>
              <w:left w:val="nil"/>
              <w:bottom w:val="nil"/>
              <w:right w:val="nil"/>
            </w:tcBorders>
            <w:shd w:val="clear" w:color="auto" w:fill="auto"/>
            <w:noWrap/>
            <w:vAlign w:val="center"/>
            <w:hideMark/>
          </w:tcPr>
          <w:p w14:paraId="746DD47B" w14:textId="266A2A00" w:rsidR="00A9687B" w:rsidRPr="00D92E20" w:rsidRDefault="00A9687B" w:rsidP="00A9687B">
            <w:pPr>
              <w:spacing w:after="0" w:line="240" w:lineRule="auto"/>
              <w:jc w:val="center"/>
              <w:rPr>
                <w:rFonts w:cs="Arial"/>
                <w:color w:val="000000"/>
                <w:sz w:val="16"/>
                <w:szCs w:val="16"/>
              </w:rPr>
            </w:pPr>
            <w:r>
              <w:rPr>
                <w:rFonts w:cs="Arial"/>
                <w:color w:val="000000"/>
                <w:sz w:val="16"/>
                <w:szCs w:val="16"/>
              </w:rPr>
              <w:t>2,8</w:t>
            </w:r>
          </w:p>
        </w:tc>
        <w:tc>
          <w:tcPr>
            <w:tcW w:w="595" w:type="dxa"/>
            <w:tcBorders>
              <w:top w:val="nil"/>
              <w:left w:val="nil"/>
              <w:bottom w:val="nil"/>
              <w:right w:val="nil"/>
            </w:tcBorders>
            <w:shd w:val="clear" w:color="auto" w:fill="auto"/>
            <w:noWrap/>
            <w:vAlign w:val="center"/>
            <w:hideMark/>
          </w:tcPr>
          <w:p w14:paraId="347D76DC" w14:textId="32D04DCD" w:rsidR="00A9687B" w:rsidRPr="00D92E20" w:rsidRDefault="00A9687B" w:rsidP="00A9687B">
            <w:pPr>
              <w:spacing w:after="0" w:line="240" w:lineRule="auto"/>
              <w:jc w:val="center"/>
              <w:rPr>
                <w:rFonts w:cs="Arial"/>
                <w:color w:val="000000"/>
                <w:sz w:val="16"/>
                <w:szCs w:val="16"/>
              </w:rPr>
            </w:pPr>
            <w:r>
              <w:rPr>
                <w:rFonts w:cs="Arial"/>
                <w:color w:val="000000"/>
                <w:sz w:val="16"/>
                <w:szCs w:val="16"/>
              </w:rPr>
              <w:t>2,9</w:t>
            </w:r>
          </w:p>
        </w:tc>
        <w:tc>
          <w:tcPr>
            <w:tcW w:w="595" w:type="dxa"/>
            <w:tcBorders>
              <w:top w:val="nil"/>
              <w:left w:val="nil"/>
              <w:bottom w:val="nil"/>
              <w:right w:val="nil"/>
            </w:tcBorders>
            <w:shd w:val="clear" w:color="auto" w:fill="auto"/>
            <w:noWrap/>
            <w:vAlign w:val="center"/>
            <w:hideMark/>
          </w:tcPr>
          <w:p w14:paraId="4C459948" w14:textId="132C4BAB" w:rsidR="00A9687B" w:rsidRPr="00D92E20" w:rsidRDefault="00A9687B" w:rsidP="00A9687B">
            <w:pPr>
              <w:spacing w:after="0" w:line="240" w:lineRule="auto"/>
              <w:jc w:val="center"/>
              <w:rPr>
                <w:rFonts w:cs="Arial"/>
                <w:color w:val="000000"/>
                <w:sz w:val="16"/>
                <w:szCs w:val="16"/>
              </w:rPr>
            </w:pPr>
            <w:r>
              <w:rPr>
                <w:rFonts w:cs="Arial"/>
                <w:color w:val="000000"/>
                <w:sz w:val="16"/>
                <w:szCs w:val="16"/>
              </w:rPr>
              <w:t>2,7</w:t>
            </w:r>
          </w:p>
        </w:tc>
      </w:tr>
      <w:tr w:rsidR="00A9687B" w:rsidRPr="00D92E20" w14:paraId="2450DBF4"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62476CC7" w14:textId="77777777"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L – Činnosti v oblasti nemovitostí</w:t>
            </w:r>
          </w:p>
        </w:tc>
        <w:tc>
          <w:tcPr>
            <w:tcW w:w="595" w:type="dxa"/>
            <w:tcBorders>
              <w:top w:val="nil"/>
              <w:left w:val="nil"/>
              <w:bottom w:val="nil"/>
              <w:right w:val="nil"/>
            </w:tcBorders>
            <w:shd w:val="clear" w:color="auto" w:fill="auto"/>
            <w:noWrap/>
            <w:vAlign w:val="center"/>
            <w:hideMark/>
          </w:tcPr>
          <w:p w14:paraId="69250594" w14:textId="601A3726" w:rsidR="00A9687B" w:rsidRPr="00D92E20" w:rsidRDefault="00A9687B" w:rsidP="00A9687B">
            <w:pPr>
              <w:spacing w:after="0" w:line="240" w:lineRule="auto"/>
              <w:jc w:val="center"/>
              <w:rPr>
                <w:rFonts w:cs="Arial"/>
                <w:color w:val="000000"/>
                <w:sz w:val="16"/>
                <w:szCs w:val="16"/>
              </w:rPr>
            </w:pPr>
            <w:r>
              <w:rPr>
                <w:rFonts w:cs="Arial"/>
                <w:sz w:val="16"/>
                <w:szCs w:val="16"/>
              </w:rPr>
              <w:t>2,3</w:t>
            </w:r>
          </w:p>
        </w:tc>
        <w:tc>
          <w:tcPr>
            <w:tcW w:w="595" w:type="dxa"/>
            <w:tcBorders>
              <w:top w:val="nil"/>
              <w:left w:val="nil"/>
              <w:bottom w:val="nil"/>
              <w:right w:val="nil"/>
            </w:tcBorders>
            <w:shd w:val="clear" w:color="auto" w:fill="auto"/>
            <w:noWrap/>
            <w:vAlign w:val="center"/>
            <w:hideMark/>
          </w:tcPr>
          <w:p w14:paraId="4C53DF33" w14:textId="09697CFB" w:rsidR="00A9687B" w:rsidRPr="00D92E20" w:rsidRDefault="00A9687B" w:rsidP="00A9687B">
            <w:pPr>
              <w:spacing w:after="0" w:line="240" w:lineRule="auto"/>
              <w:jc w:val="center"/>
              <w:rPr>
                <w:rFonts w:cs="Arial"/>
                <w:color w:val="000000"/>
                <w:sz w:val="16"/>
                <w:szCs w:val="16"/>
              </w:rPr>
            </w:pPr>
            <w:r>
              <w:rPr>
                <w:rFonts w:cs="Arial"/>
                <w:sz w:val="16"/>
                <w:szCs w:val="16"/>
              </w:rPr>
              <w:t>2,4</w:t>
            </w:r>
          </w:p>
        </w:tc>
        <w:tc>
          <w:tcPr>
            <w:tcW w:w="595" w:type="dxa"/>
            <w:tcBorders>
              <w:top w:val="nil"/>
              <w:left w:val="nil"/>
              <w:bottom w:val="nil"/>
              <w:right w:val="nil"/>
            </w:tcBorders>
            <w:shd w:val="clear" w:color="auto" w:fill="auto"/>
            <w:noWrap/>
            <w:vAlign w:val="center"/>
            <w:hideMark/>
          </w:tcPr>
          <w:p w14:paraId="48A67899" w14:textId="3B699F8D" w:rsidR="00A9687B" w:rsidRPr="00D92E20" w:rsidRDefault="00A9687B" w:rsidP="00A9687B">
            <w:pPr>
              <w:spacing w:after="0" w:line="240" w:lineRule="auto"/>
              <w:jc w:val="center"/>
              <w:rPr>
                <w:rFonts w:cs="Arial"/>
                <w:color w:val="000000"/>
                <w:sz w:val="16"/>
                <w:szCs w:val="16"/>
              </w:rPr>
            </w:pPr>
            <w:r>
              <w:rPr>
                <w:rFonts w:cs="Arial"/>
                <w:sz w:val="16"/>
                <w:szCs w:val="16"/>
              </w:rPr>
              <w:t>2,2</w:t>
            </w:r>
          </w:p>
        </w:tc>
        <w:tc>
          <w:tcPr>
            <w:tcW w:w="595" w:type="dxa"/>
            <w:tcBorders>
              <w:top w:val="nil"/>
              <w:left w:val="nil"/>
              <w:bottom w:val="nil"/>
              <w:right w:val="nil"/>
            </w:tcBorders>
            <w:shd w:val="clear" w:color="auto" w:fill="auto"/>
            <w:noWrap/>
            <w:vAlign w:val="center"/>
            <w:hideMark/>
          </w:tcPr>
          <w:p w14:paraId="356D73F4" w14:textId="4316FC31" w:rsidR="00A9687B" w:rsidRPr="00D92E20" w:rsidRDefault="00A9687B" w:rsidP="00A9687B">
            <w:pPr>
              <w:spacing w:after="0" w:line="240" w:lineRule="auto"/>
              <w:jc w:val="center"/>
              <w:rPr>
                <w:rFonts w:cs="Arial"/>
                <w:color w:val="000000"/>
                <w:sz w:val="16"/>
                <w:szCs w:val="16"/>
              </w:rPr>
            </w:pPr>
            <w:r>
              <w:rPr>
                <w:rFonts w:cs="Arial"/>
                <w:sz w:val="16"/>
                <w:szCs w:val="16"/>
              </w:rPr>
              <w:t>2,4</w:t>
            </w:r>
          </w:p>
        </w:tc>
        <w:tc>
          <w:tcPr>
            <w:tcW w:w="595" w:type="dxa"/>
            <w:tcBorders>
              <w:top w:val="nil"/>
              <w:left w:val="nil"/>
              <w:bottom w:val="nil"/>
              <w:right w:val="nil"/>
            </w:tcBorders>
            <w:shd w:val="clear" w:color="auto" w:fill="auto"/>
            <w:noWrap/>
            <w:vAlign w:val="center"/>
            <w:hideMark/>
          </w:tcPr>
          <w:p w14:paraId="43062079" w14:textId="195A93F1" w:rsidR="00A9687B" w:rsidRPr="00D92E20" w:rsidRDefault="00A9687B" w:rsidP="00A9687B">
            <w:pPr>
              <w:spacing w:after="0" w:line="240" w:lineRule="auto"/>
              <w:jc w:val="center"/>
              <w:rPr>
                <w:rFonts w:cs="Arial"/>
                <w:color w:val="000000"/>
                <w:sz w:val="16"/>
                <w:szCs w:val="16"/>
              </w:rPr>
            </w:pPr>
            <w:r>
              <w:rPr>
                <w:rFonts w:cs="Arial"/>
                <w:color w:val="000000"/>
                <w:sz w:val="16"/>
                <w:szCs w:val="16"/>
              </w:rPr>
              <w:t>2,4</w:t>
            </w:r>
          </w:p>
        </w:tc>
        <w:tc>
          <w:tcPr>
            <w:tcW w:w="595" w:type="dxa"/>
            <w:tcBorders>
              <w:top w:val="nil"/>
              <w:left w:val="nil"/>
              <w:bottom w:val="nil"/>
              <w:right w:val="nil"/>
            </w:tcBorders>
            <w:shd w:val="clear" w:color="auto" w:fill="auto"/>
            <w:noWrap/>
            <w:vAlign w:val="center"/>
            <w:hideMark/>
          </w:tcPr>
          <w:p w14:paraId="5D188AB6" w14:textId="329046E2" w:rsidR="00A9687B" w:rsidRPr="00D92E20" w:rsidRDefault="00A9687B" w:rsidP="00A9687B">
            <w:pPr>
              <w:spacing w:after="0" w:line="240" w:lineRule="auto"/>
              <w:jc w:val="center"/>
              <w:rPr>
                <w:rFonts w:cs="Arial"/>
                <w:color w:val="000000"/>
                <w:sz w:val="16"/>
                <w:szCs w:val="16"/>
              </w:rPr>
            </w:pPr>
            <w:r>
              <w:rPr>
                <w:rFonts w:cs="Arial"/>
                <w:color w:val="000000"/>
                <w:sz w:val="16"/>
                <w:szCs w:val="16"/>
              </w:rPr>
              <w:t>2,4</w:t>
            </w:r>
          </w:p>
        </w:tc>
        <w:tc>
          <w:tcPr>
            <w:tcW w:w="595" w:type="dxa"/>
            <w:tcBorders>
              <w:top w:val="nil"/>
              <w:left w:val="nil"/>
              <w:bottom w:val="nil"/>
              <w:right w:val="nil"/>
            </w:tcBorders>
            <w:shd w:val="clear" w:color="auto" w:fill="auto"/>
            <w:noWrap/>
            <w:vAlign w:val="center"/>
            <w:hideMark/>
          </w:tcPr>
          <w:p w14:paraId="118E5045" w14:textId="596575F3" w:rsidR="00A9687B" w:rsidRPr="00D92E20" w:rsidRDefault="00A9687B" w:rsidP="00A9687B">
            <w:pPr>
              <w:spacing w:after="0" w:line="240" w:lineRule="auto"/>
              <w:jc w:val="center"/>
              <w:rPr>
                <w:rFonts w:cs="Arial"/>
                <w:color w:val="000000"/>
                <w:sz w:val="16"/>
                <w:szCs w:val="16"/>
              </w:rPr>
            </w:pPr>
            <w:r>
              <w:rPr>
                <w:rFonts w:cs="Arial"/>
                <w:color w:val="000000"/>
                <w:sz w:val="16"/>
                <w:szCs w:val="16"/>
              </w:rPr>
              <w:t>2,5</w:t>
            </w:r>
          </w:p>
        </w:tc>
        <w:tc>
          <w:tcPr>
            <w:tcW w:w="595" w:type="dxa"/>
            <w:tcBorders>
              <w:top w:val="nil"/>
              <w:left w:val="nil"/>
              <w:bottom w:val="nil"/>
              <w:right w:val="nil"/>
            </w:tcBorders>
            <w:shd w:val="clear" w:color="auto" w:fill="auto"/>
            <w:noWrap/>
            <w:vAlign w:val="center"/>
            <w:hideMark/>
          </w:tcPr>
          <w:p w14:paraId="1BAA2CFA" w14:textId="2F4C9F3E" w:rsidR="00A9687B" w:rsidRPr="00D92E20" w:rsidRDefault="00A9687B" w:rsidP="00A9687B">
            <w:pPr>
              <w:spacing w:after="0" w:line="240" w:lineRule="auto"/>
              <w:jc w:val="center"/>
              <w:rPr>
                <w:rFonts w:cs="Arial"/>
                <w:color w:val="000000"/>
                <w:sz w:val="16"/>
                <w:szCs w:val="16"/>
              </w:rPr>
            </w:pPr>
            <w:r>
              <w:rPr>
                <w:rFonts w:cs="Arial"/>
                <w:color w:val="000000"/>
                <w:sz w:val="16"/>
                <w:szCs w:val="16"/>
              </w:rPr>
              <w:t>2,7</w:t>
            </w:r>
          </w:p>
        </w:tc>
        <w:tc>
          <w:tcPr>
            <w:tcW w:w="595" w:type="dxa"/>
            <w:tcBorders>
              <w:top w:val="nil"/>
              <w:left w:val="nil"/>
              <w:bottom w:val="nil"/>
              <w:right w:val="nil"/>
            </w:tcBorders>
            <w:shd w:val="clear" w:color="auto" w:fill="auto"/>
            <w:noWrap/>
            <w:vAlign w:val="center"/>
            <w:hideMark/>
          </w:tcPr>
          <w:p w14:paraId="6A8C385A" w14:textId="115A28D7" w:rsidR="00A9687B" w:rsidRPr="00D92E20" w:rsidRDefault="00A9687B" w:rsidP="00A9687B">
            <w:pPr>
              <w:spacing w:after="0" w:line="240" w:lineRule="auto"/>
              <w:jc w:val="center"/>
              <w:rPr>
                <w:rFonts w:cs="Arial"/>
                <w:color w:val="000000"/>
                <w:sz w:val="16"/>
                <w:szCs w:val="16"/>
              </w:rPr>
            </w:pPr>
            <w:r>
              <w:rPr>
                <w:rFonts w:cs="Arial"/>
                <w:color w:val="000000"/>
                <w:sz w:val="16"/>
                <w:szCs w:val="16"/>
              </w:rPr>
              <w:t>3,1</w:t>
            </w:r>
          </w:p>
        </w:tc>
        <w:tc>
          <w:tcPr>
            <w:tcW w:w="595" w:type="dxa"/>
            <w:tcBorders>
              <w:top w:val="nil"/>
              <w:left w:val="nil"/>
              <w:bottom w:val="nil"/>
              <w:right w:val="nil"/>
            </w:tcBorders>
            <w:shd w:val="clear" w:color="auto" w:fill="auto"/>
            <w:noWrap/>
            <w:vAlign w:val="center"/>
            <w:hideMark/>
          </w:tcPr>
          <w:p w14:paraId="205AC41E" w14:textId="2C8B2E18" w:rsidR="00A9687B" w:rsidRPr="00D92E20" w:rsidRDefault="00A9687B" w:rsidP="00A9687B">
            <w:pPr>
              <w:spacing w:after="0" w:line="240" w:lineRule="auto"/>
              <w:jc w:val="center"/>
              <w:rPr>
                <w:rFonts w:cs="Arial"/>
                <w:color w:val="000000"/>
                <w:sz w:val="16"/>
                <w:szCs w:val="16"/>
              </w:rPr>
            </w:pPr>
            <w:r>
              <w:rPr>
                <w:rFonts w:cs="Arial"/>
                <w:color w:val="000000"/>
                <w:sz w:val="16"/>
                <w:szCs w:val="16"/>
              </w:rPr>
              <w:t>3,3</w:t>
            </w:r>
          </w:p>
        </w:tc>
        <w:tc>
          <w:tcPr>
            <w:tcW w:w="595" w:type="dxa"/>
            <w:tcBorders>
              <w:top w:val="nil"/>
              <w:left w:val="nil"/>
              <w:bottom w:val="nil"/>
              <w:right w:val="nil"/>
            </w:tcBorders>
            <w:shd w:val="clear" w:color="auto" w:fill="auto"/>
            <w:noWrap/>
            <w:vAlign w:val="center"/>
            <w:hideMark/>
          </w:tcPr>
          <w:p w14:paraId="55226A32" w14:textId="6DA0C37B" w:rsidR="00A9687B" w:rsidRPr="00D92E20" w:rsidRDefault="00A9687B" w:rsidP="00A9687B">
            <w:pPr>
              <w:spacing w:after="0" w:line="240" w:lineRule="auto"/>
              <w:jc w:val="center"/>
              <w:rPr>
                <w:rFonts w:cs="Arial"/>
                <w:color w:val="000000"/>
                <w:sz w:val="16"/>
                <w:szCs w:val="16"/>
              </w:rPr>
            </w:pPr>
            <w:r>
              <w:rPr>
                <w:rFonts w:cs="Arial"/>
                <w:color w:val="000000"/>
                <w:sz w:val="16"/>
                <w:szCs w:val="16"/>
              </w:rPr>
              <w:t>3,2</w:t>
            </w:r>
          </w:p>
        </w:tc>
      </w:tr>
      <w:tr w:rsidR="00A9687B" w:rsidRPr="00D92E20" w14:paraId="49E3D586"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2AE19BF1" w14:textId="77777777" w:rsidR="00A9687B"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 xml:space="preserve">M – Profesní, vědecké a technické </w:t>
            </w:r>
          </w:p>
          <w:p w14:paraId="4D12E6AC" w14:textId="7420E743" w:rsidR="00A9687B" w:rsidRPr="00D92E20" w:rsidRDefault="00A9687B" w:rsidP="00A9687B">
            <w:pPr>
              <w:spacing w:after="0" w:line="240" w:lineRule="auto"/>
              <w:ind w:firstLineChars="100" w:firstLine="160"/>
              <w:rPr>
                <w:rFonts w:cs="Arial"/>
                <w:color w:val="000000"/>
                <w:sz w:val="16"/>
                <w:szCs w:val="16"/>
              </w:rPr>
            </w:pPr>
            <w:r>
              <w:rPr>
                <w:rFonts w:cs="Arial"/>
                <w:color w:val="000000"/>
                <w:sz w:val="16"/>
                <w:szCs w:val="16"/>
              </w:rPr>
              <w:t xml:space="preserve">       </w:t>
            </w:r>
            <w:r w:rsidRPr="00D92E20">
              <w:rPr>
                <w:rFonts w:cs="Arial"/>
                <w:color w:val="000000"/>
                <w:sz w:val="16"/>
                <w:szCs w:val="16"/>
              </w:rPr>
              <w:t>činnosti</w:t>
            </w:r>
          </w:p>
        </w:tc>
        <w:tc>
          <w:tcPr>
            <w:tcW w:w="595" w:type="dxa"/>
            <w:tcBorders>
              <w:top w:val="nil"/>
              <w:left w:val="nil"/>
              <w:bottom w:val="nil"/>
              <w:right w:val="nil"/>
            </w:tcBorders>
            <w:shd w:val="clear" w:color="auto" w:fill="auto"/>
            <w:noWrap/>
            <w:vAlign w:val="center"/>
            <w:hideMark/>
          </w:tcPr>
          <w:p w14:paraId="692835D0" w14:textId="5D8E84B2" w:rsidR="00A9687B" w:rsidRPr="00D92E20" w:rsidRDefault="00A9687B" w:rsidP="00A9687B">
            <w:pPr>
              <w:spacing w:after="0" w:line="240" w:lineRule="auto"/>
              <w:jc w:val="center"/>
              <w:rPr>
                <w:rFonts w:cs="Arial"/>
                <w:color w:val="000000"/>
                <w:sz w:val="16"/>
                <w:szCs w:val="16"/>
              </w:rPr>
            </w:pPr>
            <w:r>
              <w:rPr>
                <w:rFonts w:cs="Arial"/>
                <w:sz w:val="16"/>
                <w:szCs w:val="16"/>
              </w:rPr>
              <w:t>2,2</w:t>
            </w:r>
          </w:p>
        </w:tc>
        <w:tc>
          <w:tcPr>
            <w:tcW w:w="595" w:type="dxa"/>
            <w:tcBorders>
              <w:top w:val="nil"/>
              <w:left w:val="nil"/>
              <w:bottom w:val="nil"/>
              <w:right w:val="nil"/>
            </w:tcBorders>
            <w:shd w:val="clear" w:color="auto" w:fill="auto"/>
            <w:noWrap/>
            <w:vAlign w:val="center"/>
            <w:hideMark/>
          </w:tcPr>
          <w:p w14:paraId="46A56AE4" w14:textId="0287ECB3" w:rsidR="00A9687B" w:rsidRPr="00D92E20" w:rsidRDefault="00A9687B" w:rsidP="00A9687B">
            <w:pPr>
              <w:spacing w:after="0" w:line="240" w:lineRule="auto"/>
              <w:jc w:val="center"/>
              <w:rPr>
                <w:rFonts w:cs="Arial"/>
                <w:color w:val="000000"/>
                <w:sz w:val="16"/>
                <w:szCs w:val="16"/>
              </w:rPr>
            </w:pPr>
            <w:r>
              <w:rPr>
                <w:rFonts w:cs="Arial"/>
                <w:sz w:val="16"/>
                <w:szCs w:val="16"/>
              </w:rPr>
              <w:t>2,4</w:t>
            </w:r>
          </w:p>
        </w:tc>
        <w:tc>
          <w:tcPr>
            <w:tcW w:w="595" w:type="dxa"/>
            <w:tcBorders>
              <w:top w:val="nil"/>
              <w:left w:val="nil"/>
              <w:bottom w:val="nil"/>
              <w:right w:val="nil"/>
            </w:tcBorders>
            <w:shd w:val="clear" w:color="auto" w:fill="auto"/>
            <w:noWrap/>
            <w:vAlign w:val="center"/>
            <w:hideMark/>
          </w:tcPr>
          <w:p w14:paraId="5302901B" w14:textId="3DDE9CDC" w:rsidR="00A9687B" w:rsidRPr="00D92E20" w:rsidRDefault="00A9687B" w:rsidP="00A9687B">
            <w:pPr>
              <w:spacing w:after="0" w:line="240" w:lineRule="auto"/>
              <w:jc w:val="center"/>
              <w:rPr>
                <w:rFonts w:cs="Arial"/>
                <w:color w:val="000000"/>
                <w:sz w:val="16"/>
                <w:szCs w:val="16"/>
              </w:rPr>
            </w:pPr>
            <w:r>
              <w:rPr>
                <w:rFonts w:cs="Arial"/>
                <w:sz w:val="16"/>
                <w:szCs w:val="16"/>
              </w:rPr>
              <w:t>2,2</w:t>
            </w:r>
          </w:p>
        </w:tc>
        <w:tc>
          <w:tcPr>
            <w:tcW w:w="595" w:type="dxa"/>
            <w:tcBorders>
              <w:top w:val="nil"/>
              <w:left w:val="nil"/>
              <w:bottom w:val="nil"/>
              <w:right w:val="nil"/>
            </w:tcBorders>
            <w:shd w:val="clear" w:color="auto" w:fill="auto"/>
            <w:noWrap/>
            <w:vAlign w:val="center"/>
            <w:hideMark/>
          </w:tcPr>
          <w:p w14:paraId="245F4F80" w14:textId="19702C03" w:rsidR="00A9687B" w:rsidRPr="00D92E20" w:rsidRDefault="00A9687B" w:rsidP="00A9687B">
            <w:pPr>
              <w:spacing w:after="0" w:line="240" w:lineRule="auto"/>
              <w:jc w:val="center"/>
              <w:rPr>
                <w:rFonts w:cs="Arial"/>
                <w:color w:val="000000"/>
                <w:sz w:val="16"/>
                <w:szCs w:val="16"/>
              </w:rPr>
            </w:pPr>
            <w:r>
              <w:rPr>
                <w:rFonts w:cs="Arial"/>
                <w:sz w:val="16"/>
                <w:szCs w:val="16"/>
              </w:rPr>
              <w:t>2,4</w:t>
            </w:r>
          </w:p>
        </w:tc>
        <w:tc>
          <w:tcPr>
            <w:tcW w:w="595" w:type="dxa"/>
            <w:tcBorders>
              <w:top w:val="nil"/>
              <w:left w:val="nil"/>
              <w:bottom w:val="nil"/>
              <w:right w:val="nil"/>
            </w:tcBorders>
            <w:shd w:val="clear" w:color="auto" w:fill="auto"/>
            <w:noWrap/>
            <w:vAlign w:val="center"/>
            <w:hideMark/>
          </w:tcPr>
          <w:p w14:paraId="7779A65B" w14:textId="0477342C" w:rsidR="00A9687B" w:rsidRPr="00D92E20" w:rsidRDefault="00A9687B" w:rsidP="00A9687B">
            <w:pPr>
              <w:spacing w:after="0" w:line="240" w:lineRule="auto"/>
              <w:jc w:val="center"/>
              <w:rPr>
                <w:rFonts w:cs="Arial"/>
                <w:color w:val="000000"/>
                <w:sz w:val="16"/>
                <w:szCs w:val="16"/>
              </w:rPr>
            </w:pPr>
            <w:r>
              <w:rPr>
                <w:rFonts w:cs="Arial"/>
                <w:color w:val="000000"/>
                <w:sz w:val="16"/>
                <w:szCs w:val="16"/>
              </w:rPr>
              <w:t>2,4</w:t>
            </w:r>
          </w:p>
        </w:tc>
        <w:tc>
          <w:tcPr>
            <w:tcW w:w="595" w:type="dxa"/>
            <w:tcBorders>
              <w:top w:val="nil"/>
              <w:left w:val="nil"/>
              <w:bottom w:val="nil"/>
              <w:right w:val="nil"/>
            </w:tcBorders>
            <w:shd w:val="clear" w:color="auto" w:fill="auto"/>
            <w:noWrap/>
            <w:vAlign w:val="center"/>
            <w:hideMark/>
          </w:tcPr>
          <w:p w14:paraId="10EFEE7E" w14:textId="1F0A7ED9" w:rsidR="00A9687B" w:rsidRPr="00D92E20" w:rsidRDefault="00A9687B" w:rsidP="00A9687B">
            <w:pPr>
              <w:spacing w:after="0" w:line="240" w:lineRule="auto"/>
              <w:jc w:val="center"/>
              <w:rPr>
                <w:rFonts w:cs="Arial"/>
                <w:color w:val="000000"/>
                <w:sz w:val="16"/>
                <w:szCs w:val="16"/>
              </w:rPr>
            </w:pPr>
            <w:r>
              <w:rPr>
                <w:rFonts w:cs="Arial"/>
                <w:color w:val="000000"/>
                <w:sz w:val="16"/>
                <w:szCs w:val="16"/>
              </w:rPr>
              <w:t>2,5</w:t>
            </w:r>
          </w:p>
        </w:tc>
        <w:tc>
          <w:tcPr>
            <w:tcW w:w="595" w:type="dxa"/>
            <w:tcBorders>
              <w:top w:val="nil"/>
              <w:left w:val="nil"/>
              <w:bottom w:val="nil"/>
              <w:right w:val="nil"/>
            </w:tcBorders>
            <w:shd w:val="clear" w:color="auto" w:fill="auto"/>
            <w:noWrap/>
            <w:vAlign w:val="center"/>
            <w:hideMark/>
          </w:tcPr>
          <w:p w14:paraId="5F9D0DF2" w14:textId="55B93916" w:rsidR="00A9687B" w:rsidRPr="00D92E20" w:rsidRDefault="00A9687B" w:rsidP="00A9687B">
            <w:pPr>
              <w:spacing w:after="0" w:line="240" w:lineRule="auto"/>
              <w:jc w:val="center"/>
              <w:rPr>
                <w:rFonts w:cs="Arial"/>
                <w:color w:val="000000"/>
                <w:sz w:val="16"/>
                <w:szCs w:val="16"/>
              </w:rPr>
            </w:pPr>
            <w:r>
              <w:rPr>
                <w:rFonts w:cs="Arial"/>
                <w:color w:val="000000"/>
                <w:sz w:val="16"/>
                <w:szCs w:val="16"/>
              </w:rPr>
              <w:t>2,6</w:t>
            </w:r>
          </w:p>
        </w:tc>
        <w:tc>
          <w:tcPr>
            <w:tcW w:w="595" w:type="dxa"/>
            <w:tcBorders>
              <w:top w:val="nil"/>
              <w:left w:val="nil"/>
              <w:bottom w:val="nil"/>
              <w:right w:val="nil"/>
            </w:tcBorders>
            <w:shd w:val="clear" w:color="auto" w:fill="auto"/>
            <w:noWrap/>
            <w:vAlign w:val="center"/>
            <w:hideMark/>
          </w:tcPr>
          <w:p w14:paraId="272CE345" w14:textId="6E43BE6C" w:rsidR="00A9687B" w:rsidRPr="00D92E20" w:rsidRDefault="00A9687B" w:rsidP="00A9687B">
            <w:pPr>
              <w:spacing w:after="0" w:line="240" w:lineRule="auto"/>
              <w:jc w:val="center"/>
              <w:rPr>
                <w:rFonts w:cs="Arial"/>
                <w:color w:val="000000"/>
                <w:sz w:val="16"/>
                <w:szCs w:val="16"/>
              </w:rPr>
            </w:pPr>
            <w:r>
              <w:rPr>
                <w:rFonts w:cs="Arial"/>
                <w:color w:val="000000"/>
                <w:sz w:val="16"/>
                <w:szCs w:val="16"/>
              </w:rPr>
              <w:t>2,6</w:t>
            </w:r>
          </w:p>
        </w:tc>
        <w:tc>
          <w:tcPr>
            <w:tcW w:w="595" w:type="dxa"/>
            <w:tcBorders>
              <w:top w:val="nil"/>
              <w:left w:val="nil"/>
              <w:bottom w:val="nil"/>
              <w:right w:val="nil"/>
            </w:tcBorders>
            <w:shd w:val="clear" w:color="auto" w:fill="auto"/>
            <w:noWrap/>
            <w:vAlign w:val="center"/>
            <w:hideMark/>
          </w:tcPr>
          <w:p w14:paraId="00178631" w14:textId="1FD7B614" w:rsidR="00A9687B" w:rsidRPr="00D92E20" w:rsidRDefault="00A9687B" w:rsidP="00A9687B">
            <w:pPr>
              <w:spacing w:after="0" w:line="240" w:lineRule="auto"/>
              <w:jc w:val="center"/>
              <w:rPr>
                <w:rFonts w:cs="Arial"/>
                <w:color w:val="000000"/>
                <w:sz w:val="16"/>
                <w:szCs w:val="16"/>
              </w:rPr>
            </w:pPr>
            <w:r>
              <w:rPr>
                <w:rFonts w:cs="Arial"/>
                <w:color w:val="000000"/>
                <w:sz w:val="16"/>
                <w:szCs w:val="16"/>
              </w:rPr>
              <w:t>2,9</w:t>
            </w:r>
          </w:p>
        </w:tc>
        <w:tc>
          <w:tcPr>
            <w:tcW w:w="595" w:type="dxa"/>
            <w:tcBorders>
              <w:top w:val="nil"/>
              <w:left w:val="nil"/>
              <w:bottom w:val="nil"/>
              <w:right w:val="nil"/>
            </w:tcBorders>
            <w:shd w:val="clear" w:color="auto" w:fill="auto"/>
            <w:noWrap/>
            <w:vAlign w:val="center"/>
            <w:hideMark/>
          </w:tcPr>
          <w:p w14:paraId="2183BB27" w14:textId="51BCA6E8" w:rsidR="00A9687B" w:rsidRPr="00D92E20" w:rsidRDefault="00A9687B" w:rsidP="00A9687B">
            <w:pPr>
              <w:spacing w:after="0" w:line="240" w:lineRule="auto"/>
              <w:jc w:val="center"/>
              <w:rPr>
                <w:rFonts w:cs="Arial"/>
                <w:color w:val="000000"/>
                <w:sz w:val="16"/>
                <w:szCs w:val="16"/>
              </w:rPr>
            </w:pPr>
            <w:r>
              <w:rPr>
                <w:rFonts w:cs="Arial"/>
                <w:color w:val="000000"/>
                <w:sz w:val="16"/>
                <w:szCs w:val="16"/>
              </w:rPr>
              <w:t>2,9</w:t>
            </w:r>
          </w:p>
        </w:tc>
        <w:tc>
          <w:tcPr>
            <w:tcW w:w="595" w:type="dxa"/>
            <w:tcBorders>
              <w:top w:val="nil"/>
              <w:left w:val="nil"/>
              <w:bottom w:val="nil"/>
              <w:right w:val="nil"/>
            </w:tcBorders>
            <w:shd w:val="clear" w:color="auto" w:fill="auto"/>
            <w:noWrap/>
            <w:vAlign w:val="center"/>
            <w:hideMark/>
          </w:tcPr>
          <w:p w14:paraId="55AF873B" w14:textId="5DABAE55" w:rsidR="00A9687B" w:rsidRPr="00D92E20" w:rsidRDefault="00A9687B" w:rsidP="00A9687B">
            <w:pPr>
              <w:spacing w:after="0" w:line="240" w:lineRule="auto"/>
              <w:jc w:val="center"/>
              <w:rPr>
                <w:rFonts w:cs="Arial"/>
                <w:color w:val="000000"/>
                <w:sz w:val="16"/>
                <w:szCs w:val="16"/>
              </w:rPr>
            </w:pPr>
            <w:r>
              <w:rPr>
                <w:rFonts w:cs="Arial"/>
                <w:color w:val="000000"/>
                <w:sz w:val="16"/>
                <w:szCs w:val="16"/>
              </w:rPr>
              <w:t>2,8</w:t>
            </w:r>
          </w:p>
        </w:tc>
      </w:tr>
      <w:tr w:rsidR="00A9687B" w:rsidRPr="00D92E20" w14:paraId="379C2DBB"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44834F85" w14:textId="25DA5940"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N – Administrativní a podpůrné činnosti</w:t>
            </w:r>
          </w:p>
        </w:tc>
        <w:tc>
          <w:tcPr>
            <w:tcW w:w="595" w:type="dxa"/>
            <w:tcBorders>
              <w:top w:val="nil"/>
              <w:left w:val="nil"/>
              <w:bottom w:val="nil"/>
              <w:right w:val="nil"/>
            </w:tcBorders>
            <w:shd w:val="clear" w:color="auto" w:fill="auto"/>
            <w:noWrap/>
            <w:vAlign w:val="center"/>
            <w:hideMark/>
          </w:tcPr>
          <w:p w14:paraId="7C8E72FC" w14:textId="605AB996" w:rsidR="00A9687B" w:rsidRPr="00D92E20" w:rsidRDefault="00A9687B" w:rsidP="00A9687B">
            <w:pPr>
              <w:spacing w:after="0" w:line="240" w:lineRule="auto"/>
              <w:jc w:val="center"/>
              <w:rPr>
                <w:rFonts w:cs="Arial"/>
                <w:color w:val="000000"/>
                <w:sz w:val="16"/>
                <w:szCs w:val="16"/>
              </w:rPr>
            </w:pPr>
            <w:r>
              <w:rPr>
                <w:rFonts w:cs="Arial"/>
                <w:sz w:val="16"/>
                <w:szCs w:val="16"/>
              </w:rPr>
              <w:t>3,9</w:t>
            </w:r>
          </w:p>
        </w:tc>
        <w:tc>
          <w:tcPr>
            <w:tcW w:w="595" w:type="dxa"/>
            <w:tcBorders>
              <w:top w:val="nil"/>
              <w:left w:val="nil"/>
              <w:bottom w:val="nil"/>
              <w:right w:val="nil"/>
            </w:tcBorders>
            <w:shd w:val="clear" w:color="auto" w:fill="auto"/>
            <w:noWrap/>
            <w:vAlign w:val="center"/>
            <w:hideMark/>
          </w:tcPr>
          <w:p w14:paraId="7FDE2D4C" w14:textId="61FA483A" w:rsidR="00A9687B" w:rsidRPr="00D92E20" w:rsidRDefault="00A9687B" w:rsidP="00A9687B">
            <w:pPr>
              <w:spacing w:after="0" w:line="240" w:lineRule="auto"/>
              <w:jc w:val="center"/>
              <w:rPr>
                <w:rFonts w:cs="Arial"/>
                <w:color w:val="000000"/>
                <w:sz w:val="16"/>
                <w:szCs w:val="16"/>
              </w:rPr>
            </w:pPr>
            <w:r>
              <w:rPr>
                <w:rFonts w:cs="Arial"/>
                <w:sz w:val="16"/>
                <w:szCs w:val="16"/>
              </w:rPr>
              <w:t>4,5</w:t>
            </w:r>
          </w:p>
        </w:tc>
        <w:tc>
          <w:tcPr>
            <w:tcW w:w="595" w:type="dxa"/>
            <w:tcBorders>
              <w:top w:val="nil"/>
              <w:left w:val="nil"/>
              <w:bottom w:val="nil"/>
              <w:right w:val="nil"/>
            </w:tcBorders>
            <w:shd w:val="clear" w:color="auto" w:fill="auto"/>
            <w:noWrap/>
            <w:vAlign w:val="center"/>
            <w:hideMark/>
          </w:tcPr>
          <w:p w14:paraId="097CB147" w14:textId="112C4631" w:rsidR="00A9687B" w:rsidRPr="00D92E20" w:rsidRDefault="00A9687B" w:rsidP="00A9687B">
            <w:pPr>
              <w:spacing w:after="0" w:line="240" w:lineRule="auto"/>
              <w:jc w:val="center"/>
              <w:rPr>
                <w:rFonts w:cs="Arial"/>
                <w:color w:val="000000"/>
                <w:sz w:val="16"/>
                <w:szCs w:val="16"/>
              </w:rPr>
            </w:pPr>
            <w:r>
              <w:rPr>
                <w:rFonts w:cs="Arial"/>
                <w:sz w:val="16"/>
                <w:szCs w:val="16"/>
              </w:rPr>
              <w:t>4,5</w:t>
            </w:r>
          </w:p>
        </w:tc>
        <w:tc>
          <w:tcPr>
            <w:tcW w:w="595" w:type="dxa"/>
            <w:tcBorders>
              <w:top w:val="nil"/>
              <w:left w:val="nil"/>
              <w:bottom w:val="nil"/>
              <w:right w:val="nil"/>
            </w:tcBorders>
            <w:shd w:val="clear" w:color="auto" w:fill="auto"/>
            <w:noWrap/>
            <w:vAlign w:val="center"/>
            <w:hideMark/>
          </w:tcPr>
          <w:p w14:paraId="0FA99D3B" w14:textId="4FC3125A" w:rsidR="00A9687B" w:rsidRPr="00D92E20" w:rsidRDefault="00A9687B" w:rsidP="00A9687B">
            <w:pPr>
              <w:spacing w:after="0" w:line="240" w:lineRule="auto"/>
              <w:jc w:val="center"/>
              <w:rPr>
                <w:rFonts w:cs="Arial"/>
                <w:color w:val="000000"/>
                <w:sz w:val="16"/>
                <w:szCs w:val="16"/>
              </w:rPr>
            </w:pPr>
            <w:r>
              <w:rPr>
                <w:rFonts w:cs="Arial"/>
                <w:sz w:val="16"/>
                <w:szCs w:val="16"/>
              </w:rPr>
              <w:t>5,3</w:t>
            </w:r>
          </w:p>
        </w:tc>
        <w:tc>
          <w:tcPr>
            <w:tcW w:w="595" w:type="dxa"/>
            <w:tcBorders>
              <w:top w:val="nil"/>
              <w:left w:val="nil"/>
              <w:bottom w:val="nil"/>
              <w:right w:val="nil"/>
            </w:tcBorders>
            <w:shd w:val="clear" w:color="auto" w:fill="auto"/>
            <w:noWrap/>
            <w:vAlign w:val="center"/>
            <w:hideMark/>
          </w:tcPr>
          <w:p w14:paraId="790188E4" w14:textId="7205F59E" w:rsidR="00A9687B" w:rsidRPr="00D92E20" w:rsidRDefault="00A9687B" w:rsidP="00A9687B">
            <w:pPr>
              <w:spacing w:after="0" w:line="240" w:lineRule="auto"/>
              <w:jc w:val="center"/>
              <w:rPr>
                <w:rFonts w:cs="Arial"/>
                <w:color w:val="000000"/>
                <w:sz w:val="16"/>
                <w:szCs w:val="16"/>
              </w:rPr>
            </w:pPr>
            <w:r>
              <w:rPr>
                <w:rFonts w:cs="Arial"/>
                <w:color w:val="000000"/>
                <w:sz w:val="16"/>
                <w:szCs w:val="16"/>
              </w:rPr>
              <w:t>5,5</w:t>
            </w:r>
          </w:p>
        </w:tc>
        <w:tc>
          <w:tcPr>
            <w:tcW w:w="595" w:type="dxa"/>
            <w:tcBorders>
              <w:top w:val="nil"/>
              <w:left w:val="nil"/>
              <w:bottom w:val="nil"/>
              <w:right w:val="nil"/>
            </w:tcBorders>
            <w:shd w:val="clear" w:color="auto" w:fill="auto"/>
            <w:noWrap/>
            <w:vAlign w:val="center"/>
            <w:hideMark/>
          </w:tcPr>
          <w:p w14:paraId="4AED9654" w14:textId="1C496E98" w:rsidR="00A9687B" w:rsidRPr="00D92E20" w:rsidRDefault="00A9687B" w:rsidP="00A9687B">
            <w:pPr>
              <w:spacing w:after="0" w:line="240" w:lineRule="auto"/>
              <w:jc w:val="center"/>
              <w:rPr>
                <w:rFonts w:cs="Arial"/>
                <w:color w:val="000000"/>
                <w:sz w:val="16"/>
                <w:szCs w:val="16"/>
              </w:rPr>
            </w:pPr>
            <w:r>
              <w:rPr>
                <w:rFonts w:cs="Arial"/>
                <w:color w:val="000000"/>
                <w:sz w:val="16"/>
                <w:szCs w:val="16"/>
              </w:rPr>
              <w:t>5,5</w:t>
            </w:r>
          </w:p>
        </w:tc>
        <w:tc>
          <w:tcPr>
            <w:tcW w:w="595" w:type="dxa"/>
            <w:tcBorders>
              <w:top w:val="nil"/>
              <w:left w:val="nil"/>
              <w:bottom w:val="nil"/>
              <w:right w:val="nil"/>
            </w:tcBorders>
            <w:shd w:val="clear" w:color="auto" w:fill="auto"/>
            <w:noWrap/>
            <w:vAlign w:val="center"/>
            <w:hideMark/>
          </w:tcPr>
          <w:p w14:paraId="17ACE5F7" w14:textId="3C48A8B4" w:rsidR="00A9687B" w:rsidRPr="00D92E20" w:rsidRDefault="00A9687B" w:rsidP="00A9687B">
            <w:pPr>
              <w:spacing w:after="0" w:line="240" w:lineRule="auto"/>
              <w:jc w:val="center"/>
              <w:rPr>
                <w:rFonts w:cs="Arial"/>
                <w:color w:val="000000"/>
                <w:sz w:val="16"/>
                <w:szCs w:val="16"/>
              </w:rPr>
            </w:pPr>
            <w:r>
              <w:rPr>
                <w:rFonts w:cs="Arial"/>
                <w:color w:val="000000"/>
                <w:sz w:val="16"/>
                <w:szCs w:val="16"/>
              </w:rPr>
              <w:t>5,6</w:t>
            </w:r>
          </w:p>
        </w:tc>
        <w:tc>
          <w:tcPr>
            <w:tcW w:w="595" w:type="dxa"/>
            <w:tcBorders>
              <w:top w:val="nil"/>
              <w:left w:val="nil"/>
              <w:bottom w:val="nil"/>
              <w:right w:val="nil"/>
            </w:tcBorders>
            <w:shd w:val="clear" w:color="auto" w:fill="auto"/>
            <w:noWrap/>
            <w:vAlign w:val="center"/>
            <w:hideMark/>
          </w:tcPr>
          <w:p w14:paraId="5EFEF937" w14:textId="3163AA15" w:rsidR="00A9687B" w:rsidRPr="00D92E20" w:rsidRDefault="00A9687B" w:rsidP="00A9687B">
            <w:pPr>
              <w:spacing w:after="0" w:line="240" w:lineRule="auto"/>
              <w:jc w:val="center"/>
              <w:rPr>
                <w:rFonts w:cs="Arial"/>
                <w:color w:val="000000"/>
                <w:sz w:val="16"/>
                <w:szCs w:val="16"/>
              </w:rPr>
            </w:pPr>
            <w:r>
              <w:rPr>
                <w:rFonts w:cs="Arial"/>
                <w:color w:val="000000"/>
                <w:sz w:val="16"/>
                <w:szCs w:val="16"/>
              </w:rPr>
              <w:t>5,7</w:t>
            </w:r>
          </w:p>
        </w:tc>
        <w:tc>
          <w:tcPr>
            <w:tcW w:w="595" w:type="dxa"/>
            <w:tcBorders>
              <w:top w:val="nil"/>
              <w:left w:val="nil"/>
              <w:bottom w:val="nil"/>
              <w:right w:val="nil"/>
            </w:tcBorders>
            <w:shd w:val="clear" w:color="auto" w:fill="auto"/>
            <w:noWrap/>
            <w:vAlign w:val="center"/>
            <w:hideMark/>
          </w:tcPr>
          <w:p w14:paraId="76AB8D91" w14:textId="01150F92" w:rsidR="00A9687B" w:rsidRPr="00D92E20" w:rsidRDefault="00A9687B" w:rsidP="00A9687B">
            <w:pPr>
              <w:spacing w:after="0" w:line="240" w:lineRule="auto"/>
              <w:jc w:val="center"/>
              <w:rPr>
                <w:rFonts w:cs="Arial"/>
                <w:color w:val="000000"/>
                <w:sz w:val="16"/>
                <w:szCs w:val="16"/>
              </w:rPr>
            </w:pPr>
            <w:r>
              <w:rPr>
                <w:rFonts w:cs="Arial"/>
                <w:color w:val="000000"/>
                <w:sz w:val="16"/>
                <w:szCs w:val="16"/>
              </w:rPr>
              <w:t>6,9</w:t>
            </w:r>
          </w:p>
        </w:tc>
        <w:tc>
          <w:tcPr>
            <w:tcW w:w="595" w:type="dxa"/>
            <w:tcBorders>
              <w:top w:val="nil"/>
              <w:left w:val="nil"/>
              <w:bottom w:val="nil"/>
              <w:right w:val="nil"/>
            </w:tcBorders>
            <w:shd w:val="clear" w:color="auto" w:fill="auto"/>
            <w:noWrap/>
            <w:vAlign w:val="center"/>
            <w:hideMark/>
          </w:tcPr>
          <w:p w14:paraId="2E62E4AB" w14:textId="3185EAA2" w:rsidR="00A9687B" w:rsidRPr="00D92E20" w:rsidRDefault="00A9687B" w:rsidP="00A9687B">
            <w:pPr>
              <w:spacing w:after="0" w:line="240" w:lineRule="auto"/>
              <w:jc w:val="center"/>
              <w:rPr>
                <w:rFonts w:cs="Arial"/>
                <w:color w:val="000000"/>
                <w:sz w:val="16"/>
                <w:szCs w:val="16"/>
              </w:rPr>
            </w:pPr>
            <w:r>
              <w:rPr>
                <w:rFonts w:cs="Arial"/>
                <w:color w:val="000000"/>
                <w:sz w:val="16"/>
                <w:szCs w:val="16"/>
              </w:rPr>
              <w:t>7,5</w:t>
            </w:r>
          </w:p>
        </w:tc>
        <w:tc>
          <w:tcPr>
            <w:tcW w:w="595" w:type="dxa"/>
            <w:tcBorders>
              <w:top w:val="nil"/>
              <w:left w:val="nil"/>
              <w:bottom w:val="nil"/>
              <w:right w:val="nil"/>
            </w:tcBorders>
            <w:shd w:val="clear" w:color="auto" w:fill="auto"/>
            <w:noWrap/>
            <w:vAlign w:val="center"/>
            <w:hideMark/>
          </w:tcPr>
          <w:p w14:paraId="22EB4AAA" w14:textId="4E8BB615" w:rsidR="00A9687B" w:rsidRPr="00D92E20" w:rsidRDefault="00A9687B" w:rsidP="00A9687B">
            <w:pPr>
              <w:spacing w:after="0" w:line="240" w:lineRule="auto"/>
              <w:jc w:val="center"/>
              <w:rPr>
                <w:rFonts w:cs="Arial"/>
                <w:color w:val="000000"/>
                <w:sz w:val="16"/>
                <w:szCs w:val="16"/>
              </w:rPr>
            </w:pPr>
            <w:r>
              <w:rPr>
                <w:rFonts w:cs="Arial"/>
                <w:color w:val="000000"/>
                <w:sz w:val="16"/>
                <w:szCs w:val="16"/>
              </w:rPr>
              <w:t>6,8</w:t>
            </w:r>
          </w:p>
        </w:tc>
      </w:tr>
      <w:tr w:rsidR="00A9687B" w:rsidRPr="00D92E20" w14:paraId="5FF59439" w14:textId="77777777" w:rsidTr="006C7D54">
        <w:trPr>
          <w:trHeight w:val="480"/>
        </w:trPr>
        <w:tc>
          <w:tcPr>
            <w:tcW w:w="3118" w:type="dxa"/>
            <w:tcBorders>
              <w:top w:val="nil"/>
              <w:left w:val="nil"/>
              <w:bottom w:val="nil"/>
              <w:right w:val="single" w:sz="4" w:space="0" w:color="auto"/>
            </w:tcBorders>
            <w:shd w:val="clear" w:color="auto" w:fill="auto"/>
            <w:vAlign w:val="center"/>
            <w:hideMark/>
          </w:tcPr>
          <w:p w14:paraId="7D932DD4" w14:textId="77777777"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 xml:space="preserve">O – Veřejná správa a obrana; </w:t>
            </w:r>
            <w:r w:rsidRPr="00D92E20">
              <w:rPr>
                <w:rFonts w:cs="Arial"/>
                <w:color w:val="000000"/>
                <w:sz w:val="16"/>
                <w:szCs w:val="16"/>
              </w:rPr>
              <w:br/>
              <w:t xml:space="preserve">          povinné sociální zabezpečení</w:t>
            </w:r>
          </w:p>
        </w:tc>
        <w:tc>
          <w:tcPr>
            <w:tcW w:w="595" w:type="dxa"/>
            <w:tcBorders>
              <w:top w:val="nil"/>
              <w:left w:val="nil"/>
              <w:bottom w:val="nil"/>
              <w:right w:val="nil"/>
            </w:tcBorders>
            <w:shd w:val="clear" w:color="auto" w:fill="auto"/>
            <w:noWrap/>
            <w:vAlign w:val="center"/>
            <w:hideMark/>
          </w:tcPr>
          <w:p w14:paraId="1252287C" w14:textId="6BF7C955" w:rsidR="00A9687B" w:rsidRPr="00D92E20" w:rsidRDefault="00A9687B" w:rsidP="00A9687B">
            <w:pPr>
              <w:spacing w:after="0" w:line="240" w:lineRule="auto"/>
              <w:jc w:val="center"/>
              <w:rPr>
                <w:rFonts w:cs="Arial"/>
                <w:color w:val="000000"/>
                <w:sz w:val="16"/>
                <w:szCs w:val="16"/>
              </w:rPr>
            </w:pPr>
            <w:r>
              <w:rPr>
                <w:rFonts w:cs="Arial"/>
                <w:sz w:val="16"/>
                <w:szCs w:val="16"/>
              </w:rPr>
              <w:t>2,9</w:t>
            </w:r>
          </w:p>
        </w:tc>
        <w:tc>
          <w:tcPr>
            <w:tcW w:w="595" w:type="dxa"/>
            <w:tcBorders>
              <w:top w:val="nil"/>
              <w:left w:val="nil"/>
              <w:bottom w:val="nil"/>
              <w:right w:val="nil"/>
            </w:tcBorders>
            <w:shd w:val="clear" w:color="auto" w:fill="auto"/>
            <w:noWrap/>
            <w:vAlign w:val="center"/>
            <w:hideMark/>
          </w:tcPr>
          <w:p w14:paraId="74E7EA4C" w14:textId="6D13E34B" w:rsidR="00A9687B" w:rsidRPr="00D92E20" w:rsidRDefault="00A9687B" w:rsidP="00A9687B">
            <w:pPr>
              <w:spacing w:after="0" w:line="240" w:lineRule="auto"/>
              <w:jc w:val="center"/>
              <w:rPr>
                <w:rFonts w:cs="Arial"/>
                <w:color w:val="000000"/>
                <w:sz w:val="16"/>
                <w:szCs w:val="16"/>
              </w:rPr>
            </w:pPr>
            <w:r>
              <w:rPr>
                <w:rFonts w:cs="Arial"/>
                <w:sz w:val="16"/>
                <w:szCs w:val="16"/>
              </w:rPr>
              <w:t>2,9</w:t>
            </w:r>
          </w:p>
        </w:tc>
        <w:tc>
          <w:tcPr>
            <w:tcW w:w="595" w:type="dxa"/>
            <w:tcBorders>
              <w:top w:val="nil"/>
              <w:left w:val="nil"/>
              <w:bottom w:val="nil"/>
              <w:right w:val="nil"/>
            </w:tcBorders>
            <w:shd w:val="clear" w:color="auto" w:fill="auto"/>
            <w:noWrap/>
            <w:vAlign w:val="center"/>
            <w:hideMark/>
          </w:tcPr>
          <w:p w14:paraId="001449DE" w14:textId="3A14E9A2" w:rsidR="00A9687B" w:rsidRPr="00D92E20" w:rsidRDefault="00A9687B" w:rsidP="00A9687B">
            <w:pPr>
              <w:spacing w:after="0" w:line="240" w:lineRule="auto"/>
              <w:jc w:val="center"/>
              <w:rPr>
                <w:rFonts w:cs="Arial"/>
                <w:color w:val="000000"/>
                <w:sz w:val="16"/>
                <w:szCs w:val="16"/>
              </w:rPr>
            </w:pPr>
            <w:r>
              <w:rPr>
                <w:rFonts w:cs="Arial"/>
                <w:sz w:val="16"/>
                <w:szCs w:val="16"/>
              </w:rPr>
              <w:t>2,8</w:t>
            </w:r>
          </w:p>
        </w:tc>
        <w:tc>
          <w:tcPr>
            <w:tcW w:w="595" w:type="dxa"/>
            <w:tcBorders>
              <w:top w:val="nil"/>
              <w:left w:val="nil"/>
              <w:bottom w:val="nil"/>
              <w:right w:val="nil"/>
            </w:tcBorders>
            <w:shd w:val="clear" w:color="auto" w:fill="auto"/>
            <w:noWrap/>
            <w:vAlign w:val="center"/>
            <w:hideMark/>
          </w:tcPr>
          <w:p w14:paraId="25627EA0" w14:textId="5C4403ED" w:rsidR="00A9687B" w:rsidRPr="00D92E20" w:rsidRDefault="00A9687B" w:rsidP="00A9687B">
            <w:pPr>
              <w:spacing w:after="0" w:line="240" w:lineRule="auto"/>
              <w:jc w:val="center"/>
              <w:rPr>
                <w:rFonts w:cs="Arial"/>
                <w:color w:val="000000"/>
                <w:sz w:val="16"/>
                <w:szCs w:val="16"/>
              </w:rPr>
            </w:pPr>
            <w:r>
              <w:rPr>
                <w:rFonts w:cs="Arial"/>
                <w:sz w:val="16"/>
                <w:szCs w:val="16"/>
              </w:rPr>
              <w:t>3,3</w:t>
            </w:r>
          </w:p>
        </w:tc>
        <w:tc>
          <w:tcPr>
            <w:tcW w:w="595" w:type="dxa"/>
            <w:tcBorders>
              <w:top w:val="nil"/>
              <w:left w:val="nil"/>
              <w:bottom w:val="nil"/>
              <w:right w:val="nil"/>
            </w:tcBorders>
            <w:shd w:val="clear" w:color="auto" w:fill="auto"/>
            <w:noWrap/>
            <w:vAlign w:val="center"/>
            <w:hideMark/>
          </w:tcPr>
          <w:p w14:paraId="4EA083B6" w14:textId="12C597F8" w:rsidR="00A9687B" w:rsidRPr="00D92E20" w:rsidRDefault="00A9687B" w:rsidP="00A9687B">
            <w:pPr>
              <w:spacing w:after="0" w:line="240" w:lineRule="auto"/>
              <w:jc w:val="center"/>
              <w:rPr>
                <w:rFonts w:cs="Arial"/>
                <w:color w:val="000000"/>
                <w:sz w:val="16"/>
                <w:szCs w:val="16"/>
              </w:rPr>
            </w:pPr>
            <w:r>
              <w:rPr>
                <w:rFonts w:cs="Arial"/>
                <w:color w:val="000000"/>
                <w:sz w:val="16"/>
                <w:szCs w:val="16"/>
              </w:rPr>
              <w:t>3,4</w:t>
            </w:r>
          </w:p>
        </w:tc>
        <w:tc>
          <w:tcPr>
            <w:tcW w:w="595" w:type="dxa"/>
            <w:tcBorders>
              <w:top w:val="nil"/>
              <w:left w:val="nil"/>
              <w:bottom w:val="nil"/>
              <w:right w:val="nil"/>
            </w:tcBorders>
            <w:shd w:val="clear" w:color="auto" w:fill="auto"/>
            <w:noWrap/>
            <w:vAlign w:val="center"/>
            <w:hideMark/>
          </w:tcPr>
          <w:p w14:paraId="7EE9BE72" w14:textId="29FA2739" w:rsidR="00A9687B" w:rsidRPr="00D92E20" w:rsidRDefault="00A9687B" w:rsidP="00A9687B">
            <w:pPr>
              <w:spacing w:after="0" w:line="240" w:lineRule="auto"/>
              <w:jc w:val="center"/>
              <w:rPr>
                <w:rFonts w:cs="Arial"/>
                <w:color w:val="000000"/>
                <w:sz w:val="16"/>
                <w:szCs w:val="16"/>
              </w:rPr>
            </w:pPr>
            <w:r>
              <w:rPr>
                <w:rFonts w:cs="Arial"/>
                <w:color w:val="000000"/>
                <w:sz w:val="16"/>
                <w:szCs w:val="16"/>
              </w:rPr>
              <w:t>3,4</w:t>
            </w:r>
          </w:p>
        </w:tc>
        <w:tc>
          <w:tcPr>
            <w:tcW w:w="595" w:type="dxa"/>
            <w:tcBorders>
              <w:top w:val="nil"/>
              <w:left w:val="nil"/>
              <w:bottom w:val="nil"/>
              <w:right w:val="nil"/>
            </w:tcBorders>
            <w:shd w:val="clear" w:color="auto" w:fill="auto"/>
            <w:noWrap/>
            <w:vAlign w:val="center"/>
            <w:hideMark/>
          </w:tcPr>
          <w:p w14:paraId="683C19BE" w14:textId="56B45BED" w:rsidR="00A9687B" w:rsidRPr="00D92E20" w:rsidRDefault="00A9687B" w:rsidP="00A9687B">
            <w:pPr>
              <w:spacing w:after="0" w:line="240" w:lineRule="auto"/>
              <w:jc w:val="center"/>
              <w:rPr>
                <w:rFonts w:cs="Arial"/>
                <w:color w:val="000000"/>
                <w:sz w:val="16"/>
                <w:szCs w:val="16"/>
              </w:rPr>
            </w:pPr>
            <w:r>
              <w:rPr>
                <w:rFonts w:cs="Arial"/>
                <w:color w:val="000000"/>
                <w:sz w:val="16"/>
                <w:szCs w:val="16"/>
              </w:rPr>
              <w:t>3,6</w:t>
            </w:r>
          </w:p>
        </w:tc>
        <w:tc>
          <w:tcPr>
            <w:tcW w:w="595" w:type="dxa"/>
            <w:tcBorders>
              <w:top w:val="nil"/>
              <w:left w:val="nil"/>
              <w:bottom w:val="nil"/>
              <w:right w:val="nil"/>
            </w:tcBorders>
            <w:shd w:val="clear" w:color="auto" w:fill="auto"/>
            <w:noWrap/>
            <w:vAlign w:val="center"/>
            <w:hideMark/>
          </w:tcPr>
          <w:p w14:paraId="64B47174" w14:textId="4A40FA83" w:rsidR="00A9687B" w:rsidRPr="00D92E20" w:rsidRDefault="00A9687B" w:rsidP="00A9687B">
            <w:pPr>
              <w:spacing w:after="0" w:line="240" w:lineRule="auto"/>
              <w:jc w:val="center"/>
              <w:rPr>
                <w:rFonts w:cs="Arial"/>
                <w:color w:val="000000"/>
                <w:sz w:val="16"/>
                <w:szCs w:val="16"/>
              </w:rPr>
            </w:pPr>
            <w:r>
              <w:rPr>
                <w:rFonts w:cs="Arial"/>
                <w:color w:val="000000"/>
                <w:sz w:val="16"/>
                <w:szCs w:val="16"/>
              </w:rPr>
              <w:t>3,5</w:t>
            </w:r>
          </w:p>
        </w:tc>
        <w:tc>
          <w:tcPr>
            <w:tcW w:w="595" w:type="dxa"/>
            <w:tcBorders>
              <w:top w:val="nil"/>
              <w:left w:val="nil"/>
              <w:bottom w:val="nil"/>
              <w:right w:val="nil"/>
            </w:tcBorders>
            <w:shd w:val="clear" w:color="auto" w:fill="auto"/>
            <w:noWrap/>
            <w:vAlign w:val="center"/>
            <w:hideMark/>
          </w:tcPr>
          <w:p w14:paraId="79714A66" w14:textId="1606EC83" w:rsidR="00A9687B" w:rsidRPr="00D92E20" w:rsidRDefault="00A9687B" w:rsidP="00A9687B">
            <w:pPr>
              <w:spacing w:after="0" w:line="240" w:lineRule="auto"/>
              <w:jc w:val="center"/>
              <w:rPr>
                <w:rFonts w:cs="Arial"/>
                <w:color w:val="000000"/>
                <w:sz w:val="16"/>
                <w:szCs w:val="16"/>
              </w:rPr>
            </w:pPr>
            <w:r>
              <w:rPr>
                <w:rFonts w:cs="Arial"/>
                <w:color w:val="000000"/>
                <w:sz w:val="16"/>
                <w:szCs w:val="16"/>
              </w:rPr>
              <w:t>3,8</w:t>
            </w:r>
          </w:p>
        </w:tc>
        <w:tc>
          <w:tcPr>
            <w:tcW w:w="595" w:type="dxa"/>
            <w:tcBorders>
              <w:top w:val="nil"/>
              <w:left w:val="nil"/>
              <w:bottom w:val="nil"/>
              <w:right w:val="nil"/>
            </w:tcBorders>
            <w:shd w:val="clear" w:color="auto" w:fill="auto"/>
            <w:noWrap/>
            <w:vAlign w:val="center"/>
            <w:hideMark/>
          </w:tcPr>
          <w:p w14:paraId="0A403467" w14:textId="3FC0F7B5" w:rsidR="00A9687B" w:rsidRPr="00D92E20" w:rsidRDefault="00A9687B" w:rsidP="00A9687B">
            <w:pPr>
              <w:spacing w:after="0" w:line="240" w:lineRule="auto"/>
              <w:jc w:val="center"/>
              <w:rPr>
                <w:rFonts w:cs="Arial"/>
                <w:color w:val="000000"/>
                <w:sz w:val="16"/>
                <w:szCs w:val="16"/>
              </w:rPr>
            </w:pPr>
            <w:r>
              <w:rPr>
                <w:rFonts w:cs="Arial"/>
                <w:color w:val="000000"/>
                <w:sz w:val="16"/>
                <w:szCs w:val="16"/>
              </w:rPr>
              <w:t>4,6</w:t>
            </w:r>
          </w:p>
        </w:tc>
        <w:tc>
          <w:tcPr>
            <w:tcW w:w="595" w:type="dxa"/>
            <w:tcBorders>
              <w:top w:val="nil"/>
              <w:left w:val="nil"/>
              <w:bottom w:val="nil"/>
              <w:right w:val="nil"/>
            </w:tcBorders>
            <w:shd w:val="clear" w:color="auto" w:fill="auto"/>
            <w:noWrap/>
            <w:vAlign w:val="center"/>
            <w:hideMark/>
          </w:tcPr>
          <w:p w14:paraId="5C2704F2" w14:textId="360036F1" w:rsidR="00A9687B" w:rsidRPr="00D92E20" w:rsidRDefault="00A9687B" w:rsidP="00A9687B">
            <w:pPr>
              <w:spacing w:after="0" w:line="240" w:lineRule="auto"/>
              <w:jc w:val="center"/>
              <w:rPr>
                <w:rFonts w:cs="Arial"/>
                <w:color w:val="000000"/>
                <w:sz w:val="16"/>
                <w:szCs w:val="16"/>
              </w:rPr>
            </w:pPr>
            <w:r>
              <w:rPr>
                <w:rFonts w:cs="Arial"/>
                <w:color w:val="000000"/>
                <w:sz w:val="16"/>
                <w:szCs w:val="16"/>
              </w:rPr>
              <w:t>5,0</w:t>
            </w:r>
          </w:p>
        </w:tc>
      </w:tr>
      <w:tr w:rsidR="00A9687B" w:rsidRPr="00D92E20" w14:paraId="6537B685"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6B444684" w14:textId="77777777"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P – Vzdělávání</w:t>
            </w:r>
          </w:p>
        </w:tc>
        <w:tc>
          <w:tcPr>
            <w:tcW w:w="595" w:type="dxa"/>
            <w:tcBorders>
              <w:top w:val="nil"/>
              <w:left w:val="nil"/>
              <w:bottom w:val="nil"/>
              <w:right w:val="nil"/>
            </w:tcBorders>
            <w:shd w:val="clear" w:color="auto" w:fill="auto"/>
            <w:noWrap/>
            <w:vAlign w:val="center"/>
            <w:hideMark/>
          </w:tcPr>
          <w:p w14:paraId="355220CD" w14:textId="18DCEBE6" w:rsidR="00A9687B" w:rsidRPr="00D92E20" w:rsidRDefault="00A9687B" w:rsidP="00A9687B">
            <w:pPr>
              <w:spacing w:after="0" w:line="240" w:lineRule="auto"/>
              <w:jc w:val="center"/>
              <w:rPr>
                <w:rFonts w:cs="Arial"/>
                <w:color w:val="000000"/>
                <w:sz w:val="16"/>
                <w:szCs w:val="16"/>
              </w:rPr>
            </w:pPr>
            <w:r>
              <w:rPr>
                <w:rFonts w:cs="Arial"/>
                <w:sz w:val="16"/>
                <w:szCs w:val="16"/>
              </w:rPr>
              <w:t>2,4</w:t>
            </w:r>
          </w:p>
        </w:tc>
        <w:tc>
          <w:tcPr>
            <w:tcW w:w="595" w:type="dxa"/>
            <w:tcBorders>
              <w:top w:val="nil"/>
              <w:left w:val="nil"/>
              <w:bottom w:val="nil"/>
              <w:right w:val="nil"/>
            </w:tcBorders>
            <w:shd w:val="clear" w:color="auto" w:fill="auto"/>
            <w:noWrap/>
            <w:vAlign w:val="center"/>
            <w:hideMark/>
          </w:tcPr>
          <w:p w14:paraId="2AC13336" w14:textId="71E1CB6B" w:rsidR="00A9687B" w:rsidRPr="00D92E20" w:rsidRDefault="00A9687B" w:rsidP="00A9687B">
            <w:pPr>
              <w:spacing w:after="0" w:line="240" w:lineRule="auto"/>
              <w:jc w:val="center"/>
              <w:rPr>
                <w:rFonts w:cs="Arial"/>
                <w:color w:val="000000"/>
                <w:sz w:val="16"/>
                <w:szCs w:val="16"/>
              </w:rPr>
            </w:pPr>
            <w:r>
              <w:rPr>
                <w:rFonts w:cs="Arial"/>
                <w:sz w:val="16"/>
                <w:szCs w:val="16"/>
              </w:rPr>
              <w:t>2,7</w:t>
            </w:r>
          </w:p>
        </w:tc>
        <w:tc>
          <w:tcPr>
            <w:tcW w:w="595" w:type="dxa"/>
            <w:tcBorders>
              <w:top w:val="nil"/>
              <w:left w:val="nil"/>
              <w:bottom w:val="nil"/>
              <w:right w:val="nil"/>
            </w:tcBorders>
            <w:shd w:val="clear" w:color="auto" w:fill="auto"/>
            <w:noWrap/>
            <w:vAlign w:val="center"/>
            <w:hideMark/>
          </w:tcPr>
          <w:p w14:paraId="50D6772F" w14:textId="52D1F869" w:rsidR="00A9687B" w:rsidRPr="00D92E20" w:rsidRDefault="00A9687B" w:rsidP="00A9687B">
            <w:pPr>
              <w:spacing w:after="0" w:line="240" w:lineRule="auto"/>
              <w:jc w:val="center"/>
              <w:rPr>
                <w:rFonts w:cs="Arial"/>
                <w:color w:val="000000"/>
                <w:sz w:val="16"/>
                <w:szCs w:val="16"/>
              </w:rPr>
            </w:pPr>
            <w:r>
              <w:rPr>
                <w:rFonts w:cs="Arial"/>
                <w:sz w:val="16"/>
                <w:szCs w:val="16"/>
              </w:rPr>
              <w:t>2,6</w:t>
            </w:r>
          </w:p>
        </w:tc>
        <w:tc>
          <w:tcPr>
            <w:tcW w:w="595" w:type="dxa"/>
            <w:tcBorders>
              <w:top w:val="nil"/>
              <w:left w:val="nil"/>
              <w:bottom w:val="nil"/>
              <w:right w:val="nil"/>
            </w:tcBorders>
            <w:shd w:val="clear" w:color="auto" w:fill="auto"/>
            <w:noWrap/>
            <w:vAlign w:val="center"/>
            <w:hideMark/>
          </w:tcPr>
          <w:p w14:paraId="4EA71460" w14:textId="48BFCA86" w:rsidR="00A9687B" w:rsidRPr="00D92E20" w:rsidRDefault="00A9687B" w:rsidP="00A9687B">
            <w:pPr>
              <w:spacing w:after="0" w:line="240" w:lineRule="auto"/>
              <w:jc w:val="center"/>
              <w:rPr>
                <w:rFonts w:cs="Arial"/>
                <w:color w:val="000000"/>
                <w:sz w:val="16"/>
                <w:szCs w:val="16"/>
              </w:rPr>
            </w:pPr>
            <w:r>
              <w:rPr>
                <w:rFonts w:cs="Arial"/>
                <w:sz w:val="16"/>
                <w:szCs w:val="16"/>
              </w:rPr>
              <w:t>3,1</w:t>
            </w:r>
          </w:p>
        </w:tc>
        <w:tc>
          <w:tcPr>
            <w:tcW w:w="595" w:type="dxa"/>
            <w:tcBorders>
              <w:top w:val="nil"/>
              <w:left w:val="nil"/>
              <w:bottom w:val="nil"/>
              <w:right w:val="nil"/>
            </w:tcBorders>
            <w:shd w:val="clear" w:color="auto" w:fill="auto"/>
            <w:noWrap/>
            <w:vAlign w:val="center"/>
            <w:hideMark/>
          </w:tcPr>
          <w:p w14:paraId="7AC57998" w14:textId="4816F97C" w:rsidR="00A9687B" w:rsidRPr="00D92E20" w:rsidRDefault="00A9687B" w:rsidP="00A9687B">
            <w:pPr>
              <w:spacing w:after="0" w:line="240" w:lineRule="auto"/>
              <w:jc w:val="center"/>
              <w:rPr>
                <w:rFonts w:cs="Arial"/>
                <w:color w:val="000000"/>
                <w:sz w:val="16"/>
                <w:szCs w:val="16"/>
              </w:rPr>
            </w:pPr>
            <w:r>
              <w:rPr>
                <w:rFonts w:cs="Arial"/>
                <w:color w:val="000000"/>
                <w:sz w:val="16"/>
                <w:szCs w:val="16"/>
              </w:rPr>
              <w:t>3,1</w:t>
            </w:r>
          </w:p>
        </w:tc>
        <w:tc>
          <w:tcPr>
            <w:tcW w:w="595" w:type="dxa"/>
            <w:tcBorders>
              <w:top w:val="nil"/>
              <w:left w:val="nil"/>
              <w:bottom w:val="nil"/>
              <w:right w:val="nil"/>
            </w:tcBorders>
            <w:shd w:val="clear" w:color="auto" w:fill="auto"/>
            <w:noWrap/>
            <w:vAlign w:val="center"/>
            <w:hideMark/>
          </w:tcPr>
          <w:p w14:paraId="04D6AA71" w14:textId="788144F1" w:rsidR="00A9687B" w:rsidRPr="00D92E20" w:rsidRDefault="00A9687B" w:rsidP="00A9687B">
            <w:pPr>
              <w:spacing w:after="0" w:line="240" w:lineRule="auto"/>
              <w:jc w:val="center"/>
              <w:rPr>
                <w:rFonts w:cs="Arial"/>
                <w:color w:val="000000"/>
                <w:sz w:val="16"/>
                <w:szCs w:val="16"/>
              </w:rPr>
            </w:pPr>
            <w:r>
              <w:rPr>
                <w:rFonts w:cs="Arial"/>
                <w:color w:val="000000"/>
                <w:sz w:val="16"/>
                <w:szCs w:val="16"/>
              </w:rPr>
              <w:t>3,3</w:t>
            </w:r>
          </w:p>
        </w:tc>
        <w:tc>
          <w:tcPr>
            <w:tcW w:w="595" w:type="dxa"/>
            <w:tcBorders>
              <w:top w:val="nil"/>
              <w:left w:val="nil"/>
              <w:bottom w:val="nil"/>
              <w:right w:val="nil"/>
            </w:tcBorders>
            <w:shd w:val="clear" w:color="auto" w:fill="auto"/>
            <w:noWrap/>
            <w:vAlign w:val="center"/>
            <w:hideMark/>
          </w:tcPr>
          <w:p w14:paraId="3A556C05" w14:textId="0BD9EF47" w:rsidR="00A9687B" w:rsidRPr="00D92E20" w:rsidRDefault="00A9687B" w:rsidP="00A9687B">
            <w:pPr>
              <w:spacing w:after="0" w:line="240" w:lineRule="auto"/>
              <w:jc w:val="center"/>
              <w:rPr>
                <w:rFonts w:cs="Arial"/>
                <w:color w:val="000000"/>
                <w:sz w:val="16"/>
                <w:szCs w:val="16"/>
              </w:rPr>
            </w:pPr>
            <w:r>
              <w:rPr>
                <w:rFonts w:cs="Arial"/>
                <w:color w:val="000000"/>
                <w:sz w:val="16"/>
                <w:szCs w:val="16"/>
              </w:rPr>
              <w:t>3,5</w:t>
            </w:r>
          </w:p>
        </w:tc>
        <w:tc>
          <w:tcPr>
            <w:tcW w:w="595" w:type="dxa"/>
            <w:tcBorders>
              <w:top w:val="nil"/>
              <w:left w:val="nil"/>
              <w:bottom w:val="nil"/>
              <w:right w:val="nil"/>
            </w:tcBorders>
            <w:shd w:val="clear" w:color="auto" w:fill="auto"/>
            <w:noWrap/>
            <w:vAlign w:val="center"/>
            <w:hideMark/>
          </w:tcPr>
          <w:p w14:paraId="7A1DD3C7" w14:textId="7121E72C" w:rsidR="00A9687B" w:rsidRPr="00D92E20" w:rsidRDefault="00A9687B" w:rsidP="00A9687B">
            <w:pPr>
              <w:spacing w:after="0" w:line="240" w:lineRule="auto"/>
              <w:jc w:val="center"/>
              <w:rPr>
                <w:rFonts w:cs="Arial"/>
                <w:color w:val="000000"/>
                <w:sz w:val="16"/>
                <w:szCs w:val="16"/>
              </w:rPr>
            </w:pPr>
            <w:r>
              <w:rPr>
                <w:rFonts w:cs="Arial"/>
                <w:color w:val="000000"/>
                <w:sz w:val="16"/>
                <w:szCs w:val="16"/>
              </w:rPr>
              <w:t>3,4</w:t>
            </w:r>
          </w:p>
        </w:tc>
        <w:tc>
          <w:tcPr>
            <w:tcW w:w="595" w:type="dxa"/>
            <w:tcBorders>
              <w:top w:val="nil"/>
              <w:left w:val="nil"/>
              <w:bottom w:val="nil"/>
              <w:right w:val="nil"/>
            </w:tcBorders>
            <w:shd w:val="clear" w:color="auto" w:fill="auto"/>
            <w:noWrap/>
            <w:vAlign w:val="center"/>
            <w:hideMark/>
          </w:tcPr>
          <w:p w14:paraId="655282EF" w14:textId="0ABE1EB6" w:rsidR="00A9687B" w:rsidRPr="00D92E20" w:rsidRDefault="00A9687B" w:rsidP="00A9687B">
            <w:pPr>
              <w:spacing w:after="0" w:line="240" w:lineRule="auto"/>
              <w:jc w:val="center"/>
              <w:rPr>
                <w:rFonts w:cs="Arial"/>
                <w:color w:val="000000"/>
                <w:sz w:val="16"/>
                <w:szCs w:val="16"/>
              </w:rPr>
            </w:pPr>
            <w:r>
              <w:rPr>
                <w:rFonts w:cs="Arial"/>
                <w:color w:val="000000"/>
                <w:sz w:val="16"/>
                <w:szCs w:val="16"/>
              </w:rPr>
              <w:t>3,2</w:t>
            </w:r>
          </w:p>
        </w:tc>
        <w:tc>
          <w:tcPr>
            <w:tcW w:w="595" w:type="dxa"/>
            <w:tcBorders>
              <w:top w:val="nil"/>
              <w:left w:val="nil"/>
              <w:bottom w:val="nil"/>
              <w:right w:val="nil"/>
            </w:tcBorders>
            <w:shd w:val="clear" w:color="auto" w:fill="auto"/>
            <w:noWrap/>
            <w:vAlign w:val="center"/>
            <w:hideMark/>
          </w:tcPr>
          <w:p w14:paraId="2975FE97" w14:textId="1746A228" w:rsidR="00A9687B" w:rsidRPr="00D92E20" w:rsidRDefault="00A9687B" w:rsidP="00A9687B">
            <w:pPr>
              <w:spacing w:after="0" w:line="240" w:lineRule="auto"/>
              <w:jc w:val="center"/>
              <w:rPr>
                <w:rFonts w:cs="Arial"/>
                <w:color w:val="000000"/>
                <w:sz w:val="16"/>
                <w:szCs w:val="16"/>
              </w:rPr>
            </w:pPr>
            <w:r>
              <w:rPr>
                <w:rFonts w:cs="Arial"/>
                <w:color w:val="000000"/>
                <w:sz w:val="16"/>
                <w:szCs w:val="16"/>
              </w:rPr>
              <w:t>3,7</w:t>
            </w:r>
          </w:p>
        </w:tc>
        <w:tc>
          <w:tcPr>
            <w:tcW w:w="595" w:type="dxa"/>
            <w:tcBorders>
              <w:top w:val="nil"/>
              <w:left w:val="nil"/>
              <w:bottom w:val="nil"/>
              <w:right w:val="nil"/>
            </w:tcBorders>
            <w:shd w:val="clear" w:color="auto" w:fill="auto"/>
            <w:noWrap/>
            <w:vAlign w:val="center"/>
            <w:hideMark/>
          </w:tcPr>
          <w:p w14:paraId="2EB4B2AF" w14:textId="04D6B1EC" w:rsidR="00A9687B" w:rsidRPr="00D92E20" w:rsidRDefault="00A9687B" w:rsidP="00A9687B">
            <w:pPr>
              <w:spacing w:after="0" w:line="240" w:lineRule="auto"/>
              <w:jc w:val="center"/>
              <w:rPr>
                <w:rFonts w:cs="Arial"/>
                <w:color w:val="000000"/>
                <w:sz w:val="16"/>
                <w:szCs w:val="16"/>
              </w:rPr>
            </w:pPr>
            <w:r>
              <w:rPr>
                <w:rFonts w:cs="Arial"/>
                <w:color w:val="000000"/>
                <w:sz w:val="16"/>
                <w:szCs w:val="16"/>
              </w:rPr>
              <w:t>4,9</w:t>
            </w:r>
          </w:p>
        </w:tc>
      </w:tr>
      <w:tr w:rsidR="00A9687B" w:rsidRPr="00D92E20" w14:paraId="45A0E750"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2561E914" w14:textId="77777777"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Q – Zdravotní a sociální péče</w:t>
            </w:r>
          </w:p>
        </w:tc>
        <w:tc>
          <w:tcPr>
            <w:tcW w:w="595" w:type="dxa"/>
            <w:tcBorders>
              <w:top w:val="nil"/>
              <w:left w:val="nil"/>
              <w:bottom w:val="nil"/>
              <w:right w:val="nil"/>
            </w:tcBorders>
            <w:shd w:val="clear" w:color="auto" w:fill="auto"/>
            <w:noWrap/>
            <w:vAlign w:val="center"/>
            <w:hideMark/>
          </w:tcPr>
          <w:p w14:paraId="38377929" w14:textId="7C68971A" w:rsidR="00A9687B" w:rsidRPr="00D92E20" w:rsidRDefault="00A9687B" w:rsidP="00A9687B">
            <w:pPr>
              <w:spacing w:after="0" w:line="240" w:lineRule="auto"/>
              <w:jc w:val="center"/>
              <w:rPr>
                <w:rFonts w:cs="Arial"/>
                <w:color w:val="000000"/>
                <w:sz w:val="16"/>
                <w:szCs w:val="16"/>
              </w:rPr>
            </w:pPr>
            <w:r>
              <w:rPr>
                <w:rFonts w:cs="Arial"/>
                <w:sz w:val="16"/>
                <w:szCs w:val="16"/>
              </w:rPr>
              <w:t>3,4</w:t>
            </w:r>
          </w:p>
        </w:tc>
        <w:tc>
          <w:tcPr>
            <w:tcW w:w="595" w:type="dxa"/>
            <w:tcBorders>
              <w:top w:val="nil"/>
              <w:left w:val="nil"/>
              <w:bottom w:val="nil"/>
              <w:right w:val="nil"/>
            </w:tcBorders>
            <w:shd w:val="clear" w:color="auto" w:fill="auto"/>
            <w:noWrap/>
            <w:vAlign w:val="center"/>
            <w:hideMark/>
          </w:tcPr>
          <w:p w14:paraId="432FEC04" w14:textId="004DD894" w:rsidR="00A9687B" w:rsidRPr="00D92E20" w:rsidRDefault="00A9687B" w:rsidP="00A9687B">
            <w:pPr>
              <w:spacing w:after="0" w:line="240" w:lineRule="auto"/>
              <w:jc w:val="center"/>
              <w:rPr>
                <w:rFonts w:cs="Arial"/>
                <w:color w:val="000000"/>
                <w:sz w:val="16"/>
                <w:szCs w:val="16"/>
              </w:rPr>
            </w:pPr>
            <w:r>
              <w:rPr>
                <w:rFonts w:cs="Arial"/>
                <w:sz w:val="16"/>
                <w:szCs w:val="16"/>
              </w:rPr>
              <w:t>3,7</w:t>
            </w:r>
          </w:p>
        </w:tc>
        <w:tc>
          <w:tcPr>
            <w:tcW w:w="595" w:type="dxa"/>
            <w:tcBorders>
              <w:top w:val="nil"/>
              <w:left w:val="nil"/>
              <w:bottom w:val="nil"/>
              <w:right w:val="nil"/>
            </w:tcBorders>
            <w:shd w:val="clear" w:color="auto" w:fill="auto"/>
            <w:noWrap/>
            <w:vAlign w:val="center"/>
            <w:hideMark/>
          </w:tcPr>
          <w:p w14:paraId="207E324B" w14:textId="7EADB480" w:rsidR="00A9687B" w:rsidRPr="00D92E20" w:rsidRDefault="00A9687B" w:rsidP="00A9687B">
            <w:pPr>
              <w:spacing w:after="0" w:line="240" w:lineRule="auto"/>
              <w:jc w:val="center"/>
              <w:rPr>
                <w:rFonts w:cs="Arial"/>
                <w:color w:val="000000"/>
                <w:sz w:val="16"/>
                <w:szCs w:val="16"/>
              </w:rPr>
            </w:pPr>
            <w:r>
              <w:rPr>
                <w:rFonts w:cs="Arial"/>
                <w:sz w:val="16"/>
                <w:szCs w:val="16"/>
              </w:rPr>
              <w:t>3,7</w:t>
            </w:r>
          </w:p>
        </w:tc>
        <w:tc>
          <w:tcPr>
            <w:tcW w:w="595" w:type="dxa"/>
            <w:tcBorders>
              <w:top w:val="nil"/>
              <w:left w:val="nil"/>
              <w:bottom w:val="nil"/>
              <w:right w:val="nil"/>
            </w:tcBorders>
            <w:shd w:val="clear" w:color="auto" w:fill="auto"/>
            <w:noWrap/>
            <w:vAlign w:val="center"/>
            <w:hideMark/>
          </w:tcPr>
          <w:p w14:paraId="245C1CBF" w14:textId="3B29C9A0" w:rsidR="00A9687B" w:rsidRPr="00D92E20" w:rsidRDefault="00A9687B" w:rsidP="00A9687B">
            <w:pPr>
              <w:spacing w:after="0" w:line="240" w:lineRule="auto"/>
              <w:jc w:val="center"/>
              <w:rPr>
                <w:rFonts w:cs="Arial"/>
                <w:color w:val="000000"/>
                <w:sz w:val="16"/>
                <w:szCs w:val="16"/>
              </w:rPr>
            </w:pPr>
            <w:r>
              <w:rPr>
                <w:rFonts w:cs="Arial"/>
                <w:sz w:val="16"/>
                <w:szCs w:val="16"/>
              </w:rPr>
              <w:t>4,3</w:t>
            </w:r>
          </w:p>
        </w:tc>
        <w:tc>
          <w:tcPr>
            <w:tcW w:w="595" w:type="dxa"/>
            <w:tcBorders>
              <w:top w:val="nil"/>
              <w:left w:val="nil"/>
              <w:bottom w:val="nil"/>
              <w:right w:val="nil"/>
            </w:tcBorders>
            <w:shd w:val="clear" w:color="auto" w:fill="auto"/>
            <w:noWrap/>
            <w:vAlign w:val="center"/>
            <w:hideMark/>
          </w:tcPr>
          <w:p w14:paraId="7CC79962" w14:textId="337CE8E1" w:rsidR="00A9687B" w:rsidRPr="00D92E20" w:rsidRDefault="00A9687B" w:rsidP="00A9687B">
            <w:pPr>
              <w:spacing w:after="0" w:line="240" w:lineRule="auto"/>
              <w:jc w:val="center"/>
              <w:rPr>
                <w:rFonts w:cs="Arial"/>
                <w:color w:val="000000"/>
                <w:sz w:val="16"/>
                <w:szCs w:val="16"/>
              </w:rPr>
            </w:pPr>
            <w:r>
              <w:rPr>
                <w:rFonts w:cs="Arial"/>
                <w:color w:val="000000"/>
                <w:sz w:val="16"/>
                <w:szCs w:val="16"/>
              </w:rPr>
              <w:t>4,3</w:t>
            </w:r>
          </w:p>
        </w:tc>
        <w:tc>
          <w:tcPr>
            <w:tcW w:w="595" w:type="dxa"/>
            <w:tcBorders>
              <w:top w:val="nil"/>
              <w:left w:val="nil"/>
              <w:bottom w:val="nil"/>
              <w:right w:val="nil"/>
            </w:tcBorders>
            <w:shd w:val="clear" w:color="auto" w:fill="auto"/>
            <w:noWrap/>
            <w:vAlign w:val="center"/>
            <w:hideMark/>
          </w:tcPr>
          <w:p w14:paraId="1054482E" w14:textId="1C7E6786" w:rsidR="00A9687B" w:rsidRPr="00D92E20" w:rsidRDefault="00A9687B" w:rsidP="00A9687B">
            <w:pPr>
              <w:spacing w:after="0" w:line="240" w:lineRule="auto"/>
              <w:jc w:val="center"/>
              <w:rPr>
                <w:rFonts w:cs="Arial"/>
                <w:color w:val="000000"/>
                <w:sz w:val="16"/>
                <w:szCs w:val="16"/>
              </w:rPr>
            </w:pPr>
            <w:r>
              <w:rPr>
                <w:rFonts w:cs="Arial"/>
                <w:color w:val="000000"/>
                <w:sz w:val="16"/>
                <w:szCs w:val="16"/>
              </w:rPr>
              <w:t>4,5</w:t>
            </w:r>
          </w:p>
        </w:tc>
        <w:tc>
          <w:tcPr>
            <w:tcW w:w="595" w:type="dxa"/>
            <w:tcBorders>
              <w:top w:val="nil"/>
              <w:left w:val="nil"/>
              <w:bottom w:val="nil"/>
              <w:right w:val="nil"/>
            </w:tcBorders>
            <w:shd w:val="clear" w:color="auto" w:fill="auto"/>
            <w:noWrap/>
            <w:vAlign w:val="center"/>
            <w:hideMark/>
          </w:tcPr>
          <w:p w14:paraId="0C61BEB1" w14:textId="605F5B65" w:rsidR="00A9687B" w:rsidRPr="00D92E20" w:rsidRDefault="00A9687B" w:rsidP="00A9687B">
            <w:pPr>
              <w:spacing w:after="0" w:line="240" w:lineRule="auto"/>
              <w:jc w:val="center"/>
              <w:rPr>
                <w:rFonts w:cs="Arial"/>
                <w:color w:val="000000"/>
                <w:sz w:val="16"/>
                <w:szCs w:val="16"/>
              </w:rPr>
            </w:pPr>
            <w:r>
              <w:rPr>
                <w:rFonts w:cs="Arial"/>
                <w:color w:val="000000"/>
                <w:sz w:val="16"/>
                <w:szCs w:val="16"/>
              </w:rPr>
              <w:t>4,6</w:t>
            </w:r>
          </w:p>
        </w:tc>
        <w:tc>
          <w:tcPr>
            <w:tcW w:w="595" w:type="dxa"/>
            <w:tcBorders>
              <w:top w:val="nil"/>
              <w:left w:val="nil"/>
              <w:bottom w:val="nil"/>
              <w:right w:val="nil"/>
            </w:tcBorders>
            <w:shd w:val="clear" w:color="auto" w:fill="auto"/>
            <w:noWrap/>
            <w:vAlign w:val="center"/>
            <w:hideMark/>
          </w:tcPr>
          <w:p w14:paraId="1CDD45B3" w14:textId="16E2D6FB" w:rsidR="00A9687B" w:rsidRPr="00D92E20" w:rsidRDefault="00A9687B" w:rsidP="00A9687B">
            <w:pPr>
              <w:spacing w:after="0" w:line="240" w:lineRule="auto"/>
              <w:jc w:val="center"/>
              <w:rPr>
                <w:rFonts w:cs="Arial"/>
                <w:color w:val="000000"/>
                <w:sz w:val="16"/>
                <w:szCs w:val="16"/>
              </w:rPr>
            </w:pPr>
            <w:r>
              <w:rPr>
                <w:rFonts w:cs="Arial"/>
                <w:color w:val="000000"/>
                <w:sz w:val="16"/>
                <w:szCs w:val="16"/>
              </w:rPr>
              <w:t>4,7</w:t>
            </w:r>
          </w:p>
        </w:tc>
        <w:tc>
          <w:tcPr>
            <w:tcW w:w="595" w:type="dxa"/>
            <w:tcBorders>
              <w:top w:val="nil"/>
              <w:left w:val="nil"/>
              <w:bottom w:val="nil"/>
              <w:right w:val="nil"/>
            </w:tcBorders>
            <w:shd w:val="clear" w:color="auto" w:fill="auto"/>
            <w:noWrap/>
            <w:vAlign w:val="center"/>
            <w:hideMark/>
          </w:tcPr>
          <w:p w14:paraId="6FC79CBF" w14:textId="0DCCE1ED" w:rsidR="00A9687B" w:rsidRPr="00D92E20" w:rsidRDefault="00A9687B" w:rsidP="00A9687B">
            <w:pPr>
              <w:spacing w:after="0" w:line="240" w:lineRule="auto"/>
              <w:jc w:val="center"/>
              <w:rPr>
                <w:rFonts w:cs="Arial"/>
                <w:color w:val="000000"/>
                <w:sz w:val="16"/>
                <w:szCs w:val="16"/>
              </w:rPr>
            </w:pPr>
            <w:r>
              <w:rPr>
                <w:rFonts w:cs="Arial"/>
                <w:color w:val="000000"/>
                <w:sz w:val="16"/>
                <w:szCs w:val="16"/>
              </w:rPr>
              <w:t>5,7</w:t>
            </w:r>
          </w:p>
        </w:tc>
        <w:tc>
          <w:tcPr>
            <w:tcW w:w="595" w:type="dxa"/>
            <w:tcBorders>
              <w:top w:val="nil"/>
              <w:left w:val="nil"/>
              <w:bottom w:val="nil"/>
              <w:right w:val="nil"/>
            </w:tcBorders>
            <w:shd w:val="clear" w:color="auto" w:fill="auto"/>
            <w:noWrap/>
            <w:vAlign w:val="center"/>
            <w:hideMark/>
          </w:tcPr>
          <w:p w14:paraId="57D5387B" w14:textId="18F5F228" w:rsidR="00A9687B" w:rsidRPr="00D92E20" w:rsidRDefault="00A9687B" w:rsidP="00A9687B">
            <w:pPr>
              <w:spacing w:after="0" w:line="240" w:lineRule="auto"/>
              <w:jc w:val="center"/>
              <w:rPr>
                <w:rFonts w:cs="Arial"/>
                <w:color w:val="000000"/>
                <w:sz w:val="16"/>
                <w:szCs w:val="16"/>
              </w:rPr>
            </w:pPr>
            <w:r>
              <w:rPr>
                <w:rFonts w:cs="Arial"/>
                <w:color w:val="000000"/>
                <w:sz w:val="16"/>
                <w:szCs w:val="16"/>
              </w:rPr>
              <w:t>5,9</w:t>
            </w:r>
          </w:p>
        </w:tc>
        <w:tc>
          <w:tcPr>
            <w:tcW w:w="595" w:type="dxa"/>
            <w:tcBorders>
              <w:top w:val="nil"/>
              <w:left w:val="nil"/>
              <w:bottom w:val="nil"/>
              <w:right w:val="nil"/>
            </w:tcBorders>
            <w:shd w:val="clear" w:color="auto" w:fill="auto"/>
            <w:noWrap/>
            <w:vAlign w:val="center"/>
            <w:hideMark/>
          </w:tcPr>
          <w:p w14:paraId="29E4B282" w14:textId="74E5C96B" w:rsidR="00A9687B" w:rsidRPr="00D92E20" w:rsidRDefault="00A9687B" w:rsidP="00A9687B">
            <w:pPr>
              <w:spacing w:after="0" w:line="240" w:lineRule="auto"/>
              <w:jc w:val="center"/>
              <w:rPr>
                <w:rFonts w:cs="Arial"/>
                <w:color w:val="000000"/>
                <w:sz w:val="16"/>
                <w:szCs w:val="16"/>
              </w:rPr>
            </w:pPr>
            <w:r>
              <w:rPr>
                <w:rFonts w:cs="Arial"/>
                <w:color w:val="000000"/>
                <w:sz w:val="16"/>
                <w:szCs w:val="16"/>
              </w:rPr>
              <w:t>6,0</w:t>
            </w:r>
          </w:p>
        </w:tc>
      </w:tr>
      <w:tr w:rsidR="00A9687B" w:rsidRPr="00D92E20" w14:paraId="34013AB5"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14AB5824" w14:textId="77777777" w:rsidR="00A9687B"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 xml:space="preserve">R – Kulturní, zábavní a rekreační </w:t>
            </w:r>
          </w:p>
          <w:p w14:paraId="48D6C9D8" w14:textId="387B937F" w:rsidR="00A9687B" w:rsidRPr="00D92E20" w:rsidRDefault="00A9687B" w:rsidP="00A9687B">
            <w:pPr>
              <w:spacing w:after="0" w:line="240" w:lineRule="auto"/>
              <w:ind w:firstLineChars="100" w:firstLine="160"/>
              <w:rPr>
                <w:rFonts w:cs="Arial"/>
                <w:color w:val="000000"/>
                <w:sz w:val="16"/>
                <w:szCs w:val="16"/>
              </w:rPr>
            </w:pPr>
            <w:r>
              <w:rPr>
                <w:rFonts w:cs="Arial"/>
                <w:color w:val="000000"/>
                <w:sz w:val="16"/>
                <w:szCs w:val="16"/>
              </w:rPr>
              <w:t xml:space="preserve">       </w:t>
            </w:r>
            <w:r w:rsidRPr="00D92E20">
              <w:rPr>
                <w:rFonts w:cs="Arial"/>
                <w:color w:val="000000"/>
                <w:sz w:val="16"/>
                <w:szCs w:val="16"/>
              </w:rPr>
              <w:t>činnosti</w:t>
            </w:r>
          </w:p>
        </w:tc>
        <w:tc>
          <w:tcPr>
            <w:tcW w:w="595" w:type="dxa"/>
            <w:tcBorders>
              <w:top w:val="nil"/>
              <w:left w:val="nil"/>
              <w:bottom w:val="nil"/>
              <w:right w:val="nil"/>
            </w:tcBorders>
            <w:shd w:val="clear" w:color="auto" w:fill="auto"/>
            <w:noWrap/>
            <w:vAlign w:val="center"/>
            <w:hideMark/>
          </w:tcPr>
          <w:p w14:paraId="730A3EE1" w14:textId="266EBB59" w:rsidR="00A9687B" w:rsidRPr="00D92E20" w:rsidRDefault="00A9687B" w:rsidP="00A9687B">
            <w:pPr>
              <w:spacing w:after="0" w:line="240" w:lineRule="auto"/>
              <w:jc w:val="center"/>
              <w:rPr>
                <w:rFonts w:cs="Arial"/>
                <w:color w:val="000000"/>
                <w:sz w:val="16"/>
                <w:szCs w:val="16"/>
              </w:rPr>
            </w:pPr>
            <w:r>
              <w:rPr>
                <w:rFonts w:cs="Arial"/>
                <w:sz w:val="16"/>
                <w:szCs w:val="16"/>
              </w:rPr>
              <w:t>2,4</w:t>
            </w:r>
          </w:p>
        </w:tc>
        <w:tc>
          <w:tcPr>
            <w:tcW w:w="595" w:type="dxa"/>
            <w:tcBorders>
              <w:top w:val="nil"/>
              <w:left w:val="nil"/>
              <w:bottom w:val="nil"/>
              <w:right w:val="nil"/>
            </w:tcBorders>
            <w:shd w:val="clear" w:color="auto" w:fill="auto"/>
            <w:noWrap/>
            <w:vAlign w:val="center"/>
            <w:hideMark/>
          </w:tcPr>
          <w:p w14:paraId="6B1B2EA7" w14:textId="44418000" w:rsidR="00A9687B" w:rsidRPr="00D92E20" w:rsidRDefault="00A9687B" w:rsidP="00A9687B">
            <w:pPr>
              <w:spacing w:after="0" w:line="240" w:lineRule="auto"/>
              <w:jc w:val="center"/>
              <w:rPr>
                <w:rFonts w:cs="Arial"/>
                <w:color w:val="000000"/>
                <w:sz w:val="16"/>
                <w:szCs w:val="16"/>
              </w:rPr>
            </w:pPr>
            <w:r>
              <w:rPr>
                <w:rFonts w:cs="Arial"/>
                <w:sz w:val="16"/>
                <w:szCs w:val="16"/>
              </w:rPr>
              <w:t>2,7</w:t>
            </w:r>
          </w:p>
        </w:tc>
        <w:tc>
          <w:tcPr>
            <w:tcW w:w="595" w:type="dxa"/>
            <w:tcBorders>
              <w:top w:val="nil"/>
              <w:left w:val="nil"/>
              <w:bottom w:val="nil"/>
              <w:right w:val="nil"/>
            </w:tcBorders>
            <w:shd w:val="clear" w:color="auto" w:fill="auto"/>
            <w:noWrap/>
            <w:vAlign w:val="center"/>
            <w:hideMark/>
          </w:tcPr>
          <w:p w14:paraId="0CD9B2AF" w14:textId="47E1E26D" w:rsidR="00A9687B" w:rsidRPr="00D92E20" w:rsidRDefault="00A9687B" w:rsidP="00A9687B">
            <w:pPr>
              <w:spacing w:after="0" w:line="240" w:lineRule="auto"/>
              <w:jc w:val="center"/>
              <w:rPr>
                <w:rFonts w:cs="Arial"/>
                <w:color w:val="000000"/>
                <w:sz w:val="16"/>
                <w:szCs w:val="16"/>
              </w:rPr>
            </w:pPr>
            <w:r>
              <w:rPr>
                <w:rFonts w:cs="Arial"/>
                <w:sz w:val="16"/>
                <w:szCs w:val="16"/>
              </w:rPr>
              <w:t>2,6</w:t>
            </w:r>
          </w:p>
        </w:tc>
        <w:tc>
          <w:tcPr>
            <w:tcW w:w="595" w:type="dxa"/>
            <w:tcBorders>
              <w:top w:val="nil"/>
              <w:left w:val="nil"/>
              <w:bottom w:val="nil"/>
              <w:right w:val="nil"/>
            </w:tcBorders>
            <w:shd w:val="clear" w:color="auto" w:fill="auto"/>
            <w:noWrap/>
            <w:vAlign w:val="center"/>
            <w:hideMark/>
          </w:tcPr>
          <w:p w14:paraId="16A89A5A" w14:textId="1B22A828" w:rsidR="00A9687B" w:rsidRPr="00D92E20" w:rsidRDefault="00A9687B" w:rsidP="00A9687B">
            <w:pPr>
              <w:spacing w:after="0" w:line="240" w:lineRule="auto"/>
              <w:jc w:val="center"/>
              <w:rPr>
                <w:rFonts w:cs="Arial"/>
                <w:color w:val="000000"/>
                <w:sz w:val="16"/>
                <w:szCs w:val="16"/>
              </w:rPr>
            </w:pPr>
            <w:r>
              <w:rPr>
                <w:rFonts w:cs="Arial"/>
                <w:sz w:val="16"/>
                <w:szCs w:val="16"/>
              </w:rPr>
              <w:t>3,0</w:t>
            </w:r>
          </w:p>
        </w:tc>
        <w:tc>
          <w:tcPr>
            <w:tcW w:w="595" w:type="dxa"/>
            <w:tcBorders>
              <w:top w:val="nil"/>
              <w:left w:val="nil"/>
              <w:bottom w:val="nil"/>
              <w:right w:val="nil"/>
            </w:tcBorders>
            <w:shd w:val="clear" w:color="auto" w:fill="auto"/>
            <w:noWrap/>
            <w:vAlign w:val="center"/>
            <w:hideMark/>
          </w:tcPr>
          <w:p w14:paraId="5D3619B4" w14:textId="7530DCFF" w:rsidR="00A9687B" w:rsidRPr="00D92E20" w:rsidRDefault="00A9687B" w:rsidP="00A9687B">
            <w:pPr>
              <w:spacing w:after="0" w:line="240" w:lineRule="auto"/>
              <w:jc w:val="center"/>
              <w:rPr>
                <w:rFonts w:cs="Arial"/>
                <w:color w:val="000000"/>
                <w:sz w:val="16"/>
                <w:szCs w:val="16"/>
              </w:rPr>
            </w:pPr>
            <w:r>
              <w:rPr>
                <w:rFonts w:cs="Arial"/>
                <w:color w:val="000000"/>
                <w:sz w:val="16"/>
                <w:szCs w:val="16"/>
              </w:rPr>
              <w:t>3,1</w:t>
            </w:r>
          </w:p>
        </w:tc>
        <w:tc>
          <w:tcPr>
            <w:tcW w:w="595" w:type="dxa"/>
            <w:tcBorders>
              <w:top w:val="nil"/>
              <w:left w:val="nil"/>
              <w:bottom w:val="nil"/>
              <w:right w:val="nil"/>
            </w:tcBorders>
            <w:shd w:val="clear" w:color="auto" w:fill="auto"/>
            <w:noWrap/>
            <w:vAlign w:val="center"/>
            <w:hideMark/>
          </w:tcPr>
          <w:p w14:paraId="7F84F244" w14:textId="4FDC6C21" w:rsidR="00A9687B" w:rsidRPr="00D92E20" w:rsidRDefault="00A9687B" w:rsidP="00A9687B">
            <w:pPr>
              <w:spacing w:after="0" w:line="240" w:lineRule="auto"/>
              <w:jc w:val="center"/>
              <w:rPr>
                <w:rFonts w:cs="Arial"/>
                <w:color w:val="000000"/>
                <w:sz w:val="16"/>
                <w:szCs w:val="16"/>
              </w:rPr>
            </w:pPr>
            <w:r>
              <w:rPr>
                <w:rFonts w:cs="Arial"/>
                <w:color w:val="000000"/>
                <w:sz w:val="16"/>
                <w:szCs w:val="16"/>
              </w:rPr>
              <w:t>3,2</w:t>
            </w:r>
          </w:p>
        </w:tc>
        <w:tc>
          <w:tcPr>
            <w:tcW w:w="595" w:type="dxa"/>
            <w:tcBorders>
              <w:top w:val="nil"/>
              <w:left w:val="nil"/>
              <w:bottom w:val="nil"/>
              <w:right w:val="nil"/>
            </w:tcBorders>
            <w:shd w:val="clear" w:color="auto" w:fill="auto"/>
            <w:noWrap/>
            <w:vAlign w:val="center"/>
            <w:hideMark/>
          </w:tcPr>
          <w:p w14:paraId="2A4F1FC7" w14:textId="18D71E96" w:rsidR="00A9687B" w:rsidRPr="00D92E20" w:rsidRDefault="00A9687B" w:rsidP="00A9687B">
            <w:pPr>
              <w:spacing w:after="0" w:line="240" w:lineRule="auto"/>
              <w:jc w:val="center"/>
              <w:rPr>
                <w:rFonts w:cs="Arial"/>
                <w:color w:val="000000"/>
                <w:sz w:val="16"/>
                <w:szCs w:val="16"/>
              </w:rPr>
            </w:pPr>
            <w:r>
              <w:rPr>
                <w:rFonts w:cs="Arial"/>
                <w:color w:val="000000"/>
                <w:sz w:val="16"/>
                <w:szCs w:val="16"/>
              </w:rPr>
              <w:t>3,3</w:t>
            </w:r>
          </w:p>
        </w:tc>
        <w:tc>
          <w:tcPr>
            <w:tcW w:w="595" w:type="dxa"/>
            <w:tcBorders>
              <w:top w:val="nil"/>
              <w:left w:val="nil"/>
              <w:bottom w:val="nil"/>
              <w:right w:val="nil"/>
            </w:tcBorders>
            <w:shd w:val="clear" w:color="auto" w:fill="auto"/>
            <w:noWrap/>
            <w:vAlign w:val="center"/>
            <w:hideMark/>
          </w:tcPr>
          <w:p w14:paraId="3882DF8C" w14:textId="660F879B" w:rsidR="00A9687B" w:rsidRPr="00D92E20" w:rsidRDefault="00A9687B" w:rsidP="00A9687B">
            <w:pPr>
              <w:spacing w:after="0" w:line="240" w:lineRule="auto"/>
              <w:jc w:val="center"/>
              <w:rPr>
                <w:rFonts w:cs="Arial"/>
                <w:color w:val="000000"/>
                <w:sz w:val="16"/>
                <w:szCs w:val="16"/>
              </w:rPr>
            </w:pPr>
            <w:r>
              <w:rPr>
                <w:rFonts w:cs="Arial"/>
                <w:color w:val="000000"/>
                <w:sz w:val="16"/>
                <w:szCs w:val="16"/>
              </w:rPr>
              <w:t>3,3</w:t>
            </w:r>
          </w:p>
        </w:tc>
        <w:tc>
          <w:tcPr>
            <w:tcW w:w="595" w:type="dxa"/>
            <w:tcBorders>
              <w:top w:val="nil"/>
              <w:left w:val="nil"/>
              <w:bottom w:val="nil"/>
              <w:right w:val="nil"/>
            </w:tcBorders>
            <w:shd w:val="clear" w:color="auto" w:fill="auto"/>
            <w:noWrap/>
            <w:vAlign w:val="center"/>
            <w:hideMark/>
          </w:tcPr>
          <w:p w14:paraId="0FC6D7ED" w14:textId="267A2A07" w:rsidR="00A9687B" w:rsidRPr="00D92E20" w:rsidRDefault="00A9687B" w:rsidP="00A9687B">
            <w:pPr>
              <w:spacing w:after="0" w:line="240" w:lineRule="auto"/>
              <w:jc w:val="center"/>
              <w:rPr>
                <w:rFonts w:cs="Arial"/>
                <w:color w:val="000000"/>
                <w:sz w:val="16"/>
                <w:szCs w:val="16"/>
              </w:rPr>
            </w:pPr>
            <w:r>
              <w:rPr>
                <w:rFonts w:cs="Arial"/>
                <w:color w:val="000000"/>
                <w:sz w:val="16"/>
                <w:szCs w:val="16"/>
              </w:rPr>
              <w:t>3,9</w:t>
            </w:r>
          </w:p>
        </w:tc>
        <w:tc>
          <w:tcPr>
            <w:tcW w:w="595" w:type="dxa"/>
            <w:tcBorders>
              <w:top w:val="nil"/>
              <w:left w:val="nil"/>
              <w:bottom w:val="nil"/>
              <w:right w:val="nil"/>
            </w:tcBorders>
            <w:shd w:val="clear" w:color="auto" w:fill="auto"/>
            <w:noWrap/>
            <w:vAlign w:val="center"/>
            <w:hideMark/>
          </w:tcPr>
          <w:p w14:paraId="5A565F4F" w14:textId="388A33B1" w:rsidR="00A9687B" w:rsidRPr="00D92E20" w:rsidRDefault="00A9687B" w:rsidP="00A9687B">
            <w:pPr>
              <w:spacing w:after="0" w:line="240" w:lineRule="auto"/>
              <w:jc w:val="center"/>
              <w:rPr>
                <w:rFonts w:cs="Arial"/>
                <w:color w:val="000000"/>
                <w:sz w:val="16"/>
                <w:szCs w:val="16"/>
              </w:rPr>
            </w:pPr>
            <w:r>
              <w:rPr>
                <w:rFonts w:cs="Arial"/>
                <w:color w:val="000000"/>
                <w:sz w:val="16"/>
                <w:szCs w:val="16"/>
              </w:rPr>
              <w:t>3,5</w:t>
            </w:r>
          </w:p>
        </w:tc>
        <w:tc>
          <w:tcPr>
            <w:tcW w:w="595" w:type="dxa"/>
            <w:tcBorders>
              <w:top w:val="nil"/>
              <w:left w:val="nil"/>
              <w:bottom w:val="nil"/>
              <w:right w:val="nil"/>
            </w:tcBorders>
            <w:shd w:val="clear" w:color="auto" w:fill="auto"/>
            <w:noWrap/>
            <w:vAlign w:val="center"/>
            <w:hideMark/>
          </w:tcPr>
          <w:p w14:paraId="3E934D17" w14:textId="4B10D302" w:rsidR="00A9687B" w:rsidRPr="00D92E20" w:rsidRDefault="00A9687B" w:rsidP="00A9687B">
            <w:pPr>
              <w:spacing w:after="0" w:line="240" w:lineRule="auto"/>
              <w:jc w:val="center"/>
              <w:rPr>
                <w:rFonts w:cs="Arial"/>
                <w:color w:val="000000"/>
                <w:sz w:val="16"/>
                <w:szCs w:val="16"/>
              </w:rPr>
            </w:pPr>
            <w:r>
              <w:rPr>
                <w:rFonts w:cs="Arial"/>
                <w:color w:val="000000"/>
                <w:sz w:val="16"/>
                <w:szCs w:val="16"/>
              </w:rPr>
              <w:t>4,2</w:t>
            </w:r>
          </w:p>
        </w:tc>
      </w:tr>
      <w:tr w:rsidR="00A9687B" w:rsidRPr="00D92E20" w14:paraId="23A725A7" w14:textId="77777777" w:rsidTr="006C7D54">
        <w:trPr>
          <w:trHeight w:val="300"/>
        </w:trPr>
        <w:tc>
          <w:tcPr>
            <w:tcW w:w="3118" w:type="dxa"/>
            <w:tcBorders>
              <w:top w:val="nil"/>
              <w:left w:val="nil"/>
              <w:bottom w:val="nil"/>
              <w:right w:val="single" w:sz="4" w:space="0" w:color="auto"/>
            </w:tcBorders>
            <w:shd w:val="clear" w:color="auto" w:fill="auto"/>
            <w:vAlign w:val="center"/>
            <w:hideMark/>
          </w:tcPr>
          <w:p w14:paraId="2E35F2F1" w14:textId="77777777" w:rsidR="00A9687B" w:rsidRPr="00D92E20" w:rsidRDefault="00A9687B" w:rsidP="00A9687B">
            <w:pPr>
              <w:spacing w:after="0" w:line="240" w:lineRule="auto"/>
              <w:ind w:firstLineChars="100" w:firstLine="160"/>
              <w:rPr>
                <w:rFonts w:cs="Arial"/>
                <w:color w:val="000000"/>
                <w:sz w:val="16"/>
                <w:szCs w:val="16"/>
              </w:rPr>
            </w:pPr>
            <w:r w:rsidRPr="00D92E20">
              <w:rPr>
                <w:rFonts w:cs="Arial"/>
                <w:color w:val="000000"/>
                <w:sz w:val="16"/>
                <w:szCs w:val="16"/>
              </w:rPr>
              <w:t>S – Ostatní činnosti</w:t>
            </w:r>
          </w:p>
        </w:tc>
        <w:tc>
          <w:tcPr>
            <w:tcW w:w="595" w:type="dxa"/>
            <w:tcBorders>
              <w:top w:val="nil"/>
              <w:left w:val="nil"/>
              <w:bottom w:val="nil"/>
              <w:right w:val="nil"/>
            </w:tcBorders>
            <w:shd w:val="clear" w:color="auto" w:fill="auto"/>
            <w:noWrap/>
            <w:vAlign w:val="center"/>
            <w:hideMark/>
          </w:tcPr>
          <w:p w14:paraId="66B5E270" w14:textId="2A0E966C" w:rsidR="00A9687B" w:rsidRPr="00D92E20" w:rsidRDefault="00A9687B" w:rsidP="00A9687B">
            <w:pPr>
              <w:spacing w:after="0" w:line="240" w:lineRule="auto"/>
              <w:jc w:val="center"/>
              <w:rPr>
                <w:rFonts w:cs="Arial"/>
                <w:color w:val="000000"/>
                <w:sz w:val="16"/>
                <w:szCs w:val="16"/>
              </w:rPr>
            </w:pPr>
            <w:r>
              <w:rPr>
                <w:rFonts w:cs="Arial"/>
                <w:sz w:val="16"/>
                <w:szCs w:val="16"/>
              </w:rPr>
              <w:t>3,1</w:t>
            </w:r>
          </w:p>
        </w:tc>
        <w:tc>
          <w:tcPr>
            <w:tcW w:w="595" w:type="dxa"/>
            <w:tcBorders>
              <w:top w:val="nil"/>
              <w:left w:val="nil"/>
              <w:bottom w:val="nil"/>
              <w:right w:val="nil"/>
            </w:tcBorders>
            <w:shd w:val="clear" w:color="auto" w:fill="auto"/>
            <w:noWrap/>
            <w:vAlign w:val="center"/>
            <w:hideMark/>
          </w:tcPr>
          <w:p w14:paraId="6ABCC930" w14:textId="735B2CAA" w:rsidR="00A9687B" w:rsidRPr="00D92E20" w:rsidRDefault="00A9687B" w:rsidP="00A9687B">
            <w:pPr>
              <w:spacing w:after="0" w:line="240" w:lineRule="auto"/>
              <w:jc w:val="center"/>
              <w:rPr>
                <w:rFonts w:cs="Arial"/>
                <w:color w:val="000000"/>
                <w:sz w:val="16"/>
                <w:szCs w:val="16"/>
              </w:rPr>
            </w:pPr>
            <w:r>
              <w:rPr>
                <w:rFonts w:cs="Arial"/>
                <w:sz w:val="16"/>
                <w:szCs w:val="16"/>
              </w:rPr>
              <w:t>3,4</w:t>
            </w:r>
          </w:p>
        </w:tc>
        <w:tc>
          <w:tcPr>
            <w:tcW w:w="595" w:type="dxa"/>
            <w:tcBorders>
              <w:top w:val="nil"/>
              <w:left w:val="nil"/>
              <w:bottom w:val="nil"/>
              <w:right w:val="nil"/>
            </w:tcBorders>
            <w:shd w:val="clear" w:color="auto" w:fill="auto"/>
            <w:noWrap/>
            <w:vAlign w:val="center"/>
            <w:hideMark/>
          </w:tcPr>
          <w:p w14:paraId="677F22DB" w14:textId="62C340AA" w:rsidR="00A9687B" w:rsidRPr="00D92E20" w:rsidRDefault="00A9687B" w:rsidP="00A9687B">
            <w:pPr>
              <w:spacing w:after="0" w:line="240" w:lineRule="auto"/>
              <w:jc w:val="center"/>
              <w:rPr>
                <w:rFonts w:cs="Arial"/>
                <w:color w:val="000000"/>
                <w:sz w:val="16"/>
                <w:szCs w:val="16"/>
              </w:rPr>
            </w:pPr>
            <w:r>
              <w:rPr>
                <w:rFonts w:cs="Arial"/>
                <w:sz w:val="16"/>
                <w:szCs w:val="16"/>
              </w:rPr>
              <w:t>3,3</w:t>
            </w:r>
          </w:p>
        </w:tc>
        <w:tc>
          <w:tcPr>
            <w:tcW w:w="595" w:type="dxa"/>
            <w:tcBorders>
              <w:top w:val="nil"/>
              <w:left w:val="nil"/>
              <w:bottom w:val="nil"/>
              <w:right w:val="nil"/>
            </w:tcBorders>
            <w:shd w:val="clear" w:color="auto" w:fill="auto"/>
            <w:noWrap/>
            <w:vAlign w:val="center"/>
            <w:hideMark/>
          </w:tcPr>
          <w:p w14:paraId="13692565" w14:textId="1F390958" w:rsidR="00A9687B" w:rsidRPr="00D92E20" w:rsidRDefault="00A9687B" w:rsidP="00A9687B">
            <w:pPr>
              <w:spacing w:after="0" w:line="240" w:lineRule="auto"/>
              <w:jc w:val="center"/>
              <w:rPr>
                <w:rFonts w:cs="Arial"/>
                <w:color w:val="000000"/>
                <w:sz w:val="16"/>
                <w:szCs w:val="16"/>
              </w:rPr>
            </w:pPr>
            <w:r>
              <w:rPr>
                <w:rFonts w:cs="Arial"/>
                <w:sz w:val="16"/>
                <w:szCs w:val="16"/>
              </w:rPr>
              <w:t>3,7</w:t>
            </w:r>
          </w:p>
        </w:tc>
        <w:tc>
          <w:tcPr>
            <w:tcW w:w="595" w:type="dxa"/>
            <w:tcBorders>
              <w:top w:val="nil"/>
              <w:left w:val="nil"/>
              <w:bottom w:val="nil"/>
              <w:right w:val="nil"/>
            </w:tcBorders>
            <w:shd w:val="clear" w:color="auto" w:fill="auto"/>
            <w:noWrap/>
            <w:vAlign w:val="center"/>
            <w:hideMark/>
          </w:tcPr>
          <w:p w14:paraId="43CC5481" w14:textId="23E914F7" w:rsidR="00A9687B" w:rsidRPr="00D92E20" w:rsidRDefault="00A9687B" w:rsidP="00A9687B">
            <w:pPr>
              <w:spacing w:after="0" w:line="240" w:lineRule="auto"/>
              <w:jc w:val="center"/>
              <w:rPr>
                <w:rFonts w:cs="Arial"/>
                <w:color w:val="000000"/>
                <w:sz w:val="16"/>
                <w:szCs w:val="16"/>
              </w:rPr>
            </w:pPr>
            <w:r>
              <w:rPr>
                <w:rFonts w:cs="Arial"/>
                <w:color w:val="000000"/>
                <w:sz w:val="16"/>
                <w:szCs w:val="16"/>
              </w:rPr>
              <w:t>4,0</w:t>
            </w:r>
          </w:p>
        </w:tc>
        <w:tc>
          <w:tcPr>
            <w:tcW w:w="595" w:type="dxa"/>
            <w:tcBorders>
              <w:top w:val="nil"/>
              <w:left w:val="nil"/>
              <w:bottom w:val="nil"/>
              <w:right w:val="nil"/>
            </w:tcBorders>
            <w:shd w:val="clear" w:color="auto" w:fill="auto"/>
            <w:noWrap/>
            <w:vAlign w:val="center"/>
            <w:hideMark/>
          </w:tcPr>
          <w:p w14:paraId="10D2B747" w14:textId="10BC5ECA" w:rsidR="00A9687B" w:rsidRPr="00D92E20" w:rsidRDefault="00A9687B" w:rsidP="00A9687B">
            <w:pPr>
              <w:spacing w:after="0" w:line="240" w:lineRule="auto"/>
              <w:jc w:val="center"/>
              <w:rPr>
                <w:rFonts w:cs="Arial"/>
                <w:color w:val="000000"/>
                <w:sz w:val="16"/>
                <w:szCs w:val="16"/>
              </w:rPr>
            </w:pPr>
            <w:r>
              <w:rPr>
                <w:rFonts w:cs="Arial"/>
                <w:color w:val="000000"/>
                <w:sz w:val="16"/>
                <w:szCs w:val="16"/>
              </w:rPr>
              <w:t>3,9</w:t>
            </w:r>
          </w:p>
        </w:tc>
        <w:tc>
          <w:tcPr>
            <w:tcW w:w="595" w:type="dxa"/>
            <w:tcBorders>
              <w:top w:val="nil"/>
              <w:left w:val="nil"/>
              <w:bottom w:val="nil"/>
              <w:right w:val="nil"/>
            </w:tcBorders>
            <w:shd w:val="clear" w:color="auto" w:fill="auto"/>
            <w:noWrap/>
            <w:vAlign w:val="center"/>
            <w:hideMark/>
          </w:tcPr>
          <w:p w14:paraId="7ECDCD2C" w14:textId="3269E9A5" w:rsidR="00A9687B" w:rsidRPr="00D92E20" w:rsidRDefault="00A9687B" w:rsidP="00A9687B">
            <w:pPr>
              <w:spacing w:after="0" w:line="240" w:lineRule="auto"/>
              <w:jc w:val="center"/>
              <w:rPr>
                <w:rFonts w:cs="Arial"/>
                <w:color w:val="000000"/>
                <w:sz w:val="16"/>
                <w:szCs w:val="16"/>
              </w:rPr>
            </w:pPr>
            <w:r>
              <w:rPr>
                <w:rFonts w:cs="Arial"/>
                <w:color w:val="000000"/>
                <w:sz w:val="16"/>
                <w:szCs w:val="16"/>
              </w:rPr>
              <w:t>4,0</w:t>
            </w:r>
          </w:p>
        </w:tc>
        <w:tc>
          <w:tcPr>
            <w:tcW w:w="595" w:type="dxa"/>
            <w:tcBorders>
              <w:top w:val="nil"/>
              <w:left w:val="nil"/>
              <w:bottom w:val="nil"/>
              <w:right w:val="nil"/>
            </w:tcBorders>
            <w:shd w:val="clear" w:color="auto" w:fill="auto"/>
            <w:noWrap/>
            <w:vAlign w:val="center"/>
            <w:hideMark/>
          </w:tcPr>
          <w:p w14:paraId="3844FB89" w14:textId="29151F3A" w:rsidR="00A9687B" w:rsidRPr="00D92E20" w:rsidRDefault="00A9687B" w:rsidP="00A9687B">
            <w:pPr>
              <w:spacing w:after="0" w:line="240" w:lineRule="auto"/>
              <w:jc w:val="center"/>
              <w:rPr>
                <w:rFonts w:cs="Arial"/>
                <w:color w:val="000000"/>
                <w:sz w:val="16"/>
                <w:szCs w:val="16"/>
              </w:rPr>
            </w:pPr>
            <w:r>
              <w:rPr>
                <w:rFonts w:cs="Arial"/>
                <w:color w:val="000000"/>
                <w:sz w:val="16"/>
                <w:szCs w:val="16"/>
              </w:rPr>
              <w:t>4,1</w:t>
            </w:r>
          </w:p>
        </w:tc>
        <w:tc>
          <w:tcPr>
            <w:tcW w:w="595" w:type="dxa"/>
            <w:tcBorders>
              <w:top w:val="nil"/>
              <w:left w:val="nil"/>
              <w:bottom w:val="nil"/>
              <w:right w:val="nil"/>
            </w:tcBorders>
            <w:shd w:val="clear" w:color="auto" w:fill="auto"/>
            <w:noWrap/>
            <w:vAlign w:val="center"/>
            <w:hideMark/>
          </w:tcPr>
          <w:p w14:paraId="497275A2" w14:textId="1B931C60" w:rsidR="00A9687B" w:rsidRPr="00D92E20" w:rsidRDefault="00A9687B" w:rsidP="00A9687B">
            <w:pPr>
              <w:spacing w:after="0" w:line="240" w:lineRule="auto"/>
              <w:jc w:val="center"/>
              <w:rPr>
                <w:rFonts w:cs="Arial"/>
                <w:color w:val="000000"/>
                <w:sz w:val="16"/>
                <w:szCs w:val="16"/>
              </w:rPr>
            </w:pPr>
            <w:r>
              <w:rPr>
                <w:rFonts w:cs="Arial"/>
                <w:color w:val="000000"/>
                <w:sz w:val="16"/>
                <w:szCs w:val="16"/>
              </w:rPr>
              <w:t>4,9</w:t>
            </w:r>
          </w:p>
        </w:tc>
        <w:tc>
          <w:tcPr>
            <w:tcW w:w="595" w:type="dxa"/>
            <w:tcBorders>
              <w:top w:val="nil"/>
              <w:left w:val="nil"/>
              <w:bottom w:val="nil"/>
              <w:right w:val="nil"/>
            </w:tcBorders>
            <w:shd w:val="clear" w:color="auto" w:fill="auto"/>
            <w:noWrap/>
            <w:vAlign w:val="center"/>
            <w:hideMark/>
          </w:tcPr>
          <w:p w14:paraId="4717B0E7" w14:textId="21DAABEB" w:rsidR="00A9687B" w:rsidRPr="00D92E20" w:rsidRDefault="00A9687B" w:rsidP="00A9687B">
            <w:pPr>
              <w:spacing w:after="0" w:line="240" w:lineRule="auto"/>
              <w:jc w:val="center"/>
              <w:rPr>
                <w:rFonts w:cs="Arial"/>
                <w:color w:val="000000"/>
                <w:sz w:val="16"/>
                <w:szCs w:val="16"/>
              </w:rPr>
            </w:pPr>
            <w:r>
              <w:rPr>
                <w:rFonts w:cs="Arial"/>
                <w:color w:val="000000"/>
                <w:sz w:val="16"/>
                <w:szCs w:val="16"/>
              </w:rPr>
              <w:t>4,9</w:t>
            </w:r>
          </w:p>
        </w:tc>
        <w:tc>
          <w:tcPr>
            <w:tcW w:w="595" w:type="dxa"/>
            <w:tcBorders>
              <w:top w:val="nil"/>
              <w:left w:val="nil"/>
              <w:bottom w:val="nil"/>
              <w:right w:val="nil"/>
            </w:tcBorders>
            <w:shd w:val="clear" w:color="auto" w:fill="auto"/>
            <w:noWrap/>
            <w:vAlign w:val="center"/>
            <w:hideMark/>
          </w:tcPr>
          <w:p w14:paraId="72EA5AB7" w14:textId="345183B5" w:rsidR="00A9687B" w:rsidRPr="00D92E20" w:rsidRDefault="00A9687B" w:rsidP="00A9687B">
            <w:pPr>
              <w:spacing w:after="0" w:line="240" w:lineRule="auto"/>
              <w:jc w:val="center"/>
              <w:rPr>
                <w:rFonts w:cs="Arial"/>
                <w:color w:val="000000"/>
                <w:sz w:val="16"/>
                <w:szCs w:val="16"/>
              </w:rPr>
            </w:pPr>
            <w:r>
              <w:rPr>
                <w:rFonts w:cs="Arial"/>
                <w:color w:val="000000"/>
                <w:sz w:val="16"/>
                <w:szCs w:val="16"/>
              </w:rPr>
              <w:t>5,0</w:t>
            </w:r>
          </w:p>
        </w:tc>
      </w:tr>
    </w:tbl>
    <w:p w14:paraId="5E5C4538" w14:textId="77777777" w:rsidR="00FF5F37" w:rsidRPr="00D92E20" w:rsidRDefault="00FF5F37" w:rsidP="00000A90">
      <w:pPr>
        <w:spacing w:before="120" w:after="120"/>
        <w:rPr>
          <w:sz w:val="16"/>
        </w:rPr>
      </w:pPr>
      <w:r w:rsidRPr="00D92E20">
        <w:rPr>
          <w:sz w:val="16"/>
        </w:rPr>
        <w:t>Zdroj: ČSÚ</w:t>
      </w:r>
    </w:p>
    <w:p w14:paraId="5B29016B" w14:textId="7119C4F0" w:rsidR="000A3F99" w:rsidRDefault="000A3F99" w:rsidP="000A3F99">
      <w:pPr>
        <w:autoSpaceDE w:val="0"/>
        <w:autoSpaceDN w:val="0"/>
        <w:adjustRightInd w:val="0"/>
        <w:spacing w:after="0"/>
        <w:jc w:val="both"/>
        <w:rPr>
          <w:rFonts w:cs="Arial"/>
          <w:b/>
        </w:rPr>
      </w:pPr>
      <w:r w:rsidRPr="00626EB8">
        <w:rPr>
          <w:rFonts w:cs="Arial"/>
          <w:b/>
        </w:rPr>
        <w:t>Graf 2.14: Průměrné procento dočasné pracovní neschopnosti podle krajů ČR, 1. pol. 2019, 2022</w:t>
      </w:r>
    </w:p>
    <w:p w14:paraId="384ECDCB" w14:textId="2F500FB3" w:rsidR="000A3F99" w:rsidRDefault="004524C4" w:rsidP="000A3F99">
      <w:pPr>
        <w:autoSpaceDE w:val="0"/>
        <w:autoSpaceDN w:val="0"/>
        <w:adjustRightInd w:val="0"/>
        <w:spacing w:after="0"/>
        <w:jc w:val="both"/>
        <w:rPr>
          <w:rFonts w:cs="Arial"/>
          <w:b/>
        </w:rPr>
      </w:pPr>
      <w:r>
        <w:rPr>
          <w:noProof/>
        </w:rPr>
        <w:drawing>
          <wp:inline distT="0" distB="0" distL="0" distR="0" wp14:anchorId="2D7712FB" wp14:editId="3953E2A4">
            <wp:extent cx="6115050" cy="2781300"/>
            <wp:effectExtent l="0" t="0" r="0" b="0"/>
            <wp:docPr id="58" name="Graf 58"/>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00CFA7B6" w14:textId="77777777" w:rsidR="000A3F99" w:rsidRDefault="000A3F99" w:rsidP="000A3F99">
      <w:pPr>
        <w:spacing w:before="120" w:after="120"/>
        <w:rPr>
          <w:sz w:val="16"/>
        </w:rPr>
      </w:pPr>
      <w:r w:rsidRPr="00D92E20">
        <w:rPr>
          <w:sz w:val="16"/>
        </w:rPr>
        <w:t>Zdroj: ČSÚ</w:t>
      </w:r>
    </w:p>
    <w:p w14:paraId="6B167860" w14:textId="5DF93A59" w:rsidR="00473D4E" w:rsidRDefault="00473D4E" w:rsidP="00473D4E">
      <w:pPr>
        <w:spacing w:before="120" w:after="120"/>
        <w:jc w:val="both"/>
      </w:pPr>
      <w:r w:rsidRPr="00422B21">
        <w:t>Z </w:t>
      </w:r>
      <w:r w:rsidRPr="00422B21">
        <w:rPr>
          <w:b/>
        </w:rPr>
        <w:t>regionálního pohledu</w:t>
      </w:r>
      <w:r w:rsidRPr="00422B21">
        <w:t xml:space="preserve"> zaznamenal nejvyšší hodnotu průměrného procenta pracovní neschopnosti Moravskoslezský (7,</w:t>
      </w:r>
      <w:r>
        <w:t>3</w:t>
      </w:r>
      <w:r w:rsidRPr="00422B21">
        <w:t xml:space="preserve"> %), </w:t>
      </w:r>
      <w:r>
        <w:t xml:space="preserve">Zlínský (7,2) </w:t>
      </w:r>
      <w:r w:rsidRPr="00422B21">
        <w:t>a Liberecký kraj (</w:t>
      </w:r>
      <w:r>
        <w:t>6,8</w:t>
      </w:r>
      <w:r w:rsidRPr="00422B21">
        <w:t xml:space="preserve"> %). Praha</w:t>
      </w:r>
      <w:r>
        <w:t>,</w:t>
      </w:r>
      <w:r w:rsidRPr="00422B21">
        <w:t xml:space="preserve"> díky nejnižšímu počtu případů na 100</w:t>
      </w:r>
      <w:r w:rsidR="003E64F4">
        <w:t> </w:t>
      </w:r>
      <w:r w:rsidRPr="00422B21">
        <w:t xml:space="preserve">pojištěnců a díky </w:t>
      </w:r>
      <w:r>
        <w:t xml:space="preserve">relativně krátké </w:t>
      </w:r>
      <w:r w:rsidRPr="00422B21">
        <w:t>průměrné době trvání pracovních neschopností</w:t>
      </w:r>
      <w:r>
        <w:t>,</w:t>
      </w:r>
      <w:r w:rsidRPr="00422B21">
        <w:t xml:space="preserve"> vykazuje nejnižší </w:t>
      </w:r>
      <w:r w:rsidRPr="00422B21">
        <w:lastRenderedPageBreak/>
        <w:t>procento dočasně práce neschopných denně. Zatímco hodnoty všech ostatních 13 krajů se nachází v rozmezí 5,</w:t>
      </w:r>
      <w:r>
        <w:t>9</w:t>
      </w:r>
      <w:r w:rsidRPr="00422B21">
        <w:t xml:space="preserve"> až 7,</w:t>
      </w:r>
      <w:r>
        <w:t>3</w:t>
      </w:r>
      <w:r w:rsidRPr="00422B21">
        <w:t xml:space="preserve"> %, ukazatel v Praze v</w:t>
      </w:r>
      <w:r>
        <w:t> 1. pol. 2022</w:t>
      </w:r>
      <w:r w:rsidRPr="00422B21">
        <w:t xml:space="preserve"> dosáhl hodnoty pouze 4,3 %. Toto výsadní postavení si kraj hl.</w:t>
      </w:r>
      <w:r w:rsidR="003E64F4">
        <w:t> </w:t>
      </w:r>
      <w:r w:rsidRPr="00422B21">
        <w:t>m. Praha drží už řadu let, jak je zřejmé z tabulky 2.9.</w:t>
      </w:r>
      <w:r>
        <w:t xml:space="preserve"> </w:t>
      </w:r>
      <w:r w:rsidRPr="00626EB8">
        <w:t>V Praze došlo k nejnižšímu nárůstu průměrného procenta pracovní neschopnosti za poslední 3 roky, a sice o 0,6 p. b. To nejvyšší nárůst (v hodnotě 1,5 p. b.) zazname</w:t>
      </w:r>
      <w:r>
        <w:softHyphen/>
      </w:r>
      <w:r w:rsidRPr="00626EB8">
        <w:t>nal Olomoucký kraj.</w:t>
      </w:r>
      <w:r>
        <w:t xml:space="preserve"> </w:t>
      </w:r>
    </w:p>
    <w:p w14:paraId="339E51E1" w14:textId="1A76C1CE" w:rsidR="00473D4E" w:rsidRDefault="00473D4E" w:rsidP="00473D4E">
      <w:pPr>
        <w:spacing w:before="120" w:after="120"/>
        <w:jc w:val="both"/>
      </w:pPr>
      <w:r w:rsidRPr="00422B21">
        <w:t xml:space="preserve">Podle </w:t>
      </w:r>
      <w:r w:rsidRPr="00422B21">
        <w:rPr>
          <w:b/>
        </w:rPr>
        <w:t>detailnějšího územního členění</w:t>
      </w:r>
      <w:r w:rsidRPr="00422B21">
        <w:t xml:space="preserve"> se okresem s nejvyšším průměrným procentem dočasné pracovní neschopnosti v 1. pol. 202</w:t>
      </w:r>
      <w:r>
        <w:t>2</w:t>
      </w:r>
      <w:r w:rsidRPr="00422B21">
        <w:t xml:space="preserve"> stal </w:t>
      </w:r>
      <w:r>
        <w:t>Hodonín</w:t>
      </w:r>
      <w:r w:rsidRPr="00422B21">
        <w:t xml:space="preserve"> </w:t>
      </w:r>
      <w:r>
        <w:t>v Jihomoravském kraji, Uherské Hradiště ve Zlínském kraji a Karviná v Moravskoslezském kraji (všechny 8,2 </w:t>
      </w:r>
      <w:r w:rsidRPr="00422B21">
        <w:t>%). Následovaly okresy Česká Lípa</w:t>
      </w:r>
      <w:r>
        <w:t xml:space="preserve"> (Liberecký kraj)</w:t>
      </w:r>
      <w:r w:rsidRPr="00422B21">
        <w:t xml:space="preserve">, Rokycany </w:t>
      </w:r>
      <w:r>
        <w:t xml:space="preserve">(Plzeňský kraj) </w:t>
      </w:r>
      <w:r w:rsidRPr="00422B21">
        <w:t>a</w:t>
      </w:r>
      <w:r>
        <w:t> Břeclav (Jihomoravský kraj)</w:t>
      </w:r>
      <w:r w:rsidRPr="00422B21">
        <w:t xml:space="preserve"> s hodnotou vyšší než 8 %. Nejnižší průměrné procent</w:t>
      </w:r>
      <w:r>
        <w:t>o</w:t>
      </w:r>
      <w:r w:rsidRPr="00422B21">
        <w:t xml:space="preserve"> pracovní neschopnosti vykazovaly již zmíněn</w:t>
      </w:r>
      <w:r>
        <w:t>á</w:t>
      </w:r>
      <w:r w:rsidRPr="00422B21">
        <w:t xml:space="preserve"> Praha (4,3 %</w:t>
      </w:r>
      <w:r>
        <w:t xml:space="preserve">), okres Brno-město (4,7 %) a </w:t>
      </w:r>
      <w:r w:rsidRPr="00422B21">
        <w:t xml:space="preserve">Jeseník </w:t>
      </w:r>
      <w:r>
        <w:t>v Olomouckém kraji (s hodnotou 5,2</w:t>
      </w:r>
      <w:r w:rsidRPr="00422B21">
        <w:t xml:space="preserve"> %</w:t>
      </w:r>
      <w:r>
        <w:t>)</w:t>
      </w:r>
      <w:r w:rsidRPr="00422B21">
        <w:t xml:space="preserve">. </w:t>
      </w:r>
    </w:p>
    <w:p w14:paraId="5BB7F369" w14:textId="766F17AE" w:rsidR="00473D4E" w:rsidRPr="00D92E20" w:rsidRDefault="00473D4E" w:rsidP="00473D4E">
      <w:pPr>
        <w:spacing w:before="120" w:after="120"/>
        <w:jc w:val="both"/>
      </w:pPr>
      <w:r>
        <w:t>V posledně jmenovaném okrese se hodnota zvýšila oproti 1. pol. 2021 z 2,9 %</w:t>
      </w:r>
      <w:r w:rsidRPr="00473D4E">
        <w:rPr>
          <w:rStyle w:val="Znakapoznpodarou"/>
        </w:rPr>
        <w:footnoteReference w:id="9"/>
      </w:r>
      <w:r w:rsidRPr="00473D4E">
        <w:t>.</w:t>
      </w:r>
      <w:r>
        <w:t xml:space="preserve"> </w:t>
      </w:r>
      <w:r w:rsidRPr="00422B21">
        <w:t xml:space="preserve">Hodnotu ukazatele pod hranicí 5,5 % zaznamenal ještě okres </w:t>
      </w:r>
      <w:r>
        <w:t>Hradec Králové (</w:t>
      </w:r>
      <w:r w:rsidRPr="00422B21">
        <w:t>5</w:t>
      </w:r>
      <w:r>
        <w:t>,3</w:t>
      </w:r>
      <w:r w:rsidRPr="00422B21">
        <w:t xml:space="preserve"> %). </w:t>
      </w:r>
      <w:r>
        <w:t>Hned 8 ze 12 středočeských okresů se s průměrným procentem dočasné pracovní nes</w:t>
      </w:r>
      <w:r w:rsidR="00101676">
        <w:t xml:space="preserve">chopnosti vešly pod hodnotu 6. </w:t>
      </w:r>
      <w:r w:rsidRPr="00422B21">
        <w:t>Podrobné informace za celou Českou republiku nabízí kartogram 2.2</w:t>
      </w:r>
      <w:r>
        <w:t>, resp. tabulka 3.5 v tabulkové části publikace.</w:t>
      </w:r>
    </w:p>
    <w:p w14:paraId="26DAD09E" w14:textId="6FE039C9" w:rsidR="000E0772" w:rsidRPr="00D92E20" w:rsidRDefault="00626EB8" w:rsidP="00626EB8">
      <w:r w:rsidRPr="006D1946">
        <w:rPr>
          <w:b/>
          <w:spacing w:val="-3"/>
        </w:rPr>
        <w:t>Kartogram 2.2: Průměrné procento dočasné pracovní neschopnosti v okresech a krajích ČR, 1. pol. 2022</w:t>
      </w:r>
      <w:r w:rsidR="00517A58" w:rsidRPr="00D92E20">
        <w:t xml:space="preserve"> </w:t>
      </w:r>
      <w:r w:rsidRPr="006D1946">
        <w:rPr>
          <w:noProof/>
        </w:rPr>
        <w:drawing>
          <wp:inline distT="0" distB="0" distL="0" distR="0" wp14:anchorId="77FE3763" wp14:editId="108A1056">
            <wp:extent cx="6120130" cy="4162425"/>
            <wp:effectExtent l="0" t="0" r="0" b="9525"/>
            <wp:docPr id="50" name="Obrázek 50" descr="D:\hykysova23070\Documents\PN\2022\1. pol\publ\KTG\02\PN_2022_%_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hykysova23070\Documents\PN\2022\1. pol\publ\KTG\02\PN_2022_%_02.png"/>
                    <pic:cNvPicPr>
                      <a:picLocks noChangeAspect="1" noChangeArrowheads="1"/>
                    </pic:cNvPicPr>
                  </pic:nvPicPr>
                  <pic:blipFill rotWithShape="1">
                    <a:blip r:embed="rId34">
                      <a:extLst>
                        <a:ext uri="{28A0092B-C50C-407E-A947-70E740481C1C}">
                          <a14:useLocalDpi xmlns:a14="http://schemas.microsoft.com/office/drawing/2010/main" val="0"/>
                        </a:ext>
                      </a:extLst>
                    </a:blip>
                    <a:srcRect t="1760" b="2055"/>
                    <a:stretch/>
                  </pic:blipFill>
                  <pic:spPr bwMode="auto">
                    <a:xfrm>
                      <a:off x="0" y="0"/>
                      <a:ext cx="6120130" cy="4162425"/>
                    </a:xfrm>
                    <a:prstGeom prst="rect">
                      <a:avLst/>
                    </a:prstGeom>
                    <a:noFill/>
                    <a:ln>
                      <a:noFill/>
                    </a:ln>
                    <a:extLst>
                      <a:ext uri="{53640926-AAD7-44D8-BBD7-CCE9431645EC}">
                        <a14:shadowObscured xmlns:a14="http://schemas.microsoft.com/office/drawing/2010/main"/>
                      </a:ext>
                    </a:extLst>
                  </pic:spPr>
                </pic:pic>
              </a:graphicData>
            </a:graphic>
          </wp:inline>
        </w:drawing>
      </w:r>
    </w:p>
    <w:p w14:paraId="33820A80" w14:textId="77777777" w:rsidR="002F0504" w:rsidRPr="00D92E20" w:rsidRDefault="002F0504" w:rsidP="002F0504">
      <w:pPr>
        <w:spacing w:before="120"/>
        <w:rPr>
          <w:sz w:val="16"/>
        </w:rPr>
      </w:pPr>
      <w:r w:rsidRPr="00D92E20">
        <w:rPr>
          <w:sz w:val="16"/>
        </w:rPr>
        <w:t>Zdroj: ČSÚ</w:t>
      </w:r>
    </w:p>
    <w:p w14:paraId="1ED9A6D2" w14:textId="482FE444" w:rsidR="000E0772" w:rsidRPr="004C0781" w:rsidRDefault="004D1BAD" w:rsidP="00000A90">
      <w:pPr>
        <w:spacing w:after="0"/>
        <w:rPr>
          <w:b/>
          <w:spacing w:val="-4"/>
        </w:rPr>
      </w:pPr>
      <w:r w:rsidRPr="004C0781">
        <w:rPr>
          <w:b/>
          <w:spacing w:val="-4"/>
        </w:rPr>
        <w:lastRenderedPageBreak/>
        <w:t>Tab. 2.9: Průměrné procento dočasné pracovní neschopnosti podle krajů ČR</w:t>
      </w:r>
      <w:r w:rsidR="00422B21" w:rsidRPr="004C0781">
        <w:rPr>
          <w:b/>
          <w:spacing w:val="-4"/>
        </w:rPr>
        <w:t xml:space="preserve">, </w:t>
      </w:r>
      <w:r w:rsidR="009F34CD" w:rsidRPr="004C0781">
        <w:rPr>
          <w:b/>
          <w:spacing w:val="-4"/>
        </w:rPr>
        <w:t>1. pol. 2012 až 1. pol. 2022</w:t>
      </w:r>
    </w:p>
    <w:tbl>
      <w:tblPr>
        <w:tblW w:w="9521" w:type="dxa"/>
        <w:tblCellMar>
          <w:left w:w="70" w:type="dxa"/>
          <w:right w:w="70" w:type="dxa"/>
        </w:tblCellMar>
        <w:tblLook w:val="04A0" w:firstRow="1" w:lastRow="0" w:firstColumn="1" w:lastColumn="0" w:noHBand="0" w:noVBand="1"/>
      </w:tblPr>
      <w:tblGrid>
        <w:gridCol w:w="2041"/>
        <w:gridCol w:w="680"/>
        <w:gridCol w:w="680"/>
        <w:gridCol w:w="680"/>
        <w:gridCol w:w="680"/>
        <w:gridCol w:w="680"/>
        <w:gridCol w:w="680"/>
        <w:gridCol w:w="680"/>
        <w:gridCol w:w="680"/>
        <w:gridCol w:w="680"/>
        <w:gridCol w:w="680"/>
        <w:gridCol w:w="680"/>
      </w:tblGrid>
      <w:tr w:rsidR="00987E13" w:rsidRPr="00D92E20" w14:paraId="56942E9F" w14:textId="77777777" w:rsidTr="00422B21">
        <w:trPr>
          <w:trHeight w:val="300"/>
        </w:trPr>
        <w:tc>
          <w:tcPr>
            <w:tcW w:w="2041" w:type="dxa"/>
            <w:tcBorders>
              <w:top w:val="single" w:sz="4" w:space="0" w:color="auto"/>
              <w:left w:val="nil"/>
              <w:bottom w:val="single" w:sz="4" w:space="0" w:color="auto"/>
              <w:right w:val="single" w:sz="4" w:space="0" w:color="auto"/>
            </w:tcBorders>
            <w:shd w:val="clear" w:color="000000" w:fill="F5DADD"/>
            <w:vAlign w:val="center"/>
            <w:hideMark/>
          </w:tcPr>
          <w:p w14:paraId="1EE1835C" w14:textId="77777777" w:rsidR="00987E13" w:rsidRPr="00D92E20" w:rsidRDefault="00987E13" w:rsidP="00987E13">
            <w:pPr>
              <w:spacing w:after="0" w:line="240" w:lineRule="auto"/>
              <w:jc w:val="center"/>
              <w:rPr>
                <w:rFonts w:cs="Arial"/>
                <w:color w:val="000000"/>
                <w:sz w:val="16"/>
                <w:szCs w:val="16"/>
              </w:rPr>
            </w:pPr>
            <w:r w:rsidRPr="00D92E20">
              <w:rPr>
                <w:rFonts w:cs="Arial"/>
                <w:color w:val="000000"/>
                <w:sz w:val="16"/>
                <w:szCs w:val="16"/>
              </w:rPr>
              <w:t>Kraj ČR</w:t>
            </w:r>
          </w:p>
        </w:tc>
        <w:tc>
          <w:tcPr>
            <w:tcW w:w="680" w:type="dxa"/>
            <w:tcBorders>
              <w:top w:val="single" w:sz="4" w:space="0" w:color="auto"/>
              <w:left w:val="nil"/>
              <w:bottom w:val="single" w:sz="4" w:space="0" w:color="auto"/>
              <w:right w:val="nil"/>
            </w:tcBorders>
            <w:shd w:val="clear" w:color="000000" w:fill="F5DADD"/>
            <w:noWrap/>
            <w:vAlign w:val="bottom"/>
            <w:hideMark/>
          </w:tcPr>
          <w:p w14:paraId="4C791552" w14:textId="7A333FBE" w:rsidR="00987E13" w:rsidRPr="00D92E20" w:rsidRDefault="00987E13" w:rsidP="00987E13">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2012</w:t>
            </w:r>
          </w:p>
        </w:tc>
        <w:tc>
          <w:tcPr>
            <w:tcW w:w="680" w:type="dxa"/>
            <w:tcBorders>
              <w:top w:val="single" w:sz="4" w:space="0" w:color="auto"/>
              <w:left w:val="nil"/>
              <w:bottom w:val="single" w:sz="4" w:space="0" w:color="auto"/>
              <w:right w:val="nil"/>
            </w:tcBorders>
            <w:shd w:val="clear" w:color="000000" w:fill="F5DADD"/>
            <w:noWrap/>
            <w:vAlign w:val="bottom"/>
            <w:hideMark/>
          </w:tcPr>
          <w:p w14:paraId="5C33CDC5" w14:textId="6B575DBE" w:rsidR="00987E13" w:rsidRPr="00D92E20" w:rsidRDefault="00987E13" w:rsidP="00987E13">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2013</w:t>
            </w:r>
          </w:p>
        </w:tc>
        <w:tc>
          <w:tcPr>
            <w:tcW w:w="680" w:type="dxa"/>
            <w:tcBorders>
              <w:top w:val="single" w:sz="4" w:space="0" w:color="auto"/>
              <w:left w:val="nil"/>
              <w:bottom w:val="single" w:sz="4" w:space="0" w:color="auto"/>
              <w:right w:val="nil"/>
            </w:tcBorders>
            <w:shd w:val="clear" w:color="000000" w:fill="F5DADD"/>
            <w:noWrap/>
            <w:vAlign w:val="bottom"/>
            <w:hideMark/>
          </w:tcPr>
          <w:p w14:paraId="4A69D662" w14:textId="4B4F1D8A" w:rsidR="00987E13" w:rsidRPr="00D92E20" w:rsidRDefault="00987E13" w:rsidP="00987E13">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2014</w:t>
            </w:r>
          </w:p>
        </w:tc>
        <w:tc>
          <w:tcPr>
            <w:tcW w:w="680" w:type="dxa"/>
            <w:tcBorders>
              <w:top w:val="single" w:sz="4" w:space="0" w:color="auto"/>
              <w:left w:val="nil"/>
              <w:bottom w:val="single" w:sz="4" w:space="0" w:color="auto"/>
              <w:right w:val="nil"/>
            </w:tcBorders>
            <w:shd w:val="clear" w:color="000000" w:fill="F5DADD"/>
            <w:noWrap/>
            <w:vAlign w:val="bottom"/>
            <w:hideMark/>
          </w:tcPr>
          <w:p w14:paraId="595242F2" w14:textId="1C4D1981" w:rsidR="00987E13" w:rsidRPr="00D92E20" w:rsidRDefault="00987E13" w:rsidP="00987E13">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2015</w:t>
            </w:r>
          </w:p>
        </w:tc>
        <w:tc>
          <w:tcPr>
            <w:tcW w:w="680" w:type="dxa"/>
            <w:tcBorders>
              <w:top w:val="single" w:sz="4" w:space="0" w:color="auto"/>
              <w:left w:val="nil"/>
              <w:bottom w:val="single" w:sz="4" w:space="0" w:color="auto"/>
              <w:right w:val="nil"/>
            </w:tcBorders>
            <w:shd w:val="clear" w:color="000000" w:fill="F5DADD"/>
            <w:noWrap/>
            <w:vAlign w:val="bottom"/>
            <w:hideMark/>
          </w:tcPr>
          <w:p w14:paraId="43DF137B" w14:textId="028E3CE9" w:rsidR="00987E13" w:rsidRPr="00D92E20" w:rsidRDefault="00987E13" w:rsidP="00987E13">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2016</w:t>
            </w:r>
          </w:p>
        </w:tc>
        <w:tc>
          <w:tcPr>
            <w:tcW w:w="680" w:type="dxa"/>
            <w:tcBorders>
              <w:top w:val="single" w:sz="4" w:space="0" w:color="auto"/>
              <w:left w:val="nil"/>
              <w:bottom w:val="single" w:sz="4" w:space="0" w:color="auto"/>
              <w:right w:val="nil"/>
            </w:tcBorders>
            <w:shd w:val="clear" w:color="000000" w:fill="F5DADD"/>
            <w:noWrap/>
            <w:vAlign w:val="bottom"/>
            <w:hideMark/>
          </w:tcPr>
          <w:p w14:paraId="5FFB4028" w14:textId="5404A1DC" w:rsidR="00987E13" w:rsidRPr="00D92E20" w:rsidRDefault="00987E13" w:rsidP="00987E13">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2017</w:t>
            </w:r>
          </w:p>
        </w:tc>
        <w:tc>
          <w:tcPr>
            <w:tcW w:w="680" w:type="dxa"/>
            <w:tcBorders>
              <w:top w:val="single" w:sz="4" w:space="0" w:color="auto"/>
              <w:left w:val="nil"/>
              <w:bottom w:val="single" w:sz="4" w:space="0" w:color="auto"/>
              <w:right w:val="nil"/>
            </w:tcBorders>
            <w:shd w:val="clear" w:color="000000" w:fill="F5DADD"/>
            <w:noWrap/>
            <w:vAlign w:val="bottom"/>
            <w:hideMark/>
          </w:tcPr>
          <w:p w14:paraId="44D91CA4" w14:textId="49546083" w:rsidR="00987E13" w:rsidRPr="00D92E20" w:rsidRDefault="00987E13" w:rsidP="00987E13">
            <w:pPr>
              <w:spacing w:after="0" w:line="240" w:lineRule="auto"/>
              <w:jc w:val="center"/>
              <w:rPr>
                <w:rFonts w:cs="Arial"/>
                <w:color w:val="000000"/>
                <w:sz w:val="16"/>
                <w:szCs w:val="16"/>
              </w:rPr>
            </w:pPr>
            <w:r>
              <w:rPr>
                <w:rFonts w:cs="Arial"/>
                <w:sz w:val="16"/>
                <w:szCs w:val="16"/>
              </w:rPr>
              <w:t xml:space="preserve">1. pol. </w:t>
            </w:r>
            <w:r>
              <w:rPr>
                <w:rFonts w:cs="Arial"/>
                <w:sz w:val="16"/>
                <w:szCs w:val="16"/>
              </w:rPr>
              <w:br/>
              <w:t>2018</w:t>
            </w:r>
          </w:p>
        </w:tc>
        <w:tc>
          <w:tcPr>
            <w:tcW w:w="680" w:type="dxa"/>
            <w:tcBorders>
              <w:top w:val="single" w:sz="4" w:space="0" w:color="auto"/>
              <w:left w:val="nil"/>
              <w:bottom w:val="single" w:sz="4" w:space="0" w:color="auto"/>
              <w:right w:val="nil"/>
            </w:tcBorders>
            <w:shd w:val="clear" w:color="000000" w:fill="F5DADD"/>
            <w:noWrap/>
            <w:vAlign w:val="bottom"/>
            <w:hideMark/>
          </w:tcPr>
          <w:p w14:paraId="582C9ED0" w14:textId="463A1D69" w:rsidR="00987E13" w:rsidRPr="00D92E20" w:rsidRDefault="00987E13" w:rsidP="00987E13">
            <w:pPr>
              <w:spacing w:after="0" w:line="240" w:lineRule="auto"/>
              <w:jc w:val="center"/>
              <w:rPr>
                <w:rFonts w:cs="Arial"/>
                <w:color w:val="000000"/>
                <w:sz w:val="16"/>
                <w:szCs w:val="16"/>
              </w:rPr>
            </w:pPr>
            <w:r>
              <w:rPr>
                <w:rFonts w:cs="Arial"/>
                <w:sz w:val="16"/>
                <w:szCs w:val="16"/>
              </w:rPr>
              <w:t>1. pol. 2019</w:t>
            </w:r>
          </w:p>
        </w:tc>
        <w:tc>
          <w:tcPr>
            <w:tcW w:w="680" w:type="dxa"/>
            <w:tcBorders>
              <w:top w:val="single" w:sz="4" w:space="0" w:color="auto"/>
              <w:left w:val="nil"/>
              <w:bottom w:val="single" w:sz="4" w:space="0" w:color="auto"/>
              <w:right w:val="nil"/>
            </w:tcBorders>
            <w:shd w:val="clear" w:color="000000" w:fill="F5DADD"/>
            <w:noWrap/>
            <w:vAlign w:val="bottom"/>
            <w:hideMark/>
          </w:tcPr>
          <w:p w14:paraId="42D5663B" w14:textId="5EA01388" w:rsidR="00987E13" w:rsidRPr="00D92E20" w:rsidRDefault="00987E13" w:rsidP="00987E13">
            <w:pPr>
              <w:spacing w:after="0" w:line="240" w:lineRule="auto"/>
              <w:jc w:val="center"/>
              <w:rPr>
                <w:rFonts w:cs="Arial"/>
                <w:color w:val="000000"/>
                <w:sz w:val="16"/>
                <w:szCs w:val="16"/>
              </w:rPr>
            </w:pPr>
            <w:r>
              <w:rPr>
                <w:rFonts w:cs="Arial"/>
                <w:sz w:val="16"/>
                <w:szCs w:val="16"/>
              </w:rPr>
              <w:t>1. pol. 2020</w:t>
            </w:r>
          </w:p>
        </w:tc>
        <w:tc>
          <w:tcPr>
            <w:tcW w:w="680" w:type="dxa"/>
            <w:tcBorders>
              <w:top w:val="single" w:sz="4" w:space="0" w:color="auto"/>
              <w:left w:val="nil"/>
              <w:bottom w:val="single" w:sz="4" w:space="0" w:color="auto"/>
              <w:right w:val="nil"/>
            </w:tcBorders>
            <w:shd w:val="clear" w:color="000000" w:fill="F5DADD"/>
            <w:noWrap/>
            <w:vAlign w:val="bottom"/>
            <w:hideMark/>
          </w:tcPr>
          <w:p w14:paraId="0FBFC904" w14:textId="0CAED068" w:rsidR="00987E13" w:rsidRPr="00D92E20" w:rsidRDefault="00987E13" w:rsidP="00987E13">
            <w:pPr>
              <w:spacing w:after="0" w:line="240" w:lineRule="auto"/>
              <w:jc w:val="center"/>
              <w:rPr>
                <w:rFonts w:cs="Arial"/>
                <w:color w:val="000000"/>
                <w:sz w:val="16"/>
                <w:szCs w:val="16"/>
              </w:rPr>
            </w:pPr>
            <w:r>
              <w:rPr>
                <w:rFonts w:cs="Arial"/>
                <w:sz w:val="16"/>
                <w:szCs w:val="16"/>
              </w:rPr>
              <w:t>1. pol. 2021</w:t>
            </w:r>
          </w:p>
        </w:tc>
        <w:tc>
          <w:tcPr>
            <w:tcW w:w="680" w:type="dxa"/>
            <w:tcBorders>
              <w:top w:val="single" w:sz="4" w:space="0" w:color="auto"/>
              <w:left w:val="nil"/>
              <w:bottom w:val="single" w:sz="4" w:space="0" w:color="auto"/>
              <w:right w:val="nil"/>
            </w:tcBorders>
            <w:shd w:val="clear" w:color="000000" w:fill="F5DADD"/>
            <w:noWrap/>
            <w:vAlign w:val="bottom"/>
            <w:hideMark/>
          </w:tcPr>
          <w:p w14:paraId="4B8F614A" w14:textId="5B6391E4" w:rsidR="00987E13" w:rsidRPr="00D92E20" w:rsidRDefault="00987E13" w:rsidP="00987E13">
            <w:pPr>
              <w:spacing w:after="0" w:line="240" w:lineRule="auto"/>
              <w:jc w:val="center"/>
              <w:rPr>
                <w:rFonts w:cs="Arial"/>
                <w:color w:val="000000"/>
                <w:sz w:val="16"/>
                <w:szCs w:val="16"/>
              </w:rPr>
            </w:pPr>
            <w:r>
              <w:rPr>
                <w:rFonts w:cs="Arial"/>
                <w:sz w:val="16"/>
                <w:szCs w:val="16"/>
              </w:rPr>
              <w:t>1. pol. 2022</w:t>
            </w:r>
          </w:p>
        </w:tc>
      </w:tr>
      <w:tr w:rsidR="00987E13" w:rsidRPr="00D92E20" w14:paraId="4E21F8A5"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0DCD6255" w14:textId="77777777" w:rsidR="00987E13" w:rsidRPr="00D92E20" w:rsidRDefault="00987E13" w:rsidP="00987E13">
            <w:pPr>
              <w:spacing w:after="0" w:line="240" w:lineRule="auto"/>
              <w:rPr>
                <w:rFonts w:cs="Arial"/>
                <w:b/>
                <w:bCs/>
                <w:color w:val="000000"/>
                <w:sz w:val="16"/>
                <w:szCs w:val="16"/>
              </w:rPr>
            </w:pPr>
            <w:r w:rsidRPr="00D92E20">
              <w:rPr>
                <w:rFonts w:cs="Arial"/>
                <w:b/>
                <w:bCs/>
                <w:color w:val="000000"/>
                <w:sz w:val="16"/>
                <w:szCs w:val="16"/>
              </w:rPr>
              <w:t>ČR celkem</w:t>
            </w:r>
          </w:p>
        </w:tc>
        <w:tc>
          <w:tcPr>
            <w:tcW w:w="680" w:type="dxa"/>
            <w:tcBorders>
              <w:top w:val="nil"/>
              <w:left w:val="nil"/>
              <w:bottom w:val="nil"/>
              <w:right w:val="nil"/>
            </w:tcBorders>
            <w:shd w:val="clear" w:color="auto" w:fill="auto"/>
            <w:noWrap/>
            <w:vAlign w:val="center"/>
            <w:hideMark/>
          </w:tcPr>
          <w:p w14:paraId="1B41FED1" w14:textId="68127E88" w:rsidR="00987E13" w:rsidRPr="00D92E20" w:rsidRDefault="00987E13" w:rsidP="00987E13">
            <w:pPr>
              <w:spacing w:after="0" w:line="240" w:lineRule="auto"/>
              <w:jc w:val="center"/>
              <w:rPr>
                <w:rFonts w:cs="Arial"/>
                <w:b/>
                <w:bCs/>
                <w:color w:val="000000"/>
                <w:sz w:val="16"/>
                <w:szCs w:val="16"/>
              </w:rPr>
            </w:pPr>
            <w:r>
              <w:rPr>
                <w:rFonts w:cs="Arial"/>
                <w:b/>
                <w:bCs/>
                <w:sz w:val="16"/>
                <w:szCs w:val="16"/>
              </w:rPr>
              <w:t>3,6</w:t>
            </w:r>
          </w:p>
        </w:tc>
        <w:tc>
          <w:tcPr>
            <w:tcW w:w="680" w:type="dxa"/>
            <w:tcBorders>
              <w:top w:val="nil"/>
              <w:left w:val="nil"/>
              <w:bottom w:val="nil"/>
              <w:right w:val="nil"/>
            </w:tcBorders>
            <w:shd w:val="clear" w:color="auto" w:fill="auto"/>
            <w:noWrap/>
            <w:vAlign w:val="center"/>
            <w:hideMark/>
          </w:tcPr>
          <w:p w14:paraId="4DD96AA5" w14:textId="48E7EC58" w:rsidR="00987E13" w:rsidRPr="00D92E20" w:rsidRDefault="00987E13" w:rsidP="00987E13">
            <w:pPr>
              <w:spacing w:after="0" w:line="240" w:lineRule="auto"/>
              <w:jc w:val="center"/>
              <w:rPr>
                <w:rFonts w:cs="Arial"/>
                <w:b/>
                <w:bCs/>
                <w:color w:val="000000"/>
                <w:sz w:val="16"/>
                <w:szCs w:val="16"/>
              </w:rPr>
            </w:pPr>
            <w:r>
              <w:rPr>
                <w:rFonts w:cs="Arial"/>
                <w:b/>
                <w:bCs/>
                <w:sz w:val="16"/>
                <w:szCs w:val="16"/>
              </w:rPr>
              <w:t>4,0</w:t>
            </w:r>
          </w:p>
        </w:tc>
        <w:tc>
          <w:tcPr>
            <w:tcW w:w="680" w:type="dxa"/>
            <w:tcBorders>
              <w:top w:val="nil"/>
              <w:left w:val="nil"/>
              <w:bottom w:val="nil"/>
              <w:right w:val="nil"/>
            </w:tcBorders>
            <w:shd w:val="clear" w:color="auto" w:fill="auto"/>
            <w:noWrap/>
            <w:vAlign w:val="center"/>
            <w:hideMark/>
          </w:tcPr>
          <w:p w14:paraId="28DD2A2A" w14:textId="5EE08A20" w:rsidR="00987E13" w:rsidRPr="00D92E20" w:rsidRDefault="00987E13" w:rsidP="00987E13">
            <w:pPr>
              <w:spacing w:after="0" w:line="240" w:lineRule="auto"/>
              <w:jc w:val="center"/>
              <w:rPr>
                <w:rFonts w:cs="Arial"/>
                <w:b/>
                <w:bCs/>
                <w:color w:val="000000"/>
                <w:sz w:val="16"/>
                <w:szCs w:val="16"/>
              </w:rPr>
            </w:pPr>
            <w:r>
              <w:rPr>
                <w:rFonts w:cs="Arial"/>
                <w:b/>
                <w:bCs/>
                <w:sz w:val="16"/>
                <w:szCs w:val="16"/>
              </w:rPr>
              <w:t>3,8</w:t>
            </w:r>
          </w:p>
        </w:tc>
        <w:tc>
          <w:tcPr>
            <w:tcW w:w="680" w:type="dxa"/>
            <w:tcBorders>
              <w:top w:val="nil"/>
              <w:left w:val="nil"/>
              <w:bottom w:val="nil"/>
              <w:right w:val="nil"/>
            </w:tcBorders>
            <w:shd w:val="clear" w:color="auto" w:fill="auto"/>
            <w:noWrap/>
            <w:vAlign w:val="center"/>
            <w:hideMark/>
          </w:tcPr>
          <w:p w14:paraId="47A74827" w14:textId="4AD1DF47" w:rsidR="00987E13" w:rsidRPr="00D92E20" w:rsidRDefault="00987E13" w:rsidP="00987E13">
            <w:pPr>
              <w:spacing w:after="0" w:line="240" w:lineRule="auto"/>
              <w:jc w:val="center"/>
              <w:rPr>
                <w:rFonts w:cs="Arial"/>
                <w:b/>
                <w:bCs/>
                <w:color w:val="000000"/>
                <w:sz w:val="16"/>
                <w:szCs w:val="16"/>
              </w:rPr>
            </w:pPr>
            <w:r>
              <w:rPr>
                <w:rFonts w:cs="Arial"/>
                <w:b/>
                <w:bCs/>
                <w:sz w:val="16"/>
                <w:szCs w:val="16"/>
              </w:rPr>
              <w:t>4,3</w:t>
            </w:r>
          </w:p>
        </w:tc>
        <w:tc>
          <w:tcPr>
            <w:tcW w:w="680" w:type="dxa"/>
            <w:tcBorders>
              <w:top w:val="nil"/>
              <w:left w:val="nil"/>
              <w:bottom w:val="nil"/>
              <w:right w:val="nil"/>
            </w:tcBorders>
            <w:shd w:val="clear" w:color="auto" w:fill="auto"/>
            <w:noWrap/>
            <w:vAlign w:val="center"/>
            <w:hideMark/>
          </w:tcPr>
          <w:p w14:paraId="7787D12A" w14:textId="03A33620" w:rsidR="00987E13" w:rsidRPr="00D92E20" w:rsidRDefault="00987E13" w:rsidP="00987E13">
            <w:pPr>
              <w:spacing w:after="0" w:line="240" w:lineRule="auto"/>
              <w:jc w:val="center"/>
              <w:rPr>
                <w:rFonts w:cs="Arial"/>
                <w:b/>
                <w:bCs/>
                <w:color w:val="000000"/>
                <w:sz w:val="16"/>
                <w:szCs w:val="16"/>
              </w:rPr>
            </w:pPr>
            <w:r>
              <w:rPr>
                <w:rFonts w:cs="Arial"/>
                <w:b/>
                <w:bCs/>
                <w:sz w:val="16"/>
                <w:szCs w:val="16"/>
              </w:rPr>
              <w:t>4,5</w:t>
            </w:r>
          </w:p>
        </w:tc>
        <w:tc>
          <w:tcPr>
            <w:tcW w:w="680" w:type="dxa"/>
            <w:tcBorders>
              <w:top w:val="nil"/>
              <w:left w:val="nil"/>
              <w:bottom w:val="nil"/>
              <w:right w:val="nil"/>
            </w:tcBorders>
            <w:shd w:val="clear" w:color="auto" w:fill="auto"/>
            <w:noWrap/>
            <w:vAlign w:val="center"/>
            <w:hideMark/>
          </w:tcPr>
          <w:p w14:paraId="30701FA9" w14:textId="2FAAA4B4" w:rsidR="00987E13" w:rsidRPr="00D92E20" w:rsidRDefault="00987E13" w:rsidP="00987E13">
            <w:pPr>
              <w:spacing w:after="0" w:line="240" w:lineRule="auto"/>
              <w:jc w:val="center"/>
              <w:rPr>
                <w:rFonts w:cs="Arial"/>
                <w:b/>
                <w:bCs/>
                <w:color w:val="000000"/>
                <w:sz w:val="16"/>
                <w:szCs w:val="16"/>
              </w:rPr>
            </w:pPr>
            <w:r>
              <w:rPr>
                <w:rFonts w:cs="Arial"/>
                <w:b/>
                <w:bCs/>
                <w:sz w:val="16"/>
                <w:szCs w:val="16"/>
              </w:rPr>
              <w:t>4,6</w:t>
            </w:r>
          </w:p>
        </w:tc>
        <w:tc>
          <w:tcPr>
            <w:tcW w:w="680" w:type="dxa"/>
            <w:tcBorders>
              <w:top w:val="nil"/>
              <w:left w:val="nil"/>
              <w:bottom w:val="nil"/>
              <w:right w:val="nil"/>
            </w:tcBorders>
            <w:shd w:val="clear" w:color="auto" w:fill="auto"/>
            <w:noWrap/>
            <w:vAlign w:val="center"/>
            <w:hideMark/>
          </w:tcPr>
          <w:p w14:paraId="587B6358" w14:textId="216A8819" w:rsidR="00987E13" w:rsidRPr="00D92E20" w:rsidRDefault="00987E13" w:rsidP="00987E13">
            <w:pPr>
              <w:spacing w:after="0" w:line="240" w:lineRule="auto"/>
              <w:jc w:val="center"/>
              <w:rPr>
                <w:rFonts w:cs="Arial"/>
                <w:b/>
                <w:bCs/>
                <w:color w:val="000000"/>
                <w:sz w:val="16"/>
                <w:szCs w:val="16"/>
              </w:rPr>
            </w:pPr>
            <w:r>
              <w:rPr>
                <w:rFonts w:cs="Arial"/>
                <w:b/>
                <w:bCs/>
                <w:color w:val="000000"/>
                <w:sz w:val="16"/>
                <w:szCs w:val="16"/>
              </w:rPr>
              <w:t>4,8</w:t>
            </w:r>
          </w:p>
        </w:tc>
        <w:tc>
          <w:tcPr>
            <w:tcW w:w="680" w:type="dxa"/>
            <w:tcBorders>
              <w:top w:val="nil"/>
              <w:left w:val="nil"/>
              <w:bottom w:val="nil"/>
              <w:right w:val="nil"/>
            </w:tcBorders>
            <w:shd w:val="clear" w:color="auto" w:fill="auto"/>
            <w:noWrap/>
            <w:vAlign w:val="center"/>
            <w:hideMark/>
          </w:tcPr>
          <w:p w14:paraId="109F15B7" w14:textId="3D11663E" w:rsidR="00987E13" w:rsidRPr="00D92E20" w:rsidRDefault="00987E13" w:rsidP="00987E13">
            <w:pPr>
              <w:spacing w:after="0" w:line="240" w:lineRule="auto"/>
              <w:jc w:val="center"/>
              <w:rPr>
                <w:rFonts w:cs="Arial"/>
                <w:b/>
                <w:bCs/>
                <w:color w:val="000000"/>
                <w:sz w:val="16"/>
                <w:szCs w:val="16"/>
              </w:rPr>
            </w:pPr>
            <w:r>
              <w:rPr>
                <w:rFonts w:cs="Arial"/>
                <w:b/>
                <w:bCs/>
                <w:color w:val="000000"/>
                <w:sz w:val="16"/>
                <w:szCs w:val="16"/>
              </w:rPr>
              <w:t>4,8</w:t>
            </w:r>
          </w:p>
        </w:tc>
        <w:tc>
          <w:tcPr>
            <w:tcW w:w="680" w:type="dxa"/>
            <w:tcBorders>
              <w:top w:val="nil"/>
              <w:left w:val="nil"/>
              <w:bottom w:val="nil"/>
              <w:right w:val="nil"/>
            </w:tcBorders>
            <w:shd w:val="clear" w:color="auto" w:fill="auto"/>
            <w:noWrap/>
            <w:vAlign w:val="center"/>
            <w:hideMark/>
          </w:tcPr>
          <w:p w14:paraId="4210D2CA" w14:textId="1DC8CA3D" w:rsidR="00987E13" w:rsidRPr="00D92E20" w:rsidRDefault="00987E13" w:rsidP="00987E13">
            <w:pPr>
              <w:spacing w:after="0" w:line="240" w:lineRule="auto"/>
              <w:jc w:val="center"/>
              <w:rPr>
                <w:rFonts w:cs="Arial"/>
                <w:b/>
                <w:bCs/>
                <w:color w:val="000000"/>
                <w:sz w:val="16"/>
                <w:szCs w:val="16"/>
              </w:rPr>
            </w:pPr>
            <w:r>
              <w:rPr>
                <w:rFonts w:cs="Arial"/>
                <w:b/>
                <w:bCs/>
                <w:color w:val="000000"/>
                <w:sz w:val="16"/>
                <w:szCs w:val="16"/>
              </w:rPr>
              <w:t>5,6</w:t>
            </w:r>
          </w:p>
        </w:tc>
        <w:tc>
          <w:tcPr>
            <w:tcW w:w="680" w:type="dxa"/>
            <w:tcBorders>
              <w:top w:val="nil"/>
              <w:left w:val="nil"/>
              <w:bottom w:val="nil"/>
              <w:right w:val="nil"/>
            </w:tcBorders>
            <w:shd w:val="clear" w:color="auto" w:fill="auto"/>
            <w:noWrap/>
            <w:vAlign w:val="center"/>
            <w:hideMark/>
          </w:tcPr>
          <w:p w14:paraId="1A7369E6" w14:textId="08F74F29" w:rsidR="00987E13" w:rsidRPr="00D92E20" w:rsidRDefault="00987E13" w:rsidP="00987E13">
            <w:pPr>
              <w:spacing w:after="0" w:line="240" w:lineRule="auto"/>
              <w:jc w:val="center"/>
              <w:rPr>
                <w:rFonts w:cs="Arial"/>
                <w:b/>
                <w:bCs/>
                <w:color w:val="000000"/>
                <w:sz w:val="16"/>
                <w:szCs w:val="16"/>
              </w:rPr>
            </w:pPr>
            <w:r>
              <w:rPr>
                <w:rFonts w:cs="Arial"/>
                <w:b/>
                <w:bCs/>
                <w:color w:val="000000"/>
                <w:sz w:val="16"/>
                <w:szCs w:val="16"/>
              </w:rPr>
              <w:t>6,0</w:t>
            </w:r>
          </w:p>
        </w:tc>
        <w:tc>
          <w:tcPr>
            <w:tcW w:w="680" w:type="dxa"/>
            <w:tcBorders>
              <w:top w:val="nil"/>
              <w:left w:val="nil"/>
              <w:bottom w:val="nil"/>
              <w:right w:val="nil"/>
            </w:tcBorders>
            <w:shd w:val="clear" w:color="auto" w:fill="auto"/>
            <w:noWrap/>
            <w:vAlign w:val="center"/>
            <w:hideMark/>
          </w:tcPr>
          <w:p w14:paraId="58B26037" w14:textId="5046AD5E" w:rsidR="00987E13" w:rsidRPr="00D92E20" w:rsidRDefault="00987E13" w:rsidP="00987E13">
            <w:pPr>
              <w:spacing w:after="0" w:line="240" w:lineRule="auto"/>
              <w:jc w:val="center"/>
              <w:rPr>
                <w:rFonts w:cs="Arial"/>
                <w:b/>
                <w:bCs/>
                <w:color w:val="000000"/>
                <w:sz w:val="16"/>
                <w:szCs w:val="16"/>
              </w:rPr>
            </w:pPr>
            <w:r>
              <w:rPr>
                <w:rFonts w:cs="Arial"/>
                <w:b/>
                <w:bCs/>
                <w:color w:val="000000"/>
                <w:sz w:val="16"/>
                <w:szCs w:val="16"/>
              </w:rPr>
              <w:t>5,9</w:t>
            </w:r>
          </w:p>
        </w:tc>
      </w:tr>
      <w:tr w:rsidR="00987E13" w:rsidRPr="00D92E20" w14:paraId="30534C41"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084CA38B" w14:textId="77777777" w:rsidR="00987E13" w:rsidRPr="00D92E20" w:rsidRDefault="00987E13" w:rsidP="00987E13">
            <w:pPr>
              <w:spacing w:after="0" w:line="240" w:lineRule="auto"/>
              <w:ind w:firstLineChars="100" w:firstLine="160"/>
              <w:rPr>
                <w:rFonts w:cs="Arial"/>
                <w:color w:val="000000"/>
                <w:sz w:val="16"/>
                <w:szCs w:val="16"/>
              </w:rPr>
            </w:pPr>
            <w:r w:rsidRPr="00D92E20">
              <w:rPr>
                <w:rFonts w:cs="Arial"/>
                <w:color w:val="000000"/>
                <w:sz w:val="16"/>
                <w:szCs w:val="16"/>
              </w:rPr>
              <w:t>Hl. m. Praha</w:t>
            </w:r>
          </w:p>
        </w:tc>
        <w:tc>
          <w:tcPr>
            <w:tcW w:w="680" w:type="dxa"/>
            <w:tcBorders>
              <w:top w:val="nil"/>
              <w:left w:val="nil"/>
              <w:bottom w:val="nil"/>
              <w:right w:val="nil"/>
            </w:tcBorders>
            <w:shd w:val="clear" w:color="auto" w:fill="auto"/>
            <w:noWrap/>
            <w:vAlign w:val="center"/>
            <w:hideMark/>
          </w:tcPr>
          <w:p w14:paraId="7F2AB78D" w14:textId="3EE83E56" w:rsidR="00987E13" w:rsidRPr="00D92E20" w:rsidRDefault="00987E13" w:rsidP="00987E13">
            <w:pPr>
              <w:spacing w:after="0" w:line="240" w:lineRule="auto"/>
              <w:jc w:val="center"/>
              <w:rPr>
                <w:rFonts w:cs="Arial"/>
                <w:color w:val="000000"/>
                <w:sz w:val="16"/>
                <w:szCs w:val="16"/>
              </w:rPr>
            </w:pPr>
            <w:r>
              <w:rPr>
                <w:rFonts w:cs="Arial"/>
                <w:sz w:val="16"/>
                <w:szCs w:val="16"/>
              </w:rPr>
              <w:t>2,6</w:t>
            </w:r>
          </w:p>
        </w:tc>
        <w:tc>
          <w:tcPr>
            <w:tcW w:w="680" w:type="dxa"/>
            <w:tcBorders>
              <w:top w:val="nil"/>
              <w:left w:val="nil"/>
              <w:bottom w:val="nil"/>
              <w:right w:val="nil"/>
            </w:tcBorders>
            <w:shd w:val="clear" w:color="auto" w:fill="auto"/>
            <w:noWrap/>
            <w:vAlign w:val="center"/>
            <w:hideMark/>
          </w:tcPr>
          <w:p w14:paraId="24D094EF" w14:textId="61E10AF0" w:rsidR="00987E13" w:rsidRPr="00D92E20" w:rsidRDefault="00987E13" w:rsidP="00987E13">
            <w:pPr>
              <w:spacing w:after="0" w:line="240" w:lineRule="auto"/>
              <w:jc w:val="center"/>
              <w:rPr>
                <w:rFonts w:cs="Arial"/>
                <w:color w:val="000000"/>
                <w:sz w:val="16"/>
                <w:szCs w:val="16"/>
              </w:rPr>
            </w:pPr>
            <w:r>
              <w:rPr>
                <w:rFonts w:cs="Arial"/>
                <w:sz w:val="16"/>
                <w:szCs w:val="16"/>
              </w:rPr>
              <w:t>3,0</w:t>
            </w:r>
          </w:p>
        </w:tc>
        <w:tc>
          <w:tcPr>
            <w:tcW w:w="680" w:type="dxa"/>
            <w:tcBorders>
              <w:top w:val="nil"/>
              <w:left w:val="nil"/>
              <w:bottom w:val="nil"/>
              <w:right w:val="nil"/>
            </w:tcBorders>
            <w:shd w:val="clear" w:color="auto" w:fill="auto"/>
            <w:noWrap/>
            <w:vAlign w:val="center"/>
            <w:hideMark/>
          </w:tcPr>
          <w:p w14:paraId="70EE6046" w14:textId="30021849" w:rsidR="00987E13" w:rsidRPr="00D92E20" w:rsidRDefault="00987E13" w:rsidP="00987E13">
            <w:pPr>
              <w:spacing w:after="0" w:line="240" w:lineRule="auto"/>
              <w:jc w:val="center"/>
              <w:rPr>
                <w:rFonts w:cs="Arial"/>
                <w:color w:val="000000"/>
                <w:sz w:val="16"/>
                <w:szCs w:val="16"/>
              </w:rPr>
            </w:pPr>
            <w:r>
              <w:rPr>
                <w:rFonts w:cs="Arial"/>
                <w:sz w:val="16"/>
                <w:szCs w:val="16"/>
              </w:rPr>
              <w:t>2,9</w:t>
            </w:r>
          </w:p>
        </w:tc>
        <w:tc>
          <w:tcPr>
            <w:tcW w:w="680" w:type="dxa"/>
            <w:tcBorders>
              <w:top w:val="nil"/>
              <w:left w:val="nil"/>
              <w:bottom w:val="nil"/>
              <w:right w:val="nil"/>
            </w:tcBorders>
            <w:shd w:val="clear" w:color="auto" w:fill="auto"/>
            <w:noWrap/>
            <w:vAlign w:val="center"/>
            <w:hideMark/>
          </w:tcPr>
          <w:p w14:paraId="03F05A44" w14:textId="1BC24704" w:rsidR="00987E13" w:rsidRPr="00D92E20" w:rsidRDefault="00987E13" w:rsidP="00987E13">
            <w:pPr>
              <w:spacing w:after="0" w:line="240" w:lineRule="auto"/>
              <w:jc w:val="center"/>
              <w:rPr>
                <w:rFonts w:cs="Arial"/>
                <w:color w:val="000000"/>
                <w:sz w:val="16"/>
                <w:szCs w:val="16"/>
              </w:rPr>
            </w:pPr>
            <w:r>
              <w:rPr>
                <w:rFonts w:cs="Arial"/>
                <w:sz w:val="16"/>
                <w:szCs w:val="16"/>
              </w:rPr>
              <w:t>3,3</w:t>
            </w:r>
          </w:p>
        </w:tc>
        <w:tc>
          <w:tcPr>
            <w:tcW w:w="680" w:type="dxa"/>
            <w:tcBorders>
              <w:top w:val="nil"/>
              <w:left w:val="nil"/>
              <w:bottom w:val="nil"/>
              <w:right w:val="nil"/>
            </w:tcBorders>
            <w:shd w:val="clear" w:color="auto" w:fill="auto"/>
            <w:noWrap/>
            <w:vAlign w:val="center"/>
            <w:hideMark/>
          </w:tcPr>
          <w:p w14:paraId="36C3877E" w14:textId="1DDCB922" w:rsidR="00987E13" w:rsidRPr="00D92E20" w:rsidRDefault="00987E13" w:rsidP="00987E13">
            <w:pPr>
              <w:spacing w:after="0" w:line="240" w:lineRule="auto"/>
              <w:jc w:val="center"/>
              <w:rPr>
                <w:rFonts w:cs="Arial"/>
                <w:color w:val="000000"/>
                <w:sz w:val="16"/>
                <w:szCs w:val="16"/>
              </w:rPr>
            </w:pPr>
            <w:r>
              <w:rPr>
                <w:rFonts w:cs="Arial"/>
                <w:sz w:val="16"/>
                <w:szCs w:val="16"/>
              </w:rPr>
              <w:t>3,3</w:t>
            </w:r>
          </w:p>
        </w:tc>
        <w:tc>
          <w:tcPr>
            <w:tcW w:w="680" w:type="dxa"/>
            <w:tcBorders>
              <w:top w:val="nil"/>
              <w:left w:val="nil"/>
              <w:bottom w:val="nil"/>
              <w:right w:val="nil"/>
            </w:tcBorders>
            <w:shd w:val="clear" w:color="auto" w:fill="auto"/>
            <w:noWrap/>
            <w:vAlign w:val="center"/>
            <w:hideMark/>
          </w:tcPr>
          <w:p w14:paraId="0631CDBC" w14:textId="0309524B" w:rsidR="00987E13" w:rsidRPr="00D92E20" w:rsidRDefault="00987E13" w:rsidP="00987E13">
            <w:pPr>
              <w:spacing w:after="0" w:line="240" w:lineRule="auto"/>
              <w:jc w:val="center"/>
              <w:rPr>
                <w:rFonts w:cs="Arial"/>
                <w:color w:val="000000"/>
                <w:sz w:val="16"/>
                <w:szCs w:val="16"/>
              </w:rPr>
            </w:pPr>
            <w:r>
              <w:rPr>
                <w:rFonts w:cs="Arial"/>
                <w:sz w:val="16"/>
                <w:szCs w:val="16"/>
              </w:rPr>
              <w:t>3,4</w:t>
            </w:r>
          </w:p>
        </w:tc>
        <w:tc>
          <w:tcPr>
            <w:tcW w:w="680" w:type="dxa"/>
            <w:tcBorders>
              <w:top w:val="nil"/>
              <w:left w:val="nil"/>
              <w:bottom w:val="nil"/>
              <w:right w:val="nil"/>
            </w:tcBorders>
            <w:shd w:val="clear" w:color="auto" w:fill="auto"/>
            <w:noWrap/>
            <w:vAlign w:val="center"/>
            <w:hideMark/>
          </w:tcPr>
          <w:p w14:paraId="3FAE5A6C" w14:textId="744486A2" w:rsidR="00987E13" w:rsidRPr="00D92E20" w:rsidRDefault="00987E13" w:rsidP="00987E13">
            <w:pPr>
              <w:spacing w:after="0" w:line="240" w:lineRule="auto"/>
              <w:jc w:val="center"/>
              <w:rPr>
                <w:rFonts w:cs="Arial"/>
                <w:color w:val="000000"/>
                <w:sz w:val="16"/>
                <w:szCs w:val="16"/>
              </w:rPr>
            </w:pPr>
            <w:r>
              <w:rPr>
                <w:rFonts w:cs="Arial"/>
                <w:color w:val="000000"/>
                <w:sz w:val="16"/>
                <w:szCs w:val="16"/>
              </w:rPr>
              <w:t>3,6</w:t>
            </w:r>
          </w:p>
        </w:tc>
        <w:tc>
          <w:tcPr>
            <w:tcW w:w="680" w:type="dxa"/>
            <w:tcBorders>
              <w:top w:val="nil"/>
              <w:left w:val="nil"/>
              <w:bottom w:val="nil"/>
              <w:right w:val="nil"/>
            </w:tcBorders>
            <w:shd w:val="clear" w:color="auto" w:fill="auto"/>
            <w:noWrap/>
            <w:vAlign w:val="center"/>
            <w:hideMark/>
          </w:tcPr>
          <w:p w14:paraId="1ECFB2C2" w14:textId="5B82C463" w:rsidR="00987E13" w:rsidRPr="00D92E20" w:rsidRDefault="00987E13" w:rsidP="00987E13">
            <w:pPr>
              <w:spacing w:after="0" w:line="240" w:lineRule="auto"/>
              <w:jc w:val="center"/>
              <w:rPr>
                <w:rFonts w:cs="Arial"/>
                <w:color w:val="000000"/>
                <w:sz w:val="16"/>
                <w:szCs w:val="16"/>
              </w:rPr>
            </w:pPr>
            <w:r>
              <w:rPr>
                <w:rFonts w:cs="Arial"/>
                <w:color w:val="000000"/>
                <w:sz w:val="16"/>
                <w:szCs w:val="16"/>
              </w:rPr>
              <w:t>3,6</w:t>
            </w:r>
          </w:p>
        </w:tc>
        <w:tc>
          <w:tcPr>
            <w:tcW w:w="680" w:type="dxa"/>
            <w:tcBorders>
              <w:top w:val="nil"/>
              <w:left w:val="nil"/>
              <w:bottom w:val="nil"/>
              <w:right w:val="nil"/>
            </w:tcBorders>
            <w:shd w:val="clear" w:color="auto" w:fill="auto"/>
            <w:noWrap/>
            <w:vAlign w:val="center"/>
            <w:hideMark/>
          </w:tcPr>
          <w:p w14:paraId="210987EE" w14:textId="2FCDD06F" w:rsidR="00987E13" w:rsidRPr="00D92E20" w:rsidRDefault="00987E13" w:rsidP="00987E13">
            <w:pPr>
              <w:spacing w:after="0" w:line="240" w:lineRule="auto"/>
              <w:jc w:val="center"/>
              <w:rPr>
                <w:rFonts w:cs="Arial"/>
                <w:color w:val="000000"/>
                <w:sz w:val="16"/>
                <w:szCs w:val="16"/>
              </w:rPr>
            </w:pPr>
            <w:r>
              <w:rPr>
                <w:rFonts w:cs="Arial"/>
                <w:color w:val="000000"/>
                <w:sz w:val="16"/>
                <w:szCs w:val="16"/>
              </w:rPr>
              <w:t>4,1</w:t>
            </w:r>
          </w:p>
        </w:tc>
        <w:tc>
          <w:tcPr>
            <w:tcW w:w="680" w:type="dxa"/>
            <w:tcBorders>
              <w:top w:val="nil"/>
              <w:left w:val="nil"/>
              <w:bottom w:val="nil"/>
              <w:right w:val="nil"/>
            </w:tcBorders>
            <w:shd w:val="clear" w:color="auto" w:fill="auto"/>
            <w:noWrap/>
            <w:vAlign w:val="center"/>
            <w:hideMark/>
          </w:tcPr>
          <w:p w14:paraId="05B08BEF" w14:textId="7CE700A1" w:rsidR="00987E13" w:rsidRPr="00D92E20" w:rsidRDefault="00987E13" w:rsidP="00987E13">
            <w:pPr>
              <w:spacing w:after="0" w:line="240" w:lineRule="auto"/>
              <w:jc w:val="center"/>
              <w:rPr>
                <w:rFonts w:cs="Arial"/>
                <w:color w:val="000000"/>
                <w:sz w:val="16"/>
                <w:szCs w:val="16"/>
              </w:rPr>
            </w:pPr>
            <w:r>
              <w:rPr>
                <w:rFonts w:cs="Arial"/>
                <w:color w:val="000000"/>
                <w:sz w:val="16"/>
                <w:szCs w:val="16"/>
              </w:rPr>
              <w:t>4,3</w:t>
            </w:r>
          </w:p>
        </w:tc>
        <w:tc>
          <w:tcPr>
            <w:tcW w:w="680" w:type="dxa"/>
            <w:tcBorders>
              <w:top w:val="nil"/>
              <w:left w:val="nil"/>
              <w:bottom w:val="nil"/>
              <w:right w:val="nil"/>
            </w:tcBorders>
            <w:shd w:val="clear" w:color="auto" w:fill="auto"/>
            <w:noWrap/>
            <w:vAlign w:val="center"/>
            <w:hideMark/>
          </w:tcPr>
          <w:p w14:paraId="60F4F476" w14:textId="16921A53" w:rsidR="00987E13" w:rsidRPr="00D92E20" w:rsidRDefault="00987E13" w:rsidP="00987E13">
            <w:pPr>
              <w:spacing w:after="0" w:line="240" w:lineRule="auto"/>
              <w:jc w:val="center"/>
              <w:rPr>
                <w:rFonts w:cs="Arial"/>
                <w:color w:val="000000"/>
                <w:sz w:val="16"/>
                <w:szCs w:val="16"/>
              </w:rPr>
            </w:pPr>
            <w:r>
              <w:rPr>
                <w:rFonts w:cs="Arial"/>
                <w:color w:val="000000"/>
                <w:sz w:val="16"/>
                <w:szCs w:val="16"/>
              </w:rPr>
              <w:t>4,3</w:t>
            </w:r>
          </w:p>
        </w:tc>
      </w:tr>
      <w:tr w:rsidR="00987E13" w:rsidRPr="00D92E20" w14:paraId="3380034F"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06A116FC" w14:textId="77777777" w:rsidR="00987E13" w:rsidRPr="00D92E20" w:rsidRDefault="00987E13" w:rsidP="00987E13">
            <w:pPr>
              <w:spacing w:after="0" w:line="240" w:lineRule="auto"/>
              <w:ind w:firstLineChars="100" w:firstLine="160"/>
              <w:rPr>
                <w:rFonts w:cs="Arial"/>
                <w:color w:val="000000"/>
                <w:sz w:val="16"/>
                <w:szCs w:val="16"/>
              </w:rPr>
            </w:pPr>
            <w:r w:rsidRPr="00D92E20">
              <w:rPr>
                <w:rFonts w:cs="Arial"/>
                <w:color w:val="000000"/>
                <w:sz w:val="16"/>
                <w:szCs w:val="16"/>
              </w:rPr>
              <w:t>Středočeský kraj</w:t>
            </w:r>
          </w:p>
        </w:tc>
        <w:tc>
          <w:tcPr>
            <w:tcW w:w="680" w:type="dxa"/>
            <w:tcBorders>
              <w:top w:val="nil"/>
              <w:left w:val="nil"/>
              <w:bottom w:val="nil"/>
              <w:right w:val="nil"/>
            </w:tcBorders>
            <w:shd w:val="clear" w:color="auto" w:fill="auto"/>
            <w:noWrap/>
            <w:vAlign w:val="center"/>
            <w:hideMark/>
          </w:tcPr>
          <w:p w14:paraId="6CFB6BF4" w14:textId="2B66A765" w:rsidR="00987E13" w:rsidRPr="00D92E20" w:rsidRDefault="00987E13" w:rsidP="00987E13">
            <w:pPr>
              <w:spacing w:after="0" w:line="240" w:lineRule="auto"/>
              <w:jc w:val="center"/>
              <w:rPr>
                <w:rFonts w:cs="Arial"/>
                <w:color w:val="000000"/>
                <w:sz w:val="16"/>
                <w:szCs w:val="16"/>
              </w:rPr>
            </w:pPr>
            <w:r>
              <w:rPr>
                <w:rFonts w:cs="Arial"/>
                <w:sz w:val="16"/>
                <w:szCs w:val="16"/>
              </w:rPr>
              <w:t>3,6</w:t>
            </w:r>
          </w:p>
        </w:tc>
        <w:tc>
          <w:tcPr>
            <w:tcW w:w="680" w:type="dxa"/>
            <w:tcBorders>
              <w:top w:val="nil"/>
              <w:left w:val="nil"/>
              <w:bottom w:val="nil"/>
              <w:right w:val="nil"/>
            </w:tcBorders>
            <w:shd w:val="clear" w:color="auto" w:fill="auto"/>
            <w:noWrap/>
            <w:vAlign w:val="center"/>
            <w:hideMark/>
          </w:tcPr>
          <w:p w14:paraId="04696881" w14:textId="0D145212" w:rsidR="00987E13" w:rsidRPr="00D92E20" w:rsidRDefault="00987E13" w:rsidP="00987E13">
            <w:pPr>
              <w:spacing w:after="0" w:line="240" w:lineRule="auto"/>
              <w:jc w:val="center"/>
              <w:rPr>
                <w:rFonts w:cs="Arial"/>
                <w:color w:val="000000"/>
                <w:sz w:val="16"/>
                <w:szCs w:val="16"/>
              </w:rPr>
            </w:pPr>
            <w:r>
              <w:rPr>
                <w:rFonts w:cs="Arial"/>
                <w:sz w:val="16"/>
                <w:szCs w:val="16"/>
              </w:rPr>
              <w:t>4,0</w:t>
            </w:r>
          </w:p>
        </w:tc>
        <w:tc>
          <w:tcPr>
            <w:tcW w:w="680" w:type="dxa"/>
            <w:tcBorders>
              <w:top w:val="nil"/>
              <w:left w:val="nil"/>
              <w:bottom w:val="nil"/>
              <w:right w:val="nil"/>
            </w:tcBorders>
            <w:shd w:val="clear" w:color="auto" w:fill="auto"/>
            <w:noWrap/>
            <w:vAlign w:val="center"/>
            <w:hideMark/>
          </w:tcPr>
          <w:p w14:paraId="5ADACFE3" w14:textId="2D44CFBF" w:rsidR="00987E13" w:rsidRPr="00D92E20" w:rsidRDefault="00987E13" w:rsidP="00987E13">
            <w:pPr>
              <w:spacing w:after="0" w:line="240" w:lineRule="auto"/>
              <w:jc w:val="center"/>
              <w:rPr>
                <w:rFonts w:cs="Arial"/>
                <w:color w:val="000000"/>
                <w:sz w:val="16"/>
                <w:szCs w:val="16"/>
              </w:rPr>
            </w:pPr>
            <w:r>
              <w:rPr>
                <w:rFonts w:cs="Arial"/>
                <w:sz w:val="16"/>
                <w:szCs w:val="16"/>
              </w:rPr>
              <w:t>3,9</w:t>
            </w:r>
          </w:p>
        </w:tc>
        <w:tc>
          <w:tcPr>
            <w:tcW w:w="680" w:type="dxa"/>
            <w:tcBorders>
              <w:top w:val="nil"/>
              <w:left w:val="nil"/>
              <w:bottom w:val="nil"/>
              <w:right w:val="nil"/>
            </w:tcBorders>
            <w:shd w:val="clear" w:color="auto" w:fill="auto"/>
            <w:noWrap/>
            <w:vAlign w:val="center"/>
            <w:hideMark/>
          </w:tcPr>
          <w:p w14:paraId="17662C0E" w14:textId="6749DD85" w:rsidR="00987E13" w:rsidRPr="00D92E20" w:rsidRDefault="00987E13" w:rsidP="00987E13">
            <w:pPr>
              <w:spacing w:after="0" w:line="240" w:lineRule="auto"/>
              <w:jc w:val="center"/>
              <w:rPr>
                <w:rFonts w:cs="Arial"/>
                <w:color w:val="000000"/>
                <w:sz w:val="16"/>
                <w:szCs w:val="16"/>
              </w:rPr>
            </w:pPr>
            <w:r>
              <w:rPr>
                <w:rFonts w:cs="Arial"/>
                <w:sz w:val="16"/>
                <w:szCs w:val="16"/>
              </w:rPr>
              <w:t>4,3</w:t>
            </w:r>
          </w:p>
        </w:tc>
        <w:tc>
          <w:tcPr>
            <w:tcW w:w="680" w:type="dxa"/>
            <w:tcBorders>
              <w:top w:val="nil"/>
              <w:left w:val="nil"/>
              <w:bottom w:val="nil"/>
              <w:right w:val="nil"/>
            </w:tcBorders>
            <w:shd w:val="clear" w:color="auto" w:fill="auto"/>
            <w:noWrap/>
            <w:vAlign w:val="center"/>
            <w:hideMark/>
          </w:tcPr>
          <w:p w14:paraId="45B4E0D7" w14:textId="5B035879" w:rsidR="00987E13" w:rsidRPr="00D92E20" w:rsidRDefault="00987E13" w:rsidP="00987E13">
            <w:pPr>
              <w:spacing w:after="0" w:line="240" w:lineRule="auto"/>
              <w:jc w:val="center"/>
              <w:rPr>
                <w:rFonts w:cs="Arial"/>
                <w:color w:val="000000"/>
                <w:sz w:val="16"/>
                <w:szCs w:val="16"/>
              </w:rPr>
            </w:pPr>
            <w:r>
              <w:rPr>
                <w:rFonts w:cs="Arial"/>
                <w:sz w:val="16"/>
                <w:szCs w:val="16"/>
              </w:rPr>
              <w:t>4,5</w:t>
            </w:r>
          </w:p>
        </w:tc>
        <w:tc>
          <w:tcPr>
            <w:tcW w:w="680" w:type="dxa"/>
            <w:tcBorders>
              <w:top w:val="nil"/>
              <w:left w:val="nil"/>
              <w:bottom w:val="nil"/>
              <w:right w:val="nil"/>
            </w:tcBorders>
            <w:shd w:val="clear" w:color="auto" w:fill="auto"/>
            <w:noWrap/>
            <w:vAlign w:val="center"/>
            <w:hideMark/>
          </w:tcPr>
          <w:p w14:paraId="47226415" w14:textId="2709CAF8" w:rsidR="00987E13" w:rsidRPr="00D92E20" w:rsidRDefault="00987E13" w:rsidP="00987E13">
            <w:pPr>
              <w:spacing w:after="0" w:line="240" w:lineRule="auto"/>
              <w:jc w:val="center"/>
              <w:rPr>
                <w:rFonts w:cs="Arial"/>
                <w:color w:val="000000"/>
                <w:sz w:val="16"/>
                <w:szCs w:val="16"/>
              </w:rPr>
            </w:pPr>
            <w:r>
              <w:rPr>
                <w:rFonts w:cs="Arial"/>
                <w:sz w:val="16"/>
                <w:szCs w:val="16"/>
              </w:rPr>
              <w:t>4,6</w:t>
            </w:r>
          </w:p>
        </w:tc>
        <w:tc>
          <w:tcPr>
            <w:tcW w:w="680" w:type="dxa"/>
            <w:tcBorders>
              <w:top w:val="nil"/>
              <w:left w:val="nil"/>
              <w:bottom w:val="nil"/>
              <w:right w:val="nil"/>
            </w:tcBorders>
            <w:shd w:val="clear" w:color="auto" w:fill="auto"/>
            <w:noWrap/>
            <w:vAlign w:val="center"/>
            <w:hideMark/>
          </w:tcPr>
          <w:p w14:paraId="0D665A84" w14:textId="7D1B7076" w:rsidR="00987E13" w:rsidRPr="00D92E20" w:rsidRDefault="00987E13" w:rsidP="00987E13">
            <w:pPr>
              <w:spacing w:after="0" w:line="240" w:lineRule="auto"/>
              <w:jc w:val="center"/>
              <w:rPr>
                <w:rFonts w:cs="Arial"/>
                <w:color w:val="000000"/>
                <w:sz w:val="16"/>
                <w:szCs w:val="16"/>
              </w:rPr>
            </w:pPr>
            <w:r>
              <w:rPr>
                <w:rFonts w:cs="Arial"/>
                <w:color w:val="000000"/>
                <w:sz w:val="16"/>
                <w:szCs w:val="16"/>
              </w:rPr>
              <w:t>4,9</w:t>
            </w:r>
          </w:p>
        </w:tc>
        <w:tc>
          <w:tcPr>
            <w:tcW w:w="680" w:type="dxa"/>
            <w:tcBorders>
              <w:top w:val="nil"/>
              <w:left w:val="nil"/>
              <w:bottom w:val="nil"/>
              <w:right w:val="nil"/>
            </w:tcBorders>
            <w:shd w:val="clear" w:color="auto" w:fill="auto"/>
            <w:noWrap/>
            <w:vAlign w:val="center"/>
            <w:hideMark/>
          </w:tcPr>
          <w:p w14:paraId="2AAB281C" w14:textId="0FB4C3ED" w:rsidR="00987E13" w:rsidRPr="00D92E20" w:rsidRDefault="00987E13" w:rsidP="00987E13">
            <w:pPr>
              <w:spacing w:after="0" w:line="240" w:lineRule="auto"/>
              <w:jc w:val="center"/>
              <w:rPr>
                <w:rFonts w:cs="Arial"/>
                <w:color w:val="000000"/>
                <w:sz w:val="16"/>
                <w:szCs w:val="16"/>
              </w:rPr>
            </w:pPr>
            <w:r>
              <w:rPr>
                <w:rFonts w:cs="Arial"/>
                <w:color w:val="000000"/>
                <w:sz w:val="16"/>
                <w:szCs w:val="16"/>
              </w:rPr>
              <w:t>5,0</w:t>
            </w:r>
          </w:p>
        </w:tc>
        <w:tc>
          <w:tcPr>
            <w:tcW w:w="680" w:type="dxa"/>
            <w:tcBorders>
              <w:top w:val="nil"/>
              <w:left w:val="nil"/>
              <w:bottom w:val="nil"/>
              <w:right w:val="nil"/>
            </w:tcBorders>
            <w:shd w:val="clear" w:color="auto" w:fill="auto"/>
            <w:noWrap/>
            <w:vAlign w:val="center"/>
            <w:hideMark/>
          </w:tcPr>
          <w:p w14:paraId="032E8FD2" w14:textId="6BDFB61D" w:rsidR="00987E13" w:rsidRPr="00D92E20" w:rsidRDefault="00987E13" w:rsidP="00987E13">
            <w:pPr>
              <w:spacing w:after="0" w:line="240" w:lineRule="auto"/>
              <w:jc w:val="center"/>
              <w:rPr>
                <w:rFonts w:cs="Arial"/>
                <w:color w:val="000000"/>
                <w:sz w:val="16"/>
                <w:szCs w:val="16"/>
              </w:rPr>
            </w:pPr>
            <w:r>
              <w:rPr>
                <w:rFonts w:cs="Arial"/>
                <w:color w:val="000000"/>
                <w:sz w:val="16"/>
                <w:szCs w:val="16"/>
              </w:rPr>
              <w:t>5,4</w:t>
            </w:r>
          </w:p>
        </w:tc>
        <w:tc>
          <w:tcPr>
            <w:tcW w:w="680" w:type="dxa"/>
            <w:tcBorders>
              <w:top w:val="nil"/>
              <w:left w:val="nil"/>
              <w:bottom w:val="nil"/>
              <w:right w:val="nil"/>
            </w:tcBorders>
            <w:shd w:val="clear" w:color="auto" w:fill="auto"/>
            <w:noWrap/>
            <w:vAlign w:val="center"/>
            <w:hideMark/>
          </w:tcPr>
          <w:p w14:paraId="2C501001" w14:textId="2542D3C2" w:rsidR="00987E13" w:rsidRPr="00D92E20" w:rsidRDefault="00987E13" w:rsidP="00987E13">
            <w:pPr>
              <w:spacing w:after="0" w:line="240" w:lineRule="auto"/>
              <w:jc w:val="center"/>
              <w:rPr>
                <w:rFonts w:cs="Arial"/>
                <w:color w:val="000000"/>
                <w:sz w:val="16"/>
                <w:szCs w:val="16"/>
              </w:rPr>
            </w:pPr>
            <w:r>
              <w:rPr>
                <w:rFonts w:cs="Arial"/>
                <w:color w:val="000000"/>
                <w:sz w:val="16"/>
                <w:szCs w:val="16"/>
              </w:rPr>
              <w:t>6,3</w:t>
            </w:r>
          </w:p>
        </w:tc>
        <w:tc>
          <w:tcPr>
            <w:tcW w:w="680" w:type="dxa"/>
            <w:tcBorders>
              <w:top w:val="nil"/>
              <w:left w:val="nil"/>
              <w:bottom w:val="nil"/>
              <w:right w:val="nil"/>
            </w:tcBorders>
            <w:shd w:val="clear" w:color="auto" w:fill="auto"/>
            <w:noWrap/>
            <w:vAlign w:val="center"/>
            <w:hideMark/>
          </w:tcPr>
          <w:p w14:paraId="1682D05B" w14:textId="3275BA35" w:rsidR="00987E13" w:rsidRPr="00D92E20" w:rsidRDefault="00987E13" w:rsidP="00987E13">
            <w:pPr>
              <w:spacing w:after="0" w:line="240" w:lineRule="auto"/>
              <w:jc w:val="center"/>
              <w:rPr>
                <w:rFonts w:cs="Arial"/>
                <w:color w:val="000000"/>
                <w:sz w:val="16"/>
                <w:szCs w:val="16"/>
              </w:rPr>
            </w:pPr>
            <w:r>
              <w:rPr>
                <w:rFonts w:cs="Arial"/>
                <w:color w:val="000000"/>
                <w:sz w:val="16"/>
                <w:szCs w:val="16"/>
              </w:rPr>
              <w:t>6,0</w:t>
            </w:r>
          </w:p>
        </w:tc>
      </w:tr>
      <w:tr w:rsidR="00987E13" w:rsidRPr="00D92E20" w14:paraId="26157382"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510BB5C8" w14:textId="77777777" w:rsidR="00987E13" w:rsidRPr="00D92E20" w:rsidRDefault="00987E13" w:rsidP="00987E13">
            <w:pPr>
              <w:spacing w:after="0" w:line="240" w:lineRule="auto"/>
              <w:ind w:firstLineChars="100" w:firstLine="160"/>
              <w:rPr>
                <w:rFonts w:cs="Arial"/>
                <w:color w:val="000000"/>
                <w:sz w:val="16"/>
                <w:szCs w:val="16"/>
              </w:rPr>
            </w:pPr>
            <w:r w:rsidRPr="00D92E20">
              <w:rPr>
                <w:rFonts w:cs="Arial"/>
                <w:color w:val="000000"/>
                <w:sz w:val="16"/>
                <w:szCs w:val="16"/>
              </w:rPr>
              <w:t>Jihočeský kraj</w:t>
            </w:r>
          </w:p>
        </w:tc>
        <w:tc>
          <w:tcPr>
            <w:tcW w:w="680" w:type="dxa"/>
            <w:tcBorders>
              <w:top w:val="nil"/>
              <w:left w:val="nil"/>
              <w:bottom w:val="nil"/>
              <w:right w:val="nil"/>
            </w:tcBorders>
            <w:shd w:val="clear" w:color="auto" w:fill="auto"/>
            <w:noWrap/>
            <w:vAlign w:val="center"/>
            <w:hideMark/>
          </w:tcPr>
          <w:p w14:paraId="49498974" w14:textId="53A4345E" w:rsidR="00987E13" w:rsidRPr="00D92E20" w:rsidRDefault="00987E13" w:rsidP="00987E13">
            <w:pPr>
              <w:spacing w:after="0" w:line="240" w:lineRule="auto"/>
              <w:jc w:val="center"/>
              <w:rPr>
                <w:rFonts w:cs="Arial"/>
                <w:color w:val="000000"/>
                <w:sz w:val="16"/>
                <w:szCs w:val="16"/>
              </w:rPr>
            </w:pPr>
            <w:r>
              <w:rPr>
                <w:rFonts w:cs="Arial"/>
                <w:sz w:val="16"/>
                <w:szCs w:val="16"/>
              </w:rPr>
              <w:t>4,2</w:t>
            </w:r>
          </w:p>
        </w:tc>
        <w:tc>
          <w:tcPr>
            <w:tcW w:w="680" w:type="dxa"/>
            <w:tcBorders>
              <w:top w:val="nil"/>
              <w:left w:val="nil"/>
              <w:bottom w:val="nil"/>
              <w:right w:val="nil"/>
            </w:tcBorders>
            <w:shd w:val="clear" w:color="auto" w:fill="auto"/>
            <w:noWrap/>
            <w:vAlign w:val="center"/>
            <w:hideMark/>
          </w:tcPr>
          <w:p w14:paraId="252B1224" w14:textId="27F6E95E" w:rsidR="00987E13" w:rsidRPr="00D92E20" w:rsidRDefault="00987E13" w:rsidP="00987E13">
            <w:pPr>
              <w:spacing w:after="0" w:line="240" w:lineRule="auto"/>
              <w:jc w:val="center"/>
              <w:rPr>
                <w:rFonts w:cs="Arial"/>
                <w:color w:val="000000"/>
                <w:sz w:val="16"/>
                <w:szCs w:val="16"/>
              </w:rPr>
            </w:pPr>
            <w:r>
              <w:rPr>
                <w:rFonts w:cs="Arial"/>
                <w:sz w:val="16"/>
                <w:szCs w:val="16"/>
              </w:rPr>
              <w:t>4,8</w:t>
            </w:r>
          </w:p>
        </w:tc>
        <w:tc>
          <w:tcPr>
            <w:tcW w:w="680" w:type="dxa"/>
            <w:tcBorders>
              <w:top w:val="nil"/>
              <w:left w:val="nil"/>
              <w:bottom w:val="nil"/>
              <w:right w:val="nil"/>
            </w:tcBorders>
            <w:shd w:val="clear" w:color="auto" w:fill="auto"/>
            <w:noWrap/>
            <w:vAlign w:val="center"/>
            <w:hideMark/>
          </w:tcPr>
          <w:p w14:paraId="0063B13E" w14:textId="6FD41F14" w:rsidR="00987E13" w:rsidRPr="00D92E20" w:rsidRDefault="00987E13" w:rsidP="00987E13">
            <w:pPr>
              <w:spacing w:after="0" w:line="240" w:lineRule="auto"/>
              <w:jc w:val="center"/>
              <w:rPr>
                <w:rFonts w:cs="Arial"/>
                <w:color w:val="000000"/>
                <w:sz w:val="16"/>
                <w:szCs w:val="16"/>
              </w:rPr>
            </w:pPr>
            <w:r>
              <w:rPr>
                <w:rFonts w:cs="Arial"/>
                <w:sz w:val="16"/>
                <w:szCs w:val="16"/>
              </w:rPr>
              <w:t>4,6</w:t>
            </w:r>
          </w:p>
        </w:tc>
        <w:tc>
          <w:tcPr>
            <w:tcW w:w="680" w:type="dxa"/>
            <w:tcBorders>
              <w:top w:val="nil"/>
              <w:left w:val="nil"/>
              <w:bottom w:val="nil"/>
              <w:right w:val="nil"/>
            </w:tcBorders>
            <w:shd w:val="clear" w:color="auto" w:fill="auto"/>
            <w:noWrap/>
            <w:vAlign w:val="center"/>
            <w:hideMark/>
          </w:tcPr>
          <w:p w14:paraId="0B9359EA" w14:textId="57ADF922" w:rsidR="00987E13" w:rsidRPr="00D92E20" w:rsidRDefault="00987E13" w:rsidP="00987E13">
            <w:pPr>
              <w:spacing w:after="0" w:line="240" w:lineRule="auto"/>
              <w:jc w:val="center"/>
              <w:rPr>
                <w:rFonts w:cs="Arial"/>
                <w:color w:val="000000"/>
                <w:sz w:val="16"/>
                <w:szCs w:val="16"/>
              </w:rPr>
            </w:pPr>
            <w:r>
              <w:rPr>
                <w:rFonts w:cs="Arial"/>
                <w:sz w:val="16"/>
                <w:szCs w:val="16"/>
              </w:rPr>
              <w:t>5,1</w:t>
            </w:r>
          </w:p>
        </w:tc>
        <w:tc>
          <w:tcPr>
            <w:tcW w:w="680" w:type="dxa"/>
            <w:tcBorders>
              <w:top w:val="nil"/>
              <w:left w:val="nil"/>
              <w:bottom w:val="nil"/>
              <w:right w:val="nil"/>
            </w:tcBorders>
            <w:shd w:val="clear" w:color="auto" w:fill="auto"/>
            <w:noWrap/>
            <w:vAlign w:val="center"/>
            <w:hideMark/>
          </w:tcPr>
          <w:p w14:paraId="2EED16F0" w14:textId="2A572FF3" w:rsidR="00987E13" w:rsidRPr="00D92E20" w:rsidRDefault="00987E13" w:rsidP="00987E13">
            <w:pPr>
              <w:spacing w:after="0" w:line="240" w:lineRule="auto"/>
              <w:jc w:val="center"/>
              <w:rPr>
                <w:rFonts w:cs="Arial"/>
                <w:color w:val="000000"/>
                <w:sz w:val="16"/>
                <w:szCs w:val="16"/>
              </w:rPr>
            </w:pPr>
            <w:r>
              <w:rPr>
                <w:rFonts w:cs="Arial"/>
                <w:sz w:val="16"/>
                <w:szCs w:val="16"/>
              </w:rPr>
              <w:t>5,3</w:t>
            </w:r>
          </w:p>
        </w:tc>
        <w:tc>
          <w:tcPr>
            <w:tcW w:w="680" w:type="dxa"/>
            <w:tcBorders>
              <w:top w:val="nil"/>
              <w:left w:val="nil"/>
              <w:bottom w:val="nil"/>
              <w:right w:val="nil"/>
            </w:tcBorders>
            <w:shd w:val="clear" w:color="auto" w:fill="auto"/>
            <w:noWrap/>
            <w:vAlign w:val="center"/>
            <w:hideMark/>
          </w:tcPr>
          <w:p w14:paraId="5895CE7E" w14:textId="74C67EA7" w:rsidR="00987E13" w:rsidRPr="00D92E20" w:rsidRDefault="00987E13" w:rsidP="00987E13">
            <w:pPr>
              <w:spacing w:after="0" w:line="240" w:lineRule="auto"/>
              <w:jc w:val="center"/>
              <w:rPr>
                <w:rFonts w:cs="Arial"/>
                <w:color w:val="000000"/>
                <w:sz w:val="16"/>
                <w:szCs w:val="16"/>
              </w:rPr>
            </w:pPr>
            <w:r>
              <w:rPr>
                <w:rFonts w:cs="Arial"/>
                <w:sz w:val="16"/>
                <w:szCs w:val="16"/>
              </w:rPr>
              <w:t>5,5</w:t>
            </w:r>
          </w:p>
        </w:tc>
        <w:tc>
          <w:tcPr>
            <w:tcW w:w="680" w:type="dxa"/>
            <w:tcBorders>
              <w:top w:val="nil"/>
              <w:left w:val="nil"/>
              <w:bottom w:val="nil"/>
              <w:right w:val="nil"/>
            </w:tcBorders>
            <w:shd w:val="clear" w:color="auto" w:fill="auto"/>
            <w:noWrap/>
            <w:vAlign w:val="center"/>
            <w:hideMark/>
          </w:tcPr>
          <w:p w14:paraId="061F9626" w14:textId="566E7F0A" w:rsidR="00987E13" w:rsidRPr="00D92E20" w:rsidRDefault="00987E13" w:rsidP="00987E13">
            <w:pPr>
              <w:spacing w:after="0" w:line="240" w:lineRule="auto"/>
              <w:jc w:val="center"/>
              <w:rPr>
                <w:rFonts w:cs="Arial"/>
                <w:color w:val="000000"/>
                <w:sz w:val="16"/>
                <w:szCs w:val="16"/>
              </w:rPr>
            </w:pPr>
            <w:r>
              <w:rPr>
                <w:rFonts w:cs="Arial"/>
                <w:color w:val="000000"/>
                <w:sz w:val="16"/>
                <w:szCs w:val="16"/>
              </w:rPr>
              <w:t>5,5</w:t>
            </w:r>
          </w:p>
        </w:tc>
        <w:tc>
          <w:tcPr>
            <w:tcW w:w="680" w:type="dxa"/>
            <w:tcBorders>
              <w:top w:val="nil"/>
              <w:left w:val="nil"/>
              <w:bottom w:val="nil"/>
              <w:right w:val="nil"/>
            </w:tcBorders>
            <w:shd w:val="clear" w:color="auto" w:fill="auto"/>
            <w:noWrap/>
            <w:vAlign w:val="center"/>
            <w:hideMark/>
          </w:tcPr>
          <w:p w14:paraId="04CFEDD9" w14:textId="41E201B3" w:rsidR="00987E13" w:rsidRPr="00D92E20" w:rsidRDefault="00987E13" w:rsidP="00987E13">
            <w:pPr>
              <w:spacing w:after="0" w:line="240" w:lineRule="auto"/>
              <w:jc w:val="center"/>
              <w:rPr>
                <w:rFonts w:cs="Arial"/>
                <w:color w:val="000000"/>
                <w:sz w:val="16"/>
                <w:szCs w:val="16"/>
              </w:rPr>
            </w:pPr>
            <w:r>
              <w:rPr>
                <w:rFonts w:cs="Arial"/>
                <w:color w:val="000000"/>
                <w:sz w:val="16"/>
                <w:szCs w:val="16"/>
              </w:rPr>
              <w:t>5,6</w:t>
            </w:r>
          </w:p>
        </w:tc>
        <w:tc>
          <w:tcPr>
            <w:tcW w:w="680" w:type="dxa"/>
            <w:tcBorders>
              <w:top w:val="nil"/>
              <w:left w:val="nil"/>
              <w:bottom w:val="nil"/>
              <w:right w:val="nil"/>
            </w:tcBorders>
            <w:shd w:val="clear" w:color="auto" w:fill="auto"/>
            <w:noWrap/>
            <w:vAlign w:val="center"/>
            <w:hideMark/>
          </w:tcPr>
          <w:p w14:paraId="37E46098" w14:textId="2EA02EB8" w:rsidR="00987E13" w:rsidRPr="00D92E20" w:rsidRDefault="00987E13" w:rsidP="00987E13">
            <w:pPr>
              <w:spacing w:after="0" w:line="240" w:lineRule="auto"/>
              <w:jc w:val="center"/>
              <w:rPr>
                <w:rFonts w:cs="Arial"/>
                <w:color w:val="000000"/>
                <w:sz w:val="16"/>
                <w:szCs w:val="16"/>
              </w:rPr>
            </w:pPr>
            <w:r>
              <w:rPr>
                <w:rFonts w:cs="Arial"/>
                <w:color w:val="000000"/>
                <w:sz w:val="16"/>
                <w:szCs w:val="16"/>
              </w:rPr>
              <w:t>6,2</w:t>
            </w:r>
          </w:p>
        </w:tc>
        <w:tc>
          <w:tcPr>
            <w:tcW w:w="680" w:type="dxa"/>
            <w:tcBorders>
              <w:top w:val="nil"/>
              <w:left w:val="nil"/>
              <w:bottom w:val="nil"/>
              <w:right w:val="nil"/>
            </w:tcBorders>
            <w:shd w:val="clear" w:color="auto" w:fill="auto"/>
            <w:noWrap/>
            <w:vAlign w:val="center"/>
            <w:hideMark/>
          </w:tcPr>
          <w:p w14:paraId="4F5A7AFD" w14:textId="292DDE86" w:rsidR="00987E13" w:rsidRPr="00D92E20" w:rsidRDefault="00987E13" w:rsidP="00987E13">
            <w:pPr>
              <w:spacing w:after="0" w:line="240" w:lineRule="auto"/>
              <w:jc w:val="center"/>
              <w:rPr>
                <w:rFonts w:cs="Arial"/>
                <w:color w:val="000000"/>
                <w:sz w:val="16"/>
                <w:szCs w:val="16"/>
              </w:rPr>
            </w:pPr>
            <w:r>
              <w:rPr>
                <w:rFonts w:cs="Arial"/>
                <w:color w:val="000000"/>
                <w:sz w:val="16"/>
                <w:szCs w:val="16"/>
              </w:rPr>
              <w:t>6,7</w:t>
            </w:r>
          </w:p>
        </w:tc>
        <w:tc>
          <w:tcPr>
            <w:tcW w:w="680" w:type="dxa"/>
            <w:tcBorders>
              <w:top w:val="nil"/>
              <w:left w:val="nil"/>
              <w:bottom w:val="nil"/>
              <w:right w:val="nil"/>
            </w:tcBorders>
            <w:shd w:val="clear" w:color="auto" w:fill="auto"/>
            <w:noWrap/>
            <w:vAlign w:val="center"/>
            <w:hideMark/>
          </w:tcPr>
          <w:p w14:paraId="5D2D1898" w14:textId="29E4EB90" w:rsidR="00987E13" w:rsidRPr="00D92E20" w:rsidRDefault="00987E13" w:rsidP="00987E13">
            <w:pPr>
              <w:spacing w:after="0" w:line="240" w:lineRule="auto"/>
              <w:jc w:val="center"/>
              <w:rPr>
                <w:rFonts w:cs="Arial"/>
                <w:color w:val="000000"/>
                <w:sz w:val="16"/>
                <w:szCs w:val="16"/>
              </w:rPr>
            </w:pPr>
            <w:r>
              <w:rPr>
                <w:rFonts w:cs="Arial"/>
                <w:color w:val="000000"/>
                <w:sz w:val="16"/>
                <w:szCs w:val="16"/>
              </w:rPr>
              <w:t>6,5</w:t>
            </w:r>
          </w:p>
        </w:tc>
      </w:tr>
      <w:tr w:rsidR="00987E13" w:rsidRPr="00D92E20" w14:paraId="163E7E6B"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1FFD1879" w14:textId="77777777" w:rsidR="00987E13" w:rsidRPr="00D92E20" w:rsidRDefault="00987E13" w:rsidP="00987E13">
            <w:pPr>
              <w:spacing w:after="0" w:line="240" w:lineRule="auto"/>
              <w:ind w:firstLineChars="100" w:firstLine="160"/>
              <w:rPr>
                <w:rFonts w:cs="Arial"/>
                <w:color w:val="000000"/>
                <w:sz w:val="16"/>
                <w:szCs w:val="16"/>
              </w:rPr>
            </w:pPr>
            <w:r w:rsidRPr="00D92E20">
              <w:rPr>
                <w:rFonts w:cs="Arial"/>
                <w:color w:val="000000"/>
                <w:sz w:val="16"/>
                <w:szCs w:val="16"/>
              </w:rPr>
              <w:t>Plzeňský kraj</w:t>
            </w:r>
          </w:p>
        </w:tc>
        <w:tc>
          <w:tcPr>
            <w:tcW w:w="680" w:type="dxa"/>
            <w:tcBorders>
              <w:top w:val="nil"/>
              <w:left w:val="nil"/>
              <w:bottom w:val="nil"/>
              <w:right w:val="nil"/>
            </w:tcBorders>
            <w:shd w:val="clear" w:color="auto" w:fill="auto"/>
            <w:noWrap/>
            <w:vAlign w:val="center"/>
            <w:hideMark/>
          </w:tcPr>
          <w:p w14:paraId="4BA0900E" w14:textId="4D552C27" w:rsidR="00987E13" w:rsidRPr="00D92E20" w:rsidRDefault="00987E13" w:rsidP="00987E13">
            <w:pPr>
              <w:spacing w:after="0" w:line="240" w:lineRule="auto"/>
              <w:jc w:val="center"/>
              <w:rPr>
                <w:rFonts w:cs="Arial"/>
                <w:color w:val="000000"/>
                <w:sz w:val="16"/>
                <w:szCs w:val="16"/>
              </w:rPr>
            </w:pPr>
            <w:r>
              <w:rPr>
                <w:rFonts w:cs="Arial"/>
                <w:sz w:val="16"/>
                <w:szCs w:val="16"/>
              </w:rPr>
              <w:t>3,8</w:t>
            </w:r>
          </w:p>
        </w:tc>
        <w:tc>
          <w:tcPr>
            <w:tcW w:w="680" w:type="dxa"/>
            <w:tcBorders>
              <w:top w:val="nil"/>
              <w:left w:val="nil"/>
              <w:bottom w:val="nil"/>
              <w:right w:val="nil"/>
            </w:tcBorders>
            <w:shd w:val="clear" w:color="auto" w:fill="auto"/>
            <w:noWrap/>
            <w:vAlign w:val="center"/>
            <w:hideMark/>
          </w:tcPr>
          <w:p w14:paraId="69C34878" w14:textId="230726C4" w:rsidR="00987E13" w:rsidRPr="00D92E20" w:rsidRDefault="00987E13" w:rsidP="00987E13">
            <w:pPr>
              <w:spacing w:after="0" w:line="240" w:lineRule="auto"/>
              <w:jc w:val="center"/>
              <w:rPr>
                <w:rFonts w:cs="Arial"/>
                <w:color w:val="000000"/>
                <w:sz w:val="16"/>
                <w:szCs w:val="16"/>
              </w:rPr>
            </w:pPr>
            <w:r>
              <w:rPr>
                <w:rFonts w:cs="Arial"/>
                <w:sz w:val="16"/>
                <w:szCs w:val="16"/>
              </w:rPr>
              <w:t>4,4</w:t>
            </w:r>
          </w:p>
        </w:tc>
        <w:tc>
          <w:tcPr>
            <w:tcW w:w="680" w:type="dxa"/>
            <w:tcBorders>
              <w:top w:val="nil"/>
              <w:left w:val="nil"/>
              <w:bottom w:val="nil"/>
              <w:right w:val="nil"/>
            </w:tcBorders>
            <w:shd w:val="clear" w:color="auto" w:fill="auto"/>
            <w:noWrap/>
            <w:vAlign w:val="center"/>
            <w:hideMark/>
          </w:tcPr>
          <w:p w14:paraId="03C00634" w14:textId="5B2AB4D8" w:rsidR="00987E13" w:rsidRPr="00D92E20" w:rsidRDefault="00987E13" w:rsidP="00987E13">
            <w:pPr>
              <w:spacing w:after="0" w:line="240" w:lineRule="auto"/>
              <w:jc w:val="center"/>
              <w:rPr>
                <w:rFonts w:cs="Arial"/>
                <w:color w:val="000000"/>
                <w:sz w:val="16"/>
                <w:szCs w:val="16"/>
              </w:rPr>
            </w:pPr>
            <w:r>
              <w:rPr>
                <w:rFonts w:cs="Arial"/>
                <w:sz w:val="16"/>
                <w:szCs w:val="16"/>
              </w:rPr>
              <w:t>4,2</w:t>
            </w:r>
          </w:p>
        </w:tc>
        <w:tc>
          <w:tcPr>
            <w:tcW w:w="680" w:type="dxa"/>
            <w:tcBorders>
              <w:top w:val="nil"/>
              <w:left w:val="nil"/>
              <w:bottom w:val="nil"/>
              <w:right w:val="nil"/>
            </w:tcBorders>
            <w:shd w:val="clear" w:color="auto" w:fill="auto"/>
            <w:noWrap/>
            <w:vAlign w:val="center"/>
            <w:hideMark/>
          </w:tcPr>
          <w:p w14:paraId="78BAADDD" w14:textId="1C186825" w:rsidR="00987E13" w:rsidRPr="00D92E20" w:rsidRDefault="00987E13" w:rsidP="00987E13">
            <w:pPr>
              <w:spacing w:after="0" w:line="240" w:lineRule="auto"/>
              <w:jc w:val="center"/>
              <w:rPr>
                <w:rFonts w:cs="Arial"/>
                <w:color w:val="000000"/>
                <w:sz w:val="16"/>
                <w:szCs w:val="16"/>
              </w:rPr>
            </w:pPr>
            <w:r>
              <w:rPr>
                <w:rFonts w:cs="Arial"/>
                <w:sz w:val="16"/>
                <w:szCs w:val="16"/>
              </w:rPr>
              <w:t>4,8</w:t>
            </w:r>
          </w:p>
        </w:tc>
        <w:tc>
          <w:tcPr>
            <w:tcW w:w="680" w:type="dxa"/>
            <w:tcBorders>
              <w:top w:val="nil"/>
              <w:left w:val="nil"/>
              <w:bottom w:val="nil"/>
              <w:right w:val="nil"/>
            </w:tcBorders>
            <w:shd w:val="clear" w:color="auto" w:fill="auto"/>
            <w:noWrap/>
            <w:vAlign w:val="center"/>
            <w:hideMark/>
          </w:tcPr>
          <w:p w14:paraId="2CACE13C" w14:textId="5366267D" w:rsidR="00987E13" w:rsidRPr="00D92E20" w:rsidRDefault="00987E13" w:rsidP="00987E13">
            <w:pPr>
              <w:spacing w:after="0" w:line="240" w:lineRule="auto"/>
              <w:jc w:val="center"/>
              <w:rPr>
                <w:rFonts w:cs="Arial"/>
                <w:color w:val="000000"/>
                <w:sz w:val="16"/>
                <w:szCs w:val="16"/>
              </w:rPr>
            </w:pPr>
            <w:r>
              <w:rPr>
                <w:rFonts w:cs="Arial"/>
                <w:sz w:val="16"/>
                <w:szCs w:val="16"/>
              </w:rPr>
              <w:t>4,9</w:t>
            </w:r>
          </w:p>
        </w:tc>
        <w:tc>
          <w:tcPr>
            <w:tcW w:w="680" w:type="dxa"/>
            <w:tcBorders>
              <w:top w:val="nil"/>
              <w:left w:val="nil"/>
              <w:bottom w:val="nil"/>
              <w:right w:val="nil"/>
            </w:tcBorders>
            <w:shd w:val="clear" w:color="auto" w:fill="auto"/>
            <w:noWrap/>
            <w:vAlign w:val="center"/>
            <w:hideMark/>
          </w:tcPr>
          <w:p w14:paraId="7F498EA3" w14:textId="6653CFE2" w:rsidR="00987E13" w:rsidRPr="00D92E20" w:rsidRDefault="00987E13" w:rsidP="00987E13">
            <w:pPr>
              <w:spacing w:after="0" w:line="240" w:lineRule="auto"/>
              <w:jc w:val="center"/>
              <w:rPr>
                <w:rFonts w:cs="Arial"/>
                <w:color w:val="000000"/>
                <w:sz w:val="16"/>
                <w:szCs w:val="16"/>
              </w:rPr>
            </w:pPr>
            <w:r>
              <w:rPr>
                <w:rFonts w:cs="Arial"/>
                <w:sz w:val="16"/>
                <w:szCs w:val="16"/>
              </w:rPr>
              <w:t>5,1</w:t>
            </w:r>
          </w:p>
        </w:tc>
        <w:tc>
          <w:tcPr>
            <w:tcW w:w="680" w:type="dxa"/>
            <w:tcBorders>
              <w:top w:val="nil"/>
              <w:left w:val="nil"/>
              <w:bottom w:val="nil"/>
              <w:right w:val="nil"/>
            </w:tcBorders>
            <w:shd w:val="clear" w:color="auto" w:fill="auto"/>
            <w:noWrap/>
            <w:vAlign w:val="center"/>
            <w:hideMark/>
          </w:tcPr>
          <w:p w14:paraId="43F20D3C" w14:textId="16CB04FF" w:rsidR="00987E13" w:rsidRPr="00D92E20" w:rsidRDefault="00987E13" w:rsidP="00987E13">
            <w:pPr>
              <w:spacing w:after="0" w:line="240" w:lineRule="auto"/>
              <w:jc w:val="center"/>
              <w:rPr>
                <w:rFonts w:cs="Arial"/>
                <w:color w:val="000000"/>
                <w:sz w:val="16"/>
                <w:szCs w:val="16"/>
              </w:rPr>
            </w:pPr>
            <w:r>
              <w:rPr>
                <w:rFonts w:cs="Arial"/>
                <w:color w:val="000000"/>
                <w:sz w:val="16"/>
                <w:szCs w:val="16"/>
              </w:rPr>
              <w:t>5,2</w:t>
            </w:r>
          </w:p>
        </w:tc>
        <w:tc>
          <w:tcPr>
            <w:tcW w:w="680" w:type="dxa"/>
            <w:tcBorders>
              <w:top w:val="nil"/>
              <w:left w:val="nil"/>
              <w:bottom w:val="nil"/>
              <w:right w:val="nil"/>
            </w:tcBorders>
            <w:shd w:val="clear" w:color="auto" w:fill="auto"/>
            <w:noWrap/>
            <w:vAlign w:val="center"/>
            <w:hideMark/>
          </w:tcPr>
          <w:p w14:paraId="37F280C0" w14:textId="50163FA7" w:rsidR="00987E13" w:rsidRPr="00D92E20" w:rsidRDefault="00987E13" w:rsidP="00987E13">
            <w:pPr>
              <w:spacing w:after="0" w:line="240" w:lineRule="auto"/>
              <w:jc w:val="center"/>
              <w:rPr>
                <w:rFonts w:cs="Arial"/>
                <w:color w:val="000000"/>
                <w:sz w:val="16"/>
                <w:szCs w:val="16"/>
              </w:rPr>
            </w:pPr>
            <w:r>
              <w:rPr>
                <w:rFonts w:cs="Arial"/>
                <w:color w:val="000000"/>
                <w:sz w:val="16"/>
                <w:szCs w:val="16"/>
              </w:rPr>
              <w:t>5,2</w:t>
            </w:r>
          </w:p>
        </w:tc>
        <w:tc>
          <w:tcPr>
            <w:tcW w:w="680" w:type="dxa"/>
            <w:tcBorders>
              <w:top w:val="nil"/>
              <w:left w:val="nil"/>
              <w:bottom w:val="nil"/>
              <w:right w:val="nil"/>
            </w:tcBorders>
            <w:shd w:val="clear" w:color="auto" w:fill="auto"/>
            <w:noWrap/>
            <w:vAlign w:val="center"/>
            <w:hideMark/>
          </w:tcPr>
          <w:p w14:paraId="6D422A4D" w14:textId="677BD41E" w:rsidR="00987E13" w:rsidRPr="00D92E20" w:rsidRDefault="00987E13" w:rsidP="00987E13">
            <w:pPr>
              <w:spacing w:after="0" w:line="240" w:lineRule="auto"/>
              <w:jc w:val="center"/>
              <w:rPr>
                <w:rFonts w:cs="Arial"/>
                <w:color w:val="000000"/>
                <w:sz w:val="16"/>
                <w:szCs w:val="16"/>
              </w:rPr>
            </w:pPr>
            <w:r>
              <w:rPr>
                <w:rFonts w:cs="Arial"/>
                <w:color w:val="000000"/>
                <w:sz w:val="16"/>
                <w:szCs w:val="16"/>
              </w:rPr>
              <w:t>5,9</w:t>
            </w:r>
          </w:p>
        </w:tc>
        <w:tc>
          <w:tcPr>
            <w:tcW w:w="680" w:type="dxa"/>
            <w:tcBorders>
              <w:top w:val="nil"/>
              <w:left w:val="nil"/>
              <w:bottom w:val="nil"/>
              <w:right w:val="nil"/>
            </w:tcBorders>
            <w:shd w:val="clear" w:color="auto" w:fill="auto"/>
            <w:noWrap/>
            <w:vAlign w:val="center"/>
            <w:hideMark/>
          </w:tcPr>
          <w:p w14:paraId="1E5DC309" w14:textId="6056E157" w:rsidR="00987E13" w:rsidRPr="00D92E20" w:rsidRDefault="00987E13" w:rsidP="00987E13">
            <w:pPr>
              <w:spacing w:after="0" w:line="240" w:lineRule="auto"/>
              <w:jc w:val="center"/>
              <w:rPr>
                <w:rFonts w:cs="Arial"/>
                <w:color w:val="000000"/>
                <w:sz w:val="16"/>
                <w:szCs w:val="16"/>
              </w:rPr>
            </w:pPr>
            <w:r>
              <w:rPr>
                <w:rFonts w:cs="Arial"/>
                <w:color w:val="000000"/>
                <w:sz w:val="16"/>
                <w:szCs w:val="16"/>
              </w:rPr>
              <w:t>7,0</w:t>
            </w:r>
          </w:p>
        </w:tc>
        <w:tc>
          <w:tcPr>
            <w:tcW w:w="680" w:type="dxa"/>
            <w:tcBorders>
              <w:top w:val="nil"/>
              <w:left w:val="nil"/>
              <w:bottom w:val="nil"/>
              <w:right w:val="nil"/>
            </w:tcBorders>
            <w:shd w:val="clear" w:color="auto" w:fill="auto"/>
            <w:noWrap/>
            <w:vAlign w:val="center"/>
            <w:hideMark/>
          </w:tcPr>
          <w:p w14:paraId="0E0FFBE0" w14:textId="73D59836" w:rsidR="00987E13" w:rsidRPr="00D92E20" w:rsidRDefault="00987E13" w:rsidP="00987E13">
            <w:pPr>
              <w:spacing w:after="0" w:line="240" w:lineRule="auto"/>
              <w:jc w:val="center"/>
              <w:rPr>
                <w:rFonts w:cs="Arial"/>
                <w:color w:val="000000"/>
                <w:sz w:val="16"/>
                <w:szCs w:val="16"/>
              </w:rPr>
            </w:pPr>
            <w:r>
              <w:rPr>
                <w:rFonts w:cs="Arial"/>
                <w:color w:val="000000"/>
                <w:sz w:val="16"/>
                <w:szCs w:val="16"/>
              </w:rPr>
              <w:t>6,4</w:t>
            </w:r>
          </w:p>
        </w:tc>
      </w:tr>
      <w:tr w:rsidR="00987E13" w:rsidRPr="00D92E20" w14:paraId="7EDE583E"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768491A1" w14:textId="77777777" w:rsidR="00987E13" w:rsidRPr="00D92E20" w:rsidRDefault="00987E13" w:rsidP="00987E13">
            <w:pPr>
              <w:spacing w:after="0" w:line="240" w:lineRule="auto"/>
              <w:ind w:firstLineChars="100" w:firstLine="160"/>
              <w:rPr>
                <w:rFonts w:cs="Arial"/>
                <w:color w:val="000000"/>
                <w:sz w:val="16"/>
                <w:szCs w:val="16"/>
              </w:rPr>
            </w:pPr>
            <w:r w:rsidRPr="00D92E20">
              <w:rPr>
                <w:rFonts w:cs="Arial"/>
                <w:color w:val="000000"/>
                <w:sz w:val="16"/>
                <w:szCs w:val="16"/>
              </w:rPr>
              <w:t>Karlovarský kraj</w:t>
            </w:r>
          </w:p>
        </w:tc>
        <w:tc>
          <w:tcPr>
            <w:tcW w:w="680" w:type="dxa"/>
            <w:tcBorders>
              <w:top w:val="nil"/>
              <w:left w:val="nil"/>
              <w:bottom w:val="nil"/>
              <w:right w:val="nil"/>
            </w:tcBorders>
            <w:shd w:val="clear" w:color="auto" w:fill="auto"/>
            <w:noWrap/>
            <w:vAlign w:val="center"/>
            <w:hideMark/>
          </w:tcPr>
          <w:p w14:paraId="56D3C79F" w14:textId="1D1282EF" w:rsidR="00987E13" w:rsidRPr="00D92E20" w:rsidRDefault="00987E13" w:rsidP="00987E13">
            <w:pPr>
              <w:spacing w:after="0" w:line="240" w:lineRule="auto"/>
              <w:jc w:val="center"/>
              <w:rPr>
                <w:rFonts w:cs="Arial"/>
                <w:color w:val="000000"/>
                <w:sz w:val="16"/>
                <w:szCs w:val="16"/>
              </w:rPr>
            </w:pPr>
            <w:r>
              <w:rPr>
                <w:rFonts w:cs="Arial"/>
                <w:sz w:val="16"/>
                <w:szCs w:val="16"/>
              </w:rPr>
              <w:t>3,5</w:t>
            </w:r>
          </w:p>
        </w:tc>
        <w:tc>
          <w:tcPr>
            <w:tcW w:w="680" w:type="dxa"/>
            <w:tcBorders>
              <w:top w:val="nil"/>
              <w:left w:val="nil"/>
              <w:bottom w:val="nil"/>
              <w:right w:val="nil"/>
            </w:tcBorders>
            <w:shd w:val="clear" w:color="auto" w:fill="auto"/>
            <w:noWrap/>
            <w:vAlign w:val="center"/>
            <w:hideMark/>
          </w:tcPr>
          <w:p w14:paraId="159DFB9A" w14:textId="2DAF60AB" w:rsidR="00987E13" w:rsidRPr="00D92E20" w:rsidRDefault="00987E13" w:rsidP="00987E13">
            <w:pPr>
              <w:spacing w:after="0" w:line="240" w:lineRule="auto"/>
              <w:jc w:val="center"/>
              <w:rPr>
                <w:rFonts w:cs="Arial"/>
                <w:color w:val="000000"/>
                <w:sz w:val="16"/>
                <w:szCs w:val="16"/>
              </w:rPr>
            </w:pPr>
            <w:r>
              <w:rPr>
                <w:rFonts w:cs="Arial"/>
                <w:sz w:val="16"/>
                <w:szCs w:val="16"/>
              </w:rPr>
              <w:t>4,1</w:t>
            </w:r>
          </w:p>
        </w:tc>
        <w:tc>
          <w:tcPr>
            <w:tcW w:w="680" w:type="dxa"/>
            <w:tcBorders>
              <w:top w:val="nil"/>
              <w:left w:val="nil"/>
              <w:bottom w:val="nil"/>
              <w:right w:val="nil"/>
            </w:tcBorders>
            <w:shd w:val="clear" w:color="auto" w:fill="auto"/>
            <w:noWrap/>
            <w:vAlign w:val="center"/>
            <w:hideMark/>
          </w:tcPr>
          <w:p w14:paraId="68C9F871" w14:textId="2460FED0" w:rsidR="00987E13" w:rsidRPr="00D92E20" w:rsidRDefault="00987E13" w:rsidP="00987E13">
            <w:pPr>
              <w:spacing w:after="0" w:line="240" w:lineRule="auto"/>
              <w:jc w:val="center"/>
              <w:rPr>
                <w:rFonts w:cs="Arial"/>
                <w:color w:val="000000"/>
                <w:sz w:val="16"/>
                <w:szCs w:val="16"/>
              </w:rPr>
            </w:pPr>
            <w:r>
              <w:rPr>
                <w:rFonts w:cs="Arial"/>
                <w:sz w:val="16"/>
                <w:szCs w:val="16"/>
              </w:rPr>
              <w:t>4,0</w:t>
            </w:r>
          </w:p>
        </w:tc>
        <w:tc>
          <w:tcPr>
            <w:tcW w:w="680" w:type="dxa"/>
            <w:tcBorders>
              <w:top w:val="nil"/>
              <w:left w:val="nil"/>
              <w:bottom w:val="nil"/>
              <w:right w:val="nil"/>
            </w:tcBorders>
            <w:shd w:val="clear" w:color="auto" w:fill="auto"/>
            <w:noWrap/>
            <w:vAlign w:val="center"/>
            <w:hideMark/>
          </w:tcPr>
          <w:p w14:paraId="274CFB6B" w14:textId="2C10536F" w:rsidR="00987E13" w:rsidRPr="00D92E20" w:rsidRDefault="00987E13" w:rsidP="00987E13">
            <w:pPr>
              <w:spacing w:after="0" w:line="240" w:lineRule="auto"/>
              <w:jc w:val="center"/>
              <w:rPr>
                <w:rFonts w:cs="Arial"/>
                <w:color w:val="000000"/>
                <w:sz w:val="16"/>
                <w:szCs w:val="16"/>
              </w:rPr>
            </w:pPr>
            <w:r>
              <w:rPr>
                <w:rFonts w:cs="Arial"/>
                <w:sz w:val="16"/>
                <w:szCs w:val="16"/>
              </w:rPr>
              <w:t>4,7</w:t>
            </w:r>
          </w:p>
        </w:tc>
        <w:tc>
          <w:tcPr>
            <w:tcW w:w="680" w:type="dxa"/>
            <w:tcBorders>
              <w:top w:val="nil"/>
              <w:left w:val="nil"/>
              <w:bottom w:val="nil"/>
              <w:right w:val="nil"/>
            </w:tcBorders>
            <w:shd w:val="clear" w:color="auto" w:fill="auto"/>
            <w:noWrap/>
            <w:vAlign w:val="center"/>
            <w:hideMark/>
          </w:tcPr>
          <w:p w14:paraId="4F55EEB8" w14:textId="662FCC1D" w:rsidR="00987E13" w:rsidRPr="00D92E20" w:rsidRDefault="00987E13" w:rsidP="00987E13">
            <w:pPr>
              <w:spacing w:after="0" w:line="240" w:lineRule="auto"/>
              <w:jc w:val="center"/>
              <w:rPr>
                <w:rFonts w:cs="Arial"/>
                <w:color w:val="000000"/>
                <w:sz w:val="16"/>
                <w:szCs w:val="16"/>
              </w:rPr>
            </w:pPr>
            <w:r>
              <w:rPr>
                <w:rFonts w:cs="Arial"/>
                <w:sz w:val="16"/>
                <w:szCs w:val="16"/>
              </w:rPr>
              <w:t>4,7</w:t>
            </w:r>
          </w:p>
        </w:tc>
        <w:tc>
          <w:tcPr>
            <w:tcW w:w="680" w:type="dxa"/>
            <w:tcBorders>
              <w:top w:val="nil"/>
              <w:left w:val="nil"/>
              <w:bottom w:val="nil"/>
              <w:right w:val="nil"/>
            </w:tcBorders>
            <w:shd w:val="clear" w:color="auto" w:fill="auto"/>
            <w:noWrap/>
            <w:vAlign w:val="center"/>
            <w:hideMark/>
          </w:tcPr>
          <w:p w14:paraId="2EB3E130" w14:textId="3759A581" w:rsidR="00987E13" w:rsidRPr="00D92E20" w:rsidRDefault="00987E13" w:rsidP="00987E13">
            <w:pPr>
              <w:spacing w:after="0" w:line="240" w:lineRule="auto"/>
              <w:jc w:val="center"/>
              <w:rPr>
                <w:rFonts w:cs="Arial"/>
                <w:color w:val="000000"/>
                <w:sz w:val="16"/>
                <w:szCs w:val="16"/>
              </w:rPr>
            </w:pPr>
            <w:r>
              <w:rPr>
                <w:rFonts w:cs="Arial"/>
                <w:sz w:val="16"/>
                <w:szCs w:val="16"/>
              </w:rPr>
              <w:t>4,8</w:t>
            </w:r>
          </w:p>
        </w:tc>
        <w:tc>
          <w:tcPr>
            <w:tcW w:w="680" w:type="dxa"/>
            <w:tcBorders>
              <w:top w:val="nil"/>
              <w:left w:val="nil"/>
              <w:bottom w:val="nil"/>
              <w:right w:val="nil"/>
            </w:tcBorders>
            <w:shd w:val="clear" w:color="auto" w:fill="auto"/>
            <w:noWrap/>
            <w:vAlign w:val="center"/>
            <w:hideMark/>
          </w:tcPr>
          <w:p w14:paraId="45D2A7D5" w14:textId="7AB7FB61" w:rsidR="00987E13" w:rsidRPr="00D92E20" w:rsidRDefault="00987E13" w:rsidP="00987E13">
            <w:pPr>
              <w:spacing w:after="0" w:line="240" w:lineRule="auto"/>
              <w:jc w:val="center"/>
              <w:rPr>
                <w:rFonts w:cs="Arial"/>
                <w:color w:val="000000"/>
                <w:sz w:val="16"/>
                <w:szCs w:val="16"/>
              </w:rPr>
            </w:pPr>
            <w:r>
              <w:rPr>
                <w:rFonts w:cs="Arial"/>
                <w:color w:val="000000"/>
                <w:sz w:val="16"/>
                <w:szCs w:val="16"/>
              </w:rPr>
              <w:t>5,1</w:t>
            </w:r>
          </w:p>
        </w:tc>
        <w:tc>
          <w:tcPr>
            <w:tcW w:w="680" w:type="dxa"/>
            <w:tcBorders>
              <w:top w:val="nil"/>
              <w:left w:val="nil"/>
              <w:bottom w:val="nil"/>
              <w:right w:val="nil"/>
            </w:tcBorders>
            <w:shd w:val="clear" w:color="auto" w:fill="auto"/>
            <w:noWrap/>
            <w:vAlign w:val="center"/>
            <w:hideMark/>
          </w:tcPr>
          <w:p w14:paraId="3D7D7577" w14:textId="7E853561" w:rsidR="00987E13" w:rsidRPr="00D92E20" w:rsidRDefault="00987E13" w:rsidP="00987E13">
            <w:pPr>
              <w:spacing w:after="0" w:line="240" w:lineRule="auto"/>
              <w:jc w:val="center"/>
              <w:rPr>
                <w:rFonts w:cs="Arial"/>
                <w:color w:val="000000"/>
                <w:sz w:val="16"/>
                <w:szCs w:val="16"/>
              </w:rPr>
            </w:pPr>
            <w:r>
              <w:rPr>
                <w:rFonts w:cs="Arial"/>
                <w:color w:val="000000"/>
                <w:sz w:val="16"/>
                <w:szCs w:val="16"/>
              </w:rPr>
              <w:t>5,2</w:t>
            </w:r>
          </w:p>
        </w:tc>
        <w:tc>
          <w:tcPr>
            <w:tcW w:w="680" w:type="dxa"/>
            <w:tcBorders>
              <w:top w:val="nil"/>
              <w:left w:val="nil"/>
              <w:bottom w:val="nil"/>
              <w:right w:val="nil"/>
            </w:tcBorders>
            <w:shd w:val="clear" w:color="auto" w:fill="auto"/>
            <w:noWrap/>
            <w:vAlign w:val="center"/>
            <w:hideMark/>
          </w:tcPr>
          <w:p w14:paraId="11101CF7" w14:textId="41074702" w:rsidR="00987E13" w:rsidRPr="00D92E20" w:rsidRDefault="00987E13" w:rsidP="00987E13">
            <w:pPr>
              <w:spacing w:after="0" w:line="240" w:lineRule="auto"/>
              <w:jc w:val="center"/>
              <w:rPr>
                <w:rFonts w:cs="Arial"/>
                <w:color w:val="000000"/>
                <w:sz w:val="16"/>
                <w:szCs w:val="16"/>
              </w:rPr>
            </w:pPr>
            <w:r>
              <w:rPr>
                <w:rFonts w:cs="Arial"/>
                <w:color w:val="000000"/>
                <w:sz w:val="16"/>
                <w:szCs w:val="16"/>
              </w:rPr>
              <w:t>5,9</w:t>
            </w:r>
          </w:p>
        </w:tc>
        <w:tc>
          <w:tcPr>
            <w:tcW w:w="680" w:type="dxa"/>
            <w:tcBorders>
              <w:top w:val="nil"/>
              <w:left w:val="nil"/>
              <w:bottom w:val="nil"/>
              <w:right w:val="nil"/>
            </w:tcBorders>
            <w:shd w:val="clear" w:color="auto" w:fill="auto"/>
            <w:noWrap/>
            <w:vAlign w:val="center"/>
            <w:hideMark/>
          </w:tcPr>
          <w:p w14:paraId="3233F531" w14:textId="4B1C28EC" w:rsidR="00987E13" w:rsidRPr="00D92E20" w:rsidRDefault="00987E13" w:rsidP="00987E13">
            <w:pPr>
              <w:spacing w:after="0" w:line="240" w:lineRule="auto"/>
              <w:jc w:val="center"/>
              <w:rPr>
                <w:rFonts w:cs="Arial"/>
                <w:color w:val="000000"/>
                <w:sz w:val="16"/>
                <w:szCs w:val="16"/>
              </w:rPr>
            </w:pPr>
            <w:r>
              <w:rPr>
                <w:rFonts w:cs="Arial"/>
                <w:color w:val="000000"/>
                <w:sz w:val="16"/>
                <w:szCs w:val="16"/>
              </w:rPr>
              <w:t>7,2</w:t>
            </w:r>
          </w:p>
        </w:tc>
        <w:tc>
          <w:tcPr>
            <w:tcW w:w="680" w:type="dxa"/>
            <w:tcBorders>
              <w:top w:val="nil"/>
              <w:left w:val="nil"/>
              <w:bottom w:val="nil"/>
              <w:right w:val="nil"/>
            </w:tcBorders>
            <w:shd w:val="clear" w:color="auto" w:fill="auto"/>
            <w:noWrap/>
            <w:vAlign w:val="center"/>
            <w:hideMark/>
          </w:tcPr>
          <w:p w14:paraId="0E521AE4" w14:textId="4071052F" w:rsidR="00987E13" w:rsidRPr="00D92E20" w:rsidRDefault="00987E13" w:rsidP="00987E13">
            <w:pPr>
              <w:spacing w:after="0" w:line="240" w:lineRule="auto"/>
              <w:jc w:val="center"/>
              <w:rPr>
                <w:rFonts w:cs="Arial"/>
                <w:color w:val="000000"/>
                <w:sz w:val="16"/>
                <w:szCs w:val="16"/>
              </w:rPr>
            </w:pPr>
            <w:r>
              <w:rPr>
                <w:rFonts w:cs="Arial"/>
                <w:color w:val="000000"/>
                <w:sz w:val="16"/>
                <w:szCs w:val="16"/>
              </w:rPr>
              <w:t>6,4</w:t>
            </w:r>
          </w:p>
        </w:tc>
      </w:tr>
      <w:tr w:rsidR="00987E13" w:rsidRPr="00D92E20" w14:paraId="79A3A7D7"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32EC444D" w14:textId="77777777" w:rsidR="00987E13" w:rsidRPr="00D92E20" w:rsidRDefault="00987E13" w:rsidP="00987E13">
            <w:pPr>
              <w:spacing w:after="0" w:line="240" w:lineRule="auto"/>
              <w:ind w:firstLineChars="100" w:firstLine="160"/>
              <w:rPr>
                <w:rFonts w:cs="Arial"/>
                <w:color w:val="000000"/>
                <w:sz w:val="16"/>
                <w:szCs w:val="16"/>
              </w:rPr>
            </w:pPr>
            <w:r w:rsidRPr="00D92E20">
              <w:rPr>
                <w:rFonts w:cs="Arial"/>
                <w:color w:val="000000"/>
                <w:sz w:val="16"/>
                <w:szCs w:val="16"/>
              </w:rPr>
              <w:t>Ústecký kraj</w:t>
            </w:r>
          </w:p>
        </w:tc>
        <w:tc>
          <w:tcPr>
            <w:tcW w:w="680" w:type="dxa"/>
            <w:tcBorders>
              <w:top w:val="nil"/>
              <w:left w:val="nil"/>
              <w:bottom w:val="nil"/>
              <w:right w:val="nil"/>
            </w:tcBorders>
            <w:shd w:val="clear" w:color="auto" w:fill="auto"/>
            <w:noWrap/>
            <w:vAlign w:val="center"/>
            <w:hideMark/>
          </w:tcPr>
          <w:p w14:paraId="2D050887" w14:textId="298A455D" w:rsidR="00987E13" w:rsidRPr="00D92E20" w:rsidRDefault="00987E13" w:rsidP="00987E13">
            <w:pPr>
              <w:spacing w:after="0" w:line="240" w:lineRule="auto"/>
              <w:jc w:val="center"/>
              <w:rPr>
                <w:rFonts w:cs="Arial"/>
                <w:color w:val="000000"/>
                <w:sz w:val="16"/>
                <w:szCs w:val="16"/>
              </w:rPr>
            </w:pPr>
            <w:r>
              <w:rPr>
                <w:rFonts w:cs="Arial"/>
                <w:sz w:val="16"/>
                <w:szCs w:val="16"/>
              </w:rPr>
              <w:t>3,8</w:t>
            </w:r>
          </w:p>
        </w:tc>
        <w:tc>
          <w:tcPr>
            <w:tcW w:w="680" w:type="dxa"/>
            <w:tcBorders>
              <w:top w:val="nil"/>
              <w:left w:val="nil"/>
              <w:bottom w:val="nil"/>
              <w:right w:val="nil"/>
            </w:tcBorders>
            <w:shd w:val="clear" w:color="auto" w:fill="auto"/>
            <w:noWrap/>
            <w:vAlign w:val="center"/>
            <w:hideMark/>
          </w:tcPr>
          <w:p w14:paraId="3524F29E" w14:textId="17AD868A" w:rsidR="00987E13" w:rsidRPr="00D92E20" w:rsidRDefault="00987E13" w:rsidP="00987E13">
            <w:pPr>
              <w:spacing w:after="0" w:line="240" w:lineRule="auto"/>
              <w:jc w:val="center"/>
              <w:rPr>
                <w:rFonts w:cs="Arial"/>
                <w:color w:val="000000"/>
                <w:sz w:val="16"/>
                <w:szCs w:val="16"/>
              </w:rPr>
            </w:pPr>
            <w:r>
              <w:rPr>
                <w:rFonts w:cs="Arial"/>
                <w:sz w:val="16"/>
                <w:szCs w:val="16"/>
              </w:rPr>
              <w:t>4,3</w:t>
            </w:r>
          </w:p>
        </w:tc>
        <w:tc>
          <w:tcPr>
            <w:tcW w:w="680" w:type="dxa"/>
            <w:tcBorders>
              <w:top w:val="nil"/>
              <w:left w:val="nil"/>
              <w:bottom w:val="nil"/>
              <w:right w:val="nil"/>
            </w:tcBorders>
            <w:shd w:val="clear" w:color="auto" w:fill="auto"/>
            <w:noWrap/>
            <w:vAlign w:val="center"/>
            <w:hideMark/>
          </w:tcPr>
          <w:p w14:paraId="657C6D7D" w14:textId="16D6D0DB" w:rsidR="00987E13" w:rsidRPr="00D92E20" w:rsidRDefault="00987E13" w:rsidP="00987E13">
            <w:pPr>
              <w:spacing w:after="0" w:line="240" w:lineRule="auto"/>
              <w:jc w:val="center"/>
              <w:rPr>
                <w:rFonts w:cs="Arial"/>
                <w:color w:val="000000"/>
                <w:sz w:val="16"/>
                <w:szCs w:val="16"/>
              </w:rPr>
            </w:pPr>
            <w:r>
              <w:rPr>
                <w:rFonts w:cs="Arial"/>
                <w:sz w:val="16"/>
                <w:szCs w:val="16"/>
              </w:rPr>
              <w:t>4,1</w:t>
            </w:r>
          </w:p>
        </w:tc>
        <w:tc>
          <w:tcPr>
            <w:tcW w:w="680" w:type="dxa"/>
            <w:tcBorders>
              <w:top w:val="nil"/>
              <w:left w:val="nil"/>
              <w:bottom w:val="nil"/>
              <w:right w:val="nil"/>
            </w:tcBorders>
            <w:shd w:val="clear" w:color="auto" w:fill="auto"/>
            <w:noWrap/>
            <w:vAlign w:val="center"/>
            <w:hideMark/>
          </w:tcPr>
          <w:p w14:paraId="7181494C" w14:textId="75B96778" w:rsidR="00987E13" w:rsidRPr="00D92E20" w:rsidRDefault="00987E13" w:rsidP="00987E13">
            <w:pPr>
              <w:spacing w:after="0" w:line="240" w:lineRule="auto"/>
              <w:jc w:val="center"/>
              <w:rPr>
                <w:rFonts w:cs="Arial"/>
                <w:color w:val="000000"/>
                <w:sz w:val="16"/>
                <w:szCs w:val="16"/>
              </w:rPr>
            </w:pPr>
            <w:r>
              <w:rPr>
                <w:rFonts w:cs="Arial"/>
                <w:sz w:val="16"/>
                <w:szCs w:val="16"/>
              </w:rPr>
              <w:t>4,6</w:t>
            </w:r>
          </w:p>
        </w:tc>
        <w:tc>
          <w:tcPr>
            <w:tcW w:w="680" w:type="dxa"/>
            <w:tcBorders>
              <w:top w:val="nil"/>
              <w:left w:val="nil"/>
              <w:bottom w:val="nil"/>
              <w:right w:val="nil"/>
            </w:tcBorders>
            <w:shd w:val="clear" w:color="auto" w:fill="auto"/>
            <w:noWrap/>
            <w:vAlign w:val="center"/>
            <w:hideMark/>
          </w:tcPr>
          <w:p w14:paraId="07E5D03D" w14:textId="358B0608" w:rsidR="00987E13" w:rsidRPr="00D92E20" w:rsidRDefault="00987E13" w:rsidP="00987E13">
            <w:pPr>
              <w:spacing w:after="0" w:line="240" w:lineRule="auto"/>
              <w:jc w:val="center"/>
              <w:rPr>
                <w:rFonts w:cs="Arial"/>
                <w:color w:val="000000"/>
                <w:sz w:val="16"/>
                <w:szCs w:val="16"/>
              </w:rPr>
            </w:pPr>
            <w:r>
              <w:rPr>
                <w:rFonts w:cs="Arial"/>
                <w:sz w:val="16"/>
                <w:szCs w:val="16"/>
              </w:rPr>
              <w:t>4,7</w:t>
            </w:r>
          </w:p>
        </w:tc>
        <w:tc>
          <w:tcPr>
            <w:tcW w:w="680" w:type="dxa"/>
            <w:tcBorders>
              <w:top w:val="nil"/>
              <w:left w:val="nil"/>
              <w:bottom w:val="nil"/>
              <w:right w:val="nil"/>
            </w:tcBorders>
            <w:shd w:val="clear" w:color="auto" w:fill="auto"/>
            <w:noWrap/>
            <w:vAlign w:val="center"/>
            <w:hideMark/>
          </w:tcPr>
          <w:p w14:paraId="16726FBB" w14:textId="2C3727D8" w:rsidR="00987E13" w:rsidRPr="00D92E20" w:rsidRDefault="00987E13" w:rsidP="00987E13">
            <w:pPr>
              <w:spacing w:after="0" w:line="240" w:lineRule="auto"/>
              <w:jc w:val="center"/>
              <w:rPr>
                <w:rFonts w:cs="Arial"/>
                <w:color w:val="000000"/>
                <w:sz w:val="16"/>
                <w:szCs w:val="16"/>
              </w:rPr>
            </w:pPr>
            <w:r>
              <w:rPr>
                <w:rFonts w:cs="Arial"/>
                <w:sz w:val="16"/>
                <w:szCs w:val="16"/>
              </w:rPr>
              <w:t>4,9</w:t>
            </w:r>
          </w:p>
        </w:tc>
        <w:tc>
          <w:tcPr>
            <w:tcW w:w="680" w:type="dxa"/>
            <w:tcBorders>
              <w:top w:val="nil"/>
              <w:left w:val="nil"/>
              <w:bottom w:val="nil"/>
              <w:right w:val="nil"/>
            </w:tcBorders>
            <w:shd w:val="clear" w:color="auto" w:fill="auto"/>
            <w:noWrap/>
            <w:vAlign w:val="center"/>
            <w:hideMark/>
          </w:tcPr>
          <w:p w14:paraId="3F351BEB" w14:textId="38B801D4" w:rsidR="00987E13" w:rsidRPr="00D92E20" w:rsidRDefault="00987E13" w:rsidP="00987E13">
            <w:pPr>
              <w:spacing w:after="0" w:line="240" w:lineRule="auto"/>
              <w:jc w:val="center"/>
              <w:rPr>
                <w:rFonts w:cs="Arial"/>
                <w:color w:val="000000"/>
                <w:sz w:val="16"/>
                <w:szCs w:val="16"/>
              </w:rPr>
            </w:pPr>
            <w:r>
              <w:rPr>
                <w:rFonts w:cs="Arial"/>
                <w:color w:val="000000"/>
                <w:sz w:val="16"/>
                <w:szCs w:val="16"/>
              </w:rPr>
              <w:t>5,2</w:t>
            </w:r>
          </w:p>
        </w:tc>
        <w:tc>
          <w:tcPr>
            <w:tcW w:w="680" w:type="dxa"/>
            <w:tcBorders>
              <w:top w:val="nil"/>
              <w:left w:val="nil"/>
              <w:bottom w:val="nil"/>
              <w:right w:val="nil"/>
            </w:tcBorders>
            <w:shd w:val="clear" w:color="auto" w:fill="auto"/>
            <w:noWrap/>
            <w:vAlign w:val="center"/>
            <w:hideMark/>
          </w:tcPr>
          <w:p w14:paraId="737CEF0B" w14:textId="3A37F04B" w:rsidR="00987E13" w:rsidRPr="00D92E20" w:rsidRDefault="00987E13" w:rsidP="00987E13">
            <w:pPr>
              <w:spacing w:after="0" w:line="240" w:lineRule="auto"/>
              <w:jc w:val="center"/>
              <w:rPr>
                <w:rFonts w:cs="Arial"/>
                <w:color w:val="000000"/>
                <w:sz w:val="16"/>
                <w:szCs w:val="16"/>
              </w:rPr>
            </w:pPr>
            <w:r>
              <w:rPr>
                <w:rFonts w:cs="Arial"/>
                <w:color w:val="000000"/>
                <w:sz w:val="16"/>
                <w:szCs w:val="16"/>
              </w:rPr>
              <w:t>5,3</w:t>
            </w:r>
          </w:p>
        </w:tc>
        <w:tc>
          <w:tcPr>
            <w:tcW w:w="680" w:type="dxa"/>
            <w:tcBorders>
              <w:top w:val="nil"/>
              <w:left w:val="nil"/>
              <w:bottom w:val="nil"/>
              <w:right w:val="nil"/>
            </w:tcBorders>
            <w:shd w:val="clear" w:color="auto" w:fill="auto"/>
            <w:noWrap/>
            <w:vAlign w:val="center"/>
            <w:hideMark/>
          </w:tcPr>
          <w:p w14:paraId="1AEB6FAF" w14:textId="14C0F1EC" w:rsidR="00987E13" w:rsidRPr="00D92E20" w:rsidRDefault="00987E13" w:rsidP="00987E13">
            <w:pPr>
              <w:spacing w:after="0" w:line="240" w:lineRule="auto"/>
              <w:jc w:val="center"/>
              <w:rPr>
                <w:rFonts w:cs="Arial"/>
                <w:color w:val="000000"/>
                <w:sz w:val="16"/>
                <w:szCs w:val="16"/>
              </w:rPr>
            </w:pPr>
            <w:r>
              <w:rPr>
                <w:rFonts w:cs="Arial"/>
                <w:color w:val="000000"/>
                <w:sz w:val="16"/>
                <w:szCs w:val="16"/>
              </w:rPr>
              <w:t>5,8</w:t>
            </w:r>
          </w:p>
        </w:tc>
        <w:tc>
          <w:tcPr>
            <w:tcW w:w="680" w:type="dxa"/>
            <w:tcBorders>
              <w:top w:val="nil"/>
              <w:left w:val="nil"/>
              <w:bottom w:val="nil"/>
              <w:right w:val="nil"/>
            </w:tcBorders>
            <w:shd w:val="clear" w:color="auto" w:fill="auto"/>
            <w:noWrap/>
            <w:vAlign w:val="center"/>
            <w:hideMark/>
          </w:tcPr>
          <w:p w14:paraId="55285B9F" w14:textId="2BF3DE59" w:rsidR="00987E13" w:rsidRPr="00D92E20" w:rsidRDefault="00987E13" w:rsidP="00987E13">
            <w:pPr>
              <w:spacing w:after="0" w:line="240" w:lineRule="auto"/>
              <w:jc w:val="center"/>
              <w:rPr>
                <w:rFonts w:cs="Arial"/>
                <w:color w:val="000000"/>
                <w:sz w:val="16"/>
                <w:szCs w:val="16"/>
              </w:rPr>
            </w:pPr>
            <w:r>
              <w:rPr>
                <w:rFonts w:cs="Arial"/>
                <w:color w:val="000000"/>
                <w:sz w:val="16"/>
                <w:szCs w:val="16"/>
              </w:rPr>
              <w:t>6,8</w:t>
            </w:r>
          </w:p>
        </w:tc>
        <w:tc>
          <w:tcPr>
            <w:tcW w:w="680" w:type="dxa"/>
            <w:tcBorders>
              <w:top w:val="nil"/>
              <w:left w:val="nil"/>
              <w:bottom w:val="nil"/>
              <w:right w:val="nil"/>
            </w:tcBorders>
            <w:shd w:val="clear" w:color="auto" w:fill="auto"/>
            <w:noWrap/>
            <w:vAlign w:val="center"/>
            <w:hideMark/>
          </w:tcPr>
          <w:p w14:paraId="084FD4CE" w14:textId="059A8D39" w:rsidR="00987E13" w:rsidRPr="00D92E20" w:rsidRDefault="00987E13" w:rsidP="00987E13">
            <w:pPr>
              <w:spacing w:after="0" w:line="240" w:lineRule="auto"/>
              <w:jc w:val="center"/>
              <w:rPr>
                <w:rFonts w:cs="Arial"/>
                <w:color w:val="000000"/>
                <w:sz w:val="16"/>
                <w:szCs w:val="16"/>
              </w:rPr>
            </w:pPr>
            <w:r>
              <w:rPr>
                <w:rFonts w:cs="Arial"/>
                <w:color w:val="000000"/>
                <w:sz w:val="16"/>
                <w:szCs w:val="16"/>
              </w:rPr>
              <w:t>6,6</w:t>
            </w:r>
          </w:p>
        </w:tc>
      </w:tr>
      <w:tr w:rsidR="00987E13" w:rsidRPr="00D92E20" w14:paraId="2C0EEF9D"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166AEE7A" w14:textId="77777777" w:rsidR="00987E13" w:rsidRPr="00D92E20" w:rsidRDefault="00987E13" w:rsidP="00987E13">
            <w:pPr>
              <w:spacing w:after="0" w:line="240" w:lineRule="auto"/>
              <w:ind w:firstLineChars="100" w:firstLine="160"/>
              <w:rPr>
                <w:rFonts w:cs="Arial"/>
                <w:color w:val="000000"/>
                <w:sz w:val="16"/>
                <w:szCs w:val="16"/>
              </w:rPr>
            </w:pPr>
            <w:r w:rsidRPr="00D92E20">
              <w:rPr>
                <w:rFonts w:cs="Arial"/>
                <w:color w:val="000000"/>
                <w:sz w:val="16"/>
                <w:szCs w:val="16"/>
              </w:rPr>
              <w:t>Liberecký kraj</w:t>
            </w:r>
          </w:p>
        </w:tc>
        <w:tc>
          <w:tcPr>
            <w:tcW w:w="680" w:type="dxa"/>
            <w:tcBorders>
              <w:top w:val="nil"/>
              <w:left w:val="nil"/>
              <w:bottom w:val="nil"/>
              <w:right w:val="nil"/>
            </w:tcBorders>
            <w:shd w:val="clear" w:color="auto" w:fill="auto"/>
            <w:noWrap/>
            <w:vAlign w:val="center"/>
            <w:hideMark/>
          </w:tcPr>
          <w:p w14:paraId="1F4B6C1B" w14:textId="4A2F51BE" w:rsidR="00987E13" w:rsidRPr="00D92E20" w:rsidRDefault="00987E13" w:rsidP="00987E13">
            <w:pPr>
              <w:spacing w:after="0" w:line="240" w:lineRule="auto"/>
              <w:jc w:val="center"/>
              <w:rPr>
                <w:rFonts w:cs="Arial"/>
                <w:color w:val="000000"/>
                <w:sz w:val="16"/>
                <w:szCs w:val="16"/>
              </w:rPr>
            </w:pPr>
            <w:r>
              <w:rPr>
                <w:rFonts w:cs="Arial"/>
                <w:sz w:val="16"/>
                <w:szCs w:val="16"/>
              </w:rPr>
              <w:t>4,0</w:t>
            </w:r>
          </w:p>
        </w:tc>
        <w:tc>
          <w:tcPr>
            <w:tcW w:w="680" w:type="dxa"/>
            <w:tcBorders>
              <w:top w:val="nil"/>
              <w:left w:val="nil"/>
              <w:bottom w:val="nil"/>
              <w:right w:val="nil"/>
            </w:tcBorders>
            <w:shd w:val="clear" w:color="auto" w:fill="auto"/>
            <w:noWrap/>
            <w:vAlign w:val="center"/>
            <w:hideMark/>
          </w:tcPr>
          <w:p w14:paraId="2B7EFA9D" w14:textId="35E64EC3" w:rsidR="00987E13" w:rsidRPr="00D92E20" w:rsidRDefault="00987E13" w:rsidP="00987E13">
            <w:pPr>
              <w:spacing w:after="0" w:line="240" w:lineRule="auto"/>
              <w:jc w:val="center"/>
              <w:rPr>
                <w:rFonts w:cs="Arial"/>
                <w:color w:val="000000"/>
                <w:sz w:val="16"/>
                <w:szCs w:val="16"/>
              </w:rPr>
            </w:pPr>
            <w:r>
              <w:rPr>
                <w:rFonts w:cs="Arial"/>
                <w:sz w:val="16"/>
                <w:szCs w:val="16"/>
              </w:rPr>
              <w:t>4,5</w:t>
            </w:r>
          </w:p>
        </w:tc>
        <w:tc>
          <w:tcPr>
            <w:tcW w:w="680" w:type="dxa"/>
            <w:tcBorders>
              <w:top w:val="nil"/>
              <w:left w:val="nil"/>
              <w:bottom w:val="nil"/>
              <w:right w:val="nil"/>
            </w:tcBorders>
            <w:shd w:val="clear" w:color="auto" w:fill="auto"/>
            <w:noWrap/>
            <w:vAlign w:val="center"/>
            <w:hideMark/>
          </w:tcPr>
          <w:p w14:paraId="4161125B" w14:textId="44004752" w:rsidR="00987E13" w:rsidRPr="00D92E20" w:rsidRDefault="00987E13" w:rsidP="00987E13">
            <w:pPr>
              <w:spacing w:after="0" w:line="240" w:lineRule="auto"/>
              <w:jc w:val="center"/>
              <w:rPr>
                <w:rFonts w:cs="Arial"/>
                <w:color w:val="000000"/>
                <w:sz w:val="16"/>
                <w:szCs w:val="16"/>
              </w:rPr>
            </w:pPr>
            <w:r>
              <w:rPr>
                <w:rFonts w:cs="Arial"/>
                <w:sz w:val="16"/>
                <w:szCs w:val="16"/>
              </w:rPr>
              <w:t>4,2</w:t>
            </w:r>
          </w:p>
        </w:tc>
        <w:tc>
          <w:tcPr>
            <w:tcW w:w="680" w:type="dxa"/>
            <w:tcBorders>
              <w:top w:val="nil"/>
              <w:left w:val="nil"/>
              <w:bottom w:val="nil"/>
              <w:right w:val="nil"/>
            </w:tcBorders>
            <w:shd w:val="clear" w:color="auto" w:fill="auto"/>
            <w:noWrap/>
            <w:vAlign w:val="center"/>
            <w:hideMark/>
          </w:tcPr>
          <w:p w14:paraId="440A052D" w14:textId="423AAFB8" w:rsidR="00987E13" w:rsidRPr="00D92E20" w:rsidRDefault="00987E13" w:rsidP="00987E13">
            <w:pPr>
              <w:spacing w:after="0" w:line="240" w:lineRule="auto"/>
              <w:jc w:val="center"/>
              <w:rPr>
                <w:rFonts w:cs="Arial"/>
                <w:color w:val="000000"/>
                <w:sz w:val="16"/>
                <w:szCs w:val="16"/>
              </w:rPr>
            </w:pPr>
            <w:r>
              <w:rPr>
                <w:rFonts w:cs="Arial"/>
                <w:sz w:val="16"/>
                <w:szCs w:val="16"/>
              </w:rPr>
              <w:t>4,6</w:t>
            </w:r>
          </w:p>
        </w:tc>
        <w:tc>
          <w:tcPr>
            <w:tcW w:w="680" w:type="dxa"/>
            <w:tcBorders>
              <w:top w:val="nil"/>
              <w:left w:val="nil"/>
              <w:bottom w:val="nil"/>
              <w:right w:val="nil"/>
            </w:tcBorders>
            <w:shd w:val="clear" w:color="auto" w:fill="auto"/>
            <w:noWrap/>
            <w:vAlign w:val="center"/>
            <w:hideMark/>
          </w:tcPr>
          <w:p w14:paraId="4F755A33" w14:textId="5B55E311" w:rsidR="00987E13" w:rsidRPr="00D92E20" w:rsidRDefault="00987E13" w:rsidP="00987E13">
            <w:pPr>
              <w:spacing w:after="0" w:line="240" w:lineRule="auto"/>
              <w:jc w:val="center"/>
              <w:rPr>
                <w:rFonts w:cs="Arial"/>
                <w:color w:val="000000"/>
                <w:sz w:val="16"/>
                <w:szCs w:val="16"/>
              </w:rPr>
            </w:pPr>
            <w:r>
              <w:rPr>
                <w:rFonts w:cs="Arial"/>
                <w:sz w:val="16"/>
                <w:szCs w:val="16"/>
              </w:rPr>
              <w:t>4,9</w:t>
            </w:r>
          </w:p>
        </w:tc>
        <w:tc>
          <w:tcPr>
            <w:tcW w:w="680" w:type="dxa"/>
            <w:tcBorders>
              <w:top w:val="nil"/>
              <w:left w:val="nil"/>
              <w:bottom w:val="nil"/>
              <w:right w:val="nil"/>
            </w:tcBorders>
            <w:shd w:val="clear" w:color="auto" w:fill="auto"/>
            <w:noWrap/>
            <w:vAlign w:val="center"/>
            <w:hideMark/>
          </w:tcPr>
          <w:p w14:paraId="641241F9" w14:textId="36708160" w:rsidR="00987E13" w:rsidRPr="00D92E20" w:rsidRDefault="00987E13" w:rsidP="00987E13">
            <w:pPr>
              <w:spacing w:after="0" w:line="240" w:lineRule="auto"/>
              <w:jc w:val="center"/>
              <w:rPr>
                <w:rFonts w:cs="Arial"/>
                <w:color w:val="000000"/>
                <w:sz w:val="16"/>
                <w:szCs w:val="16"/>
              </w:rPr>
            </w:pPr>
            <w:r>
              <w:rPr>
                <w:rFonts w:cs="Arial"/>
                <w:sz w:val="16"/>
                <w:szCs w:val="16"/>
              </w:rPr>
              <w:t>5,1</w:t>
            </w:r>
          </w:p>
        </w:tc>
        <w:tc>
          <w:tcPr>
            <w:tcW w:w="680" w:type="dxa"/>
            <w:tcBorders>
              <w:top w:val="nil"/>
              <w:left w:val="nil"/>
              <w:bottom w:val="nil"/>
              <w:right w:val="nil"/>
            </w:tcBorders>
            <w:shd w:val="clear" w:color="auto" w:fill="auto"/>
            <w:noWrap/>
            <w:vAlign w:val="center"/>
            <w:hideMark/>
          </w:tcPr>
          <w:p w14:paraId="2B79D96E" w14:textId="08261A15" w:rsidR="00987E13" w:rsidRPr="00D92E20" w:rsidRDefault="00987E13" w:rsidP="00987E13">
            <w:pPr>
              <w:spacing w:after="0" w:line="240" w:lineRule="auto"/>
              <w:jc w:val="center"/>
              <w:rPr>
                <w:rFonts w:cs="Arial"/>
                <w:color w:val="000000"/>
                <w:sz w:val="16"/>
                <w:szCs w:val="16"/>
              </w:rPr>
            </w:pPr>
            <w:r>
              <w:rPr>
                <w:rFonts w:cs="Arial"/>
                <w:color w:val="000000"/>
                <w:sz w:val="16"/>
                <w:szCs w:val="16"/>
              </w:rPr>
              <w:t>5,3</w:t>
            </w:r>
          </w:p>
        </w:tc>
        <w:tc>
          <w:tcPr>
            <w:tcW w:w="680" w:type="dxa"/>
            <w:tcBorders>
              <w:top w:val="nil"/>
              <w:left w:val="nil"/>
              <w:bottom w:val="nil"/>
              <w:right w:val="nil"/>
            </w:tcBorders>
            <w:shd w:val="clear" w:color="auto" w:fill="auto"/>
            <w:noWrap/>
            <w:vAlign w:val="center"/>
            <w:hideMark/>
          </w:tcPr>
          <w:p w14:paraId="7C9720FB" w14:textId="38FF6724" w:rsidR="00987E13" w:rsidRPr="00D92E20" w:rsidRDefault="00987E13" w:rsidP="00987E13">
            <w:pPr>
              <w:spacing w:after="0" w:line="240" w:lineRule="auto"/>
              <w:jc w:val="center"/>
              <w:rPr>
                <w:rFonts w:cs="Arial"/>
                <w:color w:val="000000"/>
                <w:sz w:val="16"/>
                <w:szCs w:val="16"/>
              </w:rPr>
            </w:pPr>
            <w:r>
              <w:rPr>
                <w:rFonts w:cs="Arial"/>
                <w:color w:val="000000"/>
                <w:sz w:val="16"/>
                <w:szCs w:val="16"/>
              </w:rPr>
              <w:t>5,4</w:t>
            </w:r>
          </w:p>
        </w:tc>
        <w:tc>
          <w:tcPr>
            <w:tcW w:w="680" w:type="dxa"/>
            <w:tcBorders>
              <w:top w:val="nil"/>
              <w:left w:val="nil"/>
              <w:bottom w:val="nil"/>
              <w:right w:val="nil"/>
            </w:tcBorders>
            <w:shd w:val="clear" w:color="auto" w:fill="auto"/>
            <w:noWrap/>
            <w:vAlign w:val="center"/>
            <w:hideMark/>
          </w:tcPr>
          <w:p w14:paraId="4CD93D16" w14:textId="501B7C95" w:rsidR="00987E13" w:rsidRPr="00D92E20" w:rsidRDefault="00987E13" w:rsidP="00987E13">
            <w:pPr>
              <w:spacing w:after="0" w:line="240" w:lineRule="auto"/>
              <w:jc w:val="center"/>
              <w:rPr>
                <w:rFonts w:cs="Arial"/>
                <w:color w:val="000000"/>
                <w:sz w:val="16"/>
                <w:szCs w:val="16"/>
              </w:rPr>
            </w:pPr>
            <w:r>
              <w:rPr>
                <w:rFonts w:cs="Arial"/>
                <w:color w:val="000000"/>
                <w:sz w:val="16"/>
                <w:szCs w:val="16"/>
              </w:rPr>
              <w:t>6,6</w:t>
            </w:r>
          </w:p>
        </w:tc>
        <w:tc>
          <w:tcPr>
            <w:tcW w:w="680" w:type="dxa"/>
            <w:tcBorders>
              <w:top w:val="nil"/>
              <w:left w:val="nil"/>
              <w:bottom w:val="nil"/>
              <w:right w:val="nil"/>
            </w:tcBorders>
            <w:shd w:val="clear" w:color="auto" w:fill="auto"/>
            <w:noWrap/>
            <w:vAlign w:val="center"/>
            <w:hideMark/>
          </w:tcPr>
          <w:p w14:paraId="4509513B" w14:textId="66937090" w:rsidR="00987E13" w:rsidRPr="00D92E20" w:rsidRDefault="00987E13" w:rsidP="00987E13">
            <w:pPr>
              <w:spacing w:after="0" w:line="240" w:lineRule="auto"/>
              <w:jc w:val="center"/>
              <w:rPr>
                <w:rFonts w:cs="Arial"/>
                <w:color w:val="000000"/>
                <w:sz w:val="16"/>
                <w:szCs w:val="16"/>
              </w:rPr>
            </w:pPr>
            <w:r>
              <w:rPr>
                <w:rFonts w:cs="Arial"/>
                <w:color w:val="000000"/>
                <w:sz w:val="16"/>
                <w:szCs w:val="16"/>
              </w:rPr>
              <w:t>7,0</w:t>
            </w:r>
          </w:p>
        </w:tc>
        <w:tc>
          <w:tcPr>
            <w:tcW w:w="680" w:type="dxa"/>
            <w:tcBorders>
              <w:top w:val="nil"/>
              <w:left w:val="nil"/>
              <w:bottom w:val="nil"/>
              <w:right w:val="nil"/>
            </w:tcBorders>
            <w:shd w:val="clear" w:color="auto" w:fill="auto"/>
            <w:noWrap/>
            <w:vAlign w:val="center"/>
            <w:hideMark/>
          </w:tcPr>
          <w:p w14:paraId="117E0EEA" w14:textId="07BD1FF0" w:rsidR="00987E13" w:rsidRPr="00D92E20" w:rsidRDefault="00987E13" w:rsidP="00987E13">
            <w:pPr>
              <w:spacing w:after="0" w:line="240" w:lineRule="auto"/>
              <w:jc w:val="center"/>
              <w:rPr>
                <w:rFonts w:cs="Arial"/>
                <w:color w:val="000000"/>
                <w:sz w:val="16"/>
                <w:szCs w:val="16"/>
              </w:rPr>
            </w:pPr>
            <w:r>
              <w:rPr>
                <w:rFonts w:cs="Arial"/>
                <w:color w:val="000000"/>
                <w:sz w:val="16"/>
                <w:szCs w:val="16"/>
              </w:rPr>
              <w:t>6,8</w:t>
            </w:r>
          </w:p>
        </w:tc>
      </w:tr>
      <w:tr w:rsidR="00987E13" w:rsidRPr="00D92E20" w14:paraId="114ABD25"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540B343F" w14:textId="77777777" w:rsidR="00987E13" w:rsidRPr="00D92E20" w:rsidRDefault="00987E13" w:rsidP="00987E13">
            <w:pPr>
              <w:spacing w:after="0" w:line="240" w:lineRule="auto"/>
              <w:ind w:firstLineChars="100" w:firstLine="160"/>
              <w:rPr>
                <w:rFonts w:cs="Arial"/>
                <w:color w:val="000000"/>
                <w:sz w:val="16"/>
                <w:szCs w:val="16"/>
              </w:rPr>
            </w:pPr>
            <w:r w:rsidRPr="00D92E20">
              <w:rPr>
                <w:rFonts w:cs="Arial"/>
                <w:color w:val="000000"/>
                <w:sz w:val="16"/>
                <w:szCs w:val="16"/>
              </w:rPr>
              <w:t>Královéhradecký kraj</w:t>
            </w:r>
          </w:p>
        </w:tc>
        <w:tc>
          <w:tcPr>
            <w:tcW w:w="680" w:type="dxa"/>
            <w:tcBorders>
              <w:top w:val="nil"/>
              <w:left w:val="nil"/>
              <w:bottom w:val="nil"/>
              <w:right w:val="nil"/>
            </w:tcBorders>
            <w:shd w:val="clear" w:color="auto" w:fill="auto"/>
            <w:noWrap/>
            <w:vAlign w:val="center"/>
            <w:hideMark/>
          </w:tcPr>
          <w:p w14:paraId="4CE04966" w14:textId="0825D34E" w:rsidR="00987E13" w:rsidRPr="00D92E20" w:rsidRDefault="00987E13" w:rsidP="00987E13">
            <w:pPr>
              <w:spacing w:after="0" w:line="240" w:lineRule="auto"/>
              <w:jc w:val="center"/>
              <w:rPr>
                <w:rFonts w:cs="Arial"/>
                <w:color w:val="000000"/>
                <w:sz w:val="16"/>
                <w:szCs w:val="16"/>
              </w:rPr>
            </w:pPr>
            <w:r>
              <w:rPr>
                <w:rFonts w:cs="Arial"/>
                <w:sz w:val="16"/>
                <w:szCs w:val="16"/>
              </w:rPr>
              <w:t>3,6</w:t>
            </w:r>
          </w:p>
        </w:tc>
        <w:tc>
          <w:tcPr>
            <w:tcW w:w="680" w:type="dxa"/>
            <w:tcBorders>
              <w:top w:val="nil"/>
              <w:left w:val="nil"/>
              <w:bottom w:val="nil"/>
              <w:right w:val="nil"/>
            </w:tcBorders>
            <w:shd w:val="clear" w:color="auto" w:fill="auto"/>
            <w:noWrap/>
            <w:vAlign w:val="center"/>
            <w:hideMark/>
          </w:tcPr>
          <w:p w14:paraId="536CB934" w14:textId="532D8879" w:rsidR="00987E13" w:rsidRPr="00D92E20" w:rsidRDefault="00987E13" w:rsidP="00987E13">
            <w:pPr>
              <w:spacing w:after="0" w:line="240" w:lineRule="auto"/>
              <w:jc w:val="center"/>
              <w:rPr>
                <w:rFonts w:cs="Arial"/>
                <w:color w:val="000000"/>
                <w:sz w:val="16"/>
                <w:szCs w:val="16"/>
              </w:rPr>
            </w:pPr>
            <w:r>
              <w:rPr>
                <w:rFonts w:cs="Arial"/>
                <w:sz w:val="16"/>
                <w:szCs w:val="16"/>
              </w:rPr>
              <w:t>4,0</w:t>
            </w:r>
          </w:p>
        </w:tc>
        <w:tc>
          <w:tcPr>
            <w:tcW w:w="680" w:type="dxa"/>
            <w:tcBorders>
              <w:top w:val="nil"/>
              <w:left w:val="nil"/>
              <w:bottom w:val="nil"/>
              <w:right w:val="nil"/>
            </w:tcBorders>
            <w:shd w:val="clear" w:color="auto" w:fill="auto"/>
            <w:noWrap/>
            <w:vAlign w:val="center"/>
            <w:hideMark/>
          </w:tcPr>
          <w:p w14:paraId="0D09CFFE" w14:textId="734F1559" w:rsidR="00987E13" w:rsidRPr="00D92E20" w:rsidRDefault="00987E13" w:rsidP="00987E13">
            <w:pPr>
              <w:spacing w:after="0" w:line="240" w:lineRule="auto"/>
              <w:jc w:val="center"/>
              <w:rPr>
                <w:rFonts w:cs="Arial"/>
                <w:color w:val="000000"/>
                <w:sz w:val="16"/>
                <w:szCs w:val="16"/>
              </w:rPr>
            </w:pPr>
            <w:r>
              <w:rPr>
                <w:rFonts w:cs="Arial"/>
                <w:sz w:val="16"/>
                <w:szCs w:val="16"/>
              </w:rPr>
              <w:t>3,8</w:t>
            </w:r>
          </w:p>
        </w:tc>
        <w:tc>
          <w:tcPr>
            <w:tcW w:w="680" w:type="dxa"/>
            <w:tcBorders>
              <w:top w:val="nil"/>
              <w:left w:val="nil"/>
              <w:bottom w:val="nil"/>
              <w:right w:val="nil"/>
            </w:tcBorders>
            <w:shd w:val="clear" w:color="auto" w:fill="auto"/>
            <w:noWrap/>
            <w:vAlign w:val="center"/>
            <w:hideMark/>
          </w:tcPr>
          <w:p w14:paraId="4C7CFD6B" w14:textId="700CB72C" w:rsidR="00987E13" w:rsidRPr="00D92E20" w:rsidRDefault="00987E13" w:rsidP="00987E13">
            <w:pPr>
              <w:spacing w:after="0" w:line="240" w:lineRule="auto"/>
              <w:jc w:val="center"/>
              <w:rPr>
                <w:rFonts w:cs="Arial"/>
                <w:color w:val="000000"/>
                <w:sz w:val="16"/>
                <w:szCs w:val="16"/>
              </w:rPr>
            </w:pPr>
            <w:r>
              <w:rPr>
                <w:rFonts w:cs="Arial"/>
                <w:sz w:val="16"/>
                <w:szCs w:val="16"/>
              </w:rPr>
              <w:t>4,3</w:t>
            </w:r>
          </w:p>
        </w:tc>
        <w:tc>
          <w:tcPr>
            <w:tcW w:w="680" w:type="dxa"/>
            <w:tcBorders>
              <w:top w:val="nil"/>
              <w:left w:val="nil"/>
              <w:bottom w:val="nil"/>
              <w:right w:val="nil"/>
            </w:tcBorders>
            <w:shd w:val="clear" w:color="auto" w:fill="auto"/>
            <w:noWrap/>
            <w:vAlign w:val="center"/>
            <w:hideMark/>
          </w:tcPr>
          <w:p w14:paraId="7212C9E9" w14:textId="3F9C8CFA" w:rsidR="00987E13" w:rsidRPr="00D92E20" w:rsidRDefault="00987E13" w:rsidP="00987E13">
            <w:pPr>
              <w:spacing w:after="0" w:line="240" w:lineRule="auto"/>
              <w:jc w:val="center"/>
              <w:rPr>
                <w:rFonts w:cs="Arial"/>
                <w:color w:val="000000"/>
                <w:sz w:val="16"/>
                <w:szCs w:val="16"/>
              </w:rPr>
            </w:pPr>
            <w:r>
              <w:rPr>
                <w:rFonts w:cs="Arial"/>
                <w:sz w:val="16"/>
                <w:szCs w:val="16"/>
              </w:rPr>
              <w:t>4,5</w:t>
            </w:r>
          </w:p>
        </w:tc>
        <w:tc>
          <w:tcPr>
            <w:tcW w:w="680" w:type="dxa"/>
            <w:tcBorders>
              <w:top w:val="nil"/>
              <w:left w:val="nil"/>
              <w:bottom w:val="nil"/>
              <w:right w:val="nil"/>
            </w:tcBorders>
            <w:shd w:val="clear" w:color="auto" w:fill="auto"/>
            <w:noWrap/>
            <w:vAlign w:val="center"/>
            <w:hideMark/>
          </w:tcPr>
          <w:p w14:paraId="55D8D9E4" w14:textId="6B515B0F" w:rsidR="00987E13" w:rsidRPr="00D92E20" w:rsidRDefault="00987E13" w:rsidP="00987E13">
            <w:pPr>
              <w:spacing w:after="0" w:line="240" w:lineRule="auto"/>
              <w:jc w:val="center"/>
              <w:rPr>
                <w:rFonts w:cs="Arial"/>
                <w:color w:val="000000"/>
                <w:sz w:val="16"/>
                <w:szCs w:val="16"/>
              </w:rPr>
            </w:pPr>
            <w:r>
              <w:rPr>
                <w:rFonts w:cs="Arial"/>
                <w:sz w:val="16"/>
                <w:szCs w:val="16"/>
              </w:rPr>
              <w:t>4,7</w:t>
            </w:r>
          </w:p>
        </w:tc>
        <w:tc>
          <w:tcPr>
            <w:tcW w:w="680" w:type="dxa"/>
            <w:tcBorders>
              <w:top w:val="nil"/>
              <w:left w:val="nil"/>
              <w:bottom w:val="nil"/>
              <w:right w:val="nil"/>
            </w:tcBorders>
            <w:shd w:val="clear" w:color="auto" w:fill="auto"/>
            <w:noWrap/>
            <w:vAlign w:val="center"/>
            <w:hideMark/>
          </w:tcPr>
          <w:p w14:paraId="7B2BEF8B" w14:textId="68B20A17" w:rsidR="00987E13" w:rsidRPr="00D92E20" w:rsidRDefault="00987E13" w:rsidP="00987E13">
            <w:pPr>
              <w:spacing w:after="0" w:line="240" w:lineRule="auto"/>
              <w:jc w:val="center"/>
              <w:rPr>
                <w:rFonts w:cs="Arial"/>
                <w:color w:val="000000"/>
                <w:sz w:val="16"/>
                <w:szCs w:val="16"/>
              </w:rPr>
            </w:pPr>
            <w:r>
              <w:rPr>
                <w:rFonts w:cs="Arial"/>
                <w:color w:val="000000"/>
                <w:sz w:val="16"/>
                <w:szCs w:val="16"/>
              </w:rPr>
              <w:t>5,0</w:t>
            </w:r>
          </w:p>
        </w:tc>
        <w:tc>
          <w:tcPr>
            <w:tcW w:w="680" w:type="dxa"/>
            <w:tcBorders>
              <w:top w:val="nil"/>
              <w:left w:val="nil"/>
              <w:bottom w:val="nil"/>
              <w:right w:val="nil"/>
            </w:tcBorders>
            <w:shd w:val="clear" w:color="auto" w:fill="auto"/>
            <w:noWrap/>
            <w:vAlign w:val="center"/>
            <w:hideMark/>
          </w:tcPr>
          <w:p w14:paraId="5F91A107" w14:textId="775C9B5C" w:rsidR="00987E13" w:rsidRPr="00D92E20" w:rsidRDefault="00987E13" w:rsidP="00987E13">
            <w:pPr>
              <w:spacing w:after="0" w:line="240" w:lineRule="auto"/>
              <w:jc w:val="center"/>
              <w:rPr>
                <w:rFonts w:cs="Arial"/>
                <w:color w:val="000000"/>
                <w:sz w:val="16"/>
                <w:szCs w:val="16"/>
              </w:rPr>
            </w:pPr>
            <w:r>
              <w:rPr>
                <w:rFonts w:cs="Arial"/>
                <w:color w:val="000000"/>
                <w:sz w:val="16"/>
                <w:szCs w:val="16"/>
              </w:rPr>
              <w:t>5,0</w:t>
            </w:r>
          </w:p>
        </w:tc>
        <w:tc>
          <w:tcPr>
            <w:tcW w:w="680" w:type="dxa"/>
            <w:tcBorders>
              <w:top w:val="nil"/>
              <w:left w:val="nil"/>
              <w:bottom w:val="nil"/>
              <w:right w:val="nil"/>
            </w:tcBorders>
            <w:shd w:val="clear" w:color="auto" w:fill="auto"/>
            <w:noWrap/>
            <w:vAlign w:val="center"/>
            <w:hideMark/>
          </w:tcPr>
          <w:p w14:paraId="70DB7B5B" w14:textId="24C15327" w:rsidR="00987E13" w:rsidRPr="00D92E20" w:rsidRDefault="00987E13" w:rsidP="00987E13">
            <w:pPr>
              <w:spacing w:after="0" w:line="240" w:lineRule="auto"/>
              <w:jc w:val="center"/>
              <w:rPr>
                <w:rFonts w:cs="Arial"/>
                <w:color w:val="000000"/>
                <w:sz w:val="16"/>
                <w:szCs w:val="16"/>
              </w:rPr>
            </w:pPr>
            <w:r>
              <w:rPr>
                <w:rFonts w:cs="Arial"/>
                <w:color w:val="000000"/>
                <w:sz w:val="16"/>
                <w:szCs w:val="16"/>
              </w:rPr>
              <w:t>5,9</w:t>
            </w:r>
          </w:p>
        </w:tc>
        <w:tc>
          <w:tcPr>
            <w:tcW w:w="680" w:type="dxa"/>
            <w:tcBorders>
              <w:top w:val="nil"/>
              <w:left w:val="nil"/>
              <w:bottom w:val="nil"/>
              <w:right w:val="nil"/>
            </w:tcBorders>
            <w:shd w:val="clear" w:color="auto" w:fill="auto"/>
            <w:noWrap/>
            <w:vAlign w:val="center"/>
            <w:hideMark/>
          </w:tcPr>
          <w:p w14:paraId="2F184EE4" w14:textId="37CE307F" w:rsidR="00987E13" w:rsidRPr="00D92E20" w:rsidRDefault="00987E13" w:rsidP="00987E13">
            <w:pPr>
              <w:spacing w:after="0" w:line="240" w:lineRule="auto"/>
              <w:jc w:val="center"/>
              <w:rPr>
                <w:rFonts w:cs="Arial"/>
                <w:color w:val="000000"/>
                <w:sz w:val="16"/>
                <w:szCs w:val="16"/>
              </w:rPr>
            </w:pPr>
            <w:r>
              <w:rPr>
                <w:rFonts w:cs="Arial"/>
                <w:color w:val="000000"/>
                <w:sz w:val="16"/>
                <w:szCs w:val="16"/>
              </w:rPr>
              <w:t>6,7</w:t>
            </w:r>
          </w:p>
        </w:tc>
        <w:tc>
          <w:tcPr>
            <w:tcW w:w="680" w:type="dxa"/>
            <w:tcBorders>
              <w:top w:val="nil"/>
              <w:left w:val="nil"/>
              <w:bottom w:val="nil"/>
              <w:right w:val="nil"/>
            </w:tcBorders>
            <w:shd w:val="clear" w:color="auto" w:fill="auto"/>
            <w:noWrap/>
            <w:vAlign w:val="center"/>
            <w:hideMark/>
          </w:tcPr>
          <w:p w14:paraId="52974BFB" w14:textId="0C698B05" w:rsidR="00987E13" w:rsidRPr="00D92E20" w:rsidRDefault="00987E13" w:rsidP="00987E13">
            <w:pPr>
              <w:spacing w:after="0" w:line="240" w:lineRule="auto"/>
              <w:jc w:val="center"/>
              <w:rPr>
                <w:rFonts w:cs="Arial"/>
                <w:color w:val="000000"/>
                <w:sz w:val="16"/>
                <w:szCs w:val="16"/>
              </w:rPr>
            </w:pPr>
            <w:r>
              <w:rPr>
                <w:rFonts w:cs="Arial"/>
                <w:color w:val="000000"/>
                <w:sz w:val="16"/>
                <w:szCs w:val="16"/>
              </w:rPr>
              <w:t>6,2</w:t>
            </w:r>
          </w:p>
        </w:tc>
      </w:tr>
      <w:tr w:rsidR="00987E13" w:rsidRPr="00D92E20" w14:paraId="26ACAD37"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7B46E990" w14:textId="77777777" w:rsidR="00987E13" w:rsidRPr="00D92E20" w:rsidRDefault="00987E13" w:rsidP="00987E13">
            <w:pPr>
              <w:spacing w:after="0" w:line="240" w:lineRule="auto"/>
              <w:ind w:firstLineChars="100" w:firstLine="160"/>
              <w:rPr>
                <w:rFonts w:cs="Arial"/>
                <w:color w:val="000000"/>
                <w:sz w:val="16"/>
                <w:szCs w:val="16"/>
              </w:rPr>
            </w:pPr>
            <w:r w:rsidRPr="00D92E20">
              <w:rPr>
                <w:rFonts w:cs="Arial"/>
                <w:color w:val="000000"/>
                <w:sz w:val="16"/>
                <w:szCs w:val="16"/>
              </w:rPr>
              <w:t>Pardubický kraj</w:t>
            </w:r>
          </w:p>
        </w:tc>
        <w:tc>
          <w:tcPr>
            <w:tcW w:w="680" w:type="dxa"/>
            <w:tcBorders>
              <w:top w:val="nil"/>
              <w:left w:val="nil"/>
              <w:bottom w:val="nil"/>
              <w:right w:val="nil"/>
            </w:tcBorders>
            <w:shd w:val="clear" w:color="auto" w:fill="auto"/>
            <w:noWrap/>
            <w:vAlign w:val="center"/>
            <w:hideMark/>
          </w:tcPr>
          <w:p w14:paraId="6A7B3132" w14:textId="4F3365C7" w:rsidR="00987E13" w:rsidRPr="00D92E20" w:rsidRDefault="00987E13" w:rsidP="00987E13">
            <w:pPr>
              <w:spacing w:after="0" w:line="240" w:lineRule="auto"/>
              <w:jc w:val="center"/>
              <w:rPr>
                <w:rFonts w:cs="Arial"/>
                <w:color w:val="000000"/>
                <w:sz w:val="16"/>
                <w:szCs w:val="16"/>
              </w:rPr>
            </w:pPr>
            <w:r>
              <w:rPr>
                <w:rFonts w:cs="Arial"/>
                <w:sz w:val="16"/>
                <w:szCs w:val="16"/>
              </w:rPr>
              <w:t>3,7</w:t>
            </w:r>
          </w:p>
        </w:tc>
        <w:tc>
          <w:tcPr>
            <w:tcW w:w="680" w:type="dxa"/>
            <w:tcBorders>
              <w:top w:val="nil"/>
              <w:left w:val="nil"/>
              <w:bottom w:val="nil"/>
              <w:right w:val="nil"/>
            </w:tcBorders>
            <w:shd w:val="clear" w:color="auto" w:fill="auto"/>
            <w:noWrap/>
            <w:vAlign w:val="center"/>
            <w:hideMark/>
          </w:tcPr>
          <w:p w14:paraId="131B3CFC" w14:textId="4B89ED13" w:rsidR="00987E13" w:rsidRPr="00D92E20" w:rsidRDefault="00987E13" w:rsidP="00987E13">
            <w:pPr>
              <w:spacing w:after="0" w:line="240" w:lineRule="auto"/>
              <w:jc w:val="center"/>
              <w:rPr>
                <w:rFonts w:cs="Arial"/>
                <w:color w:val="000000"/>
                <w:sz w:val="16"/>
                <w:szCs w:val="16"/>
              </w:rPr>
            </w:pPr>
            <w:r>
              <w:rPr>
                <w:rFonts w:cs="Arial"/>
                <w:sz w:val="16"/>
                <w:szCs w:val="16"/>
              </w:rPr>
              <w:t>4,1</w:t>
            </w:r>
          </w:p>
        </w:tc>
        <w:tc>
          <w:tcPr>
            <w:tcW w:w="680" w:type="dxa"/>
            <w:tcBorders>
              <w:top w:val="nil"/>
              <w:left w:val="nil"/>
              <w:bottom w:val="nil"/>
              <w:right w:val="nil"/>
            </w:tcBorders>
            <w:shd w:val="clear" w:color="auto" w:fill="auto"/>
            <w:noWrap/>
            <w:vAlign w:val="center"/>
            <w:hideMark/>
          </w:tcPr>
          <w:p w14:paraId="16FF3FA7" w14:textId="3AD21D98" w:rsidR="00987E13" w:rsidRPr="00D92E20" w:rsidRDefault="00987E13" w:rsidP="00987E13">
            <w:pPr>
              <w:spacing w:after="0" w:line="240" w:lineRule="auto"/>
              <w:jc w:val="center"/>
              <w:rPr>
                <w:rFonts w:cs="Arial"/>
                <w:color w:val="000000"/>
                <w:sz w:val="16"/>
                <w:szCs w:val="16"/>
              </w:rPr>
            </w:pPr>
            <w:r>
              <w:rPr>
                <w:rFonts w:cs="Arial"/>
                <w:sz w:val="16"/>
                <w:szCs w:val="16"/>
              </w:rPr>
              <w:t>4,0</w:t>
            </w:r>
          </w:p>
        </w:tc>
        <w:tc>
          <w:tcPr>
            <w:tcW w:w="680" w:type="dxa"/>
            <w:tcBorders>
              <w:top w:val="nil"/>
              <w:left w:val="nil"/>
              <w:bottom w:val="nil"/>
              <w:right w:val="nil"/>
            </w:tcBorders>
            <w:shd w:val="clear" w:color="auto" w:fill="auto"/>
            <w:noWrap/>
            <w:vAlign w:val="center"/>
            <w:hideMark/>
          </w:tcPr>
          <w:p w14:paraId="5939B4AC" w14:textId="3348279D" w:rsidR="00987E13" w:rsidRPr="00D92E20" w:rsidRDefault="00987E13" w:rsidP="00987E13">
            <w:pPr>
              <w:spacing w:after="0" w:line="240" w:lineRule="auto"/>
              <w:jc w:val="center"/>
              <w:rPr>
                <w:rFonts w:cs="Arial"/>
                <w:color w:val="000000"/>
                <w:sz w:val="16"/>
                <w:szCs w:val="16"/>
              </w:rPr>
            </w:pPr>
            <w:r>
              <w:rPr>
                <w:rFonts w:cs="Arial"/>
                <w:sz w:val="16"/>
                <w:szCs w:val="16"/>
              </w:rPr>
              <w:t>4,5</w:t>
            </w:r>
          </w:p>
        </w:tc>
        <w:tc>
          <w:tcPr>
            <w:tcW w:w="680" w:type="dxa"/>
            <w:tcBorders>
              <w:top w:val="nil"/>
              <w:left w:val="nil"/>
              <w:bottom w:val="nil"/>
              <w:right w:val="nil"/>
            </w:tcBorders>
            <w:shd w:val="clear" w:color="auto" w:fill="auto"/>
            <w:noWrap/>
            <w:vAlign w:val="center"/>
            <w:hideMark/>
          </w:tcPr>
          <w:p w14:paraId="15D4FD82" w14:textId="7BCCA7F0" w:rsidR="00987E13" w:rsidRPr="00D92E20" w:rsidRDefault="00987E13" w:rsidP="00987E13">
            <w:pPr>
              <w:spacing w:after="0" w:line="240" w:lineRule="auto"/>
              <w:jc w:val="center"/>
              <w:rPr>
                <w:rFonts w:cs="Arial"/>
                <w:color w:val="000000"/>
                <w:sz w:val="16"/>
                <w:szCs w:val="16"/>
              </w:rPr>
            </w:pPr>
            <w:r>
              <w:rPr>
                <w:rFonts w:cs="Arial"/>
                <w:sz w:val="16"/>
                <w:szCs w:val="16"/>
              </w:rPr>
              <w:t>4,7</w:t>
            </w:r>
          </w:p>
        </w:tc>
        <w:tc>
          <w:tcPr>
            <w:tcW w:w="680" w:type="dxa"/>
            <w:tcBorders>
              <w:top w:val="nil"/>
              <w:left w:val="nil"/>
              <w:bottom w:val="nil"/>
              <w:right w:val="nil"/>
            </w:tcBorders>
            <w:shd w:val="clear" w:color="auto" w:fill="auto"/>
            <w:noWrap/>
            <w:vAlign w:val="center"/>
            <w:hideMark/>
          </w:tcPr>
          <w:p w14:paraId="270E2198" w14:textId="21760B83" w:rsidR="00987E13" w:rsidRPr="00D92E20" w:rsidRDefault="00987E13" w:rsidP="00987E13">
            <w:pPr>
              <w:spacing w:after="0" w:line="240" w:lineRule="auto"/>
              <w:jc w:val="center"/>
              <w:rPr>
                <w:rFonts w:cs="Arial"/>
                <w:color w:val="000000"/>
                <w:sz w:val="16"/>
                <w:szCs w:val="16"/>
              </w:rPr>
            </w:pPr>
            <w:r>
              <w:rPr>
                <w:rFonts w:cs="Arial"/>
                <w:sz w:val="16"/>
                <w:szCs w:val="16"/>
              </w:rPr>
              <w:t>4,9</w:t>
            </w:r>
          </w:p>
        </w:tc>
        <w:tc>
          <w:tcPr>
            <w:tcW w:w="680" w:type="dxa"/>
            <w:tcBorders>
              <w:top w:val="nil"/>
              <w:left w:val="nil"/>
              <w:bottom w:val="nil"/>
              <w:right w:val="nil"/>
            </w:tcBorders>
            <w:shd w:val="clear" w:color="auto" w:fill="auto"/>
            <w:noWrap/>
            <w:vAlign w:val="center"/>
            <w:hideMark/>
          </w:tcPr>
          <w:p w14:paraId="642B94FD" w14:textId="66B4F9C1" w:rsidR="00987E13" w:rsidRPr="00D92E20" w:rsidRDefault="00987E13" w:rsidP="00987E13">
            <w:pPr>
              <w:spacing w:after="0" w:line="240" w:lineRule="auto"/>
              <w:jc w:val="center"/>
              <w:rPr>
                <w:rFonts w:cs="Arial"/>
                <w:color w:val="000000"/>
                <w:sz w:val="16"/>
                <w:szCs w:val="16"/>
              </w:rPr>
            </w:pPr>
            <w:r>
              <w:rPr>
                <w:rFonts w:cs="Arial"/>
                <w:color w:val="000000"/>
                <w:sz w:val="16"/>
                <w:szCs w:val="16"/>
              </w:rPr>
              <w:t>5,1</w:t>
            </w:r>
          </w:p>
        </w:tc>
        <w:tc>
          <w:tcPr>
            <w:tcW w:w="680" w:type="dxa"/>
            <w:tcBorders>
              <w:top w:val="nil"/>
              <w:left w:val="nil"/>
              <w:bottom w:val="nil"/>
              <w:right w:val="nil"/>
            </w:tcBorders>
            <w:shd w:val="clear" w:color="auto" w:fill="auto"/>
            <w:noWrap/>
            <w:vAlign w:val="center"/>
            <w:hideMark/>
          </w:tcPr>
          <w:p w14:paraId="76FFA6C4" w14:textId="377C46CA" w:rsidR="00987E13" w:rsidRPr="00D92E20" w:rsidRDefault="00987E13" w:rsidP="00987E13">
            <w:pPr>
              <w:spacing w:after="0" w:line="240" w:lineRule="auto"/>
              <w:jc w:val="center"/>
              <w:rPr>
                <w:rFonts w:cs="Arial"/>
                <w:color w:val="000000"/>
                <w:sz w:val="16"/>
                <w:szCs w:val="16"/>
              </w:rPr>
            </w:pPr>
            <w:r>
              <w:rPr>
                <w:rFonts w:cs="Arial"/>
                <w:color w:val="000000"/>
                <w:sz w:val="16"/>
                <w:szCs w:val="16"/>
              </w:rPr>
              <w:t>5,1</w:t>
            </w:r>
          </w:p>
        </w:tc>
        <w:tc>
          <w:tcPr>
            <w:tcW w:w="680" w:type="dxa"/>
            <w:tcBorders>
              <w:top w:val="nil"/>
              <w:left w:val="nil"/>
              <w:bottom w:val="nil"/>
              <w:right w:val="nil"/>
            </w:tcBorders>
            <w:shd w:val="clear" w:color="auto" w:fill="auto"/>
            <w:noWrap/>
            <w:vAlign w:val="center"/>
            <w:hideMark/>
          </w:tcPr>
          <w:p w14:paraId="48ADACE1" w14:textId="6B9D49BD" w:rsidR="00987E13" w:rsidRPr="00D92E20" w:rsidRDefault="00987E13" w:rsidP="00987E13">
            <w:pPr>
              <w:spacing w:after="0" w:line="240" w:lineRule="auto"/>
              <w:jc w:val="center"/>
              <w:rPr>
                <w:rFonts w:cs="Arial"/>
                <w:color w:val="000000"/>
                <w:sz w:val="16"/>
                <w:szCs w:val="16"/>
              </w:rPr>
            </w:pPr>
            <w:r>
              <w:rPr>
                <w:rFonts w:cs="Arial"/>
                <w:color w:val="000000"/>
                <w:sz w:val="16"/>
                <w:szCs w:val="16"/>
              </w:rPr>
              <w:t>5,7</w:t>
            </w:r>
          </w:p>
        </w:tc>
        <w:tc>
          <w:tcPr>
            <w:tcW w:w="680" w:type="dxa"/>
            <w:tcBorders>
              <w:top w:val="nil"/>
              <w:left w:val="nil"/>
              <w:bottom w:val="nil"/>
              <w:right w:val="nil"/>
            </w:tcBorders>
            <w:shd w:val="clear" w:color="auto" w:fill="auto"/>
            <w:noWrap/>
            <w:vAlign w:val="center"/>
            <w:hideMark/>
          </w:tcPr>
          <w:p w14:paraId="49CE215C" w14:textId="2BD7B80A" w:rsidR="00987E13" w:rsidRPr="00D92E20" w:rsidRDefault="00987E13" w:rsidP="00987E13">
            <w:pPr>
              <w:spacing w:after="0" w:line="240" w:lineRule="auto"/>
              <w:jc w:val="center"/>
              <w:rPr>
                <w:rFonts w:cs="Arial"/>
                <w:color w:val="000000"/>
                <w:sz w:val="16"/>
                <w:szCs w:val="16"/>
              </w:rPr>
            </w:pPr>
            <w:r>
              <w:rPr>
                <w:rFonts w:cs="Arial"/>
                <w:color w:val="000000"/>
                <w:sz w:val="16"/>
                <w:szCs w:val="16"/>
              </w:rPr>
              <w:t>6,4</w:t>
            </w:r>
          </w:p>
        </w:tc>
        <w:tc>
          <w:tcPr>
            <w:tcW w:w="680" w:type="dxa"/>
            <w:tcBorders>
              <w:top w:val="nil"/>
              <w:left w:val="nil"/>
              <w:bottom w:val="nil"/>
              <w:right w:val="nil"/>
            </w:tcBorders>
            <w:shd w:val="clear" w:color="auto" w:fill="auto"/>
            <w:noWrap/>
            <w:vAlign w:val="center"/>
            <w:hideMark/>
          </w:tcPr>
          <w:p w14:paraId="03E2964D" w14:textId="05307E40" w:rsidR="00987E13" w:rsidRPr="00D92E20" w:rsidRDefault="00987E13" w:rsidP="00987E13">
            <w:pPr>
              <w:spacing w:after="0" w:line="240" w:lineRule="auto"/>
              <w:jc w:val="center"/>
              <w:rPr>
                <w:rFonts w:cs="Arial"/>
                <w:color w:val="000000"/>
                <w:sz w:val="16"/>
                <w:szCs w:val="16"/>
              </w:rPr>
            </w:pPr>
            <w:r>
              <w:rPr>
                <w:rFonts w:cs="Arial"/>
                <w:color w:val="000000"/>
                <w:sz w:val="16"/>
                <w:szCs w:val="16"/>
              </w:rPr>
              <w:t>6,4</w:t>
            </w:r>
          </w:p>
        </w:tc>
      </w:tr>
      <w:tr w:rsidR="00987E13" w:rsidRPr="00D92E20" w14:paraId="1408511B"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497DD505" w14:textId="77777777" w:rsidR="00987E13" w:rsidRPr="00D92E20" w:rsidRDefault="00987E13" w:rsidP="00987E13">
            <w:pPr>
              <w:spacing w:after="0" w:line="240" w:lineRule="auto"/>
              <w:ind w:firstLineChars="100" w:firstLine="160"/>
              <w:rPr>
                <w:rFonts w:cs="Arial"/>
                <w:color w:val="000000"/>
                <w:sz w:val="16"/>
                <w:szCs w:val="16"/>
              </w:rPr>
            </w:pPr>
            <w:r w:rsidRPr="00D92E20">
              <w:rPr>
                <w:rFonts w:cs="Arial"/>
                <w:color w:val="000000"/>
                <w:sz w:val="16"/>
                <w:szCs w:val="16"/>
              </w:rPr>
              <w:t>Kraj Vysočina</w:t>
            </w:r>
          </w:p>
        </w:tc>
        <w:tc>
          <w:tcPr>
            <w:tcW w:w="680" w:type="dxa"/>
            <w:tcBorders>
              <w:top w:val="nil"/>
              <w:left w:val="nil"/>
              <w:bottom w:val="nil"/>
              <w:right w:val="nil"/>
            </w:tcBorders>
            <w:shd w:val="clear" w:color="auto" w:fill="auto"/>
            <w:noWrap/>
            <w:vAlign w:val="center"/>
            <w:hideMark/>
          </w:tcPr>
          <w:p w14:paraId="7B6209F0" w14:textId="20F7FC88" w:rsidR="00987E13" w:rsidRPr="00D92E20" w:rsidRDefault="00987E13" w:rsidP="00987E13">
            <w:pPr>
              <w:spacing w:after="0" w:line="240" w:lineRule="auto"/>
              <w:jc w:val="center"/>
              <w:rPr>
                <w:rFonts w:cs="Arial"/>
                <w:color w:val="000000"/>
                <w:sz w:val="16"/>
                <w:szCs w:val="16"/>
              </w:rPr>
            </w:pPr>
            <w:r>
              <w:rPr>
                <w:rFonts w:cs="Arial"/>
                <w:sz w:val="16"/>
                <w:szCs w:val="16"/>
              </w:rPr>
              <w:t>3,8</w:t>
            </w:r>
          </w:p>
        </w:tc>
        <w:tc>
          <w:tcPr>
            <w:tcW w:w="680" w:type="dxa"/>
            <w:tcBorders>
              <w:top w:val="nil"/>
              <w:left w:val="nil"/>
              <w:bottom w:val="nil"/>
              <w:right w:val="nil"/>
            </w:tcBorders>
            <w:shd w:val="clear" w:color="auto" w:fill="auto"/>
            <w:noWrap/>
            <w:vAlign w:val="center"/>
            <w:hideMark/>
          </w:tcPr>
          <w:p w14:paraId="7B243651" w14:textId="5EAEC473" w:rsidR="00987E13" w:rsidRPr="00D92E20" w:rsidRDefault="00987E13" w:rsidP="00987E13">
            <w:pPr>
              <w:spacing w:after="0" w:line="240" w:lineRule="auto"/>
              <w:jc w:val="center"/>
              <w:rPr>
                <w:rFonts w:cs="Arial"/>
                <w:color w:val="000000"/>
                <w:sz w:val="16"/>
                <w:szCs w:val="16"/>
              </w:rPr>
            </w:pPr>
            <w:r>
              <w:rPr>
                <w:rFonts w:cs="Arial"/>
                <w:sz w:val="16"/>
                <w:szCs w:val="16"/>
              </w:rPr>
              <w:t>4,3</w:t>
            </w:r>
          </w:p>
        </w:tc>
        <w:tc>
          <w:tcPr>
            <w:tcW w:w="680" w:type="dxa"/>
            <w:tcBorders>
              <w:top w:val="nil"/>
              <w:left w:val="nil"/>
              <w:bottom w:val="nil"/>
              <w:right w:val="nil"/>
            </w:tcBorders>
            <w:shd w:val="clear" w:color="auto" w:fill="auto"/>
            <w:noWrap/>
            <w:vAlign w:val="center"/>
            <w:hideMark/>
          </w:tcPr>
          <w:p w14:paraId="3744C4A0" w14:textId="061EE3F2" w:rsidR="00987E13" w:rsidRPr="00D92E20" w:rsidRDefault="00987E13" w:rsidP="00987E13">
            <w:pPr>
              <w:spacing w:after="0" w:line="240" w:lineRule="auto"/>
              <w:jc w:val="center"/>
              <w:rPr>
                <w:rFonts w:cs="Arial"/>
                <w:color w:val="000000"/>
                <w:sz w:val="16"/>
                <w:szCs w:val="16"/>
              </w:rPr>
            </w:pPr>
            <w:r>
              <w:rPr>
                <w:rFonts w:cs="Arial"/>
                <w:sz w:val="16"/>
                <w:szCs w:val="16"/>
              </w:rPr>
              <w:t>4,2</w:t>
            </w:r>
          </w:p>
        </w:tc>
        <w:tc>
          <w:tcPr>
            <w:tcW w:w="680" w:type="dxa"/>
            <w:tcBorders>
              <w:top w:val="nil"/>
              <w:left w:val="nil"/>
              <w:bottom w:val="nil"/>
              <w:right w:val="nil"/>
            </w:tcBorders>
            <w:shd w:val="clear" w:color="auto" w:fill="auto"/>
            <w:noWrap/>
            <w:vAlign w:val="center"/>
            <w:hideMark/>
          </w:tcPr>
          <w:p w14:paraId="64380A0F" w14:textId="38BA4BC3" w:rsidR="00987E13" w:rsidRPr="00D92E20" w:rsidRDefault="00987E13" w:rsidP="00987E13">
            <w:pPr>
              <w:spacing w:after="0" w:line="240" w:lineRule="auto"/>
              <w:jc w:val="center"/>
              <w:rPr>
                <w:rFonts w:cs="Arial"/>
                <w:color w:val="000000"/>
                <w:sz w:val="16"/>
                <w:szCs w:val="16"/>
              </w:rPr>
            </w:pPr>
            <w:r>
              <w:rPr>
                <w:rFonts w:cs="Arial"/>
                <w:sz w:val="16"/>
                <w:szCs w:val="16"/>
              </w:rPr>
              <w:t>4,9</w:t>
            </w:r>
          </w:p>
        </w:tc>
        <w:tc>
          <w:tcPr>
            <w:tcW w:w="680" w:type="dxa"/>
            <w:tcBorders>
              <w:top w:val="nil"/>
              <w:left w:val="nil"/>
              <w:bottom w:val="nil"/>
              <w:right w:val="nil"/>
            </w:tcBorders>
            <w:shd w:val="clear" w:color="auto" w:fill="auto"/>
            <w:noWrap/>
            <w:vAlign w:val="center"/>
            <w:hideMark/>
          </w:tcPr>
          <w:p w14:paraId="54E6DCC8" w14:textId="3D7DB763" w:rsidR="00987E13" w:rsidRPr="00D92E20" w:rsidRDefault="00987E13" w:rsidP="00987E13">
            <w:pPr>
              <w:spacing w:after="0" w:line="240" w:lineRule="auto"/>
              <w:jc w:val="center"/>
              <w:rPr>
                <w:rFonts w:cs="Arial"/>
                <w:color w:val="000000"/>
                <w:sz w:val="16"/>
                <w:szCs w:val="16"/>
              </w:rPr>
            </w:pPr>
            <w:r>
              <w:rPr>
                <w:rFonts w:cs="Arial"/>
                <w:sz w:val="16"/>
                <w:szCs w:val="16"/>
              </w:rPr>
              <w:t>5,0</w:t>
            </w:r>
          </w:p>
        </w:tc>
        <w:tc>
          <w:tcPr>
            <w:tcW w:w="680" w:type="dxa"/>
            <w:tcBorders>
              <w:top w:val="nil"/>
              <w:left w:val="nil"/>
              <w:bottom w:val="nil"/>
              <w:right w:val="nil"/>
            </w:tcBorders>
            <w:shd w:val="clear" w:color="auto" w:fill="auto"/>
            <w:noWrap/>
            <w:vAlign w:val="center"/>
            <w:hideMark/>
          </w:tcPr>
          <w:p w14:paraId="37B0BDBF" w14:textId="31D2E933" w:rsidR="00987E13" w:rsidRPr="00D92E20" w:rsidRDefault="00987E13" w:rsidP="00987E13">
            <w:pPr>
              <w:spacing w:after="0" w:line="240" w:lineRule="auto"/>
              <w:jc w:val="center"/>
              <w:rPr>
                <w:rFonts w:cs="Arial"/>
                <w:color w:val="000000"/>
                <w:sz w:val="16"/>
                <w:szCs w:val="16"/>
              </w:rPr>
            </w:pPr>
            <w:r>
              <w:rPr>
                <w:rFonts w:cs="Arial"/>
                <w:sz w:val="16"/>
                <w:szCs w:val="16"/>
              </w:rPr>
              <w:t>5,3</w:t>
            </w:r>
          </w:p>
        </w:tc>
        <w:tc>
          <w:tcPr>
            <w:tcW w:w="680" w:type="dxa"/>
            <w:tcBorders>
              <w:top w:val="nil"/>
              <w:left w:val="nil"/>
              <w:bottom w:val="nil"/>
              <w:right w:val="nil"/>
            </w:tcBorders>
            <w:shd w:val="clear" w:color="auto" w:fill="auto"/>
            <w:noWrap/>
            <w:vAlign w:val="center"/>
            <w:hideMark/>
          </w:tcPr>
          <w:p w14:paraId="126C211B" w14:textId="2394903A" w:rsidR="00987E13" w:rsidRPr="00D92E20" w:rsidRDefault="00987E13" w:rsidP="00987E13">
            <w:pPr>
              <w:spacing w:after="0" w:line="240" w:lineRule="auto"/>
              <w:jc w:val="center"/>
              <w:rPr>
                <w:rFonts w:cs="Arial"/>
                <w:color w:val="000000"/>
                <w:sz w:val="16"/>
                <w:szCs w:val="16"/>
              </w:rPr>
            </w:pPr>
            <w:r>
              <w:rPr>
                <w:rFonts w:cs="Arial"/>
                <w:color w:val="000000"/>
                <w:sz w:val="16"/>
                <w:szCs w:val="16"/>
              </w:rPr>
              <w:t>5,5</w:t>
            </w:r>
          </w:p>
        </w:tc>
        <w:tc>
          <w:tcPr>
            <w:tcW w:w="680" w:type="dxa"/>
            <w:tcBorders>
              <w:top w:val="nil"/>
              <w:left w:val="nil"/>
              <w:bottom w:val="nil"/>
              <w:right w:val="nil"/>
            </w:tcBorders>
            <w:shd w:val="clear" w:color="auto" w:fill="auto"/>
            <w:noWrap/>
            <w:vAlign w:val="center"/>
            <w:hideMark/>
          </w:tcPr>
          <w:p w14:paraId="593EBEAE" w14:textId="2CD6C5FC" w:rsidR="00987E13" w:rsidRPr="00D92E20" w:rsidRDefault="00987E13" w:rsidP="00987E13">
            <w:pPr>
              <w:spacing w:after="0" w:line="240" w:lineRule="auto"/>
              <w:jc w:val="center"/>
              <w:rPr>
                <w:rFonts w:cs="Arial"/>
                <w:color w:val="000000"/>
                <w:sz w:val="16"/>
                <w:szCs w:val="16"/>
              </w:rPr>
            </w:pPr>
            <w:r>
              <w:rPr>
                <w:rFonts w:cs="Arial"/>
                <w:color w:val="000000"/>
                <w:sz w:val="16"/>
                <w:szCs w:val="16"/>
              </w:rPr>
              <w:t>5,6</w:t>
            </w:r>
          </w:p>
        </w:tc>
        <w:tc>
          <w:tcPr>
            <w:tcW w:w="680" w:type="dxa"/>
            <w:tcBorders>
              <w:top w:val="nil"/>
              <w:left w:val="nil"/>
              <w:bottom w:val="nil"/>
              <w:right w:val="nil"/>
            </w:tcBorders>
            <w:shd w:val="clear" w:color="auto" w:fill="auto"/>
            <w:noWrap/>
            <w:vAlign w:val="center"/>
            <w:hideMark/>
          </w:tcPr>
          <w:p w14:paraId="57260A0D" w14:textId="3BC7E134" w:rsidR="00987E13" w:rsidRPr="00D92E20" w:rsidRDefault="00987E13" w:rsidP="00987E13">
            <w:pPr>
              <w:spacing w:after="0" w:line="240" w:lineRule="auto"/>
              <w:jc w:val="center"/>
              <w:rPr>
                <w:rFonts w:cs="Arial"/>
                <w:color w:val="000000"/>
                <w:sz w:val="16"/>
                <w:szCs w:val="16"/>
              </w:rPr>
            </w:pPr>
            <w:r>
              <w:rPr>
                <w:rFonts w:cs="Arial"/>
                <w:color w:val="000000"/>
                <w:sz w:val="16"/>
                <w:szCs w:val="16"/>
              </w:rPr>
              <w:t>6,2</w:t>
            </w:r>
          </w:p>
        </w:tc>
        <w:tc>
          <w:tcPr>
            <w:tcW w:w="680" w:type="dxa"/>
            <w:tcBorders>
              <w:top w:val="nil"/>
              <w:left w:val="nil"/>
              <w:bottom w:val="nil"/>
              <w:right w:val="nil"/>
            </w:tcBorders>
            <w:shd w:val="clear" w:color="auto" w:fill="auto"/>
            <w:noWrap/>
            <w:vAlign w:val="center"/>
            <w:hideMark/>
          </w:tcPr>
          <w:p w14:paraId="695C83B0" w14:textId="5F5853C5" w:rsidR="00987E13" w:rsidRPr="00D92E20" w:rsidRDefault="00987E13" w:rsidP="00987E13">
            <w:pPr>
              <w:spacing w:after="0" w:line="240" w:lineRule="auto"/>
              <w:jc w:val="center"/>
              <w:rPr>
                <w:rFonts w:cs="Arial"/>
                <w:color w:val="000000"/>
                <w:sz w:val="16"/>
                <w:szCs w:val="16"/>
              </w:rPr>
            </w:pPr>
            <w:r>
              <w:rPr>
                <w:rFonts w:cs="Arial"/>
                <w:color w:val="000000"/>
                <w:sz w:val="16"/>
                <w:szCs w:val="16"/>
              </w:rPr>
              <w:t>6,4</w:t>
            </w:r>
          </w:p>
        </w:tc>
        <w:tc>
          <w:tcPr>
            <w:tcW w:w="680" w:type="dxa"/>
            <w:tcBorders>
              <w:top w:val="nil"/>
              <w:left w:val="nil"/>
              <w:bottom w:val="nil"/>
              <w:right w:val="nil"/>
            </w:tcBorders>
            <w:shd w:val="clear" w:color="auto" w:fill="auto"/>
            <w:noWrap/>
            <w:vAlign w:val="center"/>
            <w:hideMark/>
          </w:tcPr>
          <w:p w14:paraId="1D34F784" w14:textId="47489B42" w:rsidR="00987E13" w:rsidRPr="00D92E20" w:rsidRDefault="00987E13" w:rsidP="00987E13">
            <w:pPr>
              <w:spacing w:after="0" w:line="240" w:lineRule="auto"/>
              <w:jc w:val="center"/>
              <w:rPr>
                <w:rFonts w:cs="Arial"/>
                <w:color w:val="000000"/>
                <w:sz w:val="16"/>
                <w:szCs w:val="16"/>
              </w:rPr>
            </w:pPr>
            <w:r>
              <w:rPr>
                <w:rFonts w:cs="Arial"/>
                <w:color w:val="000000"/>
                <w:sz w:val="16"/>
                <w:szCs w:val="16"/>
              </w:rPr>
              <w:t>6,6</w:t>
            </w:r>
          </w:p>
        </w:tc>
      </w:tr>
      <w:tr w:rsidR="00987E13" w:rsidRPr="00D92E20" w14:paraId="677F6946"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1E1C3D98" w14:textId="77777777" w:rsidR="00987E13" w:rsidRPr="00D92E20" w:rsidRDefault="00987E13" w:rsidP="00987E13">
            <w:pPr>
              <w:spacing w:after="0" w:line="240" w:lineRule="auto"/>
              <w:ind w:firstLineChars="100" w:firstLine="160"/>
              <w:rPr>
                <w:rFonts w:cs="Arial"/>
                <w:color w:val="000000"/>
                <w:sz w:val="16"/>
                <w:szCs w:val="16"/>
              </w:rPr>
            </w:pPr>
            <w:r w:rsidRPr="00D92E20">
              <w:rPr>
                <w:rFonts w:cs="Arial"/>
                <w:color w:val="000000"/>
                <w:sz w:val="16"/>
                <w:szCs w:val="16"/>
              </w:rPr>
              <w:t>Jihomoravský kraj</w:t>
            </w:r>
          </w:p>
        </w:tc>
        <w:tc>
          <w:tcPr>
            <w:tcW w:w="680" w:type="dxa"/>
            <w:tcBorders>
              <w:top w:val="nil"/>
              <w:left w:val="nil"/>
              <w:bottom w:val="nil"/>
              <w:right w:val="nil"/>
            </w:tcBorders>
            <w:shd w:val="clear" w:color="auto" w:fill="auto"/>
            <w:noWrap/>
            <w:vAlign w:val="center"/>
            <w:hideMark/>
          </w:tcPr>
          <w:p w14:paraId="3C73C051" w14:textId="07E816E1" w:rsidR="00987E13" w:rsidRPr="00D92E20" w:rsidRDefault="00987E13" w:rsidP="00987E13">
            <w:pPr>
              <w:spacing w:after="0" w:line="240" w:lineRule="auto"/>
              <w:jc w:val="center"/>
              <w:rPr>
                <w:rFonts w:cs="Arial"/>
                <w:color w:val="000000"/>
                <w:sz w:val="16"/>
                <w:szCs w:val="16"/>
              </w:rPr>
            </w:pPr>
            <w:r>
              <w:rPr>
                <w:rFonts w:cs="Arial"/>
                <w:sz w:val="16"/>
                <w:szCs w:val="16"/>
              </w:rPr>
              <w:t>3,7</w:t>
            </w:r>
          </w:p>
        </w:tc>
        <w:tc>
          <w:tcPr>
            <w:tcW w:w="680" w:type="dxa"/>
            <w:tcBorders>
              <w:top w:val="nil"/>
              <w:left w:val="nil"/>
              <w:bottom w:val="nil"/>
              <w:right w:val="nil"/>
            </w:tcBorders>
            <w:shd w:val="clear" w:color="auto" w:fill="auto"/>
            <w:noWrap/>
            <w:vAlign w:val="center"/>
            <w:hideMark/>
          </w:tcPr>
          <w:p w14:paraId="3FA5C3EF" w14:textId="58285F2F" w:rsidR="00987E13" w:rsidRPr="00D92E20" w:rsidRDefault="00987E13" w:rsidP="00987E13">
            <w:pPr>
              <w:spacing w:after="0" w:line="240" w:lineRule="auto"/>
              <w:jc w:val="center"/>
              <w:rPr>
                <w:rFonts w:cs="Arial"/>
                <w:color w:val="000000"/>
                <w:sz w:val="16"/>
                <w:szCs w:val="16"/>
              </w:rPr>
            </w:pPr>
            <w:r>
              <w:rPr>
                <w:rFonts w:cs="Arial"/>
                <w:sz w:val="16"/>
                <w:szCs w:val="16"/>
              </w:rPr>
              <w:t>4,1</w:t>
            </w:r>
          </w:p>
        </w:tc>
        <w:tc>
          <w:tcPr>
            <w:tcW w:w="680" w:type="dxa"/>
            <w:tcBorders>
              <w:top w:val="nil"/>
              <w:left w:val="nil"/>
              <w:bottom w:val="nil"/>
              <w:right w:val="nil"/>
            </w:tcBorders>
            <w:shd w:val="clear" w:color="auto" w:fill="auto"/>
            <w:noWrap/>
            <w:vAlign w:val="center"/>
            <w:hideMark/>
          </w:tcPr>
          <w:p w14:paraId="555A7FDD" w14:textId="4CFD4355" w:rsidR="00987E13" w:rsidRPr="00D92E20" w:rsidRDefault="00987E13" w:rsidP="00987E13">
            <w:pPr>
              <w:spacing w:after="0" w:line="240" w:lineRule="auto"/>
              <w:jc w:val="center"/>
              <w:rPr>
                <w:rFonts w:cs="Arial"/>
                <w:color w:val="000000"/>
                <w:sz w:val="16"/>
                <w:szCs w:val="16"/>
              </w:rPr>
            </w:pPr>
            <w:r>
              <w:rPr>
                <w:rFonts w:cs="Arial"/>
                <w:sz w:val="16"/>
                <w:szCs w:val="16"/>
              </w:rPr>
              <w:t>3,8</w:t>
            </w:r>
          </w:p>
        </w:tc>
        <w:tc>
          <w:tcPr>
            <w:tcW w:w="680" w:type="dxa"/>
            <w:tcBorders>
              <w:top w:val="nil"/>
              <w:left w:val="nil"/>
              <w:bottom w:val="nil"/>
              <w:right w:val="nil"/>
            </w:tcBorders>
            <w:shd w:val="clear" w:color="auto" w:fill="auto"/>
            <w:noWrap/>
            <w:vAlign w:val="center"/>
            <w:hideMark/>
          </w:tcPr>
          <w:p w14:paraId="0BE82B89" w14:textId="2C4D2365" w:rsidR="00987E13" w:rsidRPr="00D92E20" w:rsidRDefault="00987E13" w:rsidP="00987E13">
            <w:pPr>
              <w:spacing w:after="0" w:line="240" w:lineRule="auto"/>
              <w:jc w:val="center"/>
              <w:rPr>
                <w:rFonts w:cs="Arial"/>
                <w:color w:val="000000"/>
                <w:sz w:val="16"/>
                <w:szCs w:val="16"/>
              </w:rPr>
            </w:pPr>
            <w:r>
              <w:rPr>
                <w:rFonts w:cs="Arial"/>
                <w:sz w:val="16"/>
                <w:szCs w:val="16"/>
              </w:rPr>
              <w:t>4,4</w:t>
            </w:r>
          </w:p>
        </w:tc>
        <w:tc>
          <w:tcPr>
            <w:tcW w:w="680" w:type="dxa"/>
            <w:tcBorders>
              <w:top w:val="nil"/>
              <w:left w:val="nil"/>
              <w:bottom w:val="nil"/>
              <w:right w:val="nil"/>
            </w:tcBorders>
            <w:shd w:val="clear" w:color="auto" w:fill="auto"/>
            <w:noWrap/>
            <w:vAlign w:val="center"/>
            <w:hideMark/>
          </w:tcPr>
          <w:p w14:paraId="64DAEFF9" w14:textId="7004E926" w:rsidR="00987E13" w:rsidRPr="00D92E20" w:rsidRDefault="00987E13" w:rsidP="00987E13">
            <w:pPr>
              <w:spacing w:after="0" w:line="240" w:lineRule="auto"/>
              <w:jc w:val="center"/>
              <w:rPr>
                <w:rFonts w:cs="Arial"/>
                <w:color w:val="000000"/>
                <w:sz w:val="16"/>
                <w:szCs w:val="16"/>
              </w:rPr>
            </w:pPr>
            <w:r>
              <w:rPr>
                <w:rFonts w:cs="Arial"/>
                <w:sz w:val="16"/>
                <w:szCs w:val="16"/>
              </w:rPr>
              <w:t>4,5</w:t>
            </w:r>
          </w:p>
        </w:tc>
        <w:tc>
          <w:tcPr>
            <w:tcW w:w="680" w:type="dxa"/>
            <w:tcBorders>
              <w:top w:val="nil"/>
              <w:left w:val="nil"/>
              <w:bottom w:val="nil"/>
              <w:right w:val="nil"/>
            </w:tcBorders>
            <w:shd w:val="clear" w:color="auto" w:fill="auto"/>
            <w:noWrap/>
            <w:vAlign w:val="center"/>
            <w:hideMark/>
          </w:tcPr>
          <w:p w14:paraId="3E350F0E" w14:textId="22A7F387" w:rsidR="00987E13" w:rsidRPr="00D92E20" w:rsidRDefault="00987E13" w:rsidP="00987E13">
            <w:pPr>
              <w:spacing w:after="0" w:line="240" w:lineRule="auto"/>
              <w:jc w:val="center"/>
              <w:rPr>
                <w:rFonts w:cs="Arial"/>
                <w:color w:val="000000"/>
                <w:sz w:val="16"/>
                <w:szCs w:val="16"/>
              </w:rPr>
            </w:pPr>
            <w:r>
              <w:rPr>
                <w:rFonts w:cs="Arial"/>
                <w:sz w:val="16"/>
                <w:szCs w:val="16"/>
              </w:rPr>
              <w:t>4,7</w:t>
            </w:r>
          </w:p>
        </w:tc>
        <w:tc>
          <w:tcPr>
            <w:tcW w:w="680" w:type="dxa"/>
            <w:tcBorders>
              <w:top w:val="nil"/>
              <w:left w:val="nil"/>
              <w:bottom w:val="nil"/>
              <w:right w:val="nil"/>
            </w:tcBorders>
            <w:shd w:val="clear" w:color="auto" w:fill="auto"/>
            <w:noWrap/>
            <w:vAlign w:val="center"/>
            <w:hideMark/>
          </w:tcPr>
          <w:p w14:paraId="148F5FA2" w14:textId="5C0051DB" w:rsidR="00987E13" w:rsidRPr="00D92E20" w:rsidRDefault="00987E13" w:rsidP="00987E13">
            <w:pPr>
              <w:spacing w:after="0" w:line="240" w:lineRule="auto"/>
              <w:jc w:val="center"/>
              <w:rPr>
                <w:rFonts w:cs="Arial"/>
                <w:color w:val="000000"/>
                <w:sz w:val="16"/>
                <w:szCs w:val="16"/>
              </w:rPr>
            </w:pPr>
            <w:r>
              <w:rPr>
                <w:rFonts w:cs="Arial"/>
                <w:color w:val="000000"/>
                <w:sz w:val="16"/>
                <w:szCs w:val="16"/>
              </w:rPr>
              <w:t>4,8</w:t>
            </w:r>
          </w:p>
        </w:tc>
        <w:tc>
          <w:tcPr>
            <w:tcW w:w="680" w:type="dxa"/>
            <w:tcBorders>
              <w:top w:val="nil"/>
              <w:left w:val="nil"/>
              <w:bottom w:val="nil"/>
              <w:right w:val="nil"/>
            </w:tcBorders>
            <w:shd w:val="clear" w:color="auto" w:fill="auto"/>
            <w:noWrap/>
            <w:vAlign w:val="center"/>
            <w:hideMark/>
          </w:tcPr>
          <w:p w14:paraId="5B5491A2" w14:textId="2B8BD6EC" w:rsidR="00987E13" w:rsidRPr="00D92E20" w:rsidRDefault="00987E13" w:rsidP="00987E13">
            <w:pPr>
              <w:spacing w:after="0" w:line="240" w:lineRule="auto"/>
              <w:jc w:val="center"/>
              <w:rPr>
                <w:rFonts w:cs="Arial"/>
                <w:color w:val="000000"/>
                <w:sz w:val="16"/>
                <w:szCs w:val="16"/>
              </w:rPr>
            </w:pPr>
            <w:r>
              <w:rPr>
                <w:rFonts w:cs="Arial"/>
                <w:color w:val="000000"/>
                <w:sz w:val="16"/>
                <w:szCs w:val="16"/>
              </w:rPr>
              <w:t>4,8</w:t>
            </w:r>
          </w:p>
        </w:tc>
        <w:tc>
          <w:tcPr>
            <w:tcW w:w="680" w:type="dxa"/>
            <w:tcBorders>
              <w:top w:val="nil"/>
              <w:left w:val="nil"/>
              <w:bottom w:val="nil"/>
              <w:right w:val="nil"/>
            </w:tcBorders>
            <w:shd w:val="clear" w:color="auto" w:fill="auto"/>
            <w:noWrap/>
            <w:vAlign w:val="center"/>
            <w:hideMark/>
          </w:tcPr>
          <w:p w14:paraId="5663CE24" w14:textId="3AFBC130" w:rsidR="00987E13" w:rsidRPr="00D92E20" w:rsidRDefault="00987E13" w:rsidP="00987E13">
            <w:pPr>
              <w:spacing w:after="0" w:line="240" w:lineRule="auto"/>
              <w:jc w:val="center"/>
              <w:rPr>
                <w:rFonts w:cs="Arial"/>
                <w:color w:val="000000"/>
                <w:sz w:val="16"/>
                <w:szCs w:val="16"/>
              </w:rPr>
            </w:pPr>
            <w:r>
              <w:rPr>
                <w:rFonts w:cs="Arial"/>
                <w:color w:val="000000"/>
                <w:sz w:val="16"/>
                <w:szCs w:val="16"/>
              </w:rPr>
              <w:t>5,5</w:t>
            </w:r>
          </w:p>
        </w:tc>
        <w:tc>
          <w:tcPr>
            <w:tcW w:w="680" w:type="dxa"/>
            <w:tcBorders>
              <w:top w:val="nil"/>
              <w:left w:val="nil"/>
              <w:bottom w:val="nil"/>
              <w:right w:val="nil"/>
            </w:tcBorders>
            <w:shd w:val="clear" w:color="auto" w:fill="auto"/>
            <w:noWrap/>
            <w:vAlign w:val="center"/>
            <w:hideMark/>
          </w:tcPr>
          <w:p w14:paraId="4DE81032" w14:textId="1690A452" w:rsidR="00987E13" w:rsidRPr="00D92E20" w:rsidRDefault="00987E13" w:rsidP="00987E13">
            <w:pPr>
              <w:spacing w:after="0" w:line="240" w:lineRule="auto"/>
              <w:jc w:val="center"/>
              <w:rPr>
                <w:rFonts w:cs="Arial"/>
                <w:color w:val="000000"/>
                <w:sz w:val="16"/>
                <w:szCs w:val="16"/>
              </w:rPr>
            </w:pPr>
            <w:r>
              <w:rPr>
                <w:rFonts w:cs="Arial"/>
                <w:color w:val="000000"/>
                <w:sz w:val="16"/>
                <w:szCs w:val="16"/>
              </w:rPr>
              <w:t>5,8</w:t>
            </w:r>
          </w:p>
        </w:tc>
        <w:tc>
          <w:tcPr>
            <w:tcW w:w="680" w:type="dxa"/>
            <w:tcBorders>
              <w:top w:val="nil"/>
              <w:left w:val="nil"/>
              <w:bottom w:val="nil"/>
              <w:right w:val="nil"/>
            </w:tcBorders>
            <w:shd w:val="clear" w:color="auto" w:fill="auto"/>
            <w:noWrap/>
            <w:vAlign w:val="center"/>
            <w:hideMark/>
          </w:tcPr>
          <w:p w14:paraId="5AC23530" w14:textId="0948E23E" w:rsidR="00987E13" w:rsidRPr="00D92E20" w:rsidRDefault="00987E13" w:rsidP="00987E13">
            <w:pPr>
              <w:spacing w:after="0" w:line="240" w:lineRule="auto"/>
              <w:jc w:val="center"/>
              <w:rPr>
                <w:rFonts w:cs="Arial"/>
                <w:color w:val="000000"/>
                <w:sz w:val="16"/>
                <w:szCs w:val="16"/>
              </w:rPr>
            </w:pPr>
            <w:r>
              <w:rPr>
                <w:rFonts w:cs="Arial"/>
                <w:color w:val="000000"/>
                <w:sz w:val="16"/>
                <w:szCs w:val="16"/>
              </w:rPr>
              <w:t>5,9</w:t>
            </w:r>
          </w:p>
        </w:tc>
      </w:tr>
      <w:tr w:rsidR="00987E13" w:rsidRPr="00D92E20" w14:paraId="7B2C54D7"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1DF67F6B" w14:textId="77777777" w:rsidR="00987E13" w:rsidRPr="00D92E20" w:rsidRDefault="00987E13" w:rsidP="00987E13">
            <w:pPr>
              <w:spacing w:after="0" w:line="240" w:lineRule="auto"/>
              <w:ind w:firstLineChars="100" w:firstLine="160"/>
              <w:rPr>
                <w:rFonts w:cs="Arial"/>
                <w:color w:val="000000"/>
                <w:sz w:val="16"/>
                <w:szCs w:val="16"/>
              </w:rPr>
            </w:pPr>
            <w:r w:rsidRPr="00D92E20">
              <w:rPr>
                <w:rFonts w:cs="Arial"/>
                <w:color w:val="000000"/>
                <w:sz w:val="16"/>
                <w:szCs w:val="16"/>
              </w:rPr>
              <w:t>Olomoucký kraj</w:t>
            </w:r>
          </w:p>
        </w:tc>
        <w:tc>
          <w:tcPr>
            <w:tcW w:w="680" w:type="dxa"/>
            <w:tcBorders>
              <w:top w:val="nil"/>
              <w:left w:val="nil"/>
              <w:bottom w:val="nil"/>
              <w:right w:val="nil"/>
            </w:tcBorders>
            <w:shd w:val="clear" w:color="auto" w:fill="auto"/>
            <w:noWrap/>
            <w:vAlign w:val="center"/>
            <w:hideMark/>
          </w:tcPr>
          <w:p w14:paraId="1482EF4F" w14:textId="6FAE88B1" w:rsidR="00987E13" w:rsidRPr="00D92E20" w:rsidRDefault="00987E13" w:rsidP="00987E13">
            <w:pPr>
              <w:spacing w:after="0" w:line="240" w:lineRule="auto"/>
              <w:jc w:val="center"/>
              <w:rPr>
                <w:rFonts w:cs="Arial"/>
                <w:color w:val="000000"/>
                <w:sz w:val="16"/>
                <w:szCs w:val="16"/>
              </w:rPr>
            </w:pPr>
            <w:r>
              <w:rPr>
                <w:rFonts w:cs="Arial"/>
                <w:sz w:val="16"/>
                <w:szCs w:val="16"/>
              </w:rPr>
              <w:t>3,9</w:t>
            </w:r>
          </w:p>
        </w:tc>
        <w:tc>
          <w:tcPr>
            <w:tcW w:w="680" w:type="dxa"/>
            <w:tcBorders>
              <w:top w:val="nil"/>
              <w:left w:val="nil"/>
              <w:bottom w:val="nil"/>
              <w:right w:val="nil"/>
            </w:tcBorders>
            <w:shd w:val="clear" w:color="auto" w:fill="auto"/>
            <w:noWrap/>
            <w:vAlign w:val="center"/>
            <w:hideMark/>
          </w:tcPr>
          <w:p w14:paraId="7E236F74" w14:textId="567D974E" w:rsidR="00987E13" w:rsidRPr="00D92E20" w:rsidRDefault="00987E13" w:rsidP="00987E13">
            <w:pPr>
              <w:spacing w:after="0" w:line="240" w:lineRule="auto"/>
              <w:jc w:val="center"/>
              <w:rPr>
                <w:rFonts w:cs="Arial"/>
                <w:color w:val="000000"/>
                <w:sz w:val="16"/>
                <w:szCs w:val="16"/>
              </w:rPr>
            </w:pPr>
            <w:r>
              <w:rPr>
                <w:rFonts w:cs="Arial"/>
                <w:sz w:val="16"/>
                <w:szCs w:val="16"/>
              </w:rPr>
              <w:t>4,2</w:t>
            </w:r>
          </w:p>
        </w:tc>
        <w:tc>
          <w:tcPr>
            <w:tcW w:w="680" w:type="dxa"/>
            <w:tcBorders>
              <w:top w:val="nil"/>
              <w:left w:val="nil"/>
              <w:bottom w:val="nil"/>
              <w:right w:val="nil"/>
            </w:tcBorders>
            <w:shd w:val="clear" w:color="auto" w:fill="auto"/>
            <w:noWrap/>
            <w:vAlign w:val="center"/>
            <w:hideMark/>
          </w:tcPr>
          <w:p w14:paraId="3077B977" w14:textId="62DAD225" w:rsidR="00987E13" w:rsidRPr="00D92E20" w:rsidRDefault="00987E13" w:rsidP="00987E13">
            <w:pPr>
              <w:spacing w:after="0" w:line="240" w:lineRule="auto"/>
              <w:jc w:val="center"/>
              <w:rPr>
                <w:rFonts w:cs="Arial"/>
                <w:color w:val="000000"/>
                <w:sz w:val="16"/>
                <w:szCs w:val="16"/>
              </w:rPr>
            </w:pPr>
            <w:r>
              <w:rPr>
                <w:rFonts w:cs="Arial"/>
                <w:sz w:val="16"/>
                <w:szCs w:val="16"/>
              </w:rPr>
              <w:t>4,1</w:t>
            </w:r>
          </w:p>
        </w:tc>
        <w:tc>
          <w:tcPr>
            <w:tcW w:w="680" w:type="dxa"/>
            <w:tcBorders>
              <w:top w:val="nil"/>
              <w:left w:val="nil"/>
              <w:bottom w:val="nil"/>
              <w:right w:val="nil"/>
            </w:tcBorders>
            <w:shd w:val="clear" w:color="auto" w:fill="auto"/>
            <w:noWrap/>
            <w:vAlign w:val="center"/>
            <w:hideMark/>
          </w:tcPr>
          <w:p w14:paraId="7C12DBAD" w14:textId="084364CD" w:rsidR="00987E13" w:rsidRPr="00D92E20" w:rsidRDefault="00987E13" w:rsidP="00987E13">
            <w:pPr>
              <w:spacing w:after="0" w:line="240" w:lineRule="auto"/>
              <w:jc w:val="center"/>
              <w:rPr>
                <w:rFonts w:cs="Arial"/>
                <w:color w:val="000000"/>
                <w:sz w:val="16"/>
                <w:szCs w:val="16"/>
              </w:rPr>
            </w:pPr>
            <w:r>
              <w:rPr>
                <w:rFonts w:cs="Arial"/>
                <w:sz w:val="16"/>
                <w:szCs w:val="16"/>
              </w:rPr>
              <w:t>4,5</w:t>
            </w:r>
          </w:p>
        </w:tc>
        <w:tc>
          <w:tcPr>
            <w:tcW w:w="680" w:type="dxa"/>
            <w:tcBorders>
              <w:top w:val="nil"/>
              <w:left w:val="nil"/>
              <w:bottom w:val="nil"/>
              <w:right w:val="nil"/>
            </w:tcBorders>
            <w:shd w:val="clear" w:color="auto" w:fill="auto"/>
            <w:noWrap/>
            <w:vAlign w:val="center"/>
            <w:hideMark/>
          </w:tcPr>
          <w:p w14:paraId="7A8266B1" w14:textId="460999C7" w:rsidR="00987E13" w:rsidRPr="00D92E20" w:rsidRDefault="00987E13" w:rsidP="00987E13">
            <w:pPr>
              <w:spacing w:after="0" w:line="240" w:lineRule="auto"/>
              <w:jc w:val="center"/>
              <w:rPr>
                <w:rFonts w:cs="Arial"/>
                <w:color w:val="000000"/>
                <w:sz w:val="16"/>
                <w:szCs w:val="16"/>
              </w:rPr>
            </w:pPr>
            <w:r>
              <w:rPr>
                <w:rFonts w:cs="Arial"/>
                <w:sz w:val="16"/>
                <w:szCs w:val="16"/>
              </w:rPr>
              <w:t>4,8</w:t>
            </w:r>
          </w:p>
        </w:tc>
        <w:tc>
          <w:tcPr>
            <w:tcW w:w="680" w:type="dxa"/>
            <w:tcBorders>
              <w:top w:val="nil"/>
              <w:left w:val="nil"/>
              <w:bottom w:val="nil"/>
              <w:right w:val="nil"/>
            </w:tcBorders>
            <w:shd w:val="clear" w:color="auto" w:fill="auto"/>
            <w:noWrap/>
            <w:vAlign w:val="center"/>
            <w:hideMark/>
          </w:tcPr>
          <w:p w14:paraId="77AA9566" w14:textId="07D25B76" w:rsidR="00987E13" w:rsidRPr="00D92E20" w:rsidRDefault="00987E13" w:rsidP="00987E13">
            <w:pPr>
              <w:spacing w:after="0" w:line="240" w:lineRule="auto"/>
              <w:jc w:val="center"/>
              <w:rPr>
                <w:rFonts w:cs="Arial"/>
                <w:color w:val="000000"/>
                <w:sz w:val="16"/>
                <w:szCs w:val="16"/>
              </w:rPr>
            </w:pPr>
            <w:r>
              <w:rPr>
                <w:rFonts w:cs="Arial"/>
                <w:sz w:val="16"/>
                <w:szCs w:val="16"/>
              </w:rPr>
              <w:t>4,9</w:t>
            </w:r>
          </w:p>
        </w:tc>
        <w:tc>
          <w:tcPr>
            <w:tcW w:w="680" w:type="dxa"/>
            <w:tcBorders>
              <w:top w:val="nil"/>
              <w:left w:val="nil"/>
              <w:bottom w:val="nil"/>
              <w:right w:val="nil"/>
            </w:tcBorders>
            <w:shd w:val="clear" w:color="auto" w:fill="auto"/>
            <w:noWrap/>
            <w:vAlign w:val="center"/>
            <w:hideMark/>
          </w:tcPr>
          <w:p w14:paraId="6632690E" w14:textId="4DCE913A" w:rsidR="00987E13" w:rsidRPr="00D92E20" w:rsidRDefault="00987E13" w:rsidP="00987E13">
            <w:pPr>
              <w:spacing w:after="0" w:line="240" w:lineRule="auto"/>
              <w:jc w:val="center"/>
              <w:rPr>
                <w:rFonts w:cs="Arial"/>
                <w:color w:val="000000"/>
                <w:sz w:val="16"/>
                <w:szCs w:val="16"/>
              </w:rPr>
            </w:pPr>
            <w:r>
              <w:rPr>
                <w:rFonts w:cs="Arial"/>
                <w:color w:val="000000"/>
                <w:sz w:val="16"/>
                <w:szCs w:val="16"/>
              </w:rPr>
              <w:t>5,0</w:t>
            </w:r>
          </w:p>
        </w:tc>
        <w:tc>
          <w:tcPr>
            <w:tcW w:w="680" w:type="dxa"/>
            <w:tcBorders>
              <w:top w:val="nil"/>
              <w:left w:val="nil"/>
              <w:bottom w:val="nil"/>
              <w:right w:val="nil"/>
            </w:tcBorders>
            <w:shd w:val="clear" w:color="auto" w:fill="auto"/>
            <w:noWrap/>
            <w:vAlign w:val="center"/>
            <w:hideMark/>
          </w:tcPr>
          <w:p w14:paraId="36F539CB" w14:textId="6C84EE43" w:rsidR="00987E13" w:rsidRPr="00D92E20" w:rsidRDefault="00987E13" w:rsidP="00987E13">
            <w:pPr>
              <w:spacing w:after="0" w:line="240" w:lineRule="auto"/>
              <w:jc w:val="center"/>
              <w:rPr>
                <w:rFonts w:cs="Arial"/>
                <w:color w:val="000000"/>
                <w:sz w:val="16"/>
                <w:szCs w:val="16"/>
              </w:rPr>
            </w:pPr>
            <w:r>
              <w:rPr>
                <w:rFonts w:cs="Arial"/>
                <w:color w:val="000000"/>
                <w:sz w:val="16"/>
                <w:szCs w:val="16"/>
              </w:rPr>
              <w:t>5,2</w:t>
            </w:r>
          </w:p>
        </w:tc>
        <w:tc>
          <w:tcPr>
            <w:tcW w:w="680" w:type="dxa"/>
            <w:tcBorders>
              <w:top w:val="nil"/>
              <w:left w:val="nil"/>
              <w:bottom w:val="nil"/>
              <w:right w:val="nil"/>
            </w:tcBorders>
            <w:shd w:val="clear" w:color="auto" w:fill="auto"/>
            <w:noWrap/>
            <w:vAlign w:val="center"/>
            <w:hideMark/>
          </w:tcPr>
          <w:p w14:paraId="78B6F650" w14:textId="4503496B" w:rsidR="00987E13" w:rsidRPr="00D92E20" w:rsidRDefault="00987E13" w:rsidP="00987E13">
            <w:pPr>
              <w:spacing w:after="0" w:line="240" w:lineRule="auto"/>
              <w:jc w:val="center"/>
              <w:rPr>
                <w:rFonts w:cs="Arial"/>
                <w:color w:val="000000"/>
                <w:sz w:val="16"/>
                <w:szCs w:val="16"/>
              </w:rPr>
            </w:pPr>
            <w:r>
              <w:rPr>
                <w:rFonts w:cs="Arial"/>
                <w:color w:val="000000"/>
                <w:sz w:val="16"/>
                <w:szCs w:val="16"/>
              </w:rPr>
              <w:t>6,3</w:t>
            </w:r>
          </w:p>
        </w:tc>
        <w:tc>
          <w:tcPr>
            <w:tcW w:w="680" w:type="dxa"/>
            <w:tcBorders>
              <w:top w:val="nil"/>
              <w:left w:val="nil"/>
              <w:bottom w:val="nil"/>
              <w:right w:val="nil"/>
            </w:tcBorders>
            <w:shd w:val="clear" w:color="auto" w:fill="auto"/>
            <w:noWrap/>
            <w:vAlign w:val="center"/>
            <w:hideMark/>
          </w:tcPr>
          <w:p w14:paraId="1E14458A" w14:textId="53E7890D" w:rsidR="00987E13" w:rsidRPr="00D92E20" w:rsidRDefault="00987E13" w:rsidP="00987E13">
            <w:pPr>
              <w:spacing w:after="0" w:line="240" w:lineRule="auto"/>
              <w:jc w:val="center"/>
              <w:rPr>
                <w:rFonts w:cs="Arial"/>
                <w:color w:val="000000"/>
                <w:sz w:val="16"/>
                <w:szCs w:val="16"/>
              </w:rPr>
            </w:pPr>
            <w:r>
              <w:rPr>
                <w:rFonts w:cs="Arial"/>
                <w:color w:val="000000"/>
                <w:sz w:val="16"/>
                <w:szCs w:val="16"/>
              </w:rPr>
              <w:t>6,4</w:t>
            </w:r>
          </w:p>
        </w:tc>
        <w:tc>
          <w:tcPr>
            <w:tcW w:w="680" w:type="dxa"/>
            <w:tcBorders>
              <w:top w:val="nil"/>
              <w:left w:val="nil"/>
              <w:bottom w:val="nil"/>
              <w:right w:val="nil"/>
            </w:tcBorders>
            <w:shd w:val="clear" w:color="auto" w:fill="auto"/>
            <w:noWrap/>
            <w:vAlign w:val="center"/>
            <w:hideMark/>
          </w:tcPr>
          <w:p w14:paraId="0ABC76F5" w14:textId="2D3DCA82" w:rsidR="00987E13" w:rsidRPr="00D92E20" w:rsidRDefault="00987E13" w:rsidP="00987E13">
            <w:pPr>
              <w:spacing w:after="0" w:line="240" w:lineRule="auto"/>
              <w:jc w:val="center"/>
              <w:rPr>
                <w:rFonts w:cs="Arial"/>
                <w:color w:val="000000"/>
                <w:sz w:val="16"/>
                <w:szCs w:val="16"/>
              </w:rPr>
            </w:pPr>
            <w:r>
              <w:rPr>
                <w:rFonts w:cs="Arial"/>
                <w:color w:val="000000"/>
                <w:sz w:val="16"/>
                <w:szCs w:val="16"/>
              </w:rPr>
              <w:t>6,7</w:t>
            </w:r>
          </w:p>
        </w:tc>
      </w:tr>
      <w:tr w:rsidR="00987E13" w:rsidRPr="00D92E20" w14:paraId="4272B8F1"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6EBFB304" w14:textId="77777777" w:rsidR="00987E13" w:rsidRPr="00D92E20" w:rsidRDefault="00987E13" w:rsidP="00987E13">
            <w:pPr>
              <w:spacing w:after="0" w:line="240" w:lineRule="auto"/>
              <w:ind w:firstLineChars="100" w:firstLine="160"/>
              <w:rPr>
                <w:rFonts w:cs="Arial"/>
                <w:color w:val="000000"/>
                <w:sz w:val="16"/>
                <w:szCs w:val="16"/>
              </w:rPr>
            </w:pPr>
            <w:r w:rsidRPr="00D92E20">
              <w:rPr>
                <w:rFonts w:cs="Arial"/>
                <w:color w:val="000000"/>
                <w:sz w:val="16"/>
                <w:szCs w:val="16"/>
              </w:rPr>
              <w:t>Zlínský kraj</w:t>
            </w:r>
          </w:p>
        </w:tc>
        <w:tc>
          <w:tcPr>
            <w:tcW w:w="680" w:type="dxa"/>
            <w:tcBorders>
              <w:top w:val="nil"/>
              <w:left w:val="nil"/>
              <w:bottom w:val="nil"/>
              <w:right w:val="nil"/>
            </w:tcBorders>
            <w:shd w:val="clear" w:color="auto" w:fill="auto"/>
            <w:noWrap/>
            <w:vAlign w:val="center"/>
            <w:hideMark/>
          </w:tcPr>
          <w:p w14:paraId="4B43847B" w14:textId="186E82C0" w:rsidR="00987E13" w:rsidRPr="00D92E20" w:rsidRDefault="00987E13" w:rsidP="00987E13">
            <w:pPr>
              <w:spacing w:after="0" w:line="240" w:lineRule="auto"/>
              <w:jc w:val="center"/>
              <w:rPr>
                <w:rFonts w:cs="Arial"/>
                <w:color w:val="000000"/>
                <w:sz w:val="16"/>
                <w:szCs w:val="16"/>
              </w:rPr>
            </w:pPr>
            <w:r>
              <w:rPr>
                <w:rFonts w:cs="Arial"/>
                <w:sz w:val="16"/>
                <w:szCs w:val="16"/>
              </w:rPr>
              <w:t>4,4</w:t>
            </w:r>
          </w:p>
        </w:tc>
        <w:tc>
          <w:tcPr>
            <w:tcW w:w="680" w:type="dxa"/>
            <w:tcBorders>
              <w:top w:val="nil"/>
              <w:left w:val="nil"/>
              <w:bottom w:val="nil"/>
              <w:right w:val="nil"/>
            </w:tcBorders>
            <w:shd w:val="clear" w:color="auto" w:fill="auto"/>
            <w:noWrap/>
            <w:vAlign w:val="center"/>
            <w:hideMark/>
          </w:tcPr>
          <w:p w14:paraId="783E4F67" w14:textId="6869953C" w:rsidR="00987E13" w:rsidRPr="00D92E20" w:rsidRDefault="00987E13" w:rsidP="00987E13">
            <w:pPr>
              <w:spacing w:after="0" w:line="240" w:lineRule="auto"/>
              <w:jc w:val="center"/>
              <w:rPr>
                <w:rFonts w:cs="Arial"/>
                <w:color w:val="000000"/>
                <w:sz w:val="16"/>
                <w:szCs w:val="16"/>
              </w:rPr>
            </w:pPr>
            <w:r>
              <w:rPr>
                <w:rFonts w:cs="Arial"/>
                <w:sz w:val="16"/>
                <w:szCs w:val="16"/>
              </w:rPr>
              <w:t>4,9</w:t>
            </w:r>
          </w:p>
        </w:tc>
        <w:tc>
          <w:tcPr>
            <w:tcW w:w="680" w:type="dxa"/>
            <w:tcBorders>
              <w:top w:val="nil"/>
              <w:left w:val="nil"/>
              <w:bottom w:val="nil"/>
              <w:right w:val="nil"/>
            </w:tcBorders>
            <w:shd w:val="clear" w:color="auto" w:fill="auto"/>
            <w:noWrap/>
            <w:vAlign w:val="center"/>
            <w:hideMark/>
          </w:tcPr>
          <w:p w14:paraId="097911C4" w14:textId="4B0D3E0E" w:rsidR="00987E13" w:rsidRPr="00D92E20" w:rsidRDefault="00987E13" w:rsidP="00987E13">
            <w:pPr>
              <w:spacing w:after="0" w:line="240" w:lineRule="auto"/>
              <w:jc w:val="center"/>
              <w:rPr>
                <w:rFonts w:cs="Arial"/>
                <w:color w:val="000000"/>
                <w:sz w:val="16"/>
                <w:szCs w:val="16"/>
              </w:rPr>
            </w:pPr>
            <w:r>
              <w:rPr>
                <w:rFonts w:cs="Arial"/>
                <w:sz w:val="16"/>
                <w:szCs w:val="16"/>
              </w:rPr>
              <w:t>4,6</w:t>
            </w:r>
          </w:p>
        </w:tc>
        <w:tc>
          <w:tcPr>
            <w:tcW w:w="680" w:type="dxa"/>
            <w:tcBorders>
              <w:top w:val="nil"/>
              <w:left w:val="nil"/>
              <w:bottom w:val="nil"/>
              <w:right w:val="nil"/>
            </w:tcBorders>
            <w:shd w:val="clear" w:color="auto" w:fill="auto"/>
            <w:noWrap/>
            <w:vAlign w:val="center"/>
            <w:hideMark/>
          </w:tcPr>
          <w:p w14:paraId="04AB3CB0" w14:textId="1FCC95B8" w:rsidR="00987E13" w:rsidRPr="00D92E20" w:rsidRDefault="00987E13" w:rsidP="00987E13">
            <w:pPr>
              <w:spacing w:after="0" w:line="240" w:lineRule="auto"/>
              <w:jc w:val="center"/>
              <w:rPr>
                <w:rFonts w:cs="Arial"/>
                <w:color w:val="000000"/>
                <w:sz w:val="16"/>
                <w:szCs w:val="16"/>
              </w:rPr>
            </w:pPr>
            <w:r>
              <w:rPr>
                <w:rFonts w:cs="Arial"/>
                <w:sz w:val="16"/>
                <w:szCs w:val="16"/>
              </w:rPr>
              <w:t>5,3</w:t>
            </w:r>
          </w:p>
        </w:tc>
        <w:tc>
          <w:tcPr>
            <w:tcW w:w="680" w:type="dxa"/>
            <w:tcBorders>
              <w:top w:val="nil"/>
              <w:left w:val="nil"/>
              <w:bottom w:val="nil"/>
              <w:right w:val="nil"/>
            </w:tcBorders>
            <w:shd w:val="clear" w:color="auto" w:fill="auto"/>
            <w:noWrap/>
            <w:vAlign w:val="center"/>
            <w:hideMark/>
          </w:tcPr>
          <w:p w14:paraId="3843CD0E" w14:textId="1FCC05F2" w:rsidR="00987E13" w:rsidRPr="00D92E20" w:rsidRDefault="00987E13" w:rsidP="00987E13">
            <w:pPr>
              <w:spacing w:after="0" w:line="240" w:lineRule="auto"/>
              <w:jc w:val="center"/>
              <w:rPr>
                <w:rFonts w:cs="Arial"/>
                <w:color w:val="000000"/>
                <w:sz w:val="16"/>
                <w:szCs w:val="16"/>
              </w:rPr>
            </w:pPr>
            <w:r>
              <w:rPr>
                <w:rFonts w:cs="Arial"/>
                <w:sz w:val="16"/>
                <w:szCs w:val="16"/>
              </w:rPr>
              <w:t>5,5</w:t>
            </w:r>
          </w:p>
        </w:tc>
        <w:tc>
          <w:tcPr>
            <w:tcW w:w="680" w:type="dxa"/>
            <w:tcBorders>
              <w:top w:val="nil"/>
              <w:left w:val="nil"/>
              <w:bottom w:val="nil"/>
              <w:right w:val="nil"/>
            </w:tcBorders>
            <w:shd w:val="clear" w:color="auto" w:fill="auto"/>
            <w:noWrap/>
            <w:vAlign w:val="center"/>
            <w:hideMark/>
          </w:tcPr>
          <w:p w14:paraId="1C1E76DE" w14:textId="15A69104" w:rsidR="00987E13" w:rsidRPr="00D92E20" w:rsidRDefault="00987E13" w:rsidP="00987E13">
            <w:pPr>
              <w:spacing w:after="0" w:line="240" w:lineRule="auto"/>
              <w:jc w:val="center"/>
              <w:rPr>
                <w:rFonts w:cs="Arial"/>
                <w:color w:val="000000"/>
                <w:sz w:val="16"/>
                <w:szCs w:val="16"/>
              </w:rPr>
            </w:pPr>
            <w:r>
              <w:rPr>
                <w:rFonts w:cs="Arial"/>
                <w:sz w:val="16"/>
                <w:szCs w:val="16"/>
              </w:rPr>
              <w:t>5,7</w:t>
            </w:r>
          </w:p>
        </w:tc>
        <w:tc>
          <w:tcPr>
            <w:tcW w:w="680" w:type="dxa"/>
            <w:tcBorders>
              <w:top w:val="nil"/>
              <w:left w:val="nil"/>
              <w:bottom w:val="nil"/>
              <w:right w:val="nil"/>
            </w:tcBorders>
            <w:shd w:val="clear" w:color="auto" w:fill="auto"/>
            <w:noWrap/>
            <w:vAlign w:val="center"/>
            <w:hideMark/>
          </w:tcPr>
          <w:p w14:paraId="57C2E1E3" w14:textId="11A8DF8C" w:rsidR="00987E13" w:rsidRPr="00D92E20" w:rsidRDefault="00987E13" w:rsidP="00987E13">
            <w:pPr>
              <w:spacing w:after="0" w:line="240" w:lineRule="auto"/>
              <w:jc w:val="center"/>
              <w:rPr>
                <w:rFonts w:cs="Arial"/>
                <w:color w:val="000000"/>
                <w:sz w:val="16"/>
                <w:szCs w:val="16"/>
              </w:rPr>
            </w:pPr>
            <w:r>
              <w:rPr>
                <w:rFonts w:cs="Arial"/>
                <w:color w:val="000000"/>
                <w:sz w:val="16"/>
                <w:szCs w:val="16"/>
              </w:rPr>
              <w:t>5,6</w:t>
            </w:r>
          </w:p>
        </w:tc>
        <w:tc>
          <w:tcPr>
            <w:tcW w:w="680" w:type="dxa"/>
            <w:tcBorders>
              <w:top w:val="nil"/>
              <w:left w:val="nil"/>
              <w:bottom w:val="nil"/>
              <w:right w:val="nil"/>
            </w:tcBorders>
            <w:shd w:val="clear" w:color="auto" w:fill="auto"/>
            <w:noWrap/>
            <w:vAlign w:val="center"/>
            <w:hideMark/>
          </w:tcPr>
          <w:p w14:paraId="6A60A6FE" w14:textId="6391A8D3" w:rsidR="00987E13" w:rsidRPr="00D92E20" w:rsidRDefault="00987E13" w:rsidP="00987E13">
            <w:pPr>
              <w:spacing w:after="0" w:line="240" w:lineRule="auto"/>
              <w:jc w:val="center"/>
              <w:rPr>
                <w:rFonts w:cs="Arial"/>
                <w:color w:val="000000"/>
                <w:sz w:val="16"/>
                <w:szCs w:val="16"/>
              </w:rPr>
            </w:pPr>
            <w:r>
              <w:rPr>
                <w:rFonts w:cs="Arial"/>
                <w:color w:val="000000"/>
                <w:sz w:val="16"/>
                <w:szCs w:val="16"/>
              </w:rPr>
              <w:t>5,8</w:t>
            </w:r>
          </w:p>
        </w:tc>
        <w:tc>
          <w:tcPr>
            <w:tcW w:w="680" w:type="dxa"/>
            <w:tcBorders>
              <w:top w:val="nil"/>
              <w:left w:val="nil"/>
              <w:bottom w:val="nil"/>
              <w:right w:val="nil"/>
            </w:tcBorders>
            <w:shd w:val="clear" w:color="auto" w:fill="auto"/>
            <w:noWrap/>
            <w:vAlign w:val="center"/>
            <w:hideMark/>
          </w:tcPr>
          <w:p w14:paraId="18F33CD6" w14:textId="2356A99E" w:rsidR="00987E13" w:rsidRPr="00D92E20" w:rsidRDefault="00987E13" w:rsidP="00987E13">
            <w:pPr>
              <w:spacing w:after="0" w:line="240" w:lineRule="auto"/>
              <w:jc w:val="center"/>
              <w:rPr>
                <w:rFonts w:cs="Arial"/>
                <w:color w:val="000000"/>
                <w:sz w:val="16"/>
                <w:szCs w:val="16"/>
              </w:rPr>
            </w:pPr>
            <w:r>
              <w:rPr>
                <w:rFonts w:cs="Arial"/>
                <w:color w:val="000000"/>
                <w:sz w:val="16"/>
                <w:szCs w:val="16"/>
              </w:rPr>
              <w:t>7,1</w:t>
            </w:r>
          </w:p>
        </w:tc>
        <w:tc>
          <w:tcPr>
            <w:tcW w:w="680" w:type="dxa"/>
            <w:tcBorders>
              <w:top w:val="nil"/>
              <w:left w:val="nil"/>
              <w:bottom w:val="nil"/>
              <w:right w:val="nil"/>
            </w:tcBorders>
            <w:shd w:val="clear" w:color="auto" w:fill="auto"/>
            <w:noWrap/>
            <w:vAlign w:val="center"/>
            <w:hideMark/>
          </w:tcPr>
          <w:p w14:paraId="46719A0F" w14:textId="3331FD79" w:rsidR="00987E13" w:rsidRPr="00D92E20" w:rsidRDefault="00987E13" w:rsidP="00987E13">
            <w:pPr>
              <w:spacing w:after="0" w:line="240" w:lineRule="auto"/>
              <w:jc w:val="center"/>
              <w:rPr>
                <w:rFonts w:cs="Arial"/>
                <w:color w:val="000000"/>
                <w:sz w:val="16"/>
                <w:szCs w:val="16"/>
              </w:rPr>
            </w:pPr>
            <w:r>
              <w:rPr>
                <w:rFonts w:cs="Arial"/>
                <w:color w:val="000000"/>
                <w:sz w:val="16"/>
                <w:szCs w:val="16"/>
              </w:rPr>
              <w:t>7,0</w:t>
            </w:r>
          </w:p>
        </w:tc>
        <w:tc>
          <w:tcPr>
            <w:tcW w:w="680" w:type="dxa"/>
            <w:tcBorders>
              <w:top w:val="nil"/>
              <w:left w:val="nil"/>
              <w:bottom w:val="nil"/>
              <w:right w:val="nil"/>
            </w:tcBorders>
            <w:shd w:val="clear" w:color="auto" w:fill="auto"/>
            <w:noWrap/>
            <w:vAlign w:val="center"/>
            <w:hideMark/>
          </w:tcPr>
          <w:p w14:paraId="0F3013C2" w14:textId="69BD4E8A" w:rsidR="00987E13" w:rsidRPr="00D92E20" w:rsidRDefault="00987E13" w:rsidP="00987E13">
            <w:pPr>
              <w:spacing w:after="0" w:line="240" w:lineRule="auto"/>
              <w:jc w:val="center"/>
              <w:rPr>
                <w:rFonts w:cs="Arial"/>
                <w:color w:val="000000"/>
                <w:sz w:val="16"/>
                <w:szCs w:val="16"/>
              </w:rPr>
            </w:pPr>
            <w:r>
              <w:rPr>
                <w:rFonts w:cs="Arial"/>
                <w:color w:val="000000"/>
                <w:sz w:val="16"/>
                <w:szCs w:val="16"/>
              </w:rPr>
              <w:t>7,2</w:t>
            </w:r>
          </w:p>
        </w:tc>
      </w:tr>
      <w:tr w:rsidR="00987E13" w:rsidRPr="00D92E20" w14:paraId="10048B53" w14:textId="77777777" w:rsidTr="004D1BAD">
        <w:trPr>
          <w:trHeight w:val="300"/>
        </w:trPr>
        <w:tc>
          <w:tcPr>
            <w:tcW w:w="2041" w:type="dxa"/>
            <w:tcBorders>
              <w:top w:val="nil"/>
              <w:left w:val="nil"/>
              <w:bottom w:val="nil"/>
              <w:right w:val="single" w:sz="4" w:space="0" w:color="auto"/>
            </w:tcBorders>
            <w:shd w:val="clear" w:color="auto" w:fill="auto"/>
            <w:noWrap/>
            <w:vAlign w:val="center"/>
            <w:hideMark/>
          </w:tcPr>
          <w:p w14:paraId="462DC99F" w14:textId="77777777" w:rsidR="00987E13" w:rsidRPr="00D92E20" w:rsidRDefault="00987E13" w:rsidP="00987E13">
            <w:pPr>
              <w:spacing w:after="0" w:line="240" w:lineRule="auto"/>
              <w:ind w:firstLineChars="100" w:firstLine="160"/>
              <w:rPr>
                <w:rFonts w:cs="Arial"/>
                <w:color w:val="000000"/>
                <w:sz w:val="16"/>
                <w:szCs w:val="16"/>
              </w:rPr>
            </w:pPr>
            <w:r w:rsidRPr="00D92E20">
              <w:rPr>
                <w:rFonts w:cs="Arial"/>
                <w:color w:val="000000"/>
                <w:sz w:val="16"/>
                <w:szCs w:val="16"/>
              </w:rPr>
              <w:t>Moravskoslezský kraj</w:t>
            </w:r>
          </w:p>
        </w:tc>
        <w:tc>
          <w:tcPr>
            <w:tcW w:w="680" w:type="dxa"/>
            <w:tcBorders>
              <w:top w:val="nil"/>
              <w:left w:val="nil"/>
              <w:bottom w:val="nil"/>
              <w:right w:val="nil"/>
            </w:tcBorders>
            <w:shd w:val="clear" w:color="auto" w:fill="auto"/>
            <w:noWrap/>
            <w:vAlign w:val="center"/>
            <w:hideMark/>
          </w:tcPr>
          <w:p w14:paraId="659CAAF5" w14:textId="6FC6EFE5" w:rsidR="00987E13" w:rsidRPr="00D92E20" w:rsidRDefault="00987E13" w:rsidP="00987E13">
            <w:pPr>
              <w:spacing w:after="0" w:line="240" w:lineRule="auto"/>
              <w:jc w:val="center"/>
              <w:rPr>
                <w:rFonts w:cs="Arial"/>
                <w:color w:val="000000"/>
                <w:sz w:val="16"/>
                <w:szCs w:val="16"/>
              </w:rPr>
            </w:pPr>
            <w:r>
              <w:rPr>
                <w:rFonts w:cs="Arial"/>
                <w:sz w:val="16"/>
                <w:szCs w:val="16"/>
              </w:rPr>
              <w:t>4,3</w:t>
            </w:r>
          </w:p>
        </w:tc>
        <w:tc>
          <w:tcPr>
            <w:tcW w:w="680" w:type="dxa"/>
            <w:tcBorders>
              <w:top w:val="nil"/>
              <w:left w:val="nil"/>
              <w:bottom w:val="nil"/>
              <w:right w:val="nil"/>
            </w:tcBorders>
            <w:shd w:val="clear" w:color="auto" w:fill="auto"/>
            <w:noWrap/>
            <w:vAlign w:val="center"/>
            <w:hideMark/>
          </w:tcPr>
          <w:p w14:paraId="46575CCF" w14:textId="72C09667" w:rsidR="00987E13" w:rsidRPr="00D92E20" w:rsidRDefault="00987E13" w:rsidP="00987E13">
            <w:pPr>
              <w:spacing w:after="0" w:line="240" w:lineRule="auto"/>
              <w:jc w:val="center"/>
              <w:rPr>
                <w:rFonts w:cs="Arial"/>
                <w:color w:val="000000"/>
                <w:sz w:val="16"/>
                <w:szCs w:val="16"/>
              </w:rPr>
            </w:pPr>
            <w:r>
              <w:rPr>
                <w:rFonts w:cs="Arial"/>
                <w:sz w:val="16"/>
                <w:szCs w:val="16"/>
              </w:rPr>
              <w:t>4,7</w:t>
            </w:r>
          </w:p>
        </w:tc>
        <w:tc>
          <w:tcPr>
            <w:tcW w:w="680" w:type="dxa"/>
            <w:tcBorders>
              <w:top w:val="nil"/>
              <w:left w:val="nil"/>
              <w:bottom w:val="nil"/>
              <w:right w:val="nil"/>
            </w:tcBorders>
            <w:shd w:val="clear" w:color="auto" w:fill="auto"/>
            <w:noWrap/>
            <w:vAlign w:val="center"/>
            <w:hideMark/>
          </w:tcPr>
          <w:p w14:paraId="209048F1" w14:textId="5D966DB7" w:rsidR="00987E13" w:rsidRPr="00D92E20" w:rsidRDefault="00987E13" w:rsidP="00987E13">
            <w:pPr>
              <w:spacing w:after="0" w:line="240" w:lineRule="auto"/>
              <w:jc w:val="center"/>
              <w:rPr>
                <w:rFonts w:cs="Arial"/>
                <w:color w:val="000000"/>
                <w:sz w:val="16"/>
                <w:szCs w:val="16"/>
              </w:rPr>
            </w:pPr>
            <w:r>
              <w:rPr>
                <w:rFonts w:cs="Arial"/>
                <w:sz w:val="16"/>
                <w:szCs w:val="16"/>
              </w:rPr>
              <w:t>4,5</w:t>
            </w:r>
          </w:p>
        </w:tc>
        <w:tc>
          <w:tcPr>
            <w:tcW w:w="680" w:type="dxa"/>
            <w:tcBorders>
              <w:top w:val="nil"/>
              <w:left w:val="nil"/>
              <w:bottom w:val="nil"/>
              <w:right w:val="nil"/>
            </w:tcBorders>
            <w:shd w:val="clear" w:color="auto" w:fill="auto"/>
            <w:noWrap/>
            <w:vAlign w:val="center"/>
            <w:hideMark/>
          </w:tcPr>
          <w:p w14:paraId="5A4B13ED" w14:textId="4F3D43C3" w:rsidR="00987E13" w:rsidRPr="00D92E20" w:rsidRDefault="00987E13" w:rsidP="00987E13">
            <w:pPr>
              <w:spacing w:after="0" w:line="240" w:lineRule="auto"/>
              <w:jc w:val="center"/>
              <w:rPr>
                <w:rFonts w:cs="Arial"/>
                <w:color w:val="000000"/>
                <w:sz w:val="16"/>
                <w:szCs w:val="16"/>
              </w:rPr>
            </w:pPr>
            <w:r>
              <w:rPr>
                <w:rFonts w:cs="Arial"/>
                <w:sz w:val="16"/>
                <w:szCs w:val="16"/>
              </w:rPr>
              <w:t>5,1</w:t>
            </w:r>
          </w:p>
        </w:tc>
        <w:tc>
          <w:tcPr>
            <w:tcW w:w="680" w:type="dxa"/>
            <w:tcBorders>
              <w:top w:val="nil"/>
              <w:left w:val="nil"/>
              <w:bottom w:val="nil"/>
              <w:right w:val="nil"/>
            </w:tcBorders>
            <w:shd w:val="clear" w:color="auto" w:fill="auto"/>
            <w:noWrap/>
            <w:vAlign w:val="center"/>
            <w:hideMark/>
          </w:tcPr>
          <w:p w14:paraId="0D4844CA" w14:textId="28F0AFC3" w:rsidR="00987E13" w:rsidRPr="00D92E20" w:rsidRDefault="00987E13" w:rsidP="00987E13">
            <w:pPr>
              <w:spacing w:after="0" w:line="240" w:lineRule="auto"/>
              <w:jc w:val="center"/>
              <w:rPr>
                <w:rFonts w:cs="Arial"/>
                <w:color w:val="000000"/>
                <w:sz w:val="16"/>
                <w:szCs w:val="16"/>
              </w:rPr>
            </w:pPr>
            <w:r>
              <w:rPr>
                <w:rFonts w:cs="Arial"/>
                <w:sz w:val="16"/>
                <w:szCs w:val="16"/>
              </w:rPr>
              <w:t>5,4</w:t>
            </w:r>
          </w:p>
        </w:tc>
        <w:tc>
          <w:tcPr>
            <w:tcW w:w="680" w:type="dxa"/>
            <w:tcBorders>
              <w:top w:val="nil"/>
              <w:left w:val="nil"/>
              <w:bottom w:val="nil"/>
              <w:right w:val="nil"/>
            </w:tcBorders>
            <w:shd w:val="clear" w:color="auto" w:fill="auto"/>
            <w:noWrap/>
            <w:vAlign w:val="center"/>
            <w:hideMark/>
          </w:tcPr>
          <w:p w14:paraId="2883BD1F" w14:textId="1B3184F6" w:rsidR="00987E13" w:rsidRPr="00D92E20" w:rsidRDefault="00987E13" w:rsidP="00987E13">
            <w:pPr>
              <w:spacing w:after="0" w:line="240" w:lineRule="auto"/>
              <w:jc w:val="center"/>
              <w:rPr>
                <w:rFonts w:cs="Arial"/>
                <w:color w:val="000000"/>
                <w:sz w:val="16"/>
                <w:szCs w:val="16"/>
              </w:rPr>
            </w:pPr>
            <w:r>
              <w:rPr>
                <w:rFonts w:cs="Arial"/>
                <w:sz w:val="16"/>
                <w:szCs w:val="16"/>
              </w:rPr>
              <w:t>5,6</w:t>
            </w:r>
          </w:p>
        </w:tc>
        <w:tc>
          <w:tcPr>
            <w:tcW w:w="680" w:type="dxa"/>
            <w:tcBorders>
              <w:top w:val="nil"/>
              <w:left w:val="nil"/>
              <w:bottom w:val="nil"/>
              <w:right w:val="nil"/>
            </w:tcBorders>
            <w:shd w:val="clear" w:color="auto" w:fill="auto"/>
            <w:noWrap/>
            <w:vAlign w:val="center"/>
            <w:hideMark/>
          </w:tcPr>
          <w:p w14:paraId="60FB0987" w14:textId="3C675E31" w:rsidR="00987E13" w:rsidRPr="00D92E20" w:rsidRDefault="00987E13" w:rsidP="00987E13">
            <w:pPr>
              <w:spacing w:after="0" w:line="240" w:lineRule="auto"/>
              <w:jc w:val="center"/>
              <w:rPr>
                <w:rFonts w:cs="Arial"/>
                <w:color w:val="000000"/>
                <w:sz w:val="16"/>
                <w:szCs w:val="16"/>
              </w:rPr>
            </w:pPr>
            <w:r>
              <w:rPr>
                <w:rFonts w:cs="Arial"/>
                <w:color w:val="000000"/>
                <w:sz w:val="16"/>
                <w:szCs w:val="16"/>
              </w:rPr>
              <w:t>5,7</w:t>
            </w:r>
          </w:p>
        </w:tc>
        <w:tc>
          <w:tcPr>
            <w:tcW w:w="680" w:type="dxa"/>
            <w:tcBorders>
              <w:top w:val="nil"/>
              <w:left w:val="nil"/>
              <w:bottom w:val="nil"/>
              <w:right w:val="nil"/>
            </w:tcBorders>
            <w:shd w:val="clear" w:color="auto" w:fill="auto"/>
            <w:noWrap/>
            <w:vAlign w:val="center"/>
            <w:hideMark/>
          </w:tcPr>
          <w:p w14:paraId="19A973E3" w14:textId="5094FD25" w:rsidR="00987E13" w:rsidRPr="00D92E20" w:rsidRDefault="00987E13" w:rsidP="00987E13">
            <w:pPr>
              <w:spacing w:after="0" w:line="240" w:lineRule="auto"/>
              <w:jc w:val="center"/>
              <w:rPr>
                <w:rFonts w:cs="Arial"/>
                <w:color w:val="000000"/>
                <w:sz w:val="16"/>
                <w:szCs w:val="16"/>
              </w:rPr>
            </w:pPr>
            <w:r>
              <w:rPr>
                <w:rFonts w:cs="Arial"/>
                <w:color w:val="000000"/>
                <w:sz w:val="16"/>
                <w:szCs w:val="16"/>
              </w:rPr>
              <w:t>6,0</w:t>
            </w:r>
          </w:p>
        </w:tc>
        <w:tc>
          <w:tcPr>
            <w:tcW w:w="680" w:type="dxa"/>
            <w:tcBorders>
              <w:top w:val="nil"/>
              <w:left w:val="nil"/>
              <w:bottom w:val="nil"/>
              <w:right w:val="nil"/>
            </w:tcBorders>
            <w:shd w:val="clear" w:color="auto" w:fill="auto"/>
            <w:noWrap/>
            <w:vAlign w:val="center"/>
            <w:hideMark/>
          </w:tcPr>
          <w:p w14:paraId="14CF77E6" w14:textId="34E396AC" w:rsidR="00987E13" w:rsidRPr="00D92E20" w:rsidRDefault="00987E13" w:rsidP="00987E13">
            <w:pPr>
              <w:spacing w:after="0" w:line="240" w:lineRule="auto"/>
              <w:jc w:val="center"/>
              <w:rPr>
                <w:rFonts w:cs="Arial"/>
                <w:color w:val="000000"/>
                <w:sz w:val="16"/>
                <w:szCs w:val="16"/>
              </w:rPr>
            </w:pPr>
            <w:r>
              <w:rPr>
                <w:rFonts w:cs="Arial"/>
                <w:color w:val="000000"/>
                <w:sz w:val="16"/>
                <w:szCs w:val="16"/>
              </w:rPr>
              <w:t>7,2</w:t>
            </w:r>
          </w:p>
        </w:tc>
        <w:tc>
          <w:tcPr>
            <w:tcW w:w="680" w:type="dxa"/>
            <w:tcBorders>
              <w:top w:val="nil"/>
              <w:left w:val="nil"/>
              <w:bottom w:val="nil"/>
              <w:right w:val="nil"/>
            </w:tcBorders>
            <w:shd w:val="clear" w:color="auto" w:fill="auto"/>
            <w:noWrap/>
            <w:vAlign w:val="center"/>
            <w:hideMark/>
          </w:tcPr>
          <w:p w14:paraId="76378160" w14:textId="2708CD97" w:rsidR="00987E13" w:rsidRPr="00D92E20" w:rsidRDefault="00987E13" w:rsidP="00987E13">
            <w:pPr>
              <w:spacing w:after="0" w:line="240" w:lineRule="auto"/>
              <w:jc w:val="center"/>
              <w:rPr>
                <w:rFonts w:cs="Arial"/>
                <w:color w:val="000000"/>
                <w:sz w:val="16"/>
                <w:szCs w:val="16"/>
              </w:rPr>
            </w:pPr>
            <w:r>
              <w:rPr>
                <w:rFonts w:cs="Arial"/>
                <w:color w:val="000000"/>
                <w:sz w:val="16"/>
                <w:szCs w:val="16"/>
              </w:rPr>
              <w:t>7,4</w:t>
            </w:r>
          </w:p>
        </w:tc>
        <w:tc>
          <w:tcPr>
            <w:tcW w:w="680" w:type="dxa"/>
            <w:tcBorders>
              <w:top w:val="nil"/>
              <w:left w:val="nil"/>
              <w:bottom w:val="nil"/>
              <w:right w:val="nil"/>
            </w:tcBorders>
            <w:shd w:val="clear" w:color="auto" w:fill="auto"/>
            <w:noWrap/>
            <w:vAlign w:val="center"/>
            <w:hideMark/>
          </w:tcPr>
          <w:p w14:paraId="4A6B4360" w14:textId="4FB43003" w:rsidR="00987E13" w:rsidRPr="00D92E20" w:rsidRDefault="00987E13" w:rsidP="00987E13">
            <w:pPr>
              <w:spacing w:after="0" w:line="240" w:lineRule="auto"/>
              <w:jc w:val="center"/>
              <w:rPr>
                <w:rFonts w:cs="Arial"/>
                <w:color w:val="000000"/>
                <w:sz w:val="16"/>
                <w:szCs w:val="16"/>
              </w:rPr>
            </w:pPr>
            <w:r>
              <w:rPr>
                <w:rFonts w:cs="Arial"/>
                <w:color w:val="000000"/>
                <w:sz w:val="16"/>
                <w:szCs w:val="16"/>
              </w:rPr>
              <w:t>7,3</w:t>
            </w:r>
          </w:p>
        </w:tc>
      </w:tr>
    </w:tbl>
    <w:p w14:paraId="1961B3A4" w14:textId="77777777" w:rsidR="004D1BAD" w:rsidRPr="00D92E20" w:rsidRDefault="004D1BAD" w:rsidP="00000A90">
      <w:pPr>
        <w:spacing w:before="60" w:after="120"/>
        <w:rPr>
          <w:sz w:val="16"/>
        </w:rPr>
      </w:pPr>
      <w:r w:rsidRPr="00D92E20">
        <w:rPr>
          <w:sz w:val="16"/>
        </w:rPr>
        <w:t>Zdroj: ČSÚ</w:t>
      </w:r>
    </w:p>
    <w:p w14:paraId="54354ECD" w14:textId="6181B22B" w:rsidR="004D1BAD" w:rsidRPr="00987E13" w:rsidRDefault="004D1BAD" w:rsidP="00000A90">
      <w:pPr>
        <w:spacing w:before="120" w:after="120"/>
        <w:jc w:val="both"/>
      </w:pPr>
      <w:r w:rsidRPr="00987E13">
        <w:t>Obdobný ukazatel jako průměrné procento dočasné pracovní neschopnosti, avšak v absolutním vyjádření</w:t>
      </w:r>
      <w:r w:rsidR="00E14C0A">
        <w:t>,</w:t>
      </w:r>
      <w:r w:rsidRPr="00987E13">
        <w:t xml:space="preserve"> představuje </w:t>
      </w:r>
      <w:r w:rsidRPr="00987E13">
        <w:rPr>
          <w:b/>
        </w:rPr>
        <w:t>průměrný denní stav dočasně práce neschopných</w:t>
      </w:r>
      <w:r w:rsidRPr="00987E13">
        <w:t xml:space="preserve">. Říká, kolik nemocensky pojištěných bylo ve sledovaném období </w:t>
      </w:r>
      <w:r w:rsidR="0075396C" w:rsidRPr="00987E13">
        <w:t xml:space="preserve">(zde 1. pololetí) </w:t>
      </w:r>
      <w:r w:rsidRPr="00987E13">
        <w:t>v průměru denně nepřítomno v práci z důvodu prac</w:t>
      </w:r>
      <w:r w:rsidR="00350B58" w:rsidRPr="00987E13">
        <w:t>ovní neschopnosti</w:t>
      </w:r>
      <w:r w:rsidRPr="00987E13">
        <w:t>.</w:t>
      </w:r>
    </w:p>
    <w:p w14:paraId="1C1CFF78" w14:textId="2B1B5784" w:rsidR="004D1BAD" w:rsidRPr="0075396C" w:rsidRDefault="004D1BAD" w:rsidP="00000A90">
      <w:pPr>
        <w:spacing w:before="120" w:after="120"/>
        <w:jc w:val="both"/>
      </w:pPr>
      <w:r w:rsidRPr="00987E13">
        <w:rPr>
          <w:rFonts w:cs="Arial"/>
          <w:color w:val="000000"/>
          <w:szCs w:val="16"/>
        </w:rPr>
        <w:t>V</w:t>
      </w:r>
      <w:r w:rsidR="00422B21" w:rsidRPr="00987E13">
        <w:rPr>
          <w:rFonts w:cs="Arial"/>
          <w:color w:val="000000"/>
          <w:szCs w:val="16"/>
        </w:rPr>
        <w:t> 1. pol. 202</w:t>
      </w:r>
      <w:r w:rsidR="00987E13" w:rsidRPr="00987E13">
        <w:rPr>
          <w:rFonts w:cs="Arial"/>
          <w:color w:val="000000"/>
          <w:szCs w:val="16"/>
        </w:rPr>
        <w:t>2</w:t>
      </w:r>
      <w:r w:rsidRPr="00987E13">
        <w:rPr>
          <w:rFonts w:cs="Arial"/>
          <w:color w:val="000000"/>
          <w:szCs w:val="16"/>
        </w:rPr>
        <w:t xml:space="preserve"> kvůli dočasné pracovní neschopnosti způsobené nemocí či úrazem </w:t>
      </w:r>
      <w:r w:rsidR="00422B21" w:rsidRPr="00987E13">
        <w:rPr>
          <w:rFonts w:cs="Arial"/>
          <w:color w:val="000000"/>
          <w:szCs w:val="16"/>
        </w:rPr>
        <w:t>denně chybělo na</w:t>
      </w:r>
      <w:r w:rsidR="00CD63E8" w:rsidRPr="00987E13">
        <w:rPr>
          <w:rFonts w:cs="Arial"/>
          <w:color w:val="000000"/>
          <w:szCs w:val="16"/>
        </w:rPr>
        <w:t> </w:t>
      </w:r>
      <w:r w:rsidR="00422B21" w:rsidRPr="00987E13">
        <w:rPr>
          <w:rFonts w:cs="Arial"/>
          <w:color w:val="000000"/>
          <w:szCs w:val="16"/>
        </w:rPr>
        <w:t>pracovištích 2</w:t>
      </w:r>
      <w:r w:rsidR="00987E13" w:rsidRPr="00987E13">
        <w:rPr>
          <w:rFonts w:cs="Arial"/>
          <w:color w:val="000000"/>
          <w:szCs w:val="16"/>
        </w:rPr>
        <w:t xml:space="preserve">78 </w:t>
      </w:r>
      <w:r w:rsidR="0075396C" w:rsidRPr="00987E13">
        <w:rPr>
          <w:rFonts w:cs="Arial"/>
          <w:color w:val="000000"/>
          <w:szCs w:val="16"/>
        </w:rPr>
        <w:t>3</w:t>
      </w:r>
      <w:r w:rsidR="00987E13" w:rsidRPr="00987E13">
        <w:rPr>
          <w:rFonts w:cs="Arial"/>
          <w:color w:val="000000"/>
          <w:szCs w:val="16"/>
        </w:rPr>
        <w:t>82</w:t>
      </w:r>
      <w:r w:rsidRPr="00987E13">
        <w:rPr>
          <w:rFonts w:cs="Arial"/>
          <w:color w:val="000000"/>
          <w:szCs w:val="16"/>
        </w:rPr>
        <w:t xml:space="preserve"> nemocensky pojištěných osob. Oproti </w:t>
      </w:r>
      <w:r w:rsidR="00422B21" w:rsidRPr="00987E13">
        <w:rPr>
          <w:rFonts w:cs="Arial"/>
          <w:color w:val="000000"/>
          <w:szCs w:val="16"/>
        </w:rPr>
        <w:t>1. pol. 202</w:t>
      </w:r>
      <w:r w:rsidR="00987E13" w:rsidRPr="00987E13">
        <w:rPr>
          <w:rFonts w:cs="Arial"/>
          <w:color w:val="000000"/>
          <w:szCs w:val="16"/>
        </w:rPr>
        <w:t>1</w:t>
      </w:r>
      <w:r w:rsidRPr="00987E13">
        <w:rPr>
          <w:rFonts w:cs="Arial"/>
          <w:color w:val="000000"/>
          <w:szCs w:val="16"/>
        </w:rPr>
        <w:t xml:space="preserve">, kdy hodnota činila </w:t>
      </w:r>
      <w:r w:rsidR="0075396C" w:rsidRPr="00987E13">
        <w:rPr>
          <w:rFonts w:cs="Arial"/>
          <w:color w:val="000000"/>
          <w:szCs w:val="16"/>
        </w:rPr>
        <w:t>2</w:t>
      </w:r>
      <w:r w:rsidR="00987E13" w:rsidRPr="00987E13">
        <w:rPr>
          <w:rFonts w:cs="Arial"/>
          <w:color w:val="000000"/>
          <w:szCs w:val="16"/>
        </w:rPr>
        <w:t>8</w:t>
      </w:r>
      <w:r w:rsidR="0075396C" w:rsidRPr="00987E13">
        <w:rPr>
          <w:rFonts w:cs="Arial"/>
          <w:color w:val="000000"/>
          <w:szCs w:val="16"/>
        </w:rPr>
        <w:t>0</w:t>
      </w:r>
      <w:r w:rsidR="00CD63E8" w:rsidRPr="00987E13">
        <w:rPr>
          <w:rFonts w:cs="Arial"/>
          <w:color w:val="000000"/>
          <w:szCs w:val="16"/>
        </w:rPr>
        <w:t> </w:t>
      </w:r>
      <w:r w:rsidR="00987E13" w:rsidRPr="00987E13">
        <w:rPr>
          <w:rFonts w:cs="Arial"/>
          <w:color w:val="000000"/>
          <w:szCs w:val="16"/>
        </w:rPr>
        <w:t>973</w:t>
      </w:r>
      <w:r w:rsidRPr="00987E13">
        <w:rPr>
          <w:rFonts w:cs="Arial"/>
          <w:color w:val="000000"/>
          <w:szCs w:val="16"/>
        </w:rPr>
        <w:t xml:space="preserve"> pojištěnců, se jedná o </w:t>
      </w:r>
      <w:r w:rsidR="00987E13" w:rsidRPr="00987E13">
        <w:rPr>
          <w:rFonts w:cs="Arial"/>
          <w:color w:val="000000"/>
          <w:szCs w:val="16"/>
        </w:rPr>
        <w:t>1</w:t>
      </w:r>
      <w:r w:rsidRPr="00987E13">
        <w:rPr>
          <w:rFonts w:cs="Arial"/>
          <w:color w:val="000000"/>
          <w:szCs w:val="16"/>
        </w:rPr>
        <w:t xml:space="preserve">% </w:t>
      </w:r>
      <w:r w:rsidR="00987E13" w:rsidRPr="00987E13">
        <w:rPr>
          <w:rFonts w:cs="Arial"/>
          <w:color w:val="000000"/>
          <w:szCs w:val="16"/>
        </w:rPr>
        <w:t>pokles</w:t>
      </w:r>
      <w:r w:rsidRPr="00987E13">
        <w:rPr>
          <w:rFonts w:cs="Arial"/>
          <w:color w:val="000000"/>
          <w:szCs w:val="16"/>
        </w:rPr>
        <w:t xml:space="preserve"> (o </w:t>
      </w:r>
      <w:r w:rsidR="0075396C" w:rsidRPr="00987E13">
        <w:rPr>
          <w:rFonts w:cs="Arial"/>
          <w:color w:val="000000"/>
          <w:szCs w:val="16"/>
        </w:rPr>
        <w:t>2</w:t>
      </w:r>
      <w:r w:rsidR="00987E13" w:rsidRPr="00987E13">
        <w:rPr>
          <w:rFonts w:cs="Arial"/>
          <w:color w:val="000000"/>
          <w:szCs w:val="16"/>
        </w:rPr>
        <w:t>,6 tis.</w:t>
      </w:r>
      <w:r w:rsidRPr="00987E13">
        <w:rPr>
          <w:rFonts w:cs="Arial"/>
          <w:color w:val="000000"/>
          <w:szCs w:val="16"/>
        </w:rPr>
        <w:t>). Ve srovnání s</w:t>
      </w:r>
      <w:r w:rsidR="0075396C" w:rsidRPr="00987E13">
        <w:rPr>
          <w:rFonts w:cs="Arial"/>
          <w:color w:val="000000"/>
          <w:szCs w:val="16"/>
        </w:rPr>
        <w:t> 1. pol. 201</w:t>
      </w:r>
      <w:r w:rsidR="008627B7">
        <w:rPr>
          <w:rFonts w:cs="Arial"/>
          <w:color w:val="000000"/>
          <w:szCs w:val="16"/>
        </w:rPr>
        <w:t>9</w:t>
      </w:r>
      <w:r w:rsidRPr="00987E13">
        <w:rPr>
          <w:rFonts w:cs="Arial"/>
          <w:color w:val="000000"/>
          <w:szCs w:val="16"/>
        </w:rPr>
        <w:t xml:space="preserve"> přibylo </w:t>
      </w:r>
      <w:r w:rsidR="008627B7">
        <w:rPr>
          <w:rFonts w:cs="Arial"/>
          <w:color w:val="000000"/>
          <w:szCs w:val="16"/>
        </w:rPr>
        <w:t>4</w:t>
      </w:r>
      <w:r w:rsidR="00987E13" w:rsidRPr="00987E13">
        <w:rPr>
          <w:rFonts w:cs="Arial"/>
          <w:color w:val="000000"/>
          <w:szCs w:val="16"/>
        </w:rPr>
        <w:t>9</w:t>
      </w:r>
      <w:r w:rsidRPr="00987E13">
        <w:rPr>
          <w:rFonts w:cs="Arial"/>
          <w:color w:val="000000"/>
          <w:szCs w:val="16"/>
        </w:rPr>
        <w:t xml:space="preserve"> tis. (tj. </w:t>
      </w:r>
      <w:r w:rsidR="008627B7">
        <w:rPr>
          <w:rFonts w:cs="Arial"/>
          <w:color w:val="000000"/>
          <w:szCs w:val="16"/>
        </w:rPr>
        <w:t>pětina</w:t>
      </w:r>
      <w:r w:rsidRPr="00987E13">
        <w:rPr>
          <w:rFonts w:cs="Arial"/>
          <w:color w:val="000000"/>
          <w:szCs w:val="16"/>
        </w:rPr>
        <w:t xml:space="preserve">) dočasně práce neschopných denně. Na </w:t>
      </w:r>
      <w:r w:rsidR="00216AD5" w:rsidRPr="00987E13">
        <w:rPr>
          <w:rFonts w:cs="Arial"/>
          <w:color w:val="000000"/>
          <w:szCs w:val="16"/>
        </w:rPr>
        <w:t xml:space="preserve">tomto </w:t>
      </w:r>
      <w:r w:rsidRPr="00987E13">
        <w:rPr>
          <w:rFonts w:cs="Arial"/>
          <w:color w:val="000000"/>
          <w:szCs w:val="16"/>
        </w:rPr>
        <w:t>nárůstu se podílely především ne</w:t>
      </w:r>
      <w:r w:rsidR="00537BCC" w:rsidRPr="00987E13">
        <w:rPr>
          <w:rFonts w:cs="Arial"/>
          <w:color w:val="000000"/>
          <w:szCs w:val="16"/>
        </w:rPr>
        <w:t>schopenky zapříčiněné nemocí (+</w:t>
      </w:r>
      <w:r w:rsidR="008627B7">
        <w:rPr>
          <w:rFonts w:cs="Arial"/>
          <w:color w:val="000000"/>
          <w:szCs w:val="16"/>
        </w:rPr>
        <w:t xml:space="preserve">47 tis.). </w:t>
      </w:r>
      <w:r w:rsidRPr="00987E13">
        <w:t>Vývoj hodnot ukazatele průměrný denní stav dočasně práce neschopných v posledních deseti letech je zřejmý z tabulky 2.10.</w:t>
      </w:r>
      <w:r w:rsidRPr="0075396C">
        <w:t xml:space="preserve"> </w:t>
      </w:r>
    </w:p>
    <w:p w14:paraId="3EB7D3E7" w14:textId="75A0E65E" w:rsidR="004D1BAD" w:rsidRPr="00D92E20" w:rsidRDefault="00537BCC" w:rsidP="00000A90">
      <w:pPr>
        <w:spacing w:after="0"/>
        <w:jc w:val="both"/>
        <w:rPr>
          <w:b/>
        </w:rPr>
      </w:pPr>
      <w:r w:rsidRPr="00D92E20">
        <w:rPr>
          <w:b/>
        </w:rPr>
        <w:t>Tab. 2.10: Průměrný denní stav dočasně práce neschopných</w:t>
      </w:r>
      <w:r w:rsidR="00330CDD" w:rsidRPr="00D92E20">
        <w:rPr>
          <w:b/>
        </w:rPr>
        <w:t xml:space="preserve"> podle příčiny a pohlaví</w:t>
      </w:r>
      <w:r w:rsidRPr="00D92E20">
        <w:rPr>
          <w:b/>
        </w:rPr>
        <w:t xml:space="preserve">, </w:t>
      </w:r>
      <w:r w:rsidR="00422B21">
        <w:rPr>
          <w:b/>
        </w:rPr>
        <w:br/>
      </w:r>
      <w:r w:rsidR="009F34CD" w:rsidRPr="0050059C">
        <w:rPr>
          <w:b/>
          <w:spacing w:val="-2"/>
        </w:rPr>
        <w:t>1. pol. 201</w:t>
      </w:r>
      <w:r w:rsidR="009F34CD">
        <w:rPr>
          <w:b/>
          <w:spacing w:val="-2"/>
        </w:rPr>
        <w:t>2</w:t>
      </w:r>
      <w:r w:rsidR="009F34CD" w:rsidRPr="0050059C">
        <w:rPr>
          <w:b/>
          <w:spacing w:val="-2"/>
        </w:rPr>
        <w:t xml:space="preserve"> až 1. pol. 202</w:t>
      </w:r>
      <w:r w:rsidR="009F34CD">
        <w:rPr>
          <w:b/>
          <w:spacing w:val="-2"/>
        </w:rPr>
        <w:t>2</w:t>
      </w:r>
      <w:r w:rsidR="009F34CD" w:rsidRPr="00D92E20">
        <w:rPr>
          <w:b/>
        </w:rPr>
        <w:t xml:space="preserve"> </w:t>
      </w:r>
      <w:r w:rsidRPr="00D92E20">
        <w:rPr>
          <w:b/>
        </w:rPr>
        <w:t>(v tis.)</w:t>
      </w:r>
    </w:p>
    <w:tbl>
      <w:tblPr>
        <w:tblW w:w="9542" w:type="dxa"/>
        <w:tblCellMar>
          <w:left w:w="70" w:type="dxa"/>
          <w:right w:w="70" w:type="dxa"/>
        </w:tblCellMar>
        <w:tblLook w:val="04A0" w:firstRow="1" w:lastRow="0" w:firstColumn="1" w:lastColumn="0" w:noHBand="0" w:noVBand="1"/>
      </w:tblPr>
      <w:tblGrid>
        <w:gridCol w:w="1009"/>
        <w:gridCol w:w="710"/>
        <w:gridCol w:w="703"/>
        <w:gridCol w:w="705"/>
        <w:gridCol w:w="707"/>
        <w:gridCol w:w="704"/>
        <w:gridCol w:w="705"/>
        <w:gridCol w:w="754"/>
        <w:gridCol w:w="709"/>
        <w:gridCol w:w="709"/>
        <w:gridCol w:w="709"/>
        <w:gridCol w:w="709"/>
        <w:gridCol w:w="709"/>
      </w:tblGrid>
      <w:tr w:rsidR="00422B21" w:rsidRPr="00D92E20" w14:paraId="5790EBFE" w14:textId="77777777" w:rsidTr="00350B58">
        <w:trPr>
          <w:trHeight w:val="296"/>
        </w:trPr>
        <w:tc>
          <w:tcPr>
            <w:tcW w:w="1009" w:type="dxa"/>
            <w:vMerge w:val="restart"/>
            <w:tcBorders>
              <w:top w:val="single" w:sz="4" w:space="0" w:color="auto"/>
              <w:left w:val="nil"/>
              <w:bottom w:val="single" w:sz="4" w:space="0" w:color="000000"/>
              <w:right w:val="nil"/>
            </w:tcBorders>
            <w:shd w:val="clear" w:color="000000" w:fill="F5DADD"/>
            <w:vAlign w:val="center"/>
            <w:hideMark/>
          </w:tcPr>
          <w:p w14:paraId="2D4913D2" w14:textId="62A10010" w:rsidR="00422B21" w:rsidRPr="00D92E20" w:rsidRDefault="00422B21" w:rsidP="00422B21">
            <w:pPr>
              <w:spacing w:after="0" w:line="240" w:lineRule="auto"/>
              <w:jc w:val="center"/>
              <w:rPr>
                <w:rFonts w:cs="Arial"/>
                <w:color w:val="000000"/>
                <w:sz w:val="16"/>
                <w:szCs w:val="16"/>
              </w:rPr>
            </w:pPr>
            <w:r>
              <w:rPr>
                <w:rFonts w:cs="Arial"/>
                <w:sz w:val="16"/>
                <w:szCs w:val="16"/>
              </w:rPr>
              <w:t>Období</w:t>
            </w:r>
          </w:p>
        </w:tc>
        <w:tc>
          <w:tcPr>
            <w:tcW w:w="710" w:type="dxa"/>
            <w:vMerge w:val="restart"/>
            <w:tcBorders>
              <w:top w:val="single" w:sz="4" w:space="0" w:color="auto"/>
              <w:left w:val="single" w:sz="4" w:space="0" w:color="auto"/>
              <w:bottom w:val="single" w:sz="4" w:space="0" w:color="000000"/>
              <w:right w:val="nil"/>
            </w:tcBorders>
            <w:shd w:val="clear" w:color="000000" w:fill="F2DBDB"/>
            <w:vAlign w:val="center"/>
            <w:hideMark/>
          </w:tcPr>
          <w:p w14:paraId="678A1D07" w14:textId="77777777" w:rsidR="00422B21" w:rsidRPr="00D92E20" w:rsidRDefault="00422B21" w:rsidP="00422B21">
            <w:pPr>
              <w:spacing w:after="0" w:line="240" w:lineRule="auto"/>
              <w:jc w:val="center"/>
              <w:rPr>
                <w:rFonts w:cs="Arial"/>
                <w:b/>
                <w:bCs/>
                <w:color w:val="000000"/>
                <w:sz w:val="16"/>
                <w:szCs w:val="16"/>
              </w:rPr>
            </w:pPr>
            <w:r w:rsidRPr="00D92E20">
              <w:rPr>
                <w:rFonts w:cs="Arial"/>
                <w:b/>
                <w:bCs/>
                <w:color w:val="000000"/>
                <w:sz w:val="16"/>
                <w:szCs w:val="16"/>
              </w:rPr>
              <w:t>Celkem</w:t>
            </w:r>
          </w:p>
        </w:tc>
        <w:tc>
          <w:tcPr>
            <w:tcW w:w="1408"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38888928"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podle pohlaví</w:t>
            </w:r>
          </w:p>
        </w:tc>
        <w:tc>
          <w:tcPr>
            <w:tcW w:w="707" w:type="dxa"/>
            <w:vMerge w:val="restart"/>
            <w:tcBorders>
              <w:top w:val="single" w:sz="4" w:space="0" w:color="auto"/>
              <w:left w:val="nil"/>
              <w:right w:val="nil"/>
            </w:tcBorders>
            <w:shd w:val="clear" w:color="000000" w:fill="F2DBDB"/>
            <w:vAlign w:val="center"/>
            <w:hideMark/>
          </w:tcPr>
          <w:p w14:paraId="6902A7C8"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Pro nemoc</w:t>
            </w:r>
          </w:p>
        </w:tc>
        <w:tc>
          <w:tcPr>
            <w:tcW w:w="1409"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25EBA536"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podle pohlaví</w:t>
            </w:r>
          </w:p>
        </w:tc>
        <w:tc>
          <w:tcPr>
            <w:tcW w:w="754" w:type="dxa"/>
            <w:vMerge w:val="restart"/>
            <w:tcBorders>
              <w:top w:val="single" w:sz="4" w:space="0" w:color="auto"/>
              <w:left w:val="single" w:sz="4" w:space="0" w:color="auto"/>
              <w:right w:val="nil"/>
            </w:tcBorders>
            <w:shd w:val="clear" w:color="000000" w:fill="F2DBDB"/>
            <w:vAlign w:val="center"/>
            <w:hideMark/>
          </w:tcPr>
          <w:p w14:paraId="5C2DBE44"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Pro pracovní úrazy</w:t>
            </w:r>
          </w:p>
        </w:tc>
        <w:tc>
          <w:tcPr>
            <w:tcW w:w="1418"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61E912A3"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podle pohlaví</w:t>
            </w:r>
          </w:p>
        </w:tc>
        <w:tc>
          <w:tcPr>
            <w:tcW w:w="709" w:type="dxa"/>
            <w:vMerge w:val="restart"/>
            <w:tcBorders>
              <w:top w:val="single" w:sz="4" w:space="0" w:color="auto"/>
              <w:left w:val="nil"/>
              <w:right w:val="nil"/>
            </w:tcBorders>
            <w:shd w:val="clear" w:color="000000" w:fill="F2DBDB"/>
            <w:vAlign w:val="center"/>
            <w:hideMark/>
          </w:tcPr>
          <w:p w14:paraId="457CF28C"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Pro ostatní úrazy</w:t>
            </w:r>
          </w:p>
        </w:tc>
        <w:tc>
          <w:tcPr>
            <w:tcW w:w="1418" w:type="dxa"/>
            <w:gridSpan w:val="2"/>
            <w:tcBorders>
              <w:top w:val="single" w:sz="4" w:space="0" w:color="auto"/>
              <w:left w:val="single" w:sz="4" w:space="0" w:color="auto"/>
              <w:bottom w:val="single" w:sz="4" w:space="0" w:color="auto"/>
            </w:tcBorders>
            <w:shd w:val="clear" w:color="000000" w:fill="F2DBDB"/>
            <w:vAlign w:val="center"/>
            <w:hideMark/>
          </w:tcPr>
          <w:p w14:paraId="6571BDF2"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podle pohlaví</w:t>
            </w:r>
          </w:p>
        </w:tc>
      </w:tr>
      <w:tr w:rsidR="00422B21" w:rsidRPr="00D92E20" w14:paraId="617A51DF" w14:textId="77777777" w:rsidTr="00350B58">
        <w:trPr>
          <w:trHeight w:val="385"/>
        </w:trPr>
        <w:tc>
          <w:tcPr>
            <w:tcW w:w="1009" w:type="dxa"/>
            <w:vMerge/>
            <w:tcBorders>
              <w:top w:val="single" w:sz="4" w:space="0" w:color="auto"/>
              <w:left w:val="nil"/>
              <w:bottom w:val="single" w:sz="4" w:space="0" w:color="000000"/>
              <w:right w:val="nil"/>
            </w:tcBorders>
            <w:vAlign w:val="center"/>
            <w:hideMark/>
          </w:tcPr>
          <w:p w14:paraId="6DBA4B82" w14:textId="77777777" w:rsidR="00422B21" w:rsidRPr="00D92E20" w:rsidRDefault="00422B21" w:rsidP="00422B21">
            <w:pPr>
              <w:spacing w:after="0" w:line="240" w:lineRule="auto"/>
              <w:rPr>
                <w:rFonts w:cs="Arial"/>
                <w:color w:val="000000"/>
                <w:sz w:val="16"/>
                <w:szCs w:val="16"/>
              </w:rPr>
            </w:pPr>
          </w:p>
        </w:tc>
        <w:tc>
          <w:tcPr>
            <w:tcW w:w="710" w:type="dxa"/>
            <w:vMerge/>
            <w:tcBorders>
              <w:top w:val="single" w:sz="4" w:space="0" w:color="auto"/>
              <w:left w:val="single" w:sz="4" w:space="0" w:color="auto"/>
              <w:bottom w:val="single" w:sz="4" w:space="0" w:color="000000"/>
              <w:right w:val="nil"/>
            </w:tcBorders>
            <w:vAlign w:val="center"/>
            <w:hideMark/>
          </w:tcPr>
          <w:p w14:paraId="1EEFAB12" w14:textId="77777777" w:rsidR="00422B21" w:rsidRPr="00D92E20" w:rsidRDefault="00422B21" w:rsidP="00422B21">
            <w:pPr>
              <w:spacing w:after="0" w:line="240" w:lineRule="auto"/>
              <w:rPr>
                <w:rFonts w:cs="Arial"/>
                <w:b/>
                <w:bCs/>
                <w:color w:val="000000"/>
                <w:sz w:val="16"/>
                <w:szCs w:val="16"/>
              </w:rPr>
            </w:pPr>
          </w:p>
        </w:tc>
        <w:tc>
          <w:tcPr>
            <w:tcW w:w="703" w:type="dxa"/>
            <w:tcBorders>
              <w:top w:val="nil"/>
              <w:left w:val="single" w:sz="4" w:space="0" w:color="auto"/>
              <w:bottom w:val="single" w:sz="4" w:space="0" w:color="auto"/>
              <w:right w:val="single" w:sz="4" w:space="0" w:color="auto"/>
            </w:tcBorders>
            <w:shd w:val="clear" w:color="000000" w:fill="F2DBDB"/>
            <w:vAlign w:val="center"/>
            <w:hideMark/>
          </w:tcPr>
          <w:p w14:paraId="6B829A4B"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muži</w:t>
            </w:r>
          </w:p>
        </w:tc>
        <w:tc>
          <w:tcPr>
            <w:tcW w:w="705" w:type="dxa"/>
            <w:tcBorders>
              <w:top w:val="nil"/>
              <w:left w:val="nil"/>
              <w:bottom w:val="single" w:sz="4" w:space="0" w:color="auto"/>
              <w:right w:val="single" w:sz="4" w:space="0" w:color="auto"/>
            </w:tcBorders>
            <w:shd w:val="clear" w:color="000000" w:fill="F2DBDB"/>
            <w:vAlign w:val="center"/>
            <w:hideMark/>
          </w:tcPr>
          <w:p w14:paraId="0C661766"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ženy</w:t>
            </w:r>
          </w:p>
        </w:tc>
        <w:tc>
          <w:tcPr>
            <w:tcW w:w="707" w:type="dxa"/>
            <w:vMerge/>
            <w:tcBorders>
              <w:left w:val="nil"/>
              <w:bottom w:val="single" w:sz="4" w:space="0" w:color="000000"/>
              <w:right w:val="nil"/>
            </w:tcBorders>
            <w:vAlign w:val="center"/>
            <w:hideMark/>
          </w:tcPr>
          <w:p w14:paraId="439C6A1D" w14:textId="77777777" w:rsidR="00422B21" w:rsidRPr="00D92E20" w:rsidRDefault="00422B21" w:rsidP="00422B21">
            <w:pPr>
              <w:spacing w:after="0" w:line="240" w:lineRule="auto"/>
              <w:rPr>
                <w:rFonts w:cs="Arial"/>
                <w:color w:val="000000"/>
                <w:sz w:val="16"/>
                <w:szCs w:val="16"/>
              </w:rPr>
            </w:pPr>
          </w:p>
        </w:tc>
        <w:tc>
          <w:tcPr>
            <w:tcW w:w="704" w:type="dxa"/>
            <w:tcBorders>
              <w:top w:val="nil"/>
              <w:left w:val="single" w:sz="4" w:space="0" w:color="auto"/>
              <w:bottom w:val="single" w:sz="4" w:space="0" w:color="auto"/>
              <w:right w:val="single" w:sz="4" w:space="0" w:color="auto"/>
            </w:tcBorders>
            <w:shd w:val="clear" w:color="000000" w:fill="F2DBDB"/>
            <w:vAlign w:val="center"/>
            <w:hideMark/>
          </w:tcPr>
          <w:p w14:paraId="629FAE01"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muži</w:t>
            </w:r>
          </w:p>
        </w:tc>
        <w:tc>
          <w:tcPr>
            <w:tcW w:w="705" w:type="dxa"/>
            <w:tcBorders>
              <w:top w:val="nil"/>
              <w:left w:val="nil"/>
              <w:bottom w:val="single" w:sz="4" w:space="0" w:color="auto"/>
              <w:right w:val="single" w:sz="4" w:space="0" w:color="auto"/>
            </w:tcBorders>
            <w:shd w:val="clear" w:color="000000" w:fill="F2DBDB"/>
            <w:vAlign w:val="center"/>
            <w:hideMark/>
          </w:tcPr>
          <w:p w14:paraId="22E3438B"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ženy</w:t>
            </w:r>
          </w:p>
        </w:tc>
        <w:tc>
          <w:tcPr>
            <w:tcW w:w="754" w:type="dxa"/>
            <w:vMerge/>
            <w:tcBorders>
              <w:left w:val="single" w:sz="4" w:space="0" w:color="auto"/>
              <w:bottom w:val="single" w:sz="4" w:space="0" w:color="000000"/>
              <w:right w:val="nil"/>
            </w:tcBorders>
            <w:vAlign w:val="center"/>
            <w:hideMark/>
          </w:tcPr>
          <w:p w14:paraId="03A2E38C" w14:textId="77777777" w:rsidR="00422B21" w:rsidRPr="00D92E20" w:rsidRDefault="00422B21" w:rsidP="00422B21">
            <w:pPr>
              <w:spacing w:after="0" w:line="240" w:lineRule="auto"/>
              <w:rPr>
                <w:rFonts w:cs="Arial"/>
                <w:color w:val="000000"/>
                <w:sz w:val="16"/>
                <w:szCs w:val="16"/>
              </w:rPr>
            </w:pPr>
          </w:p>
        </w:tc>
        <w:tc>
          <w:tcPr>
            <w:tcW w:w="709" w:type="dxa"/>
            <w:tcBorders>
              <w:top w:val="nil"/>
              <w:left w:val="single" w:sz="4" w:space="0" w:color="auto"/>
              <w:bottom w:val="single" w:sz="4" w:space="0" w:color="auto"/>
              <w:right w:val="single" w:sz="4" w:space="0" w:color="auto"/>
            </w:tcBorders>
            <w:shd w:val="clear" w:color="000000" w:fill="F2DBDB"/>
            <w:vAlign w:val="center"/>
            <w:hideMark/>
          </w:tcPr>
          <w:p w14:paraId="1B00203E"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muži</w:t>
            </w:r>
          </w:p>
        </w:tc>
        <w:tc>
          <w:tcPr>
            <w:tcW w:w="709" w:type="dxa"/>
            <w:tcBorders>
              <w:top w:val="nil"/>
              <w:left w:val="nil"/>
              <w:bottom w:val="single" w:sz="4" w:space="0" w:color="auto"/>
              <w:right w:val="single" w:sz="4" w:space="0" w:color="auto"/>
            </w:tcBorders>
            <w:shd w:val="clear" w:color="000000" w:fill="F2DBDB"/>
            <w:vAlign w:val="center"/>
            <w:hideMark/>
          </w:tcPr>
          <w:p w14:paraId="6EE1AEB5"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ženy</w:t>
            </w:r>
          </w:p>
        </w:tc>
        <w:tc>
          <w:tcPr>
            <w:tcW w:w="709" w:type="dxa"/>
            <w:vMerge/>
            <w:tcBorders>
              <w:left w:val="nil"/>
              <w:bottom w:val="single" w:sz="4" w:space="0" w:color="000000"/>
              <w:right w:val="nil"/>
            </w:tcBorders>
            <w:vAlign w:val="center"/>
            <w:hideMark/>
          </w:tcPr>
          <w:p w14:paraId="62F83AD5" w14:textId="77777777" w:rsidR="00422B21" w:rsidRPr="00D92E20" w:rsidRDefault="00422B21" w:rsidP="00422B21">
            <w:pPr>
              <w:spacing w:after="0" w:line="240" w:lineRule="auto"/>
              <w:rPr>
                <w:rFonts w:cs="Arial"/>
                <w:color w:val="000000"/>
                <w:sz w:val="16"/>
                <w:szCs w:val="16"/>
              </w:rPr>
            </w:pPr>
          </w:p>
        </w:tc>
        <w:tc>
          <w:tcPr>
            <w:tcW w:w="709" w:type="dxa"/>
            <w:tcBorders>
              <w:top w:val="nil"/>
              <w:left w:val="single" w:sz="4" w:space="0" w:color="auto"/>
              <w:bottom w:val="single" w:sz="4" w:space="0" w:color="auto"/>
              <w:right w:val="single" w:sz="4" w:space="0" w:color="auto"/>
            </w:tcBorders>
            <w:shd w:val="clear" w:color="000000" w:fill="F2DBDB"/>
            <w:vAlign w:val="center"/>
            <w:hideMark/>
          </w:tcPr>
          <w:p w14:paraId="67F5D891"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muži</w:t>
            </w:r>
          </w:p>
        </w:tc>
        <w:tc>
          <w:tcPr>
            <w:tcW w:w="709" w:type="dxa"/>
            <w:tcBorders>
              <w:top w:val="nil"/>
              <w:left w:val="nil"/>
              <w:bottom w:val="single" w:sz="4" w:space="0" w:color="auto"/>
              <w:right w:val="nil"/>
            </w:tcBorders>
            <w:shd w:val="clear" w:color="000000" w:fill="F2DBDB"/>
            <w:vAlign w:val="center"/>
            <w:hideMark/>
          </w:tcPr>
          <w:p w14:paraId="5D820EB0" w14:textId="77777777" w:rsidR="00422B21" w:rsidRPr="00D92E20" w:rsidRDefault="00422B21" w:rsidP="00422B21">
            <w:pPr>
              <w:spacing w:after="0" w:line="240" w:lineRule="auto"/>
              <w:jc w:val="center"/>
              <w:rPr>
                <w:rFonts w:cs="Arial"/>
                <w:color w:val="000000"/>
                <w:sz w:val="16"/>
                <w:szCs w:val="16"/>
              </w:rPr>
            </w:pPr>
            <w:r w:rsidRPr="00D92E20">
              <w:rPr>
                <w:rFonts w:cs="Arial"/>
                <w:color w:val="000000"/>
                <w:sz w:val="16"/>
                <w:szCs w:val="16"/>
              </w:rPr>
              <w:t>ženy</w:t>
            </w:r>
          </w:p>
        </w:tc>
      </w:tr>
      <w:tr w:rsidR="00987E13" w:rsidRPr="00D92E20" w14:paraId="2DDF13E6" w14:textId="77777777" w:rsidTr="00350B58">
        <w:trPr>
          <w:trHeight w:val="296"/>
        </w:trPr>
        <w:tc>
          <w:tcPr>
            <w:tcW w:w="1009" w:type="dxa"/>
            <w:tcBorders>
              <w:top w:val="nil"/>
              <w:left w:val="nil"/>
              <w:bottom w:val="nil"/>
              <w:right w:val="nil"/>
            </w:tcBorders>
            <w:shd w:val="clear" w:color="auto" w:fill="auto"/>
            <w:vAlign w:val="center"/>
            <w:hideMark/>
          </w:tcPr>
          <w:p w14:paraId="2CA3D358" w14:textId="6A597595" w:rsidR="00987E13" w:rsidRPr="00D92E20" w:rsidRDefault="00987E13" w:rsidP="00987E13">
            <w:pPr>
              <w:spacing w:after="0" w:line="240" w:lineRule="auto"/>
              <w:jc w:val="center"/>
              <w:rPr>
                <w:rFonts w:cs="Arial"/>
                <w:color w:val="000000"/>
                <w:sz w:val="16"/>
                <w:szCs w:val="16"/>
              </w:rPr>
            </w:pPr>
            <w:r>
              <w:rPr>
                <w:rFonts w:cs="Arial"/>
                <w:sz w:val="16"/>
                <w:szCs w:val="16"/>
              </w:rPr>
              <w:t>1. pol. 2012</w:t>
            </w:r>
          </w:p>
        </w:tc>
        <w:tc>
          <w:tcPr>
            <w:tcW w:w="710" w:type="dxa"/>
            <w:tcBorders>
              <w:top w:val="nil"/>
              <w:left w:val="single" w:sz="4" w:space="0" w:color="auto"/>
              <w:bottom w:val="nil"/>
              <w:right w:val="nil"/>
            </w:tcBorders>
            <w:shd w:val="clear" w:color="auto" w:fill="auto"/>
            <w:vAlign w:val="center"/>
            <w:hideMark/>
          </w:tcPr>
          <w:p w14:paraId="23EFB00F" w14:textId="0941CF5E" w:rsidR="00987E13" w:rsidRPr="00D92E20" w:rsidRDefault="00987E13" w:rsidP="00987E13">
            <w:pPr>
              <w:spacing w:after="0" w:line="240" w:lineRule="auto"/>
              <w:jc w:val="center"/>
              <w:rPr>
                <w:rFonts w:cs="Arial"/>
                <w:color w:val="000000"/>
                <w:sz w:val="16"/>
                <w:szCs w:val="16"/>
              </w:rPr>
            </w:pPr>
            <w:r>
              <w:rPr>
                <w:rFonts w:cs="Arial"/>
                <w:sz w:val="16"/>
                <w:szCs w:val="16"/>
              </w:rPr>
              <w:t>159,2</w:t>
            </w:r>
          </w:p>
        </w:tc>
        <w:tc>
          <w:tcPr>
            <w:tcW w:w="703" w:type="dxa"/>
            <w:tcBorders>
              <w:top w:val="nil"/>
              <w:left w:val="nil"/>
              <w:bottom w:val="nil"/>
              <w:right w:val="nil"/>
            </w:tcBorders>
            <w:shd w:val="clear" w:color="auto" w:fill="auto"/>
            <w:vAlign w:val="center"/>
            <w:hideMark/>
          </w:tcPr>
          <w:p w14:paraId="3D42082A" w14:textId="3B95BC61" w:rsidR="00987E13" w:rsidRPr="00D92E20" w:rsidRDefault="00987E13" w:rsidP="00987E13">
            <w:pPr>
              <w:spacing w:after="0" w:line="240" w:lineRule="auto"/>
              <w:jc w:val="center"/>
              <w:rPr>
                <w:rFonts w:cs="Arial"/>
                <w:color w:val="000000"/>
                <w:sz w:val="16"/>
                <w:szCs w:val="16"/>
              </w:rPr>
            </w:pPr>
            <w:r>
              <w:rPr>
                <w:rFonts w:cs="Arial"/>
                <w:sz w:val="16"/>
                <w:szCs w:val="16"/>
              </w:rPr>
              <w:t>73,7</w:t>
            </w:r>
          </w:p>
        </w:tc>
        <w:tc>
          <w:tcPr>
            <w:tcW w:w="705" w:type="dxa"/>
            <w:tcBorders>
              <w:top w:val="nil"/>
              <w:left w:val="nil"/>
              <w:bottom w:val="nil"/>
              <w:right w:val="single" w:sz="4" w:space="0" w:color="auto"/>
            </w:tcBorders>
            <w:shd w:val="clear" w:color="auto" w:fill="auto"/>
            <w:vAlign w:val="center"/>
            <w:hideMark/>
          </w:tcPr>
          <w:p w14:paraId="29400F7F" w14:textId="1E4D95B7" w:rsidR="00987E13" w:rsidRPr="00D92E20" w:rsidRDefault="00987E13" w:rsidP="00987E13">
            <w:pPr>
              <w:spacing w:after="0" w:line="240" w:lineRule="auto"/>
              <w:jc w:val="center"/>
              <w:rPr>
                <w:rFonts w:cs="Arial"/>
                <w:color w:val="000000"/>
                <w:sz w:val="16"/>
                <w:szCs w:val="16"/>
              </w:rPr>
            </w:pPr>
            <w:r>
              <w:rPr>
                <w:rFonts w:cs="Arial"/>
                <w:sz w:val="16"/>
                <w:szCs w:val="16"/>
              </w:rPr>
              <w:t>85,5</w:t>
            </w:r>
          </w:p>
        </w:tc>
        <w:tc>
          <w:tcPr>
            <w:tcW w:w="707" w:type="dxa"/>
            <w:tcBorders>
              <w:top w:val="nil"/>
              <w:left w:val="nil"/>
              <w:bottom w:val="nil"/>
              <w:right w:val="nil"/>
            </w:tcBorders>
            <w:shd w:val="clear" w:color="auto" w:fill="auto"/>
            <w:vAlign w:val="center"/>
            <w:hideMark/>
          </w:tcPr>
          <w:p w14:paraId="199F459E" w14:textId="2B46BD4C" w:rsidR="00987E13" w:rsidRPr="00D92E20" w:rsidRDefault="00987E13" w:rsidP="00987E13">
            <w:pPr>
              <w:spacing w:after="0" w:line="240" w:lineRule="auto"/>
              <w:jc w:val="center"/>
              <w:rPr>
                <w:rFonts w:cs="Arial"/>
                <w:color w:val="000000"/>
                <w:sz w:val="16"/>
                <w:szCs w:val="16"/>
              </w:rPr>
            </w:pPr>
            <w:r>
              <w:rPr>
                <w:rFonts w:cs="Arial"/>
                <w:sz w:val="16"/>
                <w:szCs w:val="16"/>
              </w:rPr>
              <w:t>135,6</w:t>
            </w:r>
          </w:p>
        </w:tc>
        <w:tc>
          <w:tcPr>
            <w:tcW w:w="704" w:type="dxa"/>
            <w:tcBorders>
              <w:top w:val="nil"/>
              <w:left w:val="nil"/>
              <w:bottom w:val="nil"/>
              <w:right w:val="nil"/>
            </w:tcBorders>
            <w:shd w:val="clear" w:color="auto" w:fill="auto"/>
            <w:vAlign w:val="center"/>
            <w:hideMark/>
          </w:tcPr>
          <w:p w14:paraId="0E3E8702" w14:textId="40617A3B" w:rsidR="00987E13" w:rsidRPr="00D92E20" w:rsidRDefault="00987E13" w:rsidP="00987E13">
            <w:pPr>
              <w:spacing w:after="0" w:line="240" w:lineRule="auto"/>
              <w:jc w:val="center"/>
              <w:rPr>
                <w:rFonts w:cs="Arial"/>
                <w:color w:val="000000"/>
                <w:sz w:val="16"/>
                <w:szCs w:val="16"/>
              </w:rPr>
            </w:pPr>
            <w:r>
              <w:rPr>
                <w:rFonts w:cs="Arial"/>
                <w:sz w:val="16"/>
                <w:szCs w:val="16"/>
              </w:rPr>
              <w:t>58,2</w:t>
            </w:r>
          </w:p>
        </w:tc>
        <w:tc>
          <w:tcPr>
            <w:tcW w:w="705" w:type="dxa"/>
            <w:tcBorders>
              <w:top w:val="nil"/>
              <w:left w:val="nil"/>
              <w:bottom w:val="nil"/>
              <w:right w:val="nil"/>
            </w:tcBorders>
            <w:shd w:val="clear" w:color="auto" w:fill="auto"/>
            <w:vAlign w:val="center"/>
            <w:hideMark/>
          </w:tcPr>
          <w:p w14:paraId="0FCE0B95" w14:textId="314A0397" w:rsidR="00987E13" w:rsidRPr="00D92E20" w:rsidRDefault="00987E13" w:rsidP="00987E13">
            <w:pPr>
              <w:spacing w:after="0" w:line="240" w:lineRule="auto"/>
              <w:jc w:val="center"/>
              <w:rPr>
                <w:rFonts w:cs="Arial"/>
                <w:color w:val="000000"/>
                <w:sz w:val="16"/>
                <w:szCs w:val="16"/>
              </w:rPr>
            </w:pPr>
            <w:r>
              <w:rPr>
                <w:rFonts w:cs="Arial"/>
                <w:sz w:val="16"/>
                <w:szCs w:val="16"/>
              </w:rPr>
              <w:t>77,3</w:t>
            </w:r>
          </w:p>
        </w:tc>
        <w:tc>
          <w:tcPr>
            <w:tcW w:w="754" w:type="dxa"/>
            <w:tcBorders>
              <w:top w:val="nil"/>
              <w:left w:val="single" w:sz="4" w:space="0" w:color="auto"/>
              <w:bottom w:val="nil"/>
              <w:right w:val="nil"/>
            </w:tcBorders>
            <w:shd w:val="clear" w:color="auto" w:fill="auto"/>
            <w:vAlign w:val="center"/>
            <w:hideMark/>
          </w:tcPr>
          <w:p w14:paraId="6E9EFAEA" w14:textId="4C834D7A" w:rsidR="00987E13" w:rsidRPr="00D92E20" w:rsidRDefault="00987E13" w:rsidP="00987E13">
            <w:pPr>
              <w:spacing w:after="0" w:line="240" w:lineRule="auto"/>
              <w:jc w:val="center"/>
              <w:rPr>
                <w:rFonts w:cs="Arial"/>
                <w:color w:val="000000"/>
                <w:sz w:val="16"/>
                <w:szCs w:val="16"/>
              </w:rPr>
            </w:pPr>
            <w:r>
              <w:rPr>
                <w:rFonts w:cs="Arial"/>
                <w:sz w:val="16"/>
                <w:szCs w:val="16"/>
              </w:rPr>
              <w:t>6,9</w:t>
            </w:r>
          </w:p>
        </w:tc>
        <w:tc>
          <w:tcPr>
            <w:tcW w:w="709" w:type="dxa"/>
            <w:tcBorders>
              <w:top w:val="nil"/>
              <w:left w:val="nil"/>
              <w:bottom w:val="nil"/>
              <w:right w:val="nil"/>
            </w:tcBorders>
            <w:shd w:val="clear" w:color="auto" w:fill="auto"/>
            <w:vAlign w:val="center"/>
            <w:hideMark/>
          </w:tcPr>
          <w:p w14:paraId="640CCE27" w14:textId="0C642E4B" w:rsidR="00987E13" w:rsidRPr="00D92E20" w:rsidRDefault="00987E13" w:rsidP="00987E13">
            <w:pPr>
              <w:spacing w:after="0" w:line="240" w:lineRule="auto"/>
              <w:jc w:val="center"/>
              <w:rPr>
                <w:rFonts w:cs="Arial"/>
                <w:color w:val="000000"/>
                <w:sz w:val="16"/>
                <w:szCs w:val="16"/>
              </w:rPr>
            </w:pPr>
            <w:r>
              <w:rPr>
                <w:rFonts w:cs="Arial"/>
                <w:sz w:val="16"/>
                <w:szCs w:val="16"/>
              </w:rPr>
              <w:t>4,9</w:t>
            </w:r>
          </w:p>
        </w:tc>
        <w:tc>
          <w:tcPr>
            <w:tcW w:w="709" w:type="dxa"/>
            <w:tcBorders>
              <w:top w:val="nil"/>
              <w:left w:val="nil"/>
              <w:bottom w:val="nil"/>
              <w:right w:val="single" w:sz="4" w:space="0" w:color="auto"/>
            </w:tcBorders>
            <w:shd w:val="clear" w:color="auto" w:fill="auto"/>
            <w:vAlign w:val="center"/>
            <w:hideMark/>
          </w:tcPr>
          <w:p w14:paraId="5A4DA4C7" w14:textId="01192FE7" w:rsidR="00987E13" w:rsidRPr="00D92E20" w:rsidRDefault="00987E13" w:rsidP="00987E13">
            <w:pPr>
              <w:spacing w:after="0" w:line="240" w:lineRule="auto"/>
              <w:jc w:val="center"/>
              <w:rPr>
                <w:rFonts w:cs="Arial"/>
                <w:color w:val="000000"/>
                <w:sz w:val="16"/>
                <w:szCs w:val="16"/>
              </w:rPr>
            </w:pPr>
            <w:r>
              <w:rPr>
                <w:rFonts w:cs="Arial"/>
                <w:sz w:val="16"/>
                <w:szCs w:val="16"/>
              </w:rPr>
              <w:t>2,0</w:t>
            </w:r>
          </w:p>
        </w:tc>
        <w:tc>
          <w:tcPr>
            <w:tcW w:w="709" w:type="dxa"/>
            <w:tcBorders>
              <w:top w:val="nil"/>
              <w:left w:val="nil"/>
              <w:bottom w:val="nil"/>
              <w:right w:val="nil"/>
            </w:tcBorders>
            <w:shd w:val="clear" w:color="auto" w:fill="auto"/>
            <w:vAlign w:val="center"/>
            <w:hideMark/>
          </w:tcPr>
          <w:p w14:paraId="6FB754BC" w14:textId="076C4120" w:rsidR="00987E13" w:rsidRPr="00D92E20" w:rsidRDefault="00987E13" w:rsidP="00987E13">
            <w:pPr>
              <w:spacing w:after="0" w:line="240" w:lineRule="auto"/>
              <w:jc w:val="center"/>
              <w:rPr>
                <w:rFonts w:cs="Arial"/>
                <w:color w:val="000000"/>
                <w:sz w:val="16"/>
                <w:szCs w:val="16"/>
              </w:rPr>
            </w:pPr>
            <w:r>
              <w:rPr>
                <w:rFonts w:cs="Arial"/>
                <w:sz w:val="16"/>
                <w:szCs w:val="16"/>
              </w:rPr>
              <w:t>16,7</w:t>
            </w:r>
          </w:p>
        </w:tc>
        <w:tc>
          <w:tcPr>
            <w:tcW w:w="709" w:type="dxa"/>
            <w:tcBorders>
              <w:top w:val="nil"/>
              <w:left w:val="nil"/>
              <w:bottom w:val="nil"/>
              <w:right w:val="nil"/>
            </w:tcBorders>
            <w:shd w:val="clear" w:color="auto" w:fill="auto"/>
            <w:vAlign w:val="center"/>
            <w:hideMark/>
          </w:tcPr>
          <w:p w14:paraId="673AA675" w14:textId="49D17124" w:rsidR="00987E13" w:rsidRPr="00D92E20" w:rsidRDefault="00987E13" w:rsidP="00987E13">
            <w:pPr>
              <w:spacing w:after="0" w:line="240" w:lineRule="auto"/>
              <w:jc w:val="center"/>
              <w:rPr>
                <w:rFonts w:cs="Arial"/>
                <w:color w:val="000000"/>
                <w:sz w:val="16"/>
                <w:szCs w:val="16"/>
              </w:rPr>
            </w:pPr>
            <w:r>
              <w:rPr>
                <w:rFonts w:cs="Arial"/>
                <w:sz w:val="16"/>
                <w:szCs w:val="16"/>
              </w:rPr>
              <w:t>9,7</w:t>
            </w:r>
          </w:p>
        </w:tc>
        <w:tc>
          <w:tcPr>
            <w:tcW w:w="709" w:type="dxa"/>
            <w:tcBorders>
              <w:top w:val="nil"/>
              <w:left w:val="nil"/>
              <w:bottom w:val="nil"/>
              <w:right w:val="nil"/>
            </w:tcBorders>
            <w:shd w:val="clear" w:color="auto" w:fill="auto"/>
            <w:vAlign w:val="center"/>
            <w:hideMark/>
          </w:tcPr>
          <w:p w14:paraId="5010C193" w14:textId="0B36A44C" w:rsidR="00987E13" w:rsidRPr="00D92E20" w:rsidRDefault="00987E13" w:rsidP="00987E13">
            <w:pPr>
              <w:spacing w:after="0" w:line="240" w:lineRule="auto"/>
              <w:jc w:val="center"/>
              <w:rPr>
                <w:rFonts w:cs="Arial"/>
                <w:color w:val="000000"/>
                <w:sz w:val="16"/>
                <w:szCs w:val="16"/>
              </w:rPr>
            </w:pPr>
            <w:r>
              <w:rPr>
                <w:rFonts w:cs="Arial"/>
                <w:sz w:val="16"/>
                <w:szCs w:val="16"/>
              </w:rPr>
              <w:t>7,1</w:t>
            </w:r>
          </w:p>
        </w:tc>
      </w:tr>
      <w:tr w:rsidR="00987E13" w:rsidRPr="00D92E20" w14:paraId="3A13D752" w14:textId="77777777" w:rsidTr="00350B58">
        <w:trPr>
          <w:trHeight w:val="296"/>
        </w:trPr>
        <w:tc>
          <w:tcPr>
            <w:tcW w:w="1009" w:type="dxa"/>
            <w:tcBorders>
              <w:top w:val="nil"/>
              <w:left w:val="nil"/>
              <w:bottom w:val="nil"/>
              <w:right w:val="nil"/>
            </w:tcBorders>
            <w:shd w:val="clear" w:color="auto" w:fill="auto"/>
            <w:vAlign w:val="center"/>
            <w:hideMark/>
          </w:tcPr>
          <w:p w14:paraId="620B1CD1" w14:textId="067A7C11" w:rsidR="00987E13" w:rsidRPr="00D92E20" w:rsidRDefault="00987E13" w:rsidP="00987E13">
            <w:pPr>
              <w:spacing w:after="0" w:line="240" w:lineRule="auto"/>
              <w:jc w:val="center"/>
              <w:rPr>
                <w:rFonts w:cs="Arial"/>
                <w:color w:val="000000"/>
                <w:sz w:val="16"/>
                <w:szCs w:val="16"/>
              </w:rPr>
            </w:pPr>
            <w:r>
              <w:rPr>
                <w:rFonts w:cs="Arial"/>
                <w:sz w:val="16"/>
                <w:szCs w:val="16"/>
              </w:rPr>
              <w:t>1. pol. 2013</w:t>
            </w:r>
          </w:p>
        </w:tc>
        <w:tc>
          <w:tcPr>
            <w:tcW w:w="710" w:type="dxa"/>
            <w:tcBorders>
              <w:top w:val="nil"/>
              <w:left w:val="single" w:sz="4" w:space="0" w:color="auto"/>
              <w:bottom w:val="nil"/>
              <w:right w:val="nil"/>
            </w:tcBorders>
            <w:shd w:val="clear" w:color="auto" w:fill="auto"/>
            <w:vAlign w:val="center"/>
            <w:hideMark/>
          </w:tcPr>
          <w:p w14:paraId="5F5D7BF4" w14:textId="3CAF8119" w:rsidR="00987E13" w:rsidRPr="00D92E20" w:rsidRDefault="00987E13" w:rsidP="00987E13">
            <w:pPr>
              <w:spacing w:after="0" w:line="240" w:lineRule="auto"/>
              <w:jc w:val="center"/>
              <w:rPr>
                <w:rFonts w:cs="Arial"/>
                <w:color w:val="000000"/>
                <w:sz w:val="16"/>
                <w:szCs w:val="16"/>
              </w:rPr>
            </w:pPr>
            <w:r>
              <w:rPr>
                <w:rFonts w:cs="Arial"/>
                <w:sz w:val="16"/>
                <w:szCs w:val="16"/>
              </w:rPr>
              <w:t>176,1</w:t>
            </w:r>
          </w:p>
        </w:tc>
        <w:tc>
          <w:tcPr>
            <w:tcW w:w="703" w:type="dxa"/>
            <w:tcBorders>
              <w:top w:val="nil"/>
              <w:left w:val="nil"/>
              <w:bottom w:val="nil"/>
              <w:right w:val="nil"/>
            </w:tcBorders>
            <w:shd w:val="clear" w:color="auto" w:fill="auto"/>
            <w:vAlign w:val="center"/>
            <w:hideMark/>
          </w:tcPr>
          <w:p w14:paraId="20692D6A" w14:textId="5B0210BD" w:rsidR="00987E13" w:rsidRPr="00D92E20" w:rsidRDefault="00987E13" w:rsidP="00987E13">
            <w:pPr>
              <w:spacing w:after="0" w:line="240" w:lineRule="auto"/>
              <w:jc w:val="center"/>
              <w:rPr>
                <w:rFonts w:cs="Arial"/>
                <w:color w:val="000000"/>
                <w:sz w:val="16"/>
                <w:szCs w:val="16"/>
              </w:rPr>
            </w:pPr>
            <w:r>
              <w:rPr>
                <w:rFonts w:cs="Arial"/>
                <w:sz w:val="16"/>
                <w:szCs w:val="16"/>
              </w:rPr>
              <w:t>81,6</w:t>
            </w:r>
          </w:p>
        </w:tc>
        <w:tc>
          <w:tcPr>
            <w:tcW w:w="705" w:type="dxa"/>
            <w:tcBorders>
              <w:top w:val="nil"/>
              <w:left w:val="nil"/>
              <w:bottom w:val="nil"/>
              <w:right w:val="single" w:sz="4" w:space="0" w:color="auto"/>
            </w:tcBorders>
            <w:shd w:val="clear" w:color="auto" w:fill="auto"/>
            <w:vAlign w:val="center"/>
            <w:hideMark/>
          </w:tcPr>
          <w:p w14:paraId="7DFFF2F4" w14:textId="7F259684" w:rsidR="00987E13" w:rsidRPr="00D92E20" w:rsidRDefault="00987E13" w:rsidP="00987E13">
            <w:pPr>
              <w:spacing w:after="0" w:line="240" w:lineRule="auto"/>
              <w:jc w:val="center"/>
              <w:rPr>
                <w:rFonts w:cs="Arial"/>
                <w:color w:val="000000"/>
                <w:sz w:val="16"/>
                <w:szCs w:val="16"/>
              </w:rPr>
            </w:pPr>
            <w:r>
              <w:rPr>
                <w:rFonts w:cs="Arial"/>
                <w:sz w:val="16"/>
                <w:szCs w:val="16"/>
              </w:rPr>
              <w:t>94,5</w:t>
            </w:r>
          </w:p>
        </w:tc>
        <w:tc>
          <w:tcPr>
            <w:tcW w:w="707" w:type="dxa"/>
            <w:tcBorders>
              <w:top w:val="nil"/>
              <w:left w:val="nil"/>
              <w:bottom w:val="nil"/>
              <w:right w:val="nil"/>
            </w:tcBorders>
            <w:shd w:val="clear" w:color="auto" w:fill="auto"/>
            <w:vAlign w:val="center"/>
            <w:hideMark/>
          </w:tcPr>
          <w:p w14:paraId="5F18645D" w14:textId="4F8AD9B2" w:rsidR="00987E13" w:rsidRPr="00D92E20" w:rsidRDefault="00987E13" w:rsidP="00987E13">
            <w:pPr>
              <w:spacing w:after="0" w:line="240" w:lineRule="auto"/>
              <w:jc w:val="center"/>
              <w:rPr>
                <w:rFonts w:cs="Arial"/>
                <w:color w:val="000000"/>
                <w:sz w:val="16"/>
                <w:szCs w:val="16"/>
              </w:rPr>
            </w:pPr>
            <w:r>
              <w:rPr>
                <w:rFonts w:cs="Arial"/>
                <w:sz w:val="16"/>
                <w:szCs w:val="16"/>
              </w:rPr>
              <w:t>150,6</w:t>
            </w:r>
          </w:p>
        </w:tc>
        <w:tc>
          <w:tcPr>
            <w:tcW w:w="704" w:type="dxa"/>
            <w:tcBorders>
              <w:top w:val="nil"/>
              <w:left w:val="nil"/>
              <w:bottom w:val="nil"/>
              <w:right w:val="nil"/>
            </w:tcBorders>
            <w:shd w:val="clear" w:color="auto" w:fill="auto"/>
            <w:vAlign w:val="center"/>
            <w:hideMark/>
          </w:tcPr>
          <w:p w14:paraId="45CF2903" w14:textId="3345D949" w:rsidR="00987E13" w:rsidRPr="00D92E20" w:rsidRDefault="00987E13" w:rsidP="00987E13">
            <w:pPr>
              <w:spacing w:after="0" w:line="240" w:lineRule="auto"/>
              <w:jc w:val="center"/>
              <w:rPr>
                <w:rFonts w:cs="Arial"/>
                <w:color w:val="000000"/>
                <w:sz w:val="16"/>
                <w:szCs w:val="16"/>
              </w:rPr>
            </w:pPr>
            <w:r>
              <w:rPr>
                <w:rFonts w:cs="Arial"/>
                <w:sz w:val="16"/>
                <w:szCs w:val="16"/>
              </w:rPr>
              <w:t>65,2</w:t>
            </w:r>
          </w:p>
        </w:tc>
        <w:tc>
          <w:tcPr>
            <w:tcW w:w="705" w:type="dxa"/>
            <w:tcBorders>
              <w:top w:val="nil"/>
              <w:left w:val="nil"/>
              <w:bottom w:val="nil"/>
              <w:right w:val="nil"/>
            </w:tcBorders>
            <w:shd w:val="clear" w:color="auto" w:fill="auto"/>
            <w:vAlign w:val="center"/>
            <w:hideMark/>
          </w:tcPr>
          <w:p w14:paraId="37654124" w14:textId="355FB73E" w:rsidR="00987E13" w:rsidRPr="00D92E20" w:rsidRDefault="00987E13" w:rsidP="00987E13">
            <w:pPr>
              <w:spacing w:after="0" w:line="240" w:lineRule="auto"/>
              <w:jc w:val="center"/>
              <w:rPr>
                <w:rFonts w:cs="Arial"/>
                <w:color w:val="000000"/>
                <w:sz w:val="16"/>
                <w:szCs w:val="16"/>
              </w:rPr>
            </w:pPr>
            <w:r>
              <w:rPr>
                <w:rFonts w:cs="Arial"/>
                <w:sz w:val="16"/>
                <w:szCs w:val="16"/>
              </w:rPr>
              <w:t>85,3</w:t>
            </w:r>
          </w:p>
        </w:tc>
        <w:tc>
          <w:tcPr>
            <w:tcW w:w="754" w:type="dxa"/>
            <w:tcBorders>
              <w:top w:val="nil"/>
              <w:left w:val="single" w:sz="4" w:space="0" w:color="auto"/>
              <w:bottom w:val="nil"/>
              <w:right w:val="nil"/>
            </w:tcBorders>
            <w:shd w:val="clear" w:color="auto" w:fill="auto"/>
            <w:vAlign w:val="center"/>
            <w:hideMark/>
          </w:tcPr>
          <w:p w14:paraId="4280CEE1" w14:textId="52B1D325" w:rsidR="00987E13" w:rsidRPr="00D92E20" w:rsidRDefault="00987E13" w:rsidP="00987E13">
            <w:pPr>
              <w:spacing w:after="0" w:line="240" w:lineRule="auto"/>
              <w:jc w:val="center"/>
              <w:rPr>
                <w:rFonts w:cs="Arial"/>
                <w:color w:val="000000"/>
                <w:sz w:val="16"/>
                <w:szCs w:val="16"/>
              </w:rPr>
            </w:pPr>
            <w:r>
              <w:rPr>
                <w:rFonts w:cs="Arial"/>
                <w:sz w:val="16"/>
                <w:szCs w:val="16"/>
              </w:rPr>
              <w:t>6,8</w:t>
            </w:r>
          </w:p>
        </w:tc>
        <w:tc>
          <w:tcPr>
            <w:tcW w:w="709" w:type="dxa"/>
            <w:tcBorders>
              <w:top w:val="nil"/>
              <w:left w:val="nil"/>
              <w:bottom w:val="nil"/>
              <w:right w:val="nil"/>
            </w:tcBorders>
            <w:shd w:val="clear" w:color="auto" w:fill="auto"/>
            <w:vAlign w:val="center"/>
            <w:hideMark/>
          </w:tcPr>
          <w:p w14:paraId="628D6E8B" w14:textId="4DD3E738" w:rsidR="00987E13" w:rsidRPr="00D92E20" w:rsidRDefault="00987E13" w:rsidP="00987E13">
            <w:pPr>
              <w:spacing w:after="0" w:line="240" w:lineRule="auto"/>
              <w:jc w:val="center"/>
              <w:rPr>
                <w:rFonts w:cs="Arial"/>
                <w:color w:val="000000"/>
                <w:sz w:val="16"/>
                <w:szCs w:val="16"/>
              </w:rPr>
            </w:pPr>
            <w:r>
              <w:rPr>
                <w:rFonts w:cs="Arial"/>
                <w:sz w:val="16"/>
                <w:szCs w:val="16"/>
              </w:rPr>
              <w:t>4,8</w:t>
            </w:r>
          </w:p>
        </w:tc>
        <w:tc>
          <w:tcPr>
            <w:tcW w:w="709" w:type="dxa"/>
            <w:tcBorders>
              <w:top w:val="nil"/>
              <w:left w:val="nil"/>
              <w:bottom w:val="nil"/>
              <w:right w:val="single" w:sz="4" w:space="0" w:color="auto"/>
            </w:tcBorders>
            <w:shd w:val="clear" w:color="auto" w:fill="auto"/>
            <w:vAlign w:val="center"/>
            <w:hideMark/>
          </w:tcPr>
          <w:p w14:paraId="66D6BE68" w14:textId="7D9A70E0" w:rsidR="00987E13" w:rsidRPr="00D92E20" w:rsidRDefault="00987E13" w:rsidP="00987E13">
            <w:pPr>
              <w:spacing w:after="0" w:line="240" w:lineRule="auto"/>
              <w:jc w:val="center"/>
              <w:rPr>
                <w:rFonts w:cs="Arial"/>
                <w:color w:val="000000"/>
                <w:sz w:val="16"/>
                <w:szCs w:val="16"/>
              </w:rPr>
            </w:pPr>
            <w:r>
              <w:rPr>
                <w:rFonts w:cs="Arial"/>
                <w:sz w:val="16"/>
                <w:szCs w:val="16"/>
              </w:rPr>
              <w:t>2,1</w:t>
            </w:r>
          </w:p>
        </w:tc>
        <w:tc>
          <w:tcPr>
            <w:tcW w:w="709" w:type="dxa"/>
            <w:tcBorders>
              <w:top w:val="nil"/>
              <w:left w:val="nil"/>
              <w:bottom w:val="nil"/>
              <w:right w:val="nil"/>
            </w:tcBorders>
            <w:shd w:val="clear" w:color="auto" w:fill="auto"/>
            <w:vAlign w:val="center"/>
            <w:hideMark/>
          </w:tcPr>
          <w:p w14:paraId="57539BE8" w14:textId="14F919CC" w:rsidR="00987E13" w:rsidRPr="00D92E20" w:rsidRDefault="00987E13" w:rsidP="00987E13">
            <w:pPr>
              <w:spacing w:after="0" w:line="240" w:lineRule="auto"/>
              <w:jc w:val="center"/>
              <w:rPr>
                <w:rFonts w:cs="Arial"/>
                <w:color w:val="000000"/>
                <w:sz w:val="16"/>
                <w:szCs w:val="16"/>
              </w:rPr>
            </w:pPr>
            <w:r>
              <w:rPr>
                <w:rFonts w:cs="Arial"/>
                <w:sz w:val="16"/>
                <w:szCs w:val="16"/>
              </w:rPr>
              <w:t>18,7</w:t>
            </w:r>
          </w:p>
        </w:tc>
        <w:tc>
          <w:tcPr>
            <w:tcW w:w="709" w:type="dxa"/>
            <w:tcBorders>
              <w:top w:val="nil"/>
              <w:left w:val="nil"/>
              <w:bottom w:val="nil"/>
              <w:right w:val="nil"/>
            </w:tcBorders>
            <w:shd w:val="clear" w:color="auto" w:fill="auto"/>
            <w:vAlign w:val="center"/>
            <w:hideMark/>
          </w:tcPr>
          <w:p w14:paraId="3D910459" w14:textId="6E480576" w:rsidR="00987E13" w:rsidRPr="00D92E20" w:rsidRDefault="00987E13" w:rsidP="00987E13">
            <w:pPr>
              <w:spacing w:after="0" w:line="240" w:lineRule="auto"/>
              <w:jc w:val="center"/>
              <w:rPr>
                <w:rFonts w:cs="Arial"/>
                <w:color w:val="000000"/>
                <w:sz w:val="16"/>
                <w:szCs w:val="16"/>
              </w:rPr>
            </w:pPr>
            <w:r>
              <w:rPr>
                <w:rFonts w:cs="Arial"/>
                <w:sz w:val="16"/>
                <w:szCs w:val="16"/>
              </w:rPr>
              <w:t>11,6</w:t>
            </w:r>
          </w:p>
        </w:tc>
        <w:tc>
          <w:tcPr>
            <w:tcW w:w="709" w:type="dxa"/>
            <w:tcBorders>
              <w:top w:val="nil"/>
              <w:left w:val="nil"/>
              <w:bottom w:val="nil"/>
              <w:right w:val="nil"/>
            </w:tcBorders>
            <w:shd w:val="clear" w:color="auto" w:fill="auto"/>
            <w:vAlign w:val="center"/>
            <w:hideMark/>
          </w:tcPr>
          <w:p w14:paraId="7F60A7D7" w14:textId="7D610741" w:rsidR="00987E13" w:rsidRPr="00D92E20" w:rsidRDefault="00987E13" w:rsidP="00987E13">
            <w:pPr>
              <w:spacing w:after="0" w:line="240" w:lineRule="auto"/>
              <w:jc w:val="center"/>
              <w:rPr>
                <w:rFonts w:cs="Arial"/>
                <w:color w:val="000000"/>
                <w:sz w:val="16"/>
                <w:szCs w:val="16"/>
              </w:rPr>
            </w:pPr>
            <w:r>
              <w:rPr>
                <w:rFonts w:cs="Arial"/>
                <w:sz w:val="16"/>
                <w:szCs w:val="16"/>
              </w:rPr>
              <w:t>7,1</w:t>
            </w:r>
          </w:p>
        </w:tc>
      </w:tr>
      <w:tr w:rsidR="00987E13" w:rsidRPr="00D92E20" w14:paraId="7A7056E1" w14:textId="77777777" w:rsidTr="00350B58">
        <w:trPr>
          <w:trHeight w:val="296"/>
        </w:trPr>
        <w:tc>
          <w:tcPr>
            <w:tcW w:w="1009" w:type="dxa"/>
            <w:tcBorders>
              <w:top w:val="nil"/>
              <w:left w:val="nil"/>
              <w:bottom w:val="nil"/>
              <w:right w:val="nil"/>
            </w:tcBorders>
            <w:shd w:val="clear" w:color="auto" w:fill="auto"/>
            <w:vAlign w:val="center"/>
            <w:hideMark/>
          </w:tcPr>
          <w:p w14:paraId="26383424" w14:textId="1F68E527" w:rsidR="00987E13" w:rsidRPr="00D92E20" w:rsidRDefault="00987E13" w:rsidP="00987E13">
            <w:pPr>
              <w:spacing w:after="0" w:line="240" w:lineRule="auto"/>
              <w:jc w:val="center"/>
              <w:rPr>
                <w:rFonts w:cs="Arial"/>
                <w:color w:val="000000"/>
                <w:sz w:val="16"/>
                <w:szCs w:val="16"/>
              </w:rPr>
            </w:pPr>
            <w:r>
              <w:rPr>
                <w:rFonts w:cs="Arial"/>
                <w:sz w:val="16"/>
                <w:szCs w:val="16"/>
              </w:rPr>
              <w:t>1. pol. 2014</w:t>
            </w:r>
          </w:p>
        </w:tc>
        <w:tc>
          <w:tcPr>
            <w:tcW w:w="710" w:type="dxa"/>
            <w:tcBorders>
              <w:top w:val="nil"/>
              <w:left w:val="single" w:sz="4" w:space="0" w:color="auto"/>
              <w:bottom w:val="nil"/>
              <w:right w:val="nil"/>
            </w:tcBorders>
            <w:shd w:val="clear" w:color="auto" w:fill="auto"/>
            <w:vAlign w:val="center"/>
            <w:hideMark/>
          </w:tcPr>
          <w:p w14:paraId="55350A44" w14:textId="2BF5BDCE" w:rsidR="00987E13" w:rsidRPr="00D92E20" w:rsidRDefault="00987E13" w:rsidP="00987E13">
            <w:pPr>
              <w:spacing w:after="0" w:line="240" w:lineRule="auto"/>
              <w:jc w:val="center"/>
              <w:rPr>
                <w:rFonts w:cs="Arial"/>
                <w:color w:val="000000"/>
                <w:sz w:val="16"/>
                <w:szCs w:val="16"/>
              </w:rPr>
            </w:pPr>
            <w:r>
              <w:rPr>
                <w:rFonts w:cs="Arial"/>
                <w:sz w:val="16"/>
                <w:szCs w:val="16"/>
              </w:rPr>
              <w:t>168,6</w:t>
            </w:r>
          </w:p>
        </w:tc>
        <w:tc>
          <w:tcPr>
            <w:tcW w:w="703" w:type="dxa"/>
            <w:tcBorders>
              <w:top w:val="nil"/>
              <w:left w:val="nil"/>
              <w:bottom w:val="nil"/>
              <w:right w:val="nil"/>
            </w:tcBorders>
            <w:shd w:val="clear" w:color="auto" w:fill="auto"/>
            <w:vAlign w:val="center"/>
            <w:hideMark/>
          </w:tcPr>
          <w:p w14:paraId="6ED7AD97" w14:textId="6AA7DD75" w:rsidR="00987E13" w:rsidRPr="00D92E20" w:rsidRDefault="00987E13" w:rsidP="00987E13">
            <w:pPr>
              <w:spacing w:after="0" w:line="240" w:lineRule="auto"/>
              <w:jc w:val="center"/>
              <w:rPr>
                <w:rFonts w:cs="Arial"/>
                <w:color w:val="000000"/>
                <w:sz w:val="16"/>
                <w:szCs w:val="16"/>
              </w:rPr>
            </w:pPr>
            <w:r>
              <w:rPr>
                <w:rFonts w:cs="Arial"/>
                <w:sz w:val="16"/>
                <w:szCs w:val="16"/>
              </w:rPr>
              <w:t>76,8</w:t>
            </w:r>
          </w:p>
        </w:tc>
        <w:tc>
          <w:tcPr>
            <w:tcW w:w="705" w:type="dxa"/>
            <w:tcBorders>
              <w:top w:val="nil"/>
              <w:left w:val="nil"/>
              <w:bottom w:val="nil"/>
              <w:right w:val="single" w:sz="4" w:space="0" w:color="auto"/>
            </w:tcBorders>
            <w:shd w:val="clear" w:color="auto" w:fill="auto"/>
            <w:vAlign w:val="center"/>
            <w:hideMark/>
          </w:tcPr>
          <w:p w14:paraId="632B605B" w14:textId="0A1798F1" w:rsidR="00987E13" w:rsidRPr="00D92E20" w:rsidRDefault="00987E13" w:rsidP="00987E13">
            <w:pPr>
              <w:spacing w:after="0" w:line="240" w:lineRule="auto"/>
              <w:jc w:val="center"/>
              <w:rPr>
                <w:rFonts w:cs="Arial"/>
                <w:color w:val="000000"/>
                <w:sz w:val="16"/>
                <w:szCs w:val="16"/>
              </w:rPr>
            </w:pPr>
            <w:r>
              <w:rPr>
                <w:rFonts w:ascii="Arial CE" w:hAnsi="Arial CE" w:cs="Arial CE"/>
                <w:sz w:val="16"/>
                <w:szCs w:val="16"/>
              </w:rPr>
              <w:t>91,7</w:t>
            </w:r>
          </w:p>
        </w:tc>
        <w:tc>
          <w:tcPr>
            <w:tcW w:w="707" w:type="dxa"/>
            <w:tcBorders>
              <w:top w:val="nil"/>
              <w:left w:val="nil"/>
              <w:bottom w:val="nil"/>
              <w:right w:val="nil"/>
            </w:tcBorders>
            <w:shd w:val="clear" w:color="auto" w:fill="auto"/>
            <w:vAlign w:val="center"/>
            <w:hideMark/>
          </w:tcPr>
          <w:p w14:paraId="121C6F7C" w14:textId="7A9C8291" w:rsidR="00987E13" w:rsidRPr="00D92E20" w:rsidRDefault="00987E13" w:rsidP="00987E13">
            <w:pPr>
              <w:spacing w:after="0" w:line="240" w:lineRule="auto"/>
              <w:jc w:val="center"/>
              <w:rPr>
                <w:rFonts w:cs="Arial"/>
                <w:color w:val="000000"/>
                <w:sz w:val="16"/>
                <w:szCs w:val="16"/>
              </w:rPr>
            </w:pPr>
            <w:r>
              <w:rPr>
                <w:rFonts w:cs="Arial"/>
                <w:sz w:val="16"/>
                <w:szCs w:val="16"/>
              </w:rPr>
              <w:t>143,7</w:t>
            </w:r>
          </w:p>
        </w:tc>
        <w:tc>
          <w:tcPr>
            <w:tcW w:w="704" w:type="dxa"/>
            <w:tcBorders>
              <w:top w:val="nil"/>
              <w:left w:val="nil"/>
              <w:bottom w:val="nil"/>
              <w:right w:val="nil"/>
            </w:tcBorders>
            <w:shd w:val="clear" w:color="auto" w:fill="auto"/>
            <w:vAlign w:val="center"/>
            <w:hideMark/>
          </w:tcPr>
          <w:p w14:paraId="67ED9527" w14:textId="6A1C71E6" w:rsidR="00987E13" w:rsidRPr="00D92E20" w:rsidRDefault="00987E13" w:rsidP="00987E13">
            <w:pPr>
              <w:spacing w:after="0" w:line="240" w:lineRule="auto"/>
              <w:jc w:val="center"/>
              <w:rPr>
                <w:rFonts w:cs="Arial"/>
                <w:color w:val="000000"/>
                <w:sz w:val="16"/>
                <w:szCs w:val="16"/>
              </w:rPr>
            </w:pPr>
            <w:r>
              <w:rPr>
                <w:rFonts w:cs="Arial"/>
                <w:sz w:val="16"/>
                <w:szCs w:val="16"/>
              </w:rPr>
              <w:t>60,6</w:t>
            </w:r>
          </w:p>
        </w:tc>
        <w:tc>
          <w:tcPr>
            <w:tcW w:w="705" w:type="dxa"/>
            <w:tcBorders>
              <w:top w:val="nil"/>
              <w:left w:val="nil"/>
              <w:bottom w:val="nil"/>
              <w:right w:val="nil"/>
            </w:tcBorders>
            <w:shd w:val="clear" w:color="auto" w:fill="auto"/>
            <w:vAlign w:val="center"/>
            <w:hideMark/>
          </w:tcPr>
          <w:p w14:paraId="207FE059" w14:textId="232A96CD" w:rsidR="00987E13" w:rsidRPr="00D92E20" w:rsidRDefault="00987E13" w:rsidP="00987E13">
            <w:pPr>
              <w:spacing w:after="0" w:line="240" w:lineRule="auto"/>
              <w:jc w:val="center"/>
              <w:rPr>
                <w:rFonts w:cs="Arial"/>
                <w:color w:val="000000"/>
                <w:sz w:val="16"/>
                <w:szCs w:val="16"/>
              </w:rPr>
            </w:pPr>
            <w:r>
              <w:rPr>
                <w:rFonts w:ascii="Arial CE" w:hAnsi="Arial CE" w:cs="Arial CE"/>
                <w:sz w:val="16"/>
                <w:szCs w:val="16"/>
              </w:rPr>
              <w:t>83,1</w:t>
            </w:r>
          </w:p>
        </w:tc>
        <w:tc>
          <w:tcPr>
            <w:tcW w:w="754" w:type="dxa"/>
            <w:tcBorders>
              <w:top w:val="nil"/>
              <w:left w:val="single" w:sz="4" w:space="0" w:color="auto"/>
              <w:bottom w:val="nil"/>
              <w:right w:val="nil"/>
            </w:tcBorders>
            <w:shd w:val="clear" w:color="auto" w:fill="auto"/>
            <w:vAlign w:val="center"/>
            <w:hideMark/>
          </w:tcPr>
          <w:p w14:paraId="64CE6E60" w14:textId="65992355" w:rsidR="00987E13" w:rsidRPr="00D92E20" w:rsidRDefault="00987E13" w:rsidP="00987E13">
            <w:pPr>
              <w:spacing w:after="0" w:line="240" w:lineRule="auto"/>
              <w:jc w:val="center"/>
              <w:rPr>
                <w:rFonts w:cs="Arial"/>
                <w:color w:val="000000"/>
                <w:sz w:val="16"/>
                <w:szCs w:val="16"/>
              </w:rPr>
            </w:pPr>
            <w:r>
              <w:rPr>
                <w:rFonts w:cs="Arial"/>
                <w:sz w:val="16"/>
                <w:szCs w:val="16"/>
              </w:rPr>
              <w:t>6,6</w:t>
            </w:r>
          </w:p>
        </w:tc>
        <w:tc>
          <w:tcPr>
            <w:tcW w:w="709" w:type="dxa"/>
            <w:tcBorders>
              <w:top w:val="nil"/>
              <w:left w:val="nil"/>
              <w:bottom w:val="nil"/>
              <w:right w:val="nil"/>
            </w:tcBorders>
            <w:shd w:val="clear" w:color="auto" w:fill="auto"/>
            <w:vAlign w:val="center"/>
            <w:hideMark/>
          </w:tcPr>
          <w:p w14:paraId="5E6D53FB" w14:textId="330763C8" w:rsidR="00987E13" w:rsidRPr="00D92E20" w:rsidRDefault="00987E13" w:rsidP="00987E13">
            <w:pPr>
              <w:spacing w:after="0" w:line="240" w:lineRule="auto"/>
              <w:jc w:val="center"/>
              <w:rPr>
                <w:rFonts w:cs="Arial"/>
                <w:color w:val="000000"/>
                <w:sz w:val="16"/>
                <w:szCs w:val="16"/>
              </w:rPr>
            </w:pPr>
            <w:r>
              <w:rPr>
                <w:rFonts w:cs="Arial"/>
                <w:sz w:val="16"/>
                <w:szCs w:val="16"/>
              </w:rPr>
              <w:t>4,6</w:t>
            </w:r>
          </w:p>
        </w:tc>
        <w:tc>
          <w:tcPr>
            <w:tcW w:w="709" w:type="dxa"/>
            <w:tcBorders>
              <w:top w:val="nil"/>
              <w:left w:val="nil"/>
              <w:bottom w:val="nil"/>
              <w:right w:val="single" w:sz="4" w:space="0" w:color="auto"/>
            </w:tcBorders>
            <w:shd w:val="clear" w:color="auto" w:fill="auto"/>
            <w:vAlign w:val="center"/>
            <w:hideMark/>
          </w:tcPr>
          <w:p w14:paraId="233BAEBC" w14:textId="3481D88C" w:rsidR="00987E13" w:rsidRPr="00D92E20" w:rsidRDefault="00987E13" w:rsidP="00987E13">
            <w:pPr>
              <w:spacing w:after="0" w:line="240" w:lineRule="auto"/>
              <w:jc w:val="center"/>
              <w:rPr>
                <w:rFonts w:cs="Arial"/>
                <w:color w:val="000000"/>
                <w:sz w:val="16"/>
                <w:szCs w:val="16"/>
              </w:rPr>
            </w:pPr>
            <w:r>
              <w:rPr>
                <w:rFonts w:ascii="Arial CE" w:hAnsi="Arial CE" w:cs="Arial CE"/>
                <w:sz w:val="16"/>
                <w:szCs w:val="16"/>
              </w:rPr>
              <w:t>1,9</w:t>
            </w:r>
          </w:p>
        </w:tc>
        <w:tc>
          <w:tcPr>
            <w:tcW w:w="709" w:type="dxa"/>
            <w:tcBorders>
              <w:top w:val="nil"/>
              <w:left w:val="nil"/>
              <w:bottom w:val="nil"/>
              <w:right w:val="nil"/>
            </w:tcBorders>
            <w:shd w:val="clear" w:color="auto" w:fill="auto"/>
            <w:vAlign w:val="center"/>
            <w:hideMark/>
          </w:tcPr>
          <w:p w14:paraId="43AB2103" w14:textId="36AE0ABB" w:rsidR="00987E13" w:rsidRPr="00D92E20" w:rsidRDefault="00987E13" w:rsidP="00987E13">
            <w:pPr>
              <w:spacing w:after="0" w:line="240" w:lineRule="auto"/>
              <w:jc w:val="center"/>
              <w:rPr>
                <w:rFonts w:cs="Arial"/>
                <w:color w:val="000000"/>
                <w:sz w:val="16"/>
                <w:szCs w:val="16"/>
              </w:rPr>
            </w:pPr>
            <w:r>
              <w:rPr>
                <w:rFonts w:cs="Arial"/>
                <w:sz w:val="16"/>
                <w:szCs w:val="16"/>
              </w:rPr>
              <w:t>18,3</w:t>
            </w:r>
          </w:p>
        </w:tc>
        <w:tc>
          <w:tcPr>
            <w:tcW w:w="709" w:type="dxa"/>
            <w:tcBorders>
              <w:top w:val="nil"/>
              <w:left w:val="nil"/>
              <w:bottom w:val="nil"/>
              <w:right w:val="nil"/>
            </w:tcBorders>
            <w:shd w:val="clear" w:color="auto" w:fill="auto"/>
            <w:vAlign w:val="center"/>
            <w:hideMark/>
          </w:tcPr>
          <w:p w14:paraId="171E4B35" w14:textId="6B95A111" w:rsidR="00987E13" w:rsidRPr="00D92E20" w:rsidRDefault="00987E13" w:rsidP="00987E13">
            <w:pPr>
              <w:spacing w:after="0" w:line="240" w:lineRule="auto"/>
              <w:jc w:val="center"/>
              <w:rPr>
                <w:rFonts w:cs="Arial"/>
                <w:color w:val="000000"/>
                <w:sz w:val="16"/>
                <w:szCs w:val="16"/>
              </w:rPr>
            </w:pPr>
            <w:r>
              <w:rPr>
                <w:rFonts w:cs="Arial"/>
                <w:sz w:val="16"/>
                <w:szCs w:val="16"/>
              </w:rPr>
              <w:t>11,6</w:t>
            </w:r>
          </w:p>
        </w:tc>
        <w:tc>
          <w:tcPr>
            <w:tcW w:w="709" w:type="dxa"/>
            <w:tcBorders>
              <w:top w:val="nil"/>
              <w:left w:val="nil"/>
              <w:bottom w:val="nil"/>
              <w:right w:val="nil"/>
            </w:tcBorders>
            <w:shd w:val="clear" w:color="auto" w:fill="auto"/>
            <w:vAlign w:val="center"/>
            <w:hideMark/>
          </w:tcPr>
          <w:p w14:paraId="0037DEF0" w14:textId="4A32CA67" w:rsidR="00987E13" w:rsidRPr="00D92E20" w:rsidRDefault="00987E13" w:rsidP="00987E13">
            <w:pPr>
              <w:spacing w:after="0" w:line="240" w:lineRule="auto"/>
              <w:jc w:val="center"/>
              <w:rPr>
                <w:rFonts w:cs="Arial"/>
                <w:color w:val="000000"/>
                <w:sz w:val="16"/>
                <w:szCs w:val="16"/>
              </w:rPr>
            </w:pPr>
            <w:r>
              <w:rPr>
                <w:rFonts w:ascii="Arial CE" w:hAnsi="Arial CE" w:cs="Arial CE"/>
                <w:sz w:val="16"/>
                <w:szCs w:val="16"/>
              </w:rPr>
              <w:t>6,7</w:t>
            </w:r>
          </w:p>
        </w:tc>
      </w:tr>
      <w:tr w:rsidR="00987E13" w:rsidRPr="00D92E20" w14:paraId="3B69318A" w14:textId="77777777" w:rsidTr="00350B58">
        <w:trPr>
          <w:trHeight w:val="296"/>
        </w:trPr>
        <w:tc>
          <w:tcPr>
            <w:tcW w:w="1009" w:type="dxa"/>
            <w:tcBorders>
              <w:top w:val="nil"/>
              <w:left w:val="nil"/>
              <w:bottom w:val="nil"/>
              <w:right w:val="nil"/>
            </w:tcBorders>
            <w:shd w:val="clear" w:color="auto" w:fill="auto"/>
            <w:vAlign w:val="center"/>
            <w:hideMark/>
          </w:tcPr>
          <w:p w14:paraId="42C1F0B2" w14:textId="2088D9E1" w:rsidR="00987E13" w:rsidRPr="00D92E20" w:rsidRDefault="00987E13" w:rsidP="00987E13">
            <w:pPr>
              <w:spacing w:after="0" w:line="240" w:lineRule="auto"/>
              <w:jc w:val="center"/>
              <w:rPr>
                <w:rFonts w:cs="Arial"/>
                <w:color w:val="000000"/>
                <w:sz w:val="16"/>
                <w:szCs w:val="16"/>
              </w:rPr>
            </w:pPr>
            <w:r>
              <w:rPr>
                <w:rFonts w:cs="Arial"/>
                <w:sz w:val="16"/>
                <w:szCs w:val="16"/>
              </w:rPr>
              <w:t>1. pol. 2015</w:t>
            </w:r>
          </w:p>
        </w:tc>
        <w:tc>
          <w:tcPr>
            <w:tcW w:w="710" w:type="dxa"/>
            <w:tcBorders>
              <w:top w:val="nil"/>
              <w:left w:val="single" w:sz="4" w:space="0" w:color="auto"/>
              <w:bottom w:val="nil"/>
              <w:right w:val="nil"/>
            </w:tcBorders>
            <w:shd w:val="clear" w:color="auto" w:fill="auto"/>
            <w:vAlign w:val="center"/>
            <w:hideMark/>
          </w:tcPr>
          <w:p w14:paraId="253BC7BD" w14:textId="5DCDFDDC" w:rsidR="00987E13" w:rsidRPr="00D92E20" w:rsidRDefault="00987E13" w:rsidP="00987E13">
            <w:pPr>
              <w:spacing w:after="0" w:line="240" w:lineRule="auto"/>
              <w:jc w:val="center"/>
              <w:rPr>
                <w:rFonts w:cs="Arial"/>
                <w:color w:val="000000"/>
                <w:sz w:val="16"/>
                <w:szCs w:val="16"/>
              </w:rPr>
            </w:pPr>
            <w:r>
              <w:rPr>
                <w:rFonts w:cs="Arial"/>
                <w:sz w:val="16"/>
                <w:szCs w:val="16"/>
              </w:rPr>
              <w:t>193,7</w:t>
            </w:r>
          </w:p>
        </w:tc>
        <w:tc>
          <w:tcPr>
            <w:tcW w:w="703" w:type="dxa"/>
            <w:tcBorders>
              <w:top w:val="nil"/>
              <w:left w:val="nil"/>
              <w:bottom w:val="nil"/>
              <w:right w:val="nil"/>
            </w:tcBorders>
            <w:shd w:val="clear" w:color="auto" w:fill="auto"/>
            <w:vAlign w:val="center"/>
            <w:hideMark/>
          </w:tcPr>
          <w:p w14:paraId="016A66CB" w14:textId="48FA12BD" w:rsidR="00987E13" w:rsidRPr="00D92E20" w:rsidRDefault="00987E13" w:rsidP="00987E13">
            <w:pPr>
              <w:spacing w:after="0" w:line="240" w:lineRule="auto"/>
              <w:jc w:val="center"/>
              <w:rPr>
                <w:rFonts w:cs="Arial"/>
                <w:color w:val="000000"/>
                <w:sz w:val="16"/>
                <w:szCs w:val="16"/>
              </w:rPr>
            </w:pPr>
            <w:r>
              <w:rPr>
                <w:rFonts w:cs="Arial"/>
                <w:sz w:val="16"/>
                <w:szCs w:val="16"/>
              </w:rPr>
              <w:t>87,8</w:t>
            </w:r>
          </w:p>
        </w:tc>
        <w:tc>
          <w:tcPr>
            <w:tcW w:w="705" w:type="dxa"/>
            <w:tcBorders>
              <w:top w:val="nil"/>
              <w:left w:val="nil"/>
              <w:bottom w:val="nil"/>
              <w:right w:val="single" w:sz="4" w:space="0" w:color="auto"/>
            </w:tcBorders>
            <w:shd w:val="clear" w:color="auto" w:fill="auto"/>
            <w:vAlign w:val="center"/>
            <w:hideMark/>
          </w:tcPr>
          <w:p w14:paraId="69F63802" w14:textId="70EB6AE6" w:rsidR="00987E13" w:rsidRPr="00D92E20" w:rsidRDefault="00987E13" w:rsidP="00987E13">
            <w:pPr>
              <w:spacing w:after="0" w:line="240" w:lineRule="auto"/>
              <w:jc w:val="center"/>
              <w:rPr>
                <w:rFonts w:cs="Arial"/>
                <w:color w:val="000000"/>
                <w:sz w:val="16"/>
                <w:szCs w:val="16"/>
              </w:rPr>
            </w:pPr>
            <w:r>
              <w:rPr>
                <w:rFonts w:cs="Arial"/>
                <w:sz w:val="16"/>
                <w:szCs w:val="16"/>
              </w:rPr>
              <w:t>105,9</w:t>
            </w:r>
          </w:p>
        </w:tc>
        <w:tc>
          <w:tcPr>
            <w:tcW w:w="707" w:type="dxa"/>
            <w:tcBorders>
              <w:top w:val="nil"/>
              <w:left w:val="nil"/>
              <w:bottom w:val="nil"/>
              <w:right w:val="nil"/>
            </w:tcBorders>
            <w:shd w:val="clear" w:color="auto" w:fill="auto"/>
            <w:vAlign w:val="center"/>
            <w:hideMark/>
          </w:tcPr>
          <w:p w14:paraId="25CFA2C2" w14:textId="13107A77" w:rsidR="00987E13" w:rsidRPr="00D92E20" w:rsidRDefault="00987E13" w:rsidP="00987E13">
            <w:pPr>
              <w:spacing w:after="0" w:line="240" w:lineRule="auto"/>
              <w:jc w:val="center"/>
              <w:rPr>
                <w:rFonts w:cs="Arial"/>
                <w:color w:val="000000"/>
                <w:sz w:val="16"/>
                <w:szCs w:val="16"/>
              </w:rPr>
            </w:pPr>
            <w:r>
              <w:rPr>
                <w:rFonts w:cs="Arial"/>
                <w:sz w:val="16"/>
                <w:szCs w:val="16"/>
              </w:rPr>
              <w:t>166,8</w:t>
            </w:r>
          </w:p>
        </w:tc>
        <w:tc>
          <w:tcPr>
            <w:tcW w:w="704" w:type="dxa"/>
            <w:tcBorders>
              <w:top w:val="nil"/>
              <w:left w:val="nil"/>
              <w:bottom w:val="nil"/>
              <w:right w:val="nil"/>
            </w:tcBorders>
            <w:shd w:val="clear" w:color="auto" w:fill="auto"/>
            <w:vAlign w:val="center"/>
            <w:hideMark/>
          </w:tcPr>
          <w:p w14:paraId="29A3BF59" w14:textId="2745AE59" w:rsidR="00987E13" w:rsidRPr="00D92E20" w:rsidRDefault="00987E13" w:rsidP="00987E13">
            <w:pPr>
              <w:spacing w:after="0" w:line="240" w:lineRule="auto"/>
              <w:jc w:val="center"/>
              <w:rPr>
                <w:rFonts w:cs="Arial"/>
                <w:color w:val="000000"/>
                <w:sz w:val="16"/>
                <w:szCs w:val="16"/>
              </w:rPr>
            </w:pPr>
            <w:r>
              <w:rPr>
                <w:rFonts w:cs="Arial"/>
                <w:sz w:val="16"/>
                <w:szCs w:val="16"/>
              </w:rPr>
              <w:t>70,7</w:t>
            </w:r>
          </w:p>
        </w:tc>
        <w:tc>
          <w:tcPr>
            <w:tcW w:w="705" w:type="dxa"/>
            <w:tcBorders>
              <w:top w:val="nil"/>
              <w:left w:val="nil"/>
              <w:bottom w:val="nil"/>
              <w:right w:val="nil"/>
            </w:tcBorders>
            <w:shd w:val="clear" w:color="auto" w:fill="auto"/>
            <w:vAlign w:val="center"/>
            <w:hideMark/>
          </w:tcPr>
          <w:p w14:paraId="09F08F21" w14:textId="6CE5DA0E" w:rsidR="00987E13" w:rsidRPr="00D92E20" w:rsidRDefault="00987E13" w:rsidP="00987E13">
            <w:pPr>
              <w:spacing w:after="0" w:line="240" w:lineRule="auto"/>
              <w:jc w:val="center"/>
              <w:rPr>
                <w:rFonts w:cs="Arial"/>
                <w:color w:val="000000"/>
                <w:sz w:val="16"/>
                <w:szCs w:val="16"/>
              </w:rPr>
            </w:pPr>
            <w:r>
              <w:rPr>
                <w:rFonts w:cs="Arial"/>
                <w:sz w:val="16"/>
                <w:szCs w:val="16"/>
              </w:rPr>
              <w:t>96,1</w:t>
            </w:r>
          </w:p>
        </w:tc>
        <w:tc>
          <w:tcPr>
            <w:tcW w:w="754" w:type="dxa"/>
            <w:tcBorders>
              <w:top w:val="nil"/>
              <w:left w:val="single" w:sz="4" w:space="0" w:color="auto"/>
              <w:bottom w:val="nil"/>
              <w:right w:val="nil"/>
            </w:tcBorders>
            <w:shd w:val="clear" w:color="auto" w:fill="auto"/>
            <w:vAlign w:val="center"/>
            <w:hideMark/>
          </w:tcPr>
          <w:p w14:paraId="6CAF97A3" w14:textId="0330449A" w:rsidR="00987E13" w:rsidRPr="00D92E20" w:rsidRDefault="00987E13" w:rsidP="00987E13">
            <w:pPr>
              <w:spacing w:after="0" w:line="240" w:lineRule="auto"/>
              <w:jc w:val="center"/>
              <w:rPr>
                <w:rFonts w:cs="Arial"/>
                <w:color w:val="000000"/>
                <w:sz w:val="16"/>
                <w:szCs w:val="16"/>
              </w:rPr>
            </w:pPr>
            <w:r>
              <w:rPr>
                <w:rFonts w:cs="Arial"/>
                <w:sz w:val="16"/>
                <w:szCs w:val="16"/>
              </w:rPr>
              <w:t>7,2</w:t>
            </w:r>
          </w:p>
        </w:tc>
        <w:tc>
          <w:tcPr>
            <w:tcW w:w="709" w:type="dxa"/>
            <w:tcBorders>
              <w:top w:val="nil"/>
              <w:left w:val="nil"/>
              <w:bottom w:val="nil"/>
              <w:right w:val="nil"/>
            </w:tcBorders>
            <w:shd w:val="clear" w:color="auto" w:fill="auto"/>
            <w:vAlign w:val="center"/>
            <w:hideMark/>
          </w:tcPr>
          <w:p w14:paraId="27594054" w14:textId="2715C085" w:rsidR="00987E13" w:rsidRPr="00D92E20" w:rsidRDefault="00987E13" w:rsidP="00987E13">
            <w:pPr>
              <w:spacing w:after="0" w:line="240" w:lineRule="auto"/>
              <w:jc w:val="center"/>
              <w:rPr>
                <w:rFonts w:cs="Arial"/>
                <w:color w:val="000000"/>
                <w:sz w:val="16"/>
                <w:szCs w:val="16"/>
              </w:rPr>
            </w:pPr>
            <w:r>
              <w:rPr>
                <w:rFonts w:cs="Arial"/>
                <w:sz w:val="16"/>
                <w:szCs w:val="16"/>
              </w:rPr>
              <w:t>4,9</w:t>
            </w:r>
          </w:p>
        </w:tc>
        <w:tc>
          <w:tcPr>
            <w:tcW w:w="709" w:type="dxa"/>
            <w:tcBorders>
              <w:top w:val="nil"/>
              <w:left w:val="nil"/>
              <w:bottom w:val="nil"/>
              <w:right w:val="single" w:sz="4" w:space="0" w:color="auto"/>
            </w:tcBorders>
            <w:shd w:val="clear" w:color="auto" w:fill="auto"/>
            <w:vAlign w:val="center"/>
            <w:hideMark/>
          </w:tcPr>
          <w:p w14:paraId="26059096" w14:textId="515FC523" w:rsidR="00987E13" w:rsidRPr="00D92E20" w:rsidRDefault="00987E13" w:rsidP="00987E13">
            <w:pPr>
              <w:spacing w:after="0" w:line="240" w:lineRule="auto"/>
              <w:jc w:val="center"/>
              <w:rPr>
                <w:rFonts w:cs="Arial"/>
                <w:color w:val="000000"/>
                <w:sz w:val="16"/>
                <w:szCs w:val="16"/>
              </w:rPr>
            </w:pPr>
            <w:r>
              <w:rPr>
                <w:rFonts w:cs="Arial"/>
                <w:sz w:val="16"/>
                <w:szCs w:val="16"/>
              </w:rPr>
              <w:t>2,3</w:t>
            </w:r>
          </w:p>
        </w:tc>
        <w:tc>
          <w:tcPr>
            <w:tcW w:w="709" w:type="dxa"/>
            <w:tcBorders>
              <w:top w:val="nil"/>
              <w:left w:val="nil"/>
              <w:bottom w:val="nil"/>
              <w:right w:val="nil"/>
            </w:tcBorders>
            <w:shd w:val="clear" w:color="auto" w:fill="auto"/>
            <w:vAlign w:val="center"/>
            <w:hideMark/>
          </w:tcPr>
          <w:p w14:paraId="3E889B91" w14:textId="325AD01B" w:rsidR="00987E13" w:rsidRPr="00D92E20" w:rsidRDefault="00987E13" w:rsidP="00987E13">
            <w:pPr>
              <w:spacing w:after="0" w:line="240" w:lineRule="auto"/>
              <w:jc w:val="center"/>
              <w:rPr>
                <w:rFonts w:cs="Arial"/>
                <w:color w:val="000000"/>
                <w:sz w:val="16"/>
                <w:szCs w:val="16"/>
              </w:rPr>
            </w:pPr>
            <w:r>
              <w:rPr>
                <w:rFonts w:cs="Arial"/>
                <w:sz w:val="16"/>
                <w:szCs w:val="16"/>
              </w:rPr>
              <w:t>19,7</w:t>
            </w:r>
          </w:p>
        </w:tc>
        <w:tc>
          <w:tcPr>
            <w:tcW w:w="709" w:type="dxa"/>
            <w:tcBorders>
              <w:top w:val="nil"/>
              <w:left w:val="nil"/>
              <w:bottom w:val="nil"/>
              <w:right w:val="nil"/>
            </w:tcBorders>
            <w:shd w:val="clear" w:color="auto" w:fill="auto"/>
            <w:vAlign w:val="center"/>
            <w:hideMark/>
          </w:tcPr>
          <w:p w14:paraId="19C4D1AF" w14:textId="36103F65" w:rsidR="00987E13" w:rsidRPr="00D92E20" w:rsidRDefault="00987E13" w:rsidP="00987E13">
            <w:pPr>
              <w:spacing w:after="0" w:line="240" w:lineRule="auto"/>
              <w:jc w:val="center"/>
              <w:rPr>
                <w:rFonts w:cs="Arial"/>
                <w:color w:val="000000"/>
                <w:sz w:val="16"/>
                <w:szCs w:val="16"/>
              </w:rPr>
            </w:pPr>
            <w:r>
              <w:rPr>
                <w:rFonts w:cs="Arial"/>
                <w:sz w:val="16"/>
                <w:szCs w:val="16"/>
              </w:rPr>
              <w:t>12,2</w:t>
            </w:r>
          </w:p>
        </w:tc>
        <w:tc>
          <w:tcPr>
            <w:tcW w:w="709" w:type="dxa"/>
            <w:tcBorders>
              <w:top w:val="nil"/>
              <w:left w:val="nil"/>
              <w:bottom w:val="nil"/>
              <w:right w:val="nil"/>
            </w:tcBorders>
            <w:shd w:val="clear" w:color="auto" w:fill="auto"/>
            <w:vAlign w:val="center"/>
            <w:hideMark/>
          </w:tcPr>
          <w:p w14:paraId="2EACEF68" w14:textId="09F32461" w:rsidR="00987E13" w:rsidRPr="00D92E20" w:rsidRDefault="00987E13" w:rsidP="00987E13">
            <w:pPr>
              <w:spacing w:after="0" w:line="240" w:lineRule="auto"/>
              <w:jc w:val="center"/>
              <w:rPr>
                <w:rFonts w:cs="Arial"/>
                <w:color w:val="000000"/>
                <w:sz w:val="16"/>
                <w:szCs w:val="16"/>
              </w:rPr>
            </w:pPr>
            <w:r>
              <w:rPr>
                <w:rFonts w:cs="Arial"/>
                <w:sz w:val="16"/>
                <w:szCs w:val="16"/>
              </w:rPr>
              <w:t>7,5</w:t>
            </w:r>
          </w:p>
        </w:tc>
      </w:tr>
      <w:tr w:rsidR="00987E13" w:rsidRPr="00D92E20" w14:paraId="3744EB5F" w14:textId="77777777" w:rsidTr="00350B58">
        <w:trPr>
          <w:trHeight w:val="296"/>
        </w:trPr>
        <w:tc>
          <w:tcPr>
            <w:tcW w:w="1009" w:type="dxa"/>
            <w:tcBorders>
              <w:top w:val="nil"/>
              <w:left w:val="nil"/>
              <w:bottom w:val="nil"/>
              <w:right w:val="nil"/>
            </w:tcBorders>
            <w:shd w:val="clear" w:color="auto" w:fill="auto"/>
            <w:vAlign w:val="center"/>
            <w:hideMark/>
          </w:tcPr>
          <w:p w14:paraId="4D9E3CEB" w14:textId="2EFFB0AB" w:rsidR="00987E13" w:rsidRPr="00D92E20" w:rsidRDefault="00987E13" w:rsidP="00987E13">
            <w:pPr>
              <w:spacing w:after="0" w:line="240" w:lineRule="auto"/>
              <w:jc w:val="center"/>
              <w:rPr>
                <w:rFonts w:cs="Arial"/>
                <w:color w:val="000000"/>
                <w:sz w:val="16"/>
                <w:szCs w:val="16"/>
              </w:rPr>
            </w:pPr>
            <w:r>
              <w:rPr>
                <w:rFonts w:cs="Arial"/>
                <w:sz w:val="16"/>
                <w:szCs w:val="16"/>
              </w:rPr>
              <w:t>1. pol. 2016</w:t>
            </w:r>
          </w:p>
        </w:tc>
        <w:tc>
          <w:tcPr>
            <w:tcW w:w="710" w:type="dxa"/>
            <w:tcBorders>
              <w:top w:val="nil"/>
              <w:left w:val="single" w:sz="4" w:space="0" w:color="auto"/>
              <w:bottom w:val="nil"/>
              <w:right w:val="nil"/>
            </w:tcBorders>
            <w:shd w:val="clear" w:color="auto" w:fill="auto"/>
            <w:vAlign w:val="center"/>
            <w:hideMark/>
          </w:tcPr>
          <w:p w14:paraId="4A93EFA4" w14:textId="26ED3568" w:rsidR="00987E13" w:rsidRPr="00D92E20" w:rsidRDefault="00987E13" w:rsidP="00987E13">
            <w:pPr>
              <w:spacing w:after="0" w:line="240" w:lineRule="auto"/>
              <w:jc w:val="center"/>
              <w:rPr>
                <w:rFonts w:cs="Arial"/>
                <w:color w:val="000000"/>
                <w:sz w:val="16"/>
                <w:szCs w:val="16"/>
              </w:rPr>
            </w:pPr>
            <w:r>
              <w:rPr>
                <w:rFonts w:cs="Arial"/>
                <w:sz w:val="16"/>
                <w:szCs w:val="16"/>
              </w:rPr>
              <w:t>202,1</w:t>
            </w:r>
          </w:p>
        </w:tc>
        <w:tc>
          <w:tcPr>
            <w:tcW w:w="703" w:type="dxa"/>
            <w:tcBorders>
              <w:top w:val="nil"/>
              <w:left w:val="nil"/>
              <w:bottom w:val="nil"/>
              <w:right w:val="nil"/>
            </w:tcBorders>
            <w:shd w:val="clear" w:color="auto" w:fill="auto"/>
            <w:vAlign w:val="center"/>
            <w:hideMark/>
          </w:tcPr>
          <w:p w14:paraId="285D527A" w14:textId="669DA917" w:rsidR="00987E13" w:rsidRPr="00D92E20" w:rsidRDefault="00987E13" w:rsidP="00987E13">
            <w:pPr>
              <w:spacing w:after="0" w:line="240" w:lineRule="auto"/>
              <w:jc w:val="center"/>
              <w:rPr>
                <w:rFonts w:cs="Arial"/>
                <w:color w:val="000000"/>
                <w:sz w:val="16"/>
                <w:szCs w:val="16"/>
              </w:rPr>
            </w:pPr>
            <w:r>
              <w:rPr>
                <w:rFonts w:cs="Arial"/>
                <w:sz w:val="16"/>
                <w:szCs w:val="16"/>
              </w:rPr>
              <w:t>91,5</w:t>
            </w:r>
          </w:p>
        </w:tc>
        <w:tc>
          <w:tcPr>
            <w:tcW w:w="705" w:type="dxa"/>
            <w:tcBorders>
              <w:top w:val="nil"/>
              <w:left w:val="nil"/>
              <w:bottom w:val="nil"/>
              <w:right w:val="single" w:sz="4" w:space="0" w:color="auto"/>
            </w:tcBorders>
            <w:shd w:val="clear" w:color="auto" w:fill="auto"/>
            <w:vAlign w:val="center"/>
            <w:hideMark/>
          </w:tcPr>
          <w:p w14:paraId="1F31DB61" w14:textId="6BAE07A0" w:rsidR="00987E13" w:rsidRPr="00D92E20" w:rsidRDefault="00987E13" w:rsidP="00987E13">
            <w:pPr>
              <w:spacing w:after="0" w:line="240" w:lineRule="auto"/>
              <w:jc w:val="center"/>
              <w:rPr>
                <w:rFonts w:cs="Arial"/>
                <w:color w:val="000000"/>
                <w:sz w:val="16"/>
                <w:szCs w:val="16"/>
              </w:rPr>
            </w:pPr>
            <w:r>
              <w:rPr>
                <w:rFonts w:cs="Arial"/>
                <w:sz w:val="16"/>
                <w:szCs w:val="16"/>
              </w:rPr>
              <w:t>110,6</w:t>
            </w:r>
          </w:p>
        </w:tc>
        <w:tc>
          <w:tcPr>
            <w:tcW w:w="707" w:type="dxa"/>
            <w:tcBorders>
              <w:top w:val="nil"/>
              <w:left w:val="nil"/>
              <w:bottom w:val="nil"/>
              <w:right w:val="nil"/>
            </w:tcBorders>
            <w:shd w:val="clear" w:color="auto" w:fill="auto"/>
            <w:vAlign w:val="center"/>
            <w:hideMark/>
          </w:tcPr>
          <w:p w14:paraId="56B9CF89" w14:textId="30D522E8" w:rsidR="00987E13" w:rsidRPr="00D92E20" w:rsidRDefault="00987E13" w:rsidP="00987E13">
            <w:pPr>
              <w:spacing w:after="0" w:line="240" w:lineRule="auto"/>
              <w:jc w:val="center"/>
              <w:rPr>
                <w:rFonts w:cs="Arial"/>
                <w:color w:val="000000"/>
                <w:sz w:val="16"/>
                <w:szCs w:val="16"/>
              </w:rPr>
            </w:pPr>
            <w:r>
              <w:rPr>
                <w:rFonts w:cs="Arial"/>
                <w:sz w:val="16"/>
                <w:szCs w:val="16"/>
              </w:rPr>
              <w:t>174,0</w:t>
            </w:r>
          </w:p>
        </w:tc>
        <w:tc>
          <w:tcPr>
            <w:tcW w:w="704" w:type="dxa"/>
            <w:tcBorders>
              <w:top w:val="nil"/>
              <w:left w:val="nil"/>
              <w:bottom w:val="nil"/>
              <w:right w:val="nil"/>
            </w:tcBorders>
            <w:shd w:val="clear" w:color="auto" w:fill="auto"/>
            <w:vAlign w:val="center"/>
            <w:hideMark/>
          </w:tcPr>
          <w:p w14:paraId="315B968F" w14:textId="1AE1FED8" w:rsidR="00987E13" w:rsidRPr="00D92E20" w:rsidRDefault="00987E13" w:rsidP="00987E13">
            <w:pPr>
              <w:spacing w:after="0" w:line="240" w:lineRule="auto"/>
              <w:jc w:val="center"/>
              <w:rPr>
                <w:rFonts w:cs="Arial"/>
                <w:color w:val="000000"/>
                <w:sz w:val="16"/>
                <w:szCs w:val="16"/>
              </w:rPr>
            </w:pPr>
            <w:r>
              <w:rPr>
                <w:rFonts w:cs="Arial"/>
                <w:sz w:val="16"/>
                <w:szCs w:val="16"/>
              </w:rPr>
              <w:t>73,7</w:t>
            </w:r>
          </w:p>
        </w:tc>
        <w:tc>
          <w:tcPr>
            <w:tcW w:w="705" w:type="dxa"/>
            <w:tcBorders>
              <w:top w:val="nil"/>
              <w:left w:val="nil"/>
              <w:bottom w:val="nil"/>
              <w:right w:val="nil"/>
            </w:tcBorders>
            <w:shd w:val="clear" w:color="auto" w:fill="auto"/>
            <w:vAlign w:val="center"/>
            <w:hideMark/>
          </w:tcPr>
          <w:p w14:paraId="21ABB2FC" w14:textId="2237A323" w:rsidR="00987E13" w:rsidRPr="00D92E20" w:rsidRDefault="00987E13" w:rsidP="00987E13">
            <w:pPr>
              <w:spacing w:after="0" w:line="240" w:lineRule="auto"/>
              <w:jc w:val="center"/>
              <w:rPr>
                <w:rFonts w:cs="Arial"/>
                <w:color w:val="000000"/>
                <w:sz w:val="16"/>
                <w:szCs w:val="16"/>
              </w:rPr>
            </w:pPr>
            <w:r>
              <w:rPr>
                <w:rFonts w:cs="Arial"/>
                <w:sz w:val="16"/>
                <w:szCs w:val="16"/>
              </w:rPr>
              <w:t>100,3</w:t>
            </w:r>
          </w:p>
        </w:tc>
        <w:tc>
          <w:tcPr>
            <w:tcW w:w="754" w:type="dxa"/>
            <w:tcBorders>
              <w:top w:val="nil"/>
              <w:left w:val="single" w:sz="4" w:space="0" w:color="auto"/>
              <w:bottom w:val="nil"/>
              <w:right w:val="nil"/>
            </w:tcBorders>
            <w:shd w:val="clear" w:color="auto" w:fill="auto"/>
            <w:vAlign w:val="center"/>
            <w:hideMark/>
          </w:tcPr>
          <w:p w14:paraId="52FE2884" w14:textId="2D425828" w:rsidR="00987E13" w:rsidRPr="00D92E20" w:rsidRDefault="00987E13" w:rsidP="00987E13">
            <w:pPr>
              <w:spacing w:after="0" w:line="240" w:lineRule="auto"/>
              <w:jc w:val="center"/>
              <w:rPr>
                <w:rFonts w:cs="Arial"/>
                <w:color w:val="000000"/>
                <w:sz w:val="16"/>
                <w:szCs w:val="16"/>
              </w:rPr>
            </w:pPr>
            <w:r>
              <w:rPr>
                <w:rFonts w:cs="Arial"/>
                <w:sz w:val="16"/>
                <w:szCs w:val="16"/>
              </w:rPr>
              <w:t>7,3</w:t>
            </w:r>
          </w:p>
        </w:tc>
        <w:tc>
          <w:tcPr>
            <w:tcW w:w="709" w:type="dxa"/>
            <w:tcBorders>
              <w:top w:val="nil"/>
              <w:left w:val="nil"/>
              <w:bottom w:val="nil"/>
              <w:right w:val="nil"/>
            </w:tcBorders>
            <w:shd w:val="clear" w:color="auto" w:fill="auto"/>
            <w:vAlign w:val="center"/>
            <w:hideMark/>
          </w:tcPr>
          <w:p w14:paraId="7B6527EA" w14:textId="6854E6B8" w:rsidR="00987E13" w:rsidRPr="00D92E20" w:rsidRDefault="00987E13" w:rsidP="00987E13">
            <w:pPr>
              <w:spacing w:after="0" w:line="240" w:lineRule="auto"/>
              <w:jc w:val="center"/>
              <w:rPr>
                <w:rFonts w:cs="Arial"/>
                <w:color w:val="000000"/>
                <w:sz w:val="16"/>
                <w:szCs w:val="16"/>
              </w:rPr>
            </w:pPr>
            <w:r>
              <w:rPr>
                <w:rFonts w:cs="Arial"/>
                <w:sz w:val="16"/>
                <w:szCs w:val="16"/>
              </w:rPr>
              <w:t>4,9</w:t>
            </w:r>
          </w:p>
        </w:tc>
        <w:tc>
          <w:tcPr>
            <w:tcW w:w="709" w:type="dxa"/>
            <w:tcBorders>
              <w:top w:val="nil"/>
              <w:left w:val="nil"/>
              <w:bottom w:val="nil"/>
              <w:right w:val="single" w:sz="4" w:space="0" w:color="auto"/>
            </w:tcBorders>
            <w:shd w:val="clear" w:color="auto" w:fill="auto"/>
            <w:vAlign w:val="center"/>
            <w:hideMark/>
          </w:tcPr>
          <w:p w14:paraId="72B945A6" w14:textId="2BC7D813" w:rsidR="00987E13" w:rsidRPr="00D92E20" w:rsidRDefault="00987E13" w:rsidP="00987E13">
            <w:pPr>
              <w:spacing w:after="0" w:line="240" w:lineRule="auto"/>
              <w:jc w:val="center"/>
              <w:rPr>
                <w:rFonts w:cs="Arial"/>
                <w:color w:val="000000"/>
                <w:sz w:val="16"/>
                <w:szCs w:val="16"/>
              </w:rPr>
            </w:pPr>
            <w:r>
              <w:rPr>
                <w:rFonts w:cs="Arial"/>
                <w:sz w:val="16"/>
                <w:szCs w:val="16"/>
              </w:rPr>
              <w:t>2,3</w:t>
            </w:r>
          </w:p>
        </w:tc>
        <w:tc>
          <w:tcPr>
            <w:tcW w:w="709" w:type="dxa"/>
            <w:tcBorders>
              <w:top w:val="nil"/>
              <w:left w:val="nil"/>
              <w:bottom w:val="nil"/>
              <w:right w:val="nil"/>
            </w:tcBorders>
            <w:shd w:val="clear" w:color="auto" w:fill="auto"/>
            <w:vAlign w:val="center"/>
            <w:hideMark/>
          </w:tcPr>
          <w:p w14:paraId="48B1E512" w14:textId="54E36121" w:rsidR="00987E13" w:rsidRPr="00D92E20" w:rsidRDefault="00987E13" w:rsidP="00987E13">
            <w:pPr>
              <w:spacing w:after="0" w:line="240" w:lineRule="auto"/>
              <w:jc w:val="center"/>
              <w:rPr>
                <w:rFonts w:cs="Arial"/>
                <w:color w:val="000000"/>
                <w:sz w:val="16"/>
                <w:szCs w:val="16"/>
              </w:rPr>
            </w:pPr>
            <w:r>
              <w:rPr>
                <w:rFonts w:cs="Arial"/>
                <w:sz w:val="16"/>
                <w:szCs w:val="16"/>
              </w:rPr>
              <w:t>20,9</w:t>
            </w:r>
          </w:p>
        </w:tc>
        <w:tc>
          <w:tcPr>
            <w:tcW w:w="709" w:type="dxa"/>
            <w:tcBorders>
              <w:top w:val="nil"/>
              <w:left w:val="nil"/>
              <w:bottom w:val="nil"/>
              <w:right w:val="nil"/>
            </w:tcBorders>
            <w:shd w:val="clear" w:color="auto" w:fill="auto"/>
            <w:vAlign w:val="center"/>
            <w:hideMark/>
          </w:tcPr>
          <w:p w14:paraId="6BADAF70" w14:textId="78B00145" w:rsidR="00987E13" w:rsidRPr="00D92E20" w:rsidRDefault="00987E13" w:rsidP="00987E13">
            <w:pPr>
              <w:spacing w:after="0" w:line="240" w:lineRule="auto"/>
              <w:jc w:val="center"/>
              <w:rPr>
                <w:rFonts w:cs="Arial"/>
                <w:color w:val="000000"/>
                <w:sz w:val="16"/>
                <w:szCs w:val="16"/>
              </w:rPr>
            </w:pPr>
            <w:r>
              <w:rPr>
                <w:rFonts w:cs="Arial"/>
                <w:sz w:val="16"/>
                <w:szCs w:val="16"/>
              </w:rPr>
              <w:t>12,9</w:t>
            </w:r>
          </w:p>
        </w:tc>
        <w:tc>
          <w:tcPr>
            <w:tcW w:w="709" w:type="dxa"/>
            <w:tcBorders>
              <w:top w:val="nil"/>
              <w:left w:val="nil"/>
              <w:bottom w:val="nil"/>
              <w:right w:val="nil"/>
            </w:tcBorders>
            <w:shd w:val="clear" w:color="auto" w:fill="auto"/>
            <w:vAlign w:val="center"/>
            <w:hideMark/>
          </w:tcPr>
          <w:p w14:paraId="01305BF8" w14:textId="5C32C3C2" w:rsidR="00987E13" w:rsidRPr="00D92E20" w:rsidRDefault="00987E13" w:rsidP="00987E13">
            <w:pPr>
              <w:spacing w:after="0" w:line="240" w:lineRule="auto"/>
              <w:jc w:val="center"/>
              <w:rPr>
                <w:rFonts w:cs="Arial"/>
                <w:color w:val="000000"/>
                <w:sz w:val="16"/>
                <w:szCs w:val="16"/>
              </w:rPr>
            </w:pPr>
            <w:r>
              <w:rPr>
                <w:rFonts w:cs="Arial"/>
                <w:sz w:val="16"/>
                <w:szCs w:val="16"/>
              </w:rPr>
              <w:t>8,0</w:t>
            </w:r>
          </w:p>
        </w:tc>
      </w:tr>
      <w:tr w:rsidR="00987E13" w:rsidRPr="00D92E20" w14:paraId="3BDD3B51" w14:textId="77777777" w:rsidTr="00350B58">
        <w:trPr>
          <w:trHeight w:val="296"/>
        </w:trPr>
        <w:tc>
          <w:tcPr>
            <w:tcW w:w="1009" w:type="dxa"/>
            <w:tcBorders>
              <w:top w:val="nil"/>
              <w:left w:val="nil"/>
              <w:bottom w:val="nil"/>
              <w:right w:val="nil"/>
            </w:tcBorders>
            <w:shd w:val="clear" w:color="auto" w:fill="auto"/>
            <w:vAlign w:val="center"/>
            <w:hideMark/>
          </w:tcPr>
          <w:p w14:paraId="6A0670C7" w14:textId="10EB0109" w:rsidR="00987E13" w:rsidRPr="00D92E20" w:rsidRDefault="00987E13" w:rsidP="00987E13">
            <w:pPr>
              <w:spacing w:after="0" w:line="240" w:lineRule="auto"/>
              <w:jc w:val="center"/>
              <w:rPr>
                <w:rFonts w:cs="Arial"/>
                <w:color w:val="000000"/>
                <w:sz w:val="16"/>
                <w:szCs w:val="16"/>
              </w:rPr>
            </w:pPr>
            <w:r>
              <w:rPr>
                <w:rFonts w:cs="Arial"/>
                <w:sz w:val="16"/>
                <w:szCs w:val="16"/>
              </w:rPr>
              <w:t>1. pol. 2017</w:t>
            </w:r>
          </w:p>
        </w:tc>
        <w:tc>
          <w:tcPr>
            <w:tcW w:w="710" w:type="dxa"/>
            <w:tcBorders>
              <w:top w:val="nil"/>
              <w:left w:val="single" w:sz="4" w:space="0" w:color="auto"/>
              <w:bottom w:val="nil"/>
              <w:right w:val="nil"/>
            </w:tcBorders>
            <w:shd w:val="clear" w:color="auto" w:fill="auto"/>
            <w:vAlign w:val="center"/>
            <w:hideMark/>
          </w:tcPr>
          <w:p w14:paraId="142182B9" w14:textId="0D8BA7B5" w:rsidR="00987E13" w:rsidRPr="00D92E20" w:rsidRDefault="00987E13" w:rsidP="00987E13">
            <w:pPr>
              <w:spacing w:after="0" w:line="240" w:lineRule="auto"/>
              <w:jc w:val="center"/>
              <w:rPr>
                <w:rFonts w:cs="Arial"/>
                <w:color w:val="000000"/>
                <w:sz w:val="16"/>
                <w:szCs w:val="16"/>
              </w:rPr>
            </w:pPr>
            <w:r>
              <w:rPr>
                <w:rFonts w:cs="Arial"/>
                <w:sz w:val="16"/>
                <w:szCs w:val="16"/>
              </w:rPr>
              <w:t>213,9</w:t>
            </w:r>
          </w:p>
        </w:tc>
        <w:tc>
          <w:tcPr>
            <w:tcW w:w="703" w:type="dxa"/>
            <w:tcBorders>
              <w:top w:val="nil"/>
              <w:left w:val="nil"/>
              <w:bottom w:val="nil"/>
              <w:right w:val="nil"/>
            </w:tcBorders>
            <w:shd w:val="clear" w:color="auto" w:fill="auto"/>
            <w:vAlign w:val="center"/>
            <w:hideMark/>
          </w:tcPr>
          <w:p w14:paraId="64A0B36B" w14:textId="382F4AD7" w:rsidR="00987E13" w:rsidRPr="00D92E20" w:rsidRDefault="00987E13" w:rsidP="00987E13">
            <w:pPr>
              <w:spacing w:after="0" w:line="240" w:lineRule="auto"/>
              <w:jc w:val="center"/>
              <w:rPr>
                <w:rFonts w:cs="Arial"/>
                <w:color w:val="000000"/>
                <w:sz w:val="16"/>
                <w:szCs w:val="16"/>
              </w:rPr>
            </w:pPr>
            <w:r>
              <w:rPr>
                <w:rFonts w:cs="Arial"/>
                <w:sz w:val="16"/>
                <w:szCs w:val="16"/>
              </w:rPr>
              <w:t>97,1</w:t>
            </w:r>
          </w:p>
        </w:tc>
        <w:tc>
          <w:tcPr>
            <w:tcW w:w="705" w:type="dxa"/>
            <w:tcBorders>
              <w:top w:val="nil"/>
              <w:left w:val="nil"/>
              <w:bottom w:val="nil"/>
              <w:right w:val="single" w:sz="4" w:space="0" w:color="auto"/>
            </w:tcBorders>
            <w:shd w:val="clear" w:color="auto" w:fill="auto"/>
            <w:vAlign w:val="center"/>
            <w:hideMark/>
          </w:tcPr>
          <w:p w14:paraId="04100344" w14:textId="64A62171" w:rsidR="00987E13" w:rsidRPr="00D92E20" w:rsidRDefault="00987E13" w:rsidP="00987E13">
            <w:pPr>
              <w:spacing w:after="0" w:line="240" w:lineRule="auto"/>
              <w:jc w:val="center"/>
              <w:rPr>
                <w:rFonts w:cs="Arial"/>
                <w:color w:val="000000"/>
                <w:sz w:val="16"/>
                <w:szCs w:val="16"/>
              </w:rPr>
            </w:pPr>
            <w:r>
              <w:rPr>
                <w:rFonts w:cs="Arial"/>
                <w:sz w:val="16"/>
                <w:szCs w:val="16"/>
              </w:rPr>
              <w:t>116,8</w:t>
            </w:r>
          </w:p>
        </w:tc>
        <w:tc>
          <w:tcPr>
            <w:tcW w:w="707" w:type="dxa"/>
            <w:tcBorders>
              <w:top w:val="nil"/>
              <w:left w:val="nil"/>
              <w:bottom w:val="nil"/>
              <w:right w:val="nil"/>
            </w:tcBorders>
            <w:shd w:val="clear" w:color="auto" w:fill="auto"/>
            <w:vAlign w:val="center"/>
            <w:hideMark/>
          </w:tcPr>
          <w:p w14:paraId="7559F0B0" w14:textId="2FF5C58A" w:rsidR="00987E13" w:rsidRPr="00D92E20" w:rsidRDefault="00987E13" w:rsidP="00987E13">
            <w:pPr>
              <w:spacing w:after="0" w:line="240" w:lineRule="auto"/>
              <w:jc w:val="center"/>
              <w:rPr>
                <w:rFonts w:cs="Arial"/>
                <w:color w:val="000000"/>
                <w:sz w:val="16"/>
                <w:szCs w:val="16"/>
              </w:rPr>
            </w:pPr>
            <w:r>
              <w:rPr>
                <w:rFonts w:cs="Arial"/>
                <w:sz w:val="16"/>
                <w:szCs w:val="16"/>
              </w:rPr>
              <w:t>183,8</w:t>
            </w:r>
          </w:p>
        </w:tc>
        <w:tc>
          <w:tcPr>
            <w:tcW w:w="704" w:type="dxa"/>
            <w:tcBorders>
              <w:top w:val="nil"/>
              <w:left w:val="nil"/>
              <w:bottom w:val="nil"/>
              <w:right w:val="nil"/>
            </w:tcBorders>
            <w:shd w:val="clear" w:color="auto" w:fill="auto"/>
            <w:vAlign w:val="center"/>
            <w:hideMark/>
          </w:tcPr>
          <w:p w14:paraId="1673777E" w14:textId="04A507B6" w:rsidR="00987E13" w:rsidRPr="00D92E20" w:rsidRDefault="00987E13" w:rsidP="00987E13">
            <w:pPr>
              <w:spacing w:after="0" w:line="240" w:lineRule="auto"/>
              <w:jc w:val="center"/>
              <w:rPr>
                <w:rFonts w:cs="Arial"/>
                <w:color w:val="000000"/>
                <w:sz w:val="16"/>
                <w:szCs w:val="16"/>
              </w:rPr>
            </w:pPr>
            <w:r>
              <w:rPr>
                <w:rFonts w:cs="Arial"/>
                <w:sz w:val="16"/>
                <w:szCs w:val="16"/>
              </w:rPr>
              <w:t>78,5</w:t>
            </w:r>
          </w:p>
        </w:tc>
        <w:tc>
          <w:tcPr>
            <w:tcW w:w="705" w:type="dxa"/>
            <w:tcBorders>
              <w:top w:val="nil"/>
              <w:left w:val="nil"/>
              <w:bottom w:val="nil"/>
              <w:right w:val="nil"/>
            </w:tcBorders>
            <w:shd w:val="clear" w:color="auto" w:fill="auto"/>
            <w:vAlign w:val="center"/>
            <w:hideMark/>
          </w:tcPr>
          <w:p w14:paraId="66BBD172" w14:textId="1DE6722B" w:rsidR="00987E13" w:rsidRPr="00D92E20" w:rsidRDefault="00987E13" w:rsidP="00987E13">
            <w:pPr>
              <w:spacing w:after="0" w:line="240" w:lineRule="auto"/>
              <w:jc w:val="center"/>
              <w:rPr>
                <w:rFonts w:cs="Arial"/>
                <w:color w:val="000000"/>
                <w:sz w:val="16"/>
                <w:szCs w:val="16"/>
              </w:rPr>
            </w:pPr>
            <w:r>
              <w:rPr>
                <w:rFonts w:cs="Arial"/>
                <w:sz w:val="16"/>
                <w:szCs w:val="16"/>
              </w:rPr>
              <w:t>105,2</w:t>
            </w:r>
          </w:p>
        </w:tc>
        <w:tc>
          <w:tcPr>
            <w:tcW w:w="754" w:type="dxa"/>
            <w:tcBorders>
              <w:top w:val="nil"/>
              <w:left w:val="single" w:sz="4" w:space="0" w:color="auto"/>
              <w:bottom w:val="nil"/>
              <w:right w:val="nil"/>
            </w:tcBorders>
            <w:shd w:val="clear" w:color="auto" w:fill="auto"/>
            <w:vAlign w:val="center"/>
            <w:hideMark/>
          </w:tcPr>
          <w:p w14:paraId="4E5EF6DA" w14:textId="76459997" w:rsidR="00987E13" w:rsidRPr="00D92E20" w:rsidRDefault="00987E13" w:rsidP="00987E13">
            <w:pPr>
              <w:spacing w:after="0" w:line="240" w:lineRule="auto"/>
              <w:jc w:val="center"/>
              <w:rPr>
                <w:rFonts w:cs="Arial"/>
                <w:color w:val="000000"/>
                <w:sz w:val="16"/>
                <w:szCs w:val="16"/>
              </w:rPr>
            </w:pPr>
            <w:r>
              <w:rPr>
                <w:rFonts w:cs="Arial"/>
                <w:sz w:val="16"/>
                <w:szCs w:val="16"/>
              </w:rPr>
              <w:t>7,4</w:t>
            </w:r>
          </w:p>
        </w:tc>
        <w:tc>
          <w:tcPr>
            <w:tcW w:w="709" w:type="dxa"/>
            <w:tcBorders>
              <w:top w:val="nil"/>
              <w:left w:val="nil"/>
              <w:bottom w:val="nil"/>
              <w:right w:val="nil"/>
            </w:tcBorders>
            <w:shd w:val="clear" w:color="auto" w:fill="auto"/>
            <w:vAlign w:val="center"/>
            <w:hideMark/>
          </w:tcPr>
          <w:p w14:paraId="2C30ED60" w14:textId="2652B144" w:rsidR="00987E13" w:rsidRPr="00D92E20" w:rsidRDefault="00987E13" w:rsidP="00987E13">
            <w:pPr>
              <w:spacing w:after="0" w:line="240" w:lineRule="auto"/>
              <w:jc w:val="center"/>
              <w:rPr>
                <w:rFonts w:cs="Arial"/>
                <w:color w:val="000000"/>
                <w:sz w:val="16"/>
                <w:szCs w:val="16"/>
              </w:rPr>
            </w:pPr>
            <w:r>
              <w:rPr>
                <w:rFonts w:cs="Arial"/>
                <w:sz w:val="16"/>
                <w:szCs w:val="16"/>
              </w:rPr>
              <w:t>5,1</w:t>
            </w:r>
          </w:p>
        </w:tc>
        <w:tc>
          <w:tcPr>
            <w:tcW w:w="709" w:type="dxa"/>
            <w:tcBorders>
              <w:top w:val="nil"/>
              <w:left w:val="nil"/>
              <w:bottom w:val="nil"/>
              <w:right w:val="single" w:sz="4" w:space="0" w:color="auto"/>
            </w:tcBorders>
            <w:shd w:val="clear" w:color="auto" w:fill="auto"/>
            <w:vAlign w:val="center"/>
            <w:hideMark/>
          </w:tcPr>
          <w:p w14:paraId="6C0F5018" w14:textId="0FF2688B" w:rsidR="00987E13" w:rsidRPr="00D92E20" w:rsidRDefault="00987E13" w:rsidP="00987E13">
            <w:pPr>
              <w:spacing w:after="0" w:line="240" w:lineRule="auto"/>
              <w:jc w:val="center"/>
              <w:rPr>
                <w:rFonts w:cs="Arial"/>
                <w:color w:val="000000"/>
                <w:sz w:val="16"/>
                <w:szCs w:val="16"/>
              </w:rPr>
            </w:pPr>
            <w:r>
              <w:rPr>
                <w:rFonts w:cs="Arial"/>
                <w:sz w:val="16"/>
                <w:szCs w:val="16"/>
              </w:rPr>
              <w:t>2,4</w:t>
            </w:r>
          </w:p>
        </w:tc>
        <w:tc>
          <w:tcPr>
            <w:tcW w:w="709" w:type="dxa"/>
            <w:tcBorders>
              <w:top w:val="nil"/>
              <w:left w:val="nil"/>
              <w:bottom w:val="nil"/>
              <w:right w:val="nil"/>
            </w:tcBorders>
            <w:shd w:val="clear" w:color="auto" w:fill="auto"/>
            <w:vAlign w:val="center"/>
            <w:hideMark/>
          </w:tcPr>
          <w:p w14:paraId="228088DB" w14:textId="0529ADC3" w:rsidR="00987E13" w:rsidRPr="00D92E20" w:rsidRDefault="00987E13" w:rsidP="00987E13">
            <w:pPr>
              <w:spacing w:after="0" w:line="240" w:lineRule="auto"/>
              <w:jc w:val="center"/>
              <w:rPr>
                <w:rFonts w:cs="Arial"/>
                <w:color w:val="000000"/>
                <w:sz w:val="16"/>
                <w:szCs w:val="16"/>
              </w:rPr>
            </w:pPr>
            <w:r>
              <w:rPr>
                <w:rFonts w:cs="Arial"/>
                <w:sz w:val="16"/>
                <w:szCs w:val="16"/>
              </w:rPr>
              <w:t>22,7</w:t>
            </w:r>
          </w:p>
        </w:tc>
        <w:tc>
          <w:tcPr>
            <w:tcW w:w="709" w:type="dxa"/>
            <w:tcBorders>
              <w:top w:val="nil"/>
              <w:left w:val="nil"/>
              <w:bottom w:val="nil"/>
              <w:right w:val="nil"/>
            </w:tcBorders>
            <w:shd w:val="clear" w:color="auto" w:fill="auto"/>
            <w:vAlign w:val="center"/>
            <w:hideMark/>
          </w:tcPr>
          <w:p w14:paraId="380EEED5" w14:textId="17072F06" w:rsidR="00987E13" w:rsidRPr="00D92E20" w:rsidRDefault="00987E13" w:rsidP="00987E13">
            <w:pPr>
              <w:spacing w:after="0" w:line="240" w:lineRule="auto"/>
              <w:jc w:val="center"/>
              <w:rPr>
                <w:rFonts w:cs="Arial"/>
                <w:color w:val="000000"/>
                <w:sz w:val="16"/>
                <w:szCs w:val="16"/>
              </w:rPr>
            </w:pPr>
            <w:r>
              <w:rPr>
                <w:rFonts w:cs="Arial"/>
                <w:sz w:val="16"/>
                <w:szCs w:val="16"/>
              </w:rPr>
              <w:t>13,5</w:t>
            </w:r>
          </w:p>
        </w:tc>
        <w:tc>
          <w:tcPr>
            <w:tcW w:w="709" w:type="dxa"/>
            <w:tcBorders>
              <w:top w:val="nil"/>
              <w:left w:val="nil"/>
              <w:bottom w:val="nil"/>
              <w:right w:val="nil"/>
            </w:tcBorders>
            <w:shd w:val="clear" w:color="auto" w:fill="auto"/>
            <w:vAlign w:val="center"/>
            <w:hideMark/>
          </w:tcPr>
          <w:p w14:paraId="2FED40D7" w14:textId="6970C030" w:rsidR="00987E13" w:rsidRPr="00D92E20" w:rsidRDefault="00987E13" w:rsidP="00987E13">
            <w:pPr>
              <w:spacing w:after="0" w:line="240" w:lineRule="auto"/>
              <w:jc w:val="center"/>
              <w:rPr>
                <w:rFonts w:cs="Arial"/>
                <w:color w:val="000000"/>
                <w:sz w:val="16"/>
                <w:szCs w:val="16"/>
              </w:rPr>
            </w:pPr>
            <w:r>
              <w:rPr>
                <w:rFonts w:cs="Arial"/>
                <w:sz w:val="16"/>
                <w:szCs w:val="16"/>
              </w:rPr>
              <w:t>9,2</w:t>
            </w:r>
          </w:p>
        </w:tc>
      </w:tr>
      <w:tr w:rsidR="00987E13" w:rsidRPr="00D92E20" w14:paraId="3C93E67D" w14:textId="77777777" w:rsidTr="00350B58">
        <w:trPr>
          <w:trHeight w:val="296"/>
        </w:trPr>
        <w:tc>
          <w:tcPr>
            <w:tcW w:w="1009" w:type="dxa"/>
            <w:tcBorders>
              <w:top w:val="nil"/>
              <w:left w:val="nil"/>
              <w:bottom w:val="nil"/>
              <w:right w:val="nil"/>
            </w:tcBorders>
            <w:shd w:val="clear" w:color="auto" w:fill="auto"/>
            <w:vAlign w:val="center"/>
            <w:hideMark/>
          </w:tcPr>
          <w:p w14:paraId="313969A5" w14:textId="37D71473" w:rsidR="00987E13" w:rsidRPr="00D92E20" w:rsidRDefault="00987E13" w:rsidP="00987E13">
            <w:pPr>
              <w:spacing w:after="0" w:line="240" w:lineRule="auto"/>
              <w:jc w:val="center"/>
              <w:rPr>
                <w:rFonts w:cs="Arial"/>
                <w:color w:val="000000"/>
                <w:sz w:val="16"/>
                <w:szCs w:val="16"/>
              </w:rPr>
            </w:pPr>
            <w:r>
              <w:rPr>
                <w:rFonts w:cs="Arial"/>
                <w:sz w:val="16"/>
                <w:szCs w:val="16"/>
              </w:rPr>
              <w:t>1. pol. 2018</w:t>
            </w:r>
          </w:p>
        </w:tc>
        <w:tc>
          <w:tcPr>
            <w:tcW w:w="710" w:type="dxa"/>
            <w:tcBorders>
              <w:top w:val="nil"/>
              <w:left w:val="single" w:sz="4" w:space="0" w:color="auto"/>
              <w:bottom w:val="nil"/>
              <w:right w:val="nil"/>
            </w:tcBorders>
            <w:shd w:val="clear" w:color="auto" w:fill="auto"/>
            <w:vAlign w:val="center"/>
            <w:hideMark/>
          </w:tcPr>
          <w:p w14:paraId="0296A2E8" w14:textId="78C1C05A" w:rsidR="00987E13" w:rsidRPr="00D92E20" w:rsidRDefault="00987E13" w:rsidP="00987E13">
            <w:pPr>
              <w:spacing w:after="0" w:line="240" w:lineRule="auto"/>
              <w:jc w:val="center"/>
              <w:rPr>
                <w:rFonts w:cs="Arial"/>
                <w:color w:val="000000"/>
                <w:sz w:val="16"/>
                <w:szCs w:val="16"/>
              </w:rPr>
            </w:pPr>
            <w:r>
              <w:rPr>
                <w:rFonts w:cs="Arial"/>
                <w:sz w:val="16"/>
                <w:szCs w:val="16"/>
              </w:rPr>
              <w:t>224,4</w:t>
            </w:r>
          </w:p>
        </w:tc>
        <w:tc>
          <w:tcPr>
            <w:tcW w:w="703" w:type="dxa"/>
            <w:tcBorders>
              <w:top w:val="nil"/>
              <w:left w:val="nil"/>
              <w:bottom w:val="nil"/>
              <w:right w:val="nil"/>
            </w:tcBorders>
            <w:shd w:val="clear" w:color="auto" w:fill="auto"/>
            <w:vAlign w:val="center"/>
            <w:hideMark/>
          </w:tcPr>
          <w:p w14:paraId="67F44817" w14:textId="7E32A892" w:rsidR="00987E13" w:rsidRPr="00D92E20" w:rsidRDefault="00987E13" w:rsidP="00987E13">
            <w:pPr>
              <w:spacing w:after="0" w:line="240" w:lineRule="auto"/>
              <w:jc w:val="center"/>
              <w:rPr>
                <w:rFonts w:cs="Arial"/>
                <w:color w:val="000000"/>
                <w:sz w:val="16"/>
                <w:szCs w:val="16"/>
              </w:rPr>
            </w:pPr>
            <w:r>
              <w:rPr>
                <w:rFonts w:cs="Arial"/>
                <w:sz w:val="16"/>
                <w:szCs w:val="16"/>
              </w:rPr>
              <w:t>101,9</w:t>
            </w:r>
          </w:p>
        </w:tc>
        <w:tc>
          <w:tcPr>
            <w:tcW w:w="705" w:type="dxa"/>
            <w:tcBorders>
              <w:top w:val="nil"/>
              <w:left w:val="nil"/>
              <w:bottom w:val="nil"/>
              <w:right w:val="single" w:sz="4" w:space="0" w:color="auto"/>
            </w:tcBorders>
            <w:shd w:val="clear" w:color="auto" w:fill="auto"/>
            <w:vAlign w:val="center"/>
            <w:hideMark/>
          </w:tcPr>
          <w:p w14:paraId="217E81D6" w14:textId="7654F418" w:rsidR="00987E13" w:rsidRPr="00D92E20" w:rsidRDefault="00987E13" w:rsidP="00987E13">
            <w:pPr>
              <w:spacing w:after="0" w:line="240" w:lineRule="auto"/>
              <w:jc w:val="center"/>
              <w:rPr>
                <w:rFonts w:cs="Arial"/>
                <w:color w:val="000000"/>
                <w:sz w:val="16"/>
                <w:szCs w:val="16"/>
              </w:rPr>
            </w:pPr>
            <w:r>
              <w:rPr>
                <w:rFonts w:cs="Arial"/>
                <w:sz w:val="16"/>
                <w:szCs w:val="16"/>
              </w:rPr>
              <w:t>122,6</w:t>
            </w:r>
          </w:p>
        </w:tc>
        <w:tc>
          <w:tcPr>
            <w:tcW w:w="707" w:type="dxa"/>
            <w:tcBorders>
              <w:top w:val="nil"/>
              <w:left w:val="nil"/>
              <w:bottom w:val="nil"/>
              <w:right w:val="nil"/>
            </w:tcBorders>
            <w:shd w:val="clear" w:color="auto" w:fill="auto"/>
            <w:vAlign w:val="center"/>
            <w:hideMark/>
          </w:tcPr>
          <w:p w14:paraId="0D47B34E" w14:textId="13378024" w:rsidR="00987E13" w:rsidRPr="00D92E20" w:rsidRDefault="00987E13" w:rsidP="00987E13">
            <w:pPr>
              <w:spacing w:after="0" w:line="240" w:lineRule="auto"/>
              <w:jc w:val="center"/>
              <w:rPr>
                <w:rFonts w:cs="Arial"/>
                <w:color w:val="000000"/>
                <w:sz w:val="16"/>
                <w:szCs w:val="16"/>
              </w:rPr>
            </w:pPr>
            <w:r>
              <w:rPr>
                <w:rFonts w:cs="Arial"/>
                <w:sz w:val="16"/>
                <w:szCs w:val="16"/>
              </w:rPr>
              <w:t>194,3</w:t>
            </w:r>
          </w:p>
        </w:tc>
        <w:tc>
          <w:tcPr>
            <w:tcW w:w="704" w:type="dxa"/>
            <w:tcBorders>
              <w:top w:val="nil"/>
              <w:left w:val="nil"/>
              <w:bottom w:val="nil"/>
              <w:right w:val="nil"/>
            </w:tcBorders>
            <w:shd w:val="clear" w:color="auto" w:fill="auto"/>
            <w:vAlign w:val="center"/>
            <w:hideMark/>
          </w:tcPr>
          <w:p w14:paraId="12B67288" w14:textId="308EEECD" w:rsidR="00987E13" w:rsidRPr="00D92E20" w:rsidRDefault="00987E13" w:rsidP="00987E13">
            <w:pPr>
              <w:spacing w:after="0" w:line="240" w:lineRule="auto"/>
              <w:jc w:val="center"/>
              <w:rPr>
                <w:rFonts w:cs="Arial"/>
                <w:color w:val="000000"/>
                <w:sz w:val="16"/>
                <w:szCs w:val="16"/>
              </w:rPr>
            </w:pPr>
            <w:r>
              <w:rPr>
                <w:rFonts w:cs="Arial"/>
                <w:sz w:val="16"/>
                <w:szCs w:val="16"/>
              </w:rPr>
              <w:t>83,3</w:t>
            </w:r>
          </w:p>
        </w:tc>
        <w:tc>
          <w:tcPr>
            <w:tcW w:w="705" w:type="dxa"/>
            <w:tcBorders>
              <w:top w:val="nil"/>
              <w:left w:val="nil"/>
              <w:bottom w:val="nil"/>
              <w:right w:val="nil"/>
            </w:tcBorders>
            <w:shd w:val="clear" w:color="auto" w:fill="auto"/>
            <w:vAlign w:val="center"/>
            <w:hideMark/>
          </w:tcPr>
          <w:p w14:paraId="7C5491E9" w14:textId="293A1A3A" w:rsidR="00987E13" w:rsidRPr="00D92E20" w:rsidRDefault="00987E13" w:rsidP="00987E13">
            <w:pPr>
              <w:spacing w:after="0" w:line="240" w:lineRule="auto"/>
              <w:jc w:val="center"/>
              <w:rPr>
                <w:rFonts w:cs="Arial"/>
                <w:color w:val="000000"/>
                <w:sz w:val="16"/>
                <w:szCs w:val="16"/>
              </w:rPr>
            </w:pPr>
            <w:r>
              <w:rPr>
                <w:rFonts w:cs="Arial"/>
                <w:sz w:val="16"/>
                <w:szCs w:val="16"/>
              </w:rPr>
              <w:t>111,0</w:t>
            </w:r>
          </w:p>
        </w:tc>
        <w:tc>
          <w:tcPr>
            <w:tcW w:w="754" w:type="dxa"/>
            <w:tcBorders>
              <w:top w:val="nil"/>
              <w:left w:val="single" w:sz="4" w:space="0" w:color="auto"/>
              <w:bottom w:val="nil"/>
              <w:right w:val="nil"/>
            </w:tcBorders>
            <w:shd w:val="clear" w:color="auto" w:fill="auto"/>
            <w:vAlign w:val="center"/>
            <w:hideMark/>
          </w:tcPr>
          <w:p w14:paraId="536E94EC" w14:textId="4DAE4F8F" w:rsidR="00987E13" w:rsidRPr="00D92E20" w:rsidRDefault="00987E13" w:rsidP="00987E13">
            <w:pPr>
              <w:spacing w:after="0" w:line="240" w:lineRule="auto"/>
              <w:jc w:val="center"/>
              <w:rPr>
                <w:rFonts w:cs="Arial"/>
                <w:color w:val="000000"/>
                <w:sz w:val="16"/>
                <w:szCs w:val="16"/>
              </w:rPr>
            </w:pPr>
            <w:r>
              <w:rPr>
                <w:rFonts w:cs="Arial"/>
                <w:sz w:val="16"/>
                <w:szCs w:val="16"/>
              </w:rPr>
              <w:t>7,3</w:t>
            </w:r>
          </w:p>
        </w:tc>
        <w:tc>
          <w:tcPr>
            <w:tcW w:w="709" w:type="dxa"/>
            <w:tcBorders>
              <w:top w:val="nil"/>
              <w:left w:val="nil"/>
              <w:bottom w:val="nil"/>
              <w:right w:val="nil"/>
            </w:tcBorders>
            <w:shd w:val="clear" w:color="auto" w:fill="auto"/>
            <w:vAlign w:val="center"/>
            <w:hideMark/>
          </w:tcPr>
          <w:p w14:paraId="5454168C" w14:textId="2C5DA8CC" w:rsidR="00987E13" w:rsidRPr="00D92E20" w:rsidRDefault="00987E13" w:rsidP="00987E13">
            <w:pPr>
              <w:spacing w:after="0" w:line="240" w:lineRule="auto"/>
              <w:jc w:val="center"/>
              <w:rPr>
                <w:rFonts w:cs="Arial"/>
                <w:color w:val="000000"/>
                <w:sz w:val="16"/>
                <w:szCs w:val="16"/>
              </w:rPr>
            </w:pPr>
            <w:r>
              <w:rPr>
                <w:rFonts w:cs="Arial"/>
                <w:sz w:val="16"/>
                <w:szCs w:val="16"/>
              </w:rPr>
              <w:t>4,9</w:t>
            </w:r>
          </w:p>
        </w:tc>
        <w:tc>
          <w:tcPr>
            <w:tcW w:w="709" w:type="dxa"/>
            <w:tcBorders>
              <w:top w:val="nil"/>
              <w:left w:val="nil"/>
              <w:bottom w:val="nil"/>
              <w:right w:val="single" w:sz="4" w:space="0" w:color="auto"/>
            </w:tcBorders>
            <w:shd w:val="clear" w:color="auto" w:fill="auto"/>
            <w:vAlign w:val="center"/>
            <w:hideMark/>
          </w:tcPr>
          <w:p w14:paraId="38F1D985" w14:textId="3D1C91F4" w:rsidR="00987E13" w:rsidRPr="00D92E20" w:rsidRDefault="00987E13" w:rsidP="00987E13">
            <w:pPr>
              <w:spacing w:after="0" w:line="240" w:lineRule="auto"/>
              <w:jc w:val="center"/>
              <w:rPr>
                <w:rFonts w:cs="Arial"/>
                <w:color w:val="000000"/>
                <w:sz w:val="16"/>
                <w:szCs w:val="16"/>
              </w:rPr>
            </w:pPr>
            <w:r>
              <w:rPr>
                <w:rFonts w:cs="Arial"/>
                <w:sz w:val="16"/>
                <w:szCs w:val="16"/>
              </w:rPr>
              <w:t>2,4</w:t>
            </w:r>
          </w:p>
        </w:tc>
        <w:tc>
          <w:tcPr>
            <w:tcW w:w="709" w:type="dxa"/>
            <w:tcBorders>
              <w:top w:val="nil"/>
              <w:left w:val="nil"/>
              <w:bottom w:val="nil"/>
              <w:right w:val="nil"/>
            </w:tcBorders>
            <w:shd w:val="clear" w:color="auto" w:fill="auto"/>
            <w:vAlign w:val="center"/>
            <w:hideMark/>
          </w:tcPr>
          <w:p w14:paraId="313282EF" w14:textId="101EFFD4" w:rsidR="00987E13" w:rsidRPr="00D92E20" w:rsidRDefault="00987E13" w:rsidP="00987E13">
            <w:pPr>
              <w:spacing w:after="0" w:line="240" w:lineRule="auto"/>
              <w:jc w:val="center"/>
              <w:rPr>
                <w:rFonts w:cs="Arial"/>
                <w:color w:val="000000"/>
                <w:sz w:val="16"/>
                <w:szCs w:val="16"/>
              </w:rPr>
            </w:pPr>
            <w:r>
              <w:rPr>
                <w:rFonts w:cs="Arial"/>
                <w:sz w:val="16"/>
                <w:szCs w:val="16"/>
              </w:rPr>
              <w:t>22,9</w:t>
            </w:r>
          </w:p>
        </w:tc>
        <w:tc>
          <w:tcPr>
            <w:tcW w:w="709" w:type="dxa"/>
            <w:tcBorders>
              <w:top w:val="nil"/>
              <w:left w:val="nil"/>
              <w:bottom w:val="nil"/>
              <w:right w:val="nil"/>
            </w:tcBorders>
            <w:shd w:val="clear" w:color="auto" w:fill="auto"/>
            <w:vAlign w:val="center"/>
            <w:hideMark/>
          </w:tcPr>
          <w:p w14:paraId="79D5C677" w14:textId="614E6FD2" w:rsidR="00987E13" w:rsidRPr="00D92E20" w:rsidRDefault="00987E13" w:rsidP="00987E13">
            <w:pPr>
              <w:spacing w:after="0" w:line="240" w:lineRule="auto"/>
              <w:jc w:val="center"/>
              <w:rPr>
                <w:rFonts w:cs="Arial"/>
                <w:color w:val="000000"/>
                <w:sz w:val="16"/>
                <w:szCs w:val="16"/>
              </w:rPr>
            </w:pPr>
            <w:r>
              <w:rPr>
                <w:rFonts w:cs="Arial"/>
                <w:sz w:val="16"/>
                <w:szCs w:val="16"/>
              </w:rPr>
              <w:t>13,7</w:t>
            </w:r>
          </w:p>
        </w:tc>
        <w:tc>
          <w:tcPr>
            <w:tcW w:w="709" w:type="dxa"/>
            <w:tcBorders>
              <w:top w:val="nil"/>
              <w:left w:val="nil"/>
              <w:bottom w:val="nil"/>
              <w:right w:val="nil"/>
            </w:tcBorders>
            <w:shd w:val="clear" w:color="auto" w:fill="auto"/>
            <w:vAlign w:val="center"/>
            <w:hideMark/>
          </w:tcPr>
          <w:p w14:paraId="192BB38D" w14:textId="30DC5243" w:rsidR="00987E13" w:rsidRPr="00D92E20" w:rsidRDefault="00987E13" w:rsidP="00987E13">
            <w:pPr>
              <w:spacing w:after="0" w:line="240" w:lineRule="auto"/>
              <w:jc w:val="center"/>
              <w:rPr>
                <w:rFonts w:cs="Arial"/>
                <w:color w:val="000000"/>
                <w:sz w:val="16"/>
                <w:szCs w:val="16"/>
              </w:rPr>
            </w:pPr>
            <w:r>
              <w:rPr>
                <w:rFonts w:cs="Arial"/>
                <w:sz w:val="16"/>
                <w:szCs w:val="16"/>
              </w:rPr>
              <w:t>9,2</w:t>
            </w:r>
          </w:p>
        </w:tc>
      </w:tr>
      <w:tr w:rsidR="00987E13" w:rsidRPr="00D92E20" w14:paraId="79727C70" w14:textId="77777777" w:rsidTr="00350B58">
        <w:trPr>
          <w:trHeight w:val="296"/>
        </w:trPr>
        <w:tc>
          <w:tcPr>
            <w:tcW w:w="1009" w:type="dxa"/>
            <w:tcBorders>
              <w:top w:val="nil"/>
              <w:left w:val="nil"/>
              <w:bottom w:val="nil"/>
              <w:right w:val="nil"/>
            </w:tcBorders>
            <w:shd w:val="clear" w:color="auto" w:fill="auto"/>
            <w:vAlign w:val="center"/>
            <w:hideMark/>
          </w:tcPr>
          <w:p w14:paraId="10FE2114" w14:textId="0864932F" w:rsidR="00987E13" w:rsidRPr="00D92E20" w:rsidRDefault="00987E13" w:rsidP="00987E13">
            <w:pPr>
              <w:spacing w:after="0" w:line="240" w:lineRule="auto"/>
              <w:jc w:val="center"/>
              <w:rPr>
                <w:rFonts w:cs="Arial"/>
                <w:color w:val="000000"/>
                <w:sz w:val="16"/>
                <w:szCs w:val="16"/>
              </w:rPr>
            </w:pPr>
            <w:r>
              <w:rPr>
                <w:rFonts w:cs="Arial"/>
                <w:sz w:val="16"/>
                <w:szCs w:val="16"/>
              </w:rPr>
              <w:t>1. pol. 2019</w:t>
            </w:r>
          </w:p>
        </w:tc>
        <w:tc>
          <w:tcPr>
            <w:tcW w:w="710" w:type="dxa"/>
            <w:tcBorders>
              <w:top w:val="nil"/>
              <w:left w:val="single" w:sz="4" w:space="0" w:color="auto"/>
              <w:bottom w:val="nil"/>
              <w:right w:val="nil"/>
            </w:tcBorders>
            <w:shd w:val="clear" w:color="auto" w:fill="auto"/>
            <w:vAlign w:val="center"/>
            <w:hideMark/>
          </w:tcPr>
          <w:p w14:paraId="0047C3AD" w14:textId="653C95AB" w:rsidR="00987E13" w:rsidRPr="00D92E20" w:rsidRDefault="00987E13" w:rsidP="00987E13">
            <w:pPr>
              <w:spacing w:after="0" w:line="240" w:lineRule="auto"/>
              <w:jc w:val="center"/>
              <w:rPr>
                <w:rFonts w:cs="Arial"/>
                <w:color w:val="000000"/>
                <w:sz w:val="16"/>
                <w:szCs w:val="16"/>
              </w:rPr>
            </w:pPr>
            <w:r>
              <w:rPr>
                <w:rFonts w:cs="Arial"/>
                <w:sz w:val="16"/>
                <w:szCs w:val="16"/>
              </w:rPr>
              <w:t>229,7</w:t>
            </w:r>
          </w:p>
        </w:tc>
        <w:tc>
          <w:tcPr>
            <w:tcW w:w="703" w:type="dxa"/>
            <w:tcBorders>
              <w:top w:val="nil"/>
              <w:left w:val="nil"/>
              <w:bottom w:val="nil"/>
              <w:right w:val="nil"/>
            </w:tcBorders>
            <w:shd w:val="clear" w:color="auto" w:fill="auto"/>
            <w:vAlign w:val="center"/>
            <w:hideMark/>
          </w:tcPr>
          <w:p w14:paraId="5C2A7B4B" w14:textId="10B095A9" w:rsidR="00987E13" w:rsidRPr="00D92E20" w:rsidRDefault="00987E13" w:rsidP="00987E13">
            <w:pPr>
              <w:spacing w:after="0" w:line="240" w:lineRule="auto"/>
              <w:jc w:val="center"/>
              <w:rPr>
                <w:rFonts w:cs="Arial"/>
                <w:color w:val="000000"/>
                <w:sz w:val="16"/>
                <w:szCs w:val="16"/>
              </w:rPr>
            </w:pPr>
            <w:r>
              <w:rPr>
                <w:rFonts w:cs="Arial"/>
                <w:sz w:val="16"/>
                <w:szCs w:val="16"/>
              </w:rPr>
              <w:t>104,0</w:t>
            </w:r>
          </w:p>
        </w:tc>
        <w:tc>
          <w:tcPr>
            <w:tcW w:w="705" w:type="dxa"/>
            <w:tcBorders>
              <w:top w:val="nil"/>
              <w:left w:val="nil"/>
              <w:bottom w:val="nil"/>
              <w:right w:val="single" w:sz="4" w:space="0" w:color="auto"/>
            </w:tcBorders>
            <w:shd w:val="clear" w:color="auto" w:fill="auto"/>
            <w:vAlign w:val="center"/>
            <w:hideMark/>
          </w:tcPr>
          <w:p w14:paraId="64C8D5F8" w14:textId="439C0440" w:rsidR="00987E13" w:rsidRPr="00D92E20" w:rsidRDefault="00987E13" w:rsidP="00987E13">
            <w:pPr>
              <w:spacing w:after="0" w:line="240" w:lineRule="auto"/>
              <w:jc w:val="center"/>
              <w:rPr>
                <w:rFonts w:cs="Arial"/>
                <w:color w:val="000000"/>
                <w:sz w:val="16"/>
                <w:szCs w:val="16"/>
              </w:rPr>
            </w:pPr>
            <w:r>
              <w:rPr>
                <w:rFonts w:cs="Arial"/>
                <w:sz w:val="16"/>
                <w:szCs w:val="16"/>
              </w:rPr>
              <w:t>125,7</w:t>
            </w:r>
          </w:p>
        </w:tc>
        <w:tc>
          <w:tcPr>
            <w:tcW w:w="707" w:type="dxa"/>
            <w:tcBorders>
              <w:top w:val="nil"/>
              <w:left w:val="nil"/>
              <w:bottom w:val="nil"/>
              <w:right w:val="nil"/>
            </w:tcBorders>
            <w:shd w:val="clear" w:color="auto" w:fill="auto"/>
            <w:vAlign w:val="center"/>
            <w:hideMark/>
          </w:tcPr>
          <w:p w14:paraId="07C57EA3" w14:textId="04E11284" w:rsidR="00987E13" w:rsidRPr="00D92E20" w:rsidRDefault="00987E13" w:rsidP="00987E13">
            <w:pPr>
              <w:spacing w:after="0" w:line="240" w:lineRule="auto"/>
              <w:jc w:val="center"/>
              <w:rPr>
                <w:rFonts w:cs="Arial"/>
                <w:color w:val="000000"/>
                <w:sz w:val="16"/>
                <w:szCs w:val="16"/>
              </w:rPr>
            </w:pPr>
            <w:r>
              <w:rPr>
                <w:rFonts w:cs="Arial"/>
                <w:sz w:val="16"/>
                <w:szCs w:val="16"/>
              </w:rPr>
              <w:t>198,1</w:t>
            </w:r>
          </w:p>
        </w:tc>
        <w:tc>
          <w:tcPr>
            <w:tcW w:w="704" w:type="dxa"/>
            <w:tcBorders>
              <w:top w:val="nil"/>
              <w:left w:val="nil"/>
              <w:bottom w:val="nil"/>
              <w:right w:val="nil"/>
            </w:tcBorders>
            <w:shd w:val="clear" w:color="auto" w:fill="auto"/>
            <w:vAlign w:val="center"/>
            <w:hideMark/>
          </w:tcPr>
          <w:p w14:paraId="3E97EA23" w14:textId="37F03ED2" w:rsidR="00987E13" w:rsidRPr="00D92E20" w:rsidRDefault="00987E13" w:rsidP="00987E13">
            <w:pPr>
              <w:spacing w:after="0" w:line="240" w:lineRule="auto"/>
              <w:jc w:val="center"/>
              <w:rPr>
                <w:rFonts w:cs="Arial"/>
                <w:color w:val="000000"/>
                <w:sz w:val="16"/>
                <w:szCs w:val="16"/>
              </w:rPr>
            </w:pPr>
            <w:r>
              <w:rPr>
                <w:rFonts w:cs="Arial"/>
                <w:sz w:val="16"/>
                <w:szCs w:val="16"/>
              </w:rPr>
              <w:t>84,7</w:t>
            </w:r>
          </w:p>
        </w:tc>
        <w:tc>
          <w:tcPr>
            <w:tcW w:w="705" w:type="dxa"/>
            <w:tcBorders>
              <w:top w:val="nil"/>
              <w:left w:val="nil"/>
              <w:bottom w:val="nil"/>
              <w:right w:val="nil"/>
            </w:tcBorders>
            <w:shd w:val="clear" w:color="auto" w:fill="auto"/>
            <w:vAlign w:val="center"/>
            <w:hideMark/>
          </w:tcPr>
          <w:p w14:paraId="64FE2006" w14:textId="173A58A2" w:rsidR="00987E13" w:rsidRPr="00D92E20" w:rsidRDefault="00987E13" w:rsidP="00987E13">
            <w:pPr>
              <w:spacing w:after="0" w:line="240" w:lineRule="auto"/>
              <w:jc w:val="center"/>
              <w:rPr>
                <w:rFonts w:cs="Arial"/>
                <w:color w:val="000000"/>
                <w:sz w:val="16"/>
                <w:szCs w:val="16"/>
              </w:rPr>
            </w:pPr>
            <w:r>
              <w:rPr>
                <w:rFonts w:cs="Arial"/>
                <w:sz w:val="16"/>
                <w:szCs w:val="16"/>
              </w:rPr>
              <w:t>113,5</w:t>
            </w:r>
          </w:p>
        </w:tc>
        <w:tc>
          <w:tcPr>
            <w:tcW w:w="754" w:type="dxa"/>
            <w:tcBorders>
              <w:top w:val="nil"/>
              <w:left w:val="single" w:sz="4" w:space="0" w:color="auto"/>
              <w:bottom w:val="nil"/>
              <w:right w:val="nil"/>
            </w:tcBorders>
            <w:shd w:val="clear" w:color="auto" w:fill="auto"/>
            <w:vAlign w:val="center"/>
            <w:hideMark/>
          </w:tcPr>
          <w:p w14:paraId="041F61D2" w14:textId="6CB60ED3" w:rsidR="00987E13" w:rsidRPr="00D92E20" w:rsidRDefault="00987E13" w:rsidP="00987E13">
            <w:pPr>
              <w:spacing w:after="0" w:line="240" w:lineRule="auto"/>
              <w:jc w:val="center"/>
              <w:rPr>
                <w:rFonts w:cs="Arial"/>
                <w:color w:val="000000"/>
                <w:sz w:val="16"/>
                <w:szCs w:val="16"/>
              </w:rPr>
            </w:pPr>
            <w:r>
              <w:rPr>
                <w:rFonts w:cs="Arial"/>
                <w:sz w:val="16"/>
                <w:szCs w:val="16"/>
              </w:rPr>
              <w:t>7,3</w:t>
            </w:r>
          </w:p>
        </w:tc>
        <w:tc>
          <w:tcPr>
            <w:tcW w:w="709" w:type="dxa"/>
            <w:tcBorders>
              <w:top w:val="nil"/>
              <w:left w:val="nil"/>
              <w:bottom w:val="nil"/>
              <w:right w:val="nil"/>
            </w:tcBorders>
            <w:shd w:val="clear" w:color="auto" w:fill="auto"/>
            <w:vAlign w:val="center"/>
            <w:hideMark/>
          </w:tcPr>
          <w:p w14:paraId="42F86E62" w14:textId="4A7DBC96" w:rsidR="00987E13" w:rsidRPr="00D92E20" w:rsidRDefault="00987E13" w:rsidP="00987E13">
            <w:pPr>
              <w:spacing w:after="0" w:line="240" w:lineRule="auto"/>
              <w:jc w:val="center"/>
              <w:rPr>
                <w:rFonts w:cs="Arial"/>
                <w:color w:val="000000"/>
                <w:sz w:val="16"/>
                <w:szCs w:val="16"/>
              </w:rPr>
            </w:pPr>
            <w:r>
              <w:rPr>
                <w:rFonts w:cs="Arial"/>
                <w:sz w:val="16"/>
                <w:szCs w:val="16"/>
              </w:rPr>
              <w:t>4,9</w:t>
            </w:r>
          </w:p>
        </w:tc>
        <w:tc>
          <w:tcPr>
            <w:tcW w:w="709" w:type="dxa"/>
            <w:tcBorders>
              <w:top w:val="nil"/>
              <w:left w:val="nil"/>
              <w:bottom w:val="nil"/>
              <w:right w:val="single" w:sz="4" w:space="0" w:color="auto"/>
            </w:tcBorders>
            <w:shd w:val="clear" w:color="auto" w:fill="auto"/>
            <w:vAlign w:val="center"/>
            <w:hideMark/>
          </w:tcPr>
          <w:p w14:paraId="4FAF8F2D" w14:textId="4C61323A" w:rsidR="00987E13" w:rsidRPr="00D92E20" w:rsidRDefault="00987E13" w:rsidP="00987E13">
            <w:pPr>
              <w:spacing w:after="0" w:line="240" w:lineRule="auto"/>
              <w:jc w:val="center"/>
              <w:rPr>
                <w:rFonts w:cs="Arial"/>
                <w:color w:val="000000"/>
                <w:sz w:val="16"/>
                <w:szCs w:val="16"/>
              </w:rPr>
            </w:pPr>
            <w:r>
              <w:rPr>
                <w:rFonts w:cs="Arial"/>
                <w:sz w:val="16"/>
                <w:szCs w:val="16"/>
              </w:rPr>
              <w:t>2,4</w:t>
            </w:r>
          </w:p>
        </w:tc>
        <w:tc>
          <w:tcPr>
            <w:tcW w:w="709" w:type="dxa"/>
            <w:tcBorders>
              <w:top w:val="nil"/>
              <w:left w:val="nil"/>
              <w:bottom w:val="nil"/>
              <w:right w:val="nil"/>
            </w:tcBorders>
            <w:shd w:val="clear" w:color="auto" w:fill="auto"/>
            <w:vAlign w:val="center"/>
            <w:hideMark/>
          </w:tcPr>
          <w:p w14:paraId="1D148891" w14:textId="2F6261AB" w:rsidR="00987E13" w:rsidRPr="00D92E20" w:rsidRDefault="00987E13" w:rsidP="00987E13">
            <w:pPr>
              <w:spacing w:after="0" w:line="240" w:lineRule="auto"/>
              <w:jc w:val="center"/>
              <w:rPr>
                <w:rFonts w:cs="Arial"/>
                <w:color w:val="000000"/>
                <w:sz w:val="16"/>
                <w:szCs w:val="16"/>
              </w:rPr>
            </w:pPr>
            <w:r>
              <w:rPr>
                <w:rFonts w:cs="Arial"/>
                <w:sz w:val="16"/>
                <w:szCs w:val="16"/>
              </w:rPr>
              <w:t>24,3</w:t>
            </w:r>
          </w:p>
        </w:tc>
        <w:tc>
          <w:tcPr>
            <w:tcW w:w="709" w:type="dxa"/>
            <w:tcBorders>
              <w:top w:val="nil"/>
              <w:left w:val="nil"/>
              <w:bottom w:val="nil"/>
              <w:right w:val="nil"/>
            </w:tcBorders>
            <w:shd w:val="clear" w:color="auto" w:fill="auto"/>
            <w:vAlign w:val="center"/>
            <w:hideMark/>
          </w:tcPr>
          <w:p w14:paraId="37C7E6A3" w14:textId="60480C34" w:rsidR="00987E13" w:rsidRPr="00D92E20" w:rsidRDefault="00987E13" w:rsidP="00987E13">
            <w:pPr>
              <w:spacing w:after="0" w:line="240" w:lineRule="auto"/>
              <w:jc w:val="center"/>
              <w:rPr>
                <w:rFonts w:cs="Arial"/>
                <w:color w:val="000000"/>
                <w:sz w:val="16"/>
                <w:szCs w:val="16"/>
              </w:rPr>
            </w:pPr>
            <w:r>
              <w:rPr>
                <w:rFonts w:cs="Arial"/>
                <w:sz w:val="16"/>
                <w:szCs w:val="16"/>
              </w:rPr>
              <w:t>14,4</w:t>
            </w:r>
          </w:p>
        </w:tc>
        <w:tc>
          <w:tcPr>
            <w:tcW w:w="709" w:type="dxa"/>
            <w:tcBorders>
              <w:top w:val="nil"/>
              <w:left w:val="nil"/>
              <w:bottom w:val="nil"/>
              <w:right w:val="nil"/>
            </w:tcBorders>
            <w:shd w:val="clear" w:color="auto" w:fill="auto"/>
            <w:vAlign w:val="center"/>
            <w:hideMark/>
          </w:tcPr>
          <w:p w14:paraId="0AE7CB64" w14:textId="447B5D69" w:rsidR="00987E13" w:rsidRPr="00D92E20" w:rsidRDefault="00987E13" w:rsidP="00987E13">
            <w:pPr>
              <w:spacing w:after="0" w:line="240" w:lineRule="auto"/>
              <w:jc w:val="center"/>
              <w:rPr>
                <w:rFonts w:cs="Arial"/>
                <w:color w:val="000000"/>
                <w:sz w:val="16"/>
                <w:szCs w:val="16"/>
              </w:rPr>
            </w:pPr>
            <w:r>
              <w:rPr>
                <w:rFonts w:cs="Arial"/>
                <w:sz w:val="16"/>
                <w:szCs w:val="16"/>
              </w:rPr>
              <w:t>9,8</w:t>
            </w:r>
          </w:p>
        </w:tc>
      </w:tr>
      <w:tr w:rsidR="00987E13" w:rsidRPr="00D92E20" w14:paraId="6D8E63D0" w14:textId="77777777" w:rsidTr="00350B58">
        <w:trPr>
          <w:trHeight w:val="296"/>
        </w:trPr>
        <w:tc>
          <w:tcPr>
            <w:tcW w:w="1009" w:type="dxa"/>
            <w:tcBorders>
              <w:top w:val="nil"/>
              <w:left w:val="nil"/>
              <w:bottom w:val="nil"/>
              <w:right w:val="nil"/>
            </w:tcBorders>
            <w:shd w:val="clear" w:color="auto" w:fill="auto"/>
            <w:vAlign w:val="center"/>
            <w:hideMark/>
          </w:tcPr>
          <w:p w14:paraId="381CCEF9" w14:textId="6C32527F" w:rsidR="00987E13" w:rsidRPr="00D92E20" w:rsidRDefault="00987E13" w:rsidP="00987E13">
            <w:pPr>
              <w:spacing w:after="0" w:line="240" w:lineRule="auto"/>
              <w:jc w:val="center"/>
              <w:rPr>
                <w:rFonts w:cs="Arial"/>
                <w:color w:val="000000"/>
                <w:sz w:val="16"/>
                <w:szCs w:val="16"/>
              </w:rPr>
            </w:pPr>
            <w:r>
              <w:rPr>
                <w:rFonts w:cs="Arial"/>
                <w:sz w:val="16"/>
                <w:szCs w:val="16"/>
              </w:rPr>
              <w:t>1. pol. 2020</w:t>
            </w:r>
          </w:p>
        </w:tc>
        <w:tc>
          <w:tcPr>
            <w:tcW w:w="710" w:type="dxa"/>
            <w:tcBorders>
              <w:top w:val="nil"/>
              <w:left w:val="single" w:sz="4" w:space="0" w:color="auto"/>
              <w:bottom w:val="nil"/>
              <w:right w:val="nil"/>
            </w:tcBorders>
            <w:shd w:val="clear" w:color="auto" w:fill="auto"/>
            <w:vAlign w:val="center"/>
            <w:hideMark/>
          </w:tcPr>
          <w:p w14:paraId="443CEAB7" w14:textId="7B169219" w:rsidR="00987E13" w:rsidRPr="00D92E20" w:rsidRDefault="00987E13" w:rsidP="00987E13">
            <w:pPr>
              <w:spacing w:after="0" w:line="240" w:lineRule="auto"/>
              <w:jc w:val="center"/>
              <w:rPr>
                <w:rFonts w:cs="Arial"/>
                <w:color w:val="000000"/>
                <w:sz w:val="16"/>
                <w:szCs w:val="16"/>
              </w:rPr>
            </w:pPr>
            <w:r>
              <w:rPr>
                <w:rFonts w:cs="Arial"/>
                <w:sz w:val="16"/>
                <w:szCs w:val="16"/>
              </w:rPr>
              <w:t>260,5</w:t>
            </w:r>
          </w:p>
        </w:tc>
        <w:tc>
          <w:tcPr>
            <w:tcW w:w="703" w:type="dxa"/>
            <w:tcBorders>
              <w:top w:val="nil"/>
              <w:left w:val="nil"/>
              <w:bottom w:val="nil"/>
              <w:right w:val="nil"/>
            </w:tcBorders>
            <w:shd w:val="clear" w:color="auto" w:fill="auto"/>
            <w:vAlign w:val="center"/>
            <w:hideMark/>
          </w:tcPr>
          <w:p w14:paraId="70055A86" w14:textId="253B5309" w:rsidR="00987E13" w:rsidRPr="00D92E20" w:rsidRDefault="00987E13" w:rsidP="00987E13">
            <w:pPr>
              <w:spacing w:after="0" w:line="240" w:lineRule="auto"/>
              <w:jc w:val="center"/>
              <w:rPr>
                <w:rFonts w:cs="Arial"/>
                <w:color w:val="000000"/>
                <w:sz w:val="16"/>
                <w:szCs w:val="16"/>
              </w:rPr>
            </w:pPr>
            <w:r>
              <w:rPr>
                <w:rFonts w:cs="Arial"/>
                <w:sz w:val="16"/>
                <w:szCs w:val="16"/>
              </w:rPr>
              <w:t>119,2</w:t>
            </w:r>
          </w:p>
        </w:tc>
        <w:tc>
          <w:tcPr>
            <w:tcW w:w="705" w:type="dxa"/>
            <w:tcBorders>
              <w:top w:val="nil"/>
              <w:left w:val="nil"/>
              <w:bottom w:val="nil"/>
              <w:right w:val="single" w:sz="4" w:space="0" w:color="auto"/>
            </w:tcBorders>
            <w:shd w:val="clear" w:color="auto" w:fill="auto"/>
            <w:vAlign w:val="center"/>
            <w:hideMark/>
          </w:tcPr>
          <w:p w14:paraId="186EC40A" w14:textId="7C39FD49" w:rsidR="00987E13" w:rsidRPr="00D92E20" w:rsidRDefault="00987E13" w:rsidP="00987E13">
            <w:pPr>
              <w:spacing w:after="0" w:line="240" w:lineRule="auto"/>
              <w:jc w:val="center"/>
              <w:rPr>
                <w:rFonts w:cs="Arial"/>
                <w:color w:val="000000"/>
                <w:sz w:val="16"/>
                <w:szCs w:val="16"/>
              </w:rPr>
            </w:pPr>
            <w:r>
              <w:rPr>
                <w:rFonts w:cs="Arial"/>
                <w:sz w:val="16"/>
                <w:szCs w:val="16"/>
              </w:rPr>
              <w:t>141,2</w:t>
            </w:r>
          </w:p>
        </w:tc>
        <w:tc>
          <w:tcPr>
            <w:tcW w:w="707" w:type="dxa"/>
            <w:tcBorders>
              <w:top w:val="nil"/>
              <w:left w:val="nil"/>
              <w:bottom w:val="nil"/>
              <w:right w:val="nil"/>
            </w:tcBorders>
            <w:shd w:val="clear" w:color="auto" w:fill="auto"/>
            <w:vAlign w:val="center"/>
            <w:hideMark/>
          </w:tcPr>
          <w:p w14:paraId="6C6362C3" w14:textId="1B613040" w:rsidR="00987E13" w:rsidRPr="00D92E20" w:rsidRDefault="00987E13" w:rsidP="00987E13">
            <w:pPr>
              <w:spacing w:after="0" w:line="240" w:lineRule="auto"/>
              <w:jc w:val="center"/>
              <w:rPr>
                <w:rFonts w:cs="Arial"/>
                <w:color w:val="000000"/>
                <w:sz w:val="16"/>
                <w:szCs w:val="16"/>
              </w:rPr>
            </w:pPr>
            <w:r>
              <w:rPr>
                <w:rFonts w:cs="Arial"/>
                <w:sz w:val="16"/>
                <w:szCs w:val="16"/>
              </w:rPr>
              <w:t>228,3</w:t>
            </w:r>
          </w:p>
        </w:tc>
        <w:tc>
          <w:tcPr>
            <w:tcW w:w="704" w:type="dxa"/>
            <w:tcBorders>
              <w:top w:val="nil"/>
              <w:left w:val="nil"/>
              <w:bottom w:val="nil"/>
              <w:right w:val="nil"/>
            </w:tcBorders>
            <w:shd w:val="clear" w:color="auto" w:fill="auto"/>
            <w:vAlign w:val="center"/>
            <w:hideMark/>
          </w:tcPr>
          <w:p w14:paraId="3BD0B658" w14:textId="5509F48E" w:rsidR="00987E13" w:rsidRPr="00D92E20" w:rsidRDefault="00987E13" w:rsidP="00987E13">
            <w:pPr>
              <w:spacing w:after="0" w:line="240" w:lineRule="auto"/>
              <w:jc w:val="center"/>
              <w:rPr>
                <w:rFonts w:cs="Arial"/>
                <w:color w:val="000000"/>
                <w:sz w:val="16"/>
                <w:szCs w:val="16"/>
              </w:rPr>
            </w:pPr>
            <w:r>
              <w:rPr>
                <w:rFonts w:cs="Arial"/>
                <w:sz w:val="16"/>
                <w:szCs w:val="16"/>
              </w:rPr>
              <w:t>99,4</w:t>
            </w:r>
          </w:p>
        </w:tc>
        <w:tc>
          <w:tcPr>
            <w:tcW w:w="705" w:type="dxa"/>
            <w:tcBorders>
              <w:top w:val="nil"/>
              <w:left w:val="nil"/>
              <w:bottom w:val="nil"/>
              <w:right w:val="nil"/>
            </w:tcBorders>
            <w:shd w:val="clear" w:color="auto" w:fill="auto"/>
            <w:vAlign w:val="center"/>
            <w:hideMark/>
          </w:tcPr>
          <w:p w14:paraId="50F03033" w14:textId="32942A4E" w:rsidR="00987E13" w:rsidRPr="00D92E20" w:rsidRDefault="00987E13" w:rsidP="00987E13">
            <w:pPr>
              <w:spacing w:after="0" w:line="240" w:lineRule="auto"/>
              <w:jc w:val="center"/>
              <w:rPr>
                <w:rFonts w:cs="Arial"/>
                <w:color w:val="000000"/>
                <w:sz w:val="16"/>
                <w:szCs w:val="16"/>
              </w:rPr>
            </w:pPr>
            <w:r>
              <w:rPr>
                <w:rFonts w:cs="Arial"/>
                <w:sz w:val="16"/>
                <w:szCs w:val="16"/>
              </w:rPr>
              <w:t>128,9</w:t>
            </w:r>
          </w:p>
        </w:tc>
        <w:tc>
          <w:tcPr>
            <w:tcW w:w="754" w:type="dxa"/>
            <w:tcBorders>
              <w:top w:val="nil"/>
              <w:left w:val="single" w:sz="4" w:space="0" w:color="auto"/>
              <w:bottom w:val="nil"/>
              <w:right w:val="nil"/>
            </w:tcBorders>
            <w:shd w:val="clear" w:color="auto" w:fill="auto"/>
            <w:vAlign w:val="center"/>
            <w:hideMark/>
          </w:tcPr>
          <w:p w14:paraId="2975F363" w14:textId="034FD460" w:rsidR="00987E13" w:rsidRPr="00D92E20" w:rsidRDefault="00987E13" w:rsidP="00987E13">
            <w:pPr>
              <w:spacing w:after="0" w:line="240" w:lineRule="auto"/>
              <w:jc w:val="center"/>
              <w:rPr>
                <w:rFonts w:cs="Arial"/>
                <w:color w:val="000000"/>
                <w:sz w:val="16"/>
                <w:szCs w:val="16"/>
              </w:rPr>
            </w:pPr>
            <w:r>
              <w:rPr>
                <w:rFonts w:cs="Arial"/>
                <w:sz w:val="16"/>
                <w:szCs w:val="16"/>
              </w:rPr>
              <w:t>7,1</w:t>
            </w:r>
          </w:p>
        </w:tc>
        <w:tc>
          <w:tcPr>
            <w:tcW w:w="709" w:type="dxa"/>
            <w:tcBorders>
              <w:top w:val="nil"/>
              <w:left w:val="nil"/>
              <w:bottom w:val="nil"/>
              <w:right w:val="nil"/>
            </w:tcBorders>
            <w:shd w:val="clear" w:color="auto" w:fill="auto"/>
            <w:vAlign w:val="center"/>
            <w:hideMark/>
          </w:tcPr>
          <w:p w14:paraId="2D06F528" w14:textId="2B9260F6" w:rsidR="00987E13" w:rsidRPr="00D92E20" w:rsidRDefault="00987E13" w:rsidP="00987E13">
            <w:pPr>
              <w:spacing w:after="0" w:line="240" w:lineRule="auto"/>
              <w:jc w:val="center"/>
              <w:rPr>
                <w:rFonts w:cs="Arial"/>
                <w:color w:val="000000"/>
                <w:sz w:val="16"/>
                <w:szCs w:val="16"/>
              </w:rPr>
            </w:pPr>
            <w:r>
              <w:rPr>
                <w:rFonts w:cs="Arial"/>
                <w:sz w:val="16"/>
                <w:szCs w:val="16"/>
              </w:rPr>
              <w:t>4,8</w:t>
            </w:r>
          </w:p>
        </w:tc>
        <w:tc>
          <w:tcPr>
            <w:tcW w:w="709" w:type="dxa"/>
            <w:tcBorders>
              <w:top w:val="nil"/>
              <w:left w:val="nil"/>
              <w:bottom w:val="nil"/>
              <w:right w:val="single" w:sz="4" w:space="0" w:color="auto"/>
            </w:tcBorders>
            <w:shd w:val="clear" w:color="auto" w:fill="auto"/>
            <w:vAlign w:val="center"/>
            <w:hideMark/>
          </w:tcPr>
          <w:p w14:paraId="7EF7D159" w14:textId="4224948F" w:rsidR="00987E13" w:rsidRPr="00D92E20" w:rsidRDefault="00987E13" w:rsidP="00987E13">
            <w:pPr>
              <w:spacing w:after="0" w:line="240" w:lineRule="auto"/>
              <w:jc w:val="center"/>
              <w:rPr>
                <w:rFonts w:cs="Arial"/>
                <w:color w:val="000000"/>
                <w:sz w:val="16"/>
                <w:szCs w:val="16"/>
              </w:rPr>
            </w:pPr>
            <w:r>
              <w:rPr>
                <w:rFonts w:cs="Arial"/>
                <w:sz w:val="16"/>
                <w:szCs w:val="16"/>
              </w:rPr>
              <w:t>2,2</w:t>
            </w:r>
          </w:p>
        </w:tc>
        <w:tc>
          <w:tcPr>
            <w:tcW w:w="709" w:type="dxa"/>
            <w:tcBorders>
              <w:top w:val="nil"/>
              <w:left w:val="nil"/>
              <w:bottom w:val="nil"/>
              <w:right w:val="nil"/>
            </w:tcBorders>
            <w:shd w:val="clear" w:color="auto" w:fill="auto"/>
            <w:vAlign w:val="center"/>
            <w:hideMark/>
          </w:tcPr>
          <w:p w14:paraId="04275107" w14:textId="67EBC426" w:rsidR="00987E13" w:rsidRPr="00D92E20" w:rsidRDefault="00987E13" w:rsidP="00987E13">
            <w:pPr>
              <w:spacing w:after="0" w:line="240" w:lineRule="auto"/>
              <w:jc w:val="center"/>
              <w:rPr>
                <w:rFonts w:cs="Arial"/>
                <w:color w:val="000000"/>
                <w:sz w:val="16"/>
                <w:szCs w:val="16"/>
              </w:rPr>
            </w:pPr>
            <w:r>
              <w:rPr>
                <w:rFonts w:cs="Arial"/>
                <w:sz w:val="16"/>
                <w:szCs w:val="16"/>
              </w:rPr>
              <w:t>25,1</w:t>
            </w:r>
          </w:p>
        </w:tc>
        <w:tc>
          <w:tcPr>
            <w:tcW w:w="709" w:type="dxa"/>
            <w:tcBorders>
              <w:top w:val="nil"/>
              <w:left w:val="nil"/>
              <w:bottom w:val="nil"/>
              <w:right w:val="nil"/>
            </w:tcBorders>
            <w:shd w:val="clear" w:color="auto" w:fill="auto"/>
            <w:vAlign w:val="center"/>
            <w:hideMark/>
          </w:tcPr>
          <w:p w14:paraId="735C193C" w14:textId="19572072" w:rsidR="00987E13" w:rsidRPr="00D92E20" w:rsidRDefault="00987E13" w:rsidP="00987E13">
            <w:pPr>
              <w:spacing w:after="0" w:line="240" w:lineRule="auto"/>
              <w:jc w:val="center"/>
              <w:rPr>
                <w:rFonts w:cs="Arial"/>
                <w:color w:val="000000"/>
                <w:sz w:val="16"/>
                <w:szCs w:val="16"/>
              </w:rPr>
            </w:pPr>
            <w:r>
              <w:rPr>
                <w:rFonts w:cs="Arial"/>
                <w:sz w:val="16"/>
                <w:szCs w:val="16"/>
              </w:rPr>
              <w:t>15,0</w:t>
            </w:r>
          </w:p>
        </w:tc>
        <w:tc>
          <w:tcPr>
            <w:tcW w:w="709" w:type="dxa"/>
            <w:tcBorders>
              <w:top w:val="nil"/>
              <w:left w:val="nil"/>
              <w:bottom w:val="nil"/>
              <w:right w:val="nil"/>
            </w:tcBorders>
            <w:shd w:val="clear" w:color="auto" w:fill="auto"/>
            <w:vAlign w:val="center"/>
            <w:hideMark/>
          </w:tcPr>
          <w:p w14:paraId="2F410CA2" w14:textId="7C64BA35" w:rsidR="00987E13" w:rsidRPr="00D92E20" w:rsidRDefault="00987E13" w:rsidP="00987E13">
            <w:pPr>
              <w:spacing w:after="0" w:line="240" w:lineRule="auto"/>
              <w:jc w:val="center"/>
              <w:rPr>
                <w:rFonts w:cs="Arial"/>
                <w:color w:val="000000"/>
                <w:sz w:val="16"/>
                <w:szCs w:val="16"/>
              </w:rPr>
            </w:pPr>
            <w:r>
              <w:rPr>
                <w:rFonts w:cs="Arial"/>
                <w:sz w:val="16"/>
                <w:szCs w:val="16"/>
              </w:rPr>
              <w:t>10,1</w:t>
            </w:r>
          </w:p>
        </w:tc>
      </w:tr>
      <w:tr w:rsidR="00987E13" w:rsidRPr="00D92E20" w14:paraId="794D943E" w14:textId="77777777" w:rsidTr="00350B58">
        <w:trPr>
          <w:trHeight w:val="296"/>
        </w:trPr>
        <w:tc>
          <w:tcPr>
            <w:tcW w:w="1009" w:type="dxa"/>
            <w:tcBorders>
              <w:top w:val="nil"/>
              <w:left w:val="nil"/>
              <w:bottom w:val="nil"/>
              <w:right w:val="nil"/>
            </w:tcBorders>
            <w:shd w:val="clear" w:color="auto" w:fill="auto"/>
            <w:vAlign w:val="center"/>
            <w:hideMark/>
          </w:tcPr>
          <w:p w14:paraId="0A980EEA" w14:textId="5B1BDA5B" w:rsidR="00987E13" w:rsidRPr="00D92E20" w:rsidRDefault="00987E13" w:rsidP="00987E13">
            <w:pPr>
              <w:spacing w:after="0" w:line="240" w:lineRule="auto"/>
              <w:jc w:val="center"/>
              <w:rPr>
                <w:rFonts w:cs="Arial"/>
                <w:color w:val="000000"/>
                <w:sz w:val="16"/>
                <w:szCs w:val="16"/>
              </w:rPr>
            </w:pPr>
            <w:r>
              <w:rPr>
                <w:rFonts w:cs="Arial"/>
                <w:sz w:val="16"/>
                <w:szCs w:val="16"/>
              </w:rPr>
              <w:t>1. pol. 2021</w:t>
            </w:r>
          </w:p>
        </w:tc>
        <w:tc>
          <w:tcPr>
            <w:tcW w:w="710" w:type="dxa"/>
            <w:tcBorders>
              <w:top w:val="nil"/>
              <w:left w:val="single" w:sz="4" w:space="0" w:color="auto"/>
              <w:bottom w:val="nil"/>
              <w:right w:val="nil"/>
            </w:tcBorders>
            <w:shd w:val="clear" w:color="auto" w:fill="auto"/>
            <w:vAlign w:val="center"/>
            <w:hideMark/>
          </w:tcPr>
          <w:p w14:paraId="0680CD4D" w14:textId="248FF67E" w:rsidR="00987E13" w:rsidRPr="00D92E20" w:rsidRDefault="00987E13" w:rsidP="00987E13">
            <w:pPr>
              <w:spacing w:after="0" w:line="240" w:lineRule="auto"/>
              <w:jc w:val="center"/>
              <w:rPr>
                <w:rFonts w:cs="Arial"/>
                <w:color w:val="000000"/>
                <w:sz w:val="16"/>
                <w:szCs w:val="16"/>
              </w:rPr>
            </w:pPr>
            <w:r>
              <w:rPr>
                <w:rFonts w:cs="Arial"/>
                <w:sz w:val="16"/>
                <w:szCs w:val="16"/>
              </w:rPr>
              <w:t>281,0</w:t>
            </w:r>
          </w:p>
        </w:tc>
        <w:tc>
          <w:tcPr>
            <w:tcW w:w="703" w:type="dxa"/>
            <w:tcBorders>
              <w:top w:val="nil"/>
              <w:left w:val="nil"/>
              <w:bottom w:val="nil"/>
              <w:right w:val="nil"/>
            </w:tcBorders>
            <w:shd w:val="clear" w:color="auto" w:fill="auto"/>
            <w:vAlign w:val="center"/>
            <w:hideMark/>
          </w:tcPr>
          <w:p w14:paraId="1650AF7C" w14:textId="2E3105F7" w:rsidR="00987E13" w:rsidRPr="00D92E20" w:rsidRDefault="00987E13" w:rsidP="00987E13">
            <w:pPr>
              <w:spacing w:after="0" w:line="240" w:lineRule="auto"/>
              <w:jc w:val="center"/>
              <w:rPr>
                <w:rFonts w:cs="Arial"/>
                <w:color w:val="000000"/>
                <w:sz w:val="16"/>
                <w:szCs w:val="16"/>
              </w:rPr>
            </w:pPr>
            <w:r>
              <w:rPr>
                <w:rFonts w:cs="Arial"/>
                <w:sz w:val="16"/>
                <w:szCs w:val="16"/>
              </w:rPr>
              <w:t>132,1</w:t>
            </w:r>
          </w:p>
        </w:tc>
        <w:tc>
          <w:tcPr>
            <w:tcW w:w="705" w:type="dxa"/>
            <w:tcBorders>
              <w:top w:val="nil"/>
              <w:left w:val="nil"/>
              <w:bottom w:val="nil"/>
              <w:right w:val="single" w:sz="4" w:space="0" w:color="auto"/>
            </w:tcBorders>
            <w:shd w:val="clear" w:color="auto" w:fill="auto"/>
            <w:vAlign w:val="center"/>
            <w:hideMark/>
          </w:tcPr>
          <w:p w14:paraId="3068D77A" w14:textId="119B1B77" w:rsidR="00987E13" w:rsidRPr="00D92E20" w:rsidRDefault="00987E13" w:rsidP="00987E13">
            <w:pPr>
              <w:spacing w:after="0" w:line="240" w:lineRule="auto"/>
              <w:jc w:val="center"/>
              <w:rPr>
                <w:rFonts w:cs="Arial"/>
                <w:color w:val="000000"/>
                <w:sz w:val="16"/>
                <w:szCs w:val="16"/>
              </w:rPr>
            </w:pPr>
            <w:r>
              <w:rPr>
                <w:rFonts w:cs="Arial"/>
                <w:sz w:val="16"/>
                <w:szCs w:val="16"/>
              </w:rPr>
              <w:t>148,9</w:t>
            </w:r>
          </w:p>
        </w:tc>
        <w:tc>
          <w:tcPr>
            <w:tcW w:w="707" w:type="dxa"/>
            <w:tcBorders>
              <w:top w:val="nil"/>
              <w:left w:val="nil"/>
              <w:bottom w:val="nil"/>
              <w:right w:val="nil"/>
            </w:tcBorders>
            <w:shd w:val="clear" w:color="auto" w:fill="auto"/>
            <w:vAlign w:val="center"/>
            <w:hideMark/>
          </w:tcPr>
          <w:p w14:paraId="411F3C56" w14:textId="7B65470C" w:rsidR="00987E13" w:rsidRPr="00D92E20" w:rsidRDefault="00987E13" w:rsidP="00987E13">
            <w:pPr>
              <w:spacing w:after="0" w:line="240" w:lineRule="auto"/>
              <w:jc w:val="center"/>
              <w:rPr>
                <w:rFonts w:cs="Arial"/>
                <w:color w:val="000000"/>
                <w:sz w:val="16"/>
                <w:szCs w:val="16"/>
              </w:rPr>
            </w:pPr>
            <w:r>
              <w:rPr>
                <w:rFonts w:cs="Arial"/>
                <w:sz w:val="16"/>
                <w:szCs w:val="16"/>
              </w:rPr>
              <w:t>249,8</w:t>
            </w:r>
          </w:p>
        </w:tc>
        <w:tc>
          <w:tcPr>
            <w:tcW w:w="704" w:type="dxa"/>
            <w:tcBorders>
              <w:top w:val="nil"/>
              <w:left w:val="nil"/>
              <w:bottom w:val="nil"/>
              <w:right w:val="nil"/>
            </w:tcBorders>
            <w:shd w:val="clear" w:color="auto" w:fill="auto"/>
            <w:vAlign w:val="center"/>
            <w:hideMark/>
          </w:tcPr>
          <w:p w14:paraId="665A80FD" w14:textId="4266E4E3" w:rsidR="00987E13" w:rsidRPr="00D92E20" w:rsidRDefault="00987E13" w:rsidP="00987E13">
            <w:pPr>
              <w:spacing w:after="0" w:line="240" w:lineRule="auto"/>
              <w:jc w:val="center"/>
              <w:rPr>
                <w:rFonts w:cs="Arial"/>
                <w:color w:val="000000"/>
                <w:sz w:val="16"/>
                <w:szCs w:val="16"/>
              </w:rPr>
            </w:pPr>
            <w:r>
              <w:rPr>
                <w:rFonts w:cs="Arial"/>
                <w:sz w:val="16"/>
                <w:szCs w:val="16"/>
              </w:rPr>
              <w:t>113,3</w:t>
            </w:r>
          </w:p>
        </w:tc>
        <w:tc>
          <w:tcPr>
            <w:tcW w:w="705" w:type="dxa"/>
            <w:tcBorders>
              <w:top w:val="nil"/>
              <w:left w:val="nil"/>
              <w:bottom w:val="nil"/>
              <w:right w:val="nil"/>
            </w:tcBorders>
            <w:shd w:val="clear" w:color="auto" w:fill="auto"/>
            <w:vAlign w:val="center"/>
            <w:hideMark/>
          </w:tcPr>
          <w:p w14:paraId="39134A45" w14:textId="22224F30" w:rsidR="00987E13" w:rsidRPr="00D92E20" w:rsidRDefault="00987E13" w:rsidP="00987E13">
            <w:pPr>
              <w:spacing w:after="0" w:line="240" w:lineRule="auto"/>
              <w:jc w:val="center"/>
              <w:rPr>
                <w:rFonts w:cs="Arial"/>
                <w:color w:val="000000"/>
                <w:sz w:val="16"/>
                <w:szCs w:val="16"/>
              </w:rPr>
            </w:pPr>
            <w:r>
              <w:rPr>
                <w:rFonts w:cs="Arial"/>
                <w:sz w:val="16"/>
                <w:szCs w:val="16"/>
              </w:rPr>
              <w:t>136,4</w:t>
            </w:r>
          </w:p>
        </w:tc>
        <w:tc>
          <w:tcPr>
            <w:tcW w:w="754" w:type="dxa"/>
            <w:tcBorders>
              <w:top w:val="nil"/>
              <w:left w:val="single" w:sz="4" w:space="0" w:color="auto"/>
              <w:bottom w:val="nil"/>
              <w:right w:val="nil"/>
            </w:tcBorders>
            <w:shd w:val="clear" w:color="auto" w:fill="auto"/>
            <w:vAlign w:val="center"/>
            <w:hideMark/>
          </w:tcPr>
          <w:p w14:paraId="3415032C" w14:textId="78B57E5B" w:rsidR="00987E13" w:rsidRPr="00D92E20" w:rsidRDefault="00987E13" w:rsidP="00987E13">
            <w:pPr>
              <w:spacing w:after="0" w:line="240" w:lineRule="auto"/>
              <w:jc w:val="center"/>
              <w:rPr>
                <w:rFonts w:cs="Arial"/>
                <w:color w:val="000000"/>
                <w:sz w:val="16"/>
                <w:szCs w:val="16"/>
              </w:rPr>
            </w:pPr>
            <w:r>
              <w:rPr>
                <w:rFonts w:cs="Arial"/>
                <w:sz w:val="16"/>
                <w:szCs w:val="16"/>
              </w:rPr>
              <w:t>7,4</w:t>
            </w:r>
          </w:p>
        </w:tc>
        <w:tc>
          <w:tcPr>
            <w:tcW w:w="709" w:type="dxa"/>
            <w:tcBorders>
              <w:top w:val="nil"/>
              <w:left w:val="nil"/>
              <w:bottom w:val="nil"/>
              <w:right w:val="nil"/>
            </w:tcBorders>
            <w:shd w:val="clear" w:color="auto" w:fill="auto"/>
            <w:vAlign w:val="center"/>
            <w:hideMark/>
          </w:tcPr>
          <w:p w14:paraId="25277B1D" w14:textId="2B79A3BF" w:rsidR="00987E13" w:rsidRPr="00D92E20" w:rsidRDefault="00987E13" w:rsidP="00987E13">
            <w:pPr>
              <w:spacing w:after="0" w:line="240" w:lineRule="auto"/>
              <w:jc w:val="center"/>
              <w:rPr>
                <w:rFonts w:cs="Arial"/>
                <w:color w:val="000000"/>
                <w:sz w:val="16"/>
                <w:szCs w:val="16"/>
              </w:rPr>
            </w:pPr>
            <w:r>
              <w:rPr>
                <w:rFonts w:cs="Arial"/>
                <w:sz w:val="16"/>
                <w:szCs w:val="16"/>
              </w:rPr>
              <w:t>5,1</w:t>
            </w:r>
          </w:p>
        </w:tc>
        <w:tc>
          <w:tcPr>
            <w:tcW w:w="709" w:type="dxa"/>
            <w:tcBorders>
              <w:top w:val="nil"/>
              <w:left w:val="nil"/>
              <w:bottom w:val="nil"/>
              <w:right w:val="single" w:sz="4" w:space="0" w:color="auto"/>
            </w:tcBorders>
            <w:shd w:val="clear" w:color="auto" w:fill="auto"/>
            <w:vAlign w:val="center"/>
            <w:hideMark/>
          </w:tcPr>
          <w:p w14:paraId="76AACFFD" w14:textId="2DB81576" w:rsidR="00987E13" w:rsidRPr="00D92E20" w:rsidRDefault="00987E13" w:rsidP="00987E13">
            <w:pPr>
              <w:spacing w:after="0" w:line="240" w:lineRule="auto"/>
              <w:jc w:val="center"/>
              <w:rPr>
                <w:rFonts w:cs="Arial"/>
                <w:color w:val="000000"/>
                <w:sz w:val="16"/>
                <w:szCs w:val="16"/>
              </w:rPr>
            </w:pPr>
            <w:r>
              <w:rPr>
                <w:rFonts w:cs="Arial"/>
                <w:sz w:val="16"/>
                <w:szCs w:val="16"/>
              </w:rPr>
              <w:t>2,3</w:t>
            </w:r>
          </w:p>
        </w:tc>
        <w:tc>
          <w:tcPr>
            <w:tcW w:w="709" w:type="dxa"/>
            <w:tcBorders>
              <w:top w:val="nil"/>
              <w:left w:val="nil"/>
              <w:bottom w:val="nil"/>
              <w:right w:val="nil"/>
            </w:tcBorders>
            <w:shd w:val="clear" w:color="auto" w:fill="auto"/>
            <w:vAlign w:val="center"/>
            <w:hideMark/>
          </w:tcPr>
          <w:p w14:paraId="11FA0F8E" w14:textId="71234858" w:rsidR="00987E13" w:rsidRPr="00D92E20" w:rsidRDefault="00987E13" w:rsidP="00987E13">
            <w:pPr>
              <w:spacing w:after="0" w:line="240" w:lineRule="auto"/>
              <w:jc w:val="center"/>
              <w:rPr>
                <w:rFonts w:cs="Arial"/>
                <w:color w:val="000000"/>
                <w:sz w:val="16"/>
                <w:szCs w:val="16"/>
              </w:rPr>
            </w:pPr>
            <w:r>
              <w:rPr>
                <w:rFonts w:cs="Arial"/>
                <w:sz w:val="16"/>
                <w:szCs w:val="16"/>
              </w:rPr>
              <w:t>23,8</w:t>
            </w:r>
          </w:p>
        </w:tc>
        <w:tc>
          <w:tcPr>
            <w:tcW w:w="709" w:type="dxa"/>
            <w:tcBorders>
              <w:top w:val="nil"/>
              <w:left w:val="nil"/>
              <w:bottom w:val="nil"/>
              <w:right w:val="nil"/>
            </w:tcBorders>
            <w:shd w:val="clear" w:color="auto" w:fill="auto"/>
            <w:vAlign w:val="center"/>
            <w:hideMark/>
          </w:tcPr>
          <w:p w14:paraId="41336AC4" w14:textId="6C6D85F1" w:rsidR="00987E13" w:rsidRPr="00D92E20" w:rsidRDefault="00987E13" w:rsidP="00987E13">
            <w:pPr>
              <w:spacing w:after="0" w:line="240" w:lineRule="auto"/>
              <w:jc w:val="center"/>
              <w:rPr>
                <w:rFonts w:cs="Arial"/>
                <w:color w:val="000000"/>
                <w:sz w:val="16"/>
                <w:szCs w:val="16"/>
              </w:rPr>
            </w:pPr>
            <w:r>
              <w:rPr>
                <w:rFonts w:cs="Arial"/>
                <w:sz w:val="16"/>
                <w:szCs w:val="16"/>
              </w:rPr>
              <w:t>13,7</w:t>
            </w:r>
          </w:p>
        </w:tc>
        <w:tc>
          <w:tcPr>
            <w:tcW w:w="709" w:type="dxa"/>
            <w:tcBorders>
              <w:top w:val="nil"/>
              <w:left w:val="nil"/>
              <w:bottom w:val="nil"/>
              <w:right w:val="nil"/>
            </w:tcBorders>
            <w:shd w:val="clear" w:color="auto" w:fill="auto"/>
            <w:vAlign w:val="center"/>
            <w:hideMark/>
          </w:tcPr>
          <w:p w14:paraId="6C93B32C" w14:textId="7A2DE585" w:rsidR="00987E13" w:rsidRPr="00D92E20" w:rsidRDefault="00987E13" w:rsidP="00987E13">
            <w:pPr>
              <w:spacing w:after="0" w:line="240" w:lineRule="auto"/>
              <w:jc w:val="center"/>
              <w:rPr>
                <w:rFonts w:cs="Arial"/>
                <w:color w:val="000000"/>
                <w:sz w:val="16"/>
                <w:szCs w:val="16"/>
              </w:rPr>
            </w:pPr>
            <w:r>
              <w:rPr>
                <w:rFonts w:cs="Arial"/>
                <w:sz w:val="16"/>
                <w:szCs w:val="16"/>
              </w:rPr>
              <w:t>10,2</w:t>
            </w:r>
          </w:p>
        </w:tc>
      </w:tr>
      <w:tr w:rsidR="00987E13" w:rsidRPr="00D92E20" w14:paraId="09337FA5" w14:textId="77777777" w:rsidTr="00350B58">
        <w:trPr>
          <w:trHeight w:val="296"/>
        </w:trPr>
        <w:tc>
          <w:tcPr>
            <w:tcW w:w="1009" w:type="dxa"/>
            <w:tcBorders>
              <w:top w:val="nil"/>
              <w:left w:val="nil"/>
              <w:bottom w:val="nil"/>
              <w:right w:val="single" w:sz="4" w:space="0" w:color="auto"/>
            </w:tcBorders>
            <w:shd w:val="clear" w:color="auto" w:fill="auto"/>
            <w:vAlign w:val="center"/>
            <w:hideMark/>
          </w:tcPr>
          <w:p w14:paraId="303D1911" w14:textId="012F498D" w:rsidR="00987E13" w:rsidRPr="00D92E20" w:rsidRDefault="00987E13" w:rsidP="00987E13">
            <w:pPr>
              <w:spacing w:after="0" w:line="240" w:lineRule="auto"/>
              <w:jc w:val="center"/>
              <w:rPr>
                <w:rFonts w:cs="Arial"/>
                <w:color w:val="000000"/>
                <w:sz w:val="16"/>
                <w:szCs w:val="16"/>
              </w:rPr>
            </w:pPr>
            <w:r>
              <w:rPr>
                <w:rFonts w:cs="Arial"/>
                <w:sz w:val="16"/>
                <w:szCs w:val="16"/>
              </w:rPr>
              <w:t>1. pol. 2022</w:t>
            </w:r>
          </w:p>
        </w:tc>
        <w:tc>
          <w:tcPr>
            <w:tcW w:w="710" w:type="dxa"/>
            <w:tcBorders>
              <w:top w:val="nil"/>
              <w:left w:val="nil"/>
              <w:bottom w:val="nil"/>
              <w:right w:val="nil"/>
            </w:tcBorders>
            <w:shd w:val="clear" w:color="auto" w:fill="auto"/>
            <w:vAlign w:val="center"/>
            <w:hideMark/>
          </w:tcPr>
          <w:p w14:paraId="32F77579" w14:textId="4B6788C2" w:rsidR="00987E13" w:rsidRPr="00D92E20" w:rsidRDefault="00987E13" w:rsidP="00987E13">
            <w:pPr>
              <w:spacing w:after="0" w:line="240" w:lineRule="auto"/>
              <w:jc w:val="center"/>
              <w:rPr>
                <w:rFonts w:cs="Arial"/>
                <w:color w:val="000000"/>
                <w:sz w:val="16"/>
                <w:szCs w:val="16"/>
              </w:rPr>
            </w:pPr>
            <w:r>
              <w:rPr>
                <w:rFonts w:cs="Arial"/>
                <w:sz w:val="16"/>
                <w:szCs w:val="16"/>
              </w:rPr>
              <w:t>278,4</w:t>
            </w:r>
          </w:p>
        </w:tc>
        <w:tc>
          <w:tcPr>
            <w:tcW w:w="703" w:type="dxa"/>
            <w:tcBorders>
              <w:top w:val="nil"/>
              <w:left w:val="nil"/>
              <w:bottom w:val="nil"/>
              <w:right w:val="nil"/>
            </w:tcBorders>
            <w:shd w:val="clear" w:color="auto" w:fill="auto"/>
            <w:vAlign w:val="center"/>
            <w:hideMark/>
          </w:tcPr>
          <w:p w14:paraId="5A6263B2" w14:textId="4F4B1AC5" w:rsidR="00987E13" w:rsidRPr="00D92E20" w:rsidRDefault="00987E13" w:rsidP="00987E13">
            <w:pPr>
              <w:spacing w:after="0" w:line="240" w:lineRule="auto"/>
              <w:jc w:val="center"/>
              <w:rPr>
                <w:rFonts w:cs="Arial"/>
                <w:color w:val="000000"/>
                <w:sz w:val="16"/>
                <w:szCs w:val="16"/>
              </w:rPr>
            </w:pPr>
            <w:r>
              <w:rPr>
                <w:rFonts w:cs="Arial"/>
                <w:sz w:val="16"/>
                <w:szCs w:val="16"/>
              </w:rPr>
              <w:t>126,2</w:t>
            </w:r>
          </w:p>
        </w:tc>
        <w:tc>
          <w:tcPr>
            <w:tcW w:w="705" w:type="dxa"/>
            <w:tcBorders>
              <w:top w:val="nil"/>
              <w:left w:val="nil"/>
              <w:bottom w:val="nil"/>
              <w:right w:val="single" w:sz="4" w:space="0" w:color="auto"/>
            </w:tcBorders>
            <w:shd w:val="clear" w:color="auto" w:fill="auto"/>
            <w:vAlign w:val="center"/>
            <w:hideMark/>
          </w:tcPr>
          <w:p w14:paraId="0B977B1C" w14:textId="5DEC92A4" w:rsidR="00987E13" w:rsidRPr="00D92E20" w:rsidRDefault="00987E13" w:rsidP="00987E13">
            <w:pPr>
              <w:spacing w:after="0" w:line="240" w:lineRule="auto"/>
              <w:jc w:val="center"/>
              <w:rPr>
                <w:rFonts w:cs="Arial"/>
                <w:color w:val="000000"/>
                <w:sz w:val="16"/>
                <w:szCs w:val="16"/>
              </w:rPr>
            </w:pPr>
            <w:r>
              <w:rPr>
                <w:rFonts w:cs="Arial"/>
                <w:sz w:val="16"/>
                <w:szCs w:val="16"/>
              </w:rPr>
              <w:t>152,2</w:t>
            </w:r>
          </w:p>
        </w:tc>
        <w:tc>
          <w:tcPr>
            <w:tcW w:w="707" w:type="dxa"/>
            <w:tcBorders>
              <w:top w:val="nil"/>
              <w:left w:val="nil"/>
              <w:bottom w:val="nil"/>
              <w:right w:val="nil"/>
            </w:tcBorders>
            <w:shd w:val="clear" w:color="auto" w:fill="auto"/>
            <w:vAlign w:val="center"/>
            <w:hideMark/>
          </w:tcPr>
          <w:p w14:paraId="4D5A93AC" w14:textId="5D34F578" w:rsidR="00987E13" w:rsidRPr="00D92E20" w:rsidRDefault="00987E13" w:rsidP="00987E13">
            <w:pPr>
              <w:spacing w:after="0" w:line="240" w:lineRule="auto"/>
              <w:jc w:val="center"/>
              <w:rPr>
                <w:rFonts w:cs="Arial"/>
                <w:color w:val="000000"/>
                <w:sz w:val="16"/>
                <w:szCs w:val="16"/>
              </w:rPr>
            </w:pPr>
            <w:r>
              <w:rPr>
                <w:rFonts w:cs="Arial"/>
                <w:sz w:val="16"/>
                <w:szCs w:val="16"/>
              </w:rPr>
              <w:t>245,2</w:t>
            </w:r>
          </w:p>
        </w:tc>
        <w:tc>
          <w:tcPr>
            <w:tcW w:w="704" w:type="dxa"/>
            <w:tcBorders>
              <w:top w:val="nil"/>
              <w:left w:val="nil"/>
              <w:bottom w:val="nil"/>
              <w:right w:val="nil"/>
            </w:tcBorders>
            <w:shd w:val="clear" w:color="auto" w:fill="auto"/>
            <w:vAlign w:val="center"/>
            <w:hideMark/>
          </w:tcPr>
          <w:p w14:paraId="26E017A9" w14:textId="1D63DAFA" w:rsidR="00987E13" w:rsidRPr="00D92E20" w:rsidRDefault="00987E13" w:rsidP="00987E13">
            <w:pPr>
              <w:spacing w:after="0" w:line="240" w:lineRule="auto"/>
              <w:jc w:val="center"/>
              <w:rPr>
                <w:rFonts w:cs="Arial"/>
                <w:color w:val="000000"/>
                <w:sz w:val="16"/>
                <w:szCs w:val="16"/>
              </w:rPr>
            </w:pPr>
            <w:r>
              <w:rPr>
                <w:rFonts w:cs="Arial"/>
                <w:sz w:val="16"/>
                <w:szCs w:val="16"/>
              </w:rPr>
              <w:t>106,3</w:t>
            </w:r>
          </w:p>
        </w:tc>
        <w:tc>
          <w:tcPr>
            <w:tcW w:w="705" w:type="dxa"/>
            <w:tcBorders>
              <w:top w:val="nil"/>
              <w:left w:val="nil"/>
              <w:bottom w:val="nil"/>
              <w:right w:val="nil"/>
            </w:tcBorders>
            <w:shd w:val="clear" w:color="auto" w:fill="auto"/>
            <w:vAlign w:val="center"/>
            <w:hideMark/>
          </w:tcPr>
          <w:p w14:paraId="7DF870A1" w14:textId="64E1E7DC" w:rsidR="00987E13" w:rsidRPr="00D92E20" w:rsidRDefault="00987E13" w:rsidP="00987E13">
            <w:pPr>
              <w:spacing w:after="0" w:line="240" w:lineRule="auto"/>
              <w:jc w:val="center"/>
              <w:rPr>
                <w:rFonts w:cs="Arial"/>
                <w:color w:val="000000"/>
                <w:sz w:val="16"/>
                <w:szCs w:val="16"/>
              </w:rPr>
            </w:pPr>
            <w:r>
              <w:rPr>
                <w:rFonts w:cs="Arial"/>
                <w:sz w:val="16"/>
                <w:szCs w:val="16"/>
              </w:rPr>
              <w:t>138,8</w:t>
            </w:r>
          </w:p>
        </w:tc>
        <w:tc>
          <w:tcPr>
            <w:tcW w:w="754" w:type="dxa"/>
            <w:tcBorders>
              <w:top w:val="nil"/>
              <w:left w:val="single" w:sz="4" w:space="0" w:color="auto"/>
              <w:bottom w:val="nil"/>
              <w:right w:val="nil"/>
            </w:tcBorders>
            <w:shd w:val="clear" w:color="auto" w:fill="auto"/>
            <w:vAlign w:val="center"/>
            <w:hideMark/>
          </w:tcPr>
          <w:p w14:paraId="3F05C035" w14:textId="1F6D831D" w:rsidR="00987E13" w:rsidRPr="00D92E20" w:rsidRDefault="00987E13" w:rsidP="00987E13">
            <w:pPr>
              <w:spacing w:after="0" w:line="240" w:lineRule="auto"/>
              <w:jc w:val="center"/>
              <w:rPr>
                <w:rFonts w:cs="Arial"/>
                <w:color w:val="000000"/>
                <w:sz w:val="16"/>
                <w:szCs w:val="16"/>
              </w:rPr>
            </w:pPr>
            <w:r>
              <w:rPr>
                <w:rFonts w:cs="Arial"/>
                <w:sz w:val="16"/>
                <w:szCs w:val="16"/>
              </w:rPr>
              <w:t>7,2</w:t>
            </w:r>
          </w:p>
        </w:tc>
        <w:tc>
          <w:tcPr>
            <w:tcW w:w="709" w:type="dxa"/>
            <w:tcBorders>
              <w:top w:val="nil"/>
              <w:left w:val="nil"/>
              <w:bottom w:val="nil"/>
              <w:right w:val="nil"/>
            </w:tcBorders>
            <w:shd w:val="clear" w:color="auto" w:fill="auto"/>
            <w:vAlign w:val="center"/>
            <w:hideMark/>
          </w:tcPr>
          <w:p w14:paraId="5AAB847F" w14:textId="40C141D3" w:rsidR="00987E13" w:rsidRPr="00D92E20" w:rsidRDefault="00987E13" w:rsidP="00987E13">
            <w:pPr>
              <w:spacing w:after="0" w:line="240" w:lineRule="auto"/>
              <w:jc w:val="center"/>
              <w:rPr>
                <w:rFonts w:cs="Arial"/>
                <w:color w:val="000000"/>
                <w:sz w:val="16"/>
                <w:szCs w:val="16"/>
              </w:rPr>
            </w:pPr>
            <w:r>
              <w:rPr>
                <w:rFonts w:cs="Arial"/>
                <w:sz w:val="16"/>
                <w:szCs w:val="16"/>
              </w:rPr>
              <w:t>4,8</w:t>
            </w:r>
          </w:p>
        </w:tc>
        <w:tc>
          <w:tcPr>
            <w:tcW w:w="709" w:type="dxa"/>
            <w:tcBorders>
              <w:top w:val="nil"/>
              <w:left w:val="nil"/>
              <w:bottom w:val="nil"/>
              <w:right w:val="single" w:sz="4" w:space="0" w:color="auto"/>
            </w:tcBorders>
            <w:shd w:val="clear" w:color="auto" w:fill="auto"/>
            <w:vAlign w:val="center"/>
            <w:hideMark/>
          </w:tcPr>
          <w:p w14:paraId="0106F4C7" w14:textId="17071D80" w:rsidR="00987E13" w:rsidRPr="00D92E20" w:rsidRDefault="00987E13" w:rsidP="00987E13">
            <w:pPr>
              <w:spacing w:after="0" w:line="240" w:lineRule="auto"/>
              <w:jc w:val="center"/>
              <w:rPr>
                <w:rFonts w:cs="Arial"/>
                <w:color w:val="000000"/>
                <w:sz w:val="16"/>
                <w:szCs w:val="16"/>
              </w:rPr>
            </w:pPr>
            <w:r>
              <w:rPr>
                <w:rFonts w:cs="Arial"/>
                <w:sz w:val="16"/>
                <w:szCs w:val="16"/>
              </w:rPr>
              <w:t>2,3</w:t>
            </w:r>
          </w:p>
        </w:tc>
        <w:tc>
          <w:tcPr>
            <w:tcW w:w="709" w:type="dxa"/>
            <w:tcBorders>
              <w:top w:val="nil"/>
              <w:left w:val="nil"/>
              <w:bottom w:val="nil"/>
              <w:right w:val="nil"/>
            </w:tcBorders>
            <w:shd w:val="clear" w:color="auto" w:fill="auto"/>
            <w:vAlign w:val="center"/>
            <w:hideMark/>
          </w:tcPr>
          <w:p w14:paraId="02E91458" w14:textId="2C1728DE" w:rsidR="00987E13" w:rsidRPr="00D92E20" w:rsidRDefault="00987E13" w:rsidP="00987E13">
            <w:pPr>
              <w:spacing w:after="0" w:line="240" w:lineRule="auto"/>
              <w:jc w:val="center"/>
              <w:rPr>
                <w:rFonts w:cs="Arial"/>
                <w:color w:val="000000"/>
                <w:sz w:val="16"/>
                <w:szCs w:val="16"/>
              </w:rPr>
            </w:pPr>
            <w:r>
              <w:rPr>
                <w:rFonts w:cs="Arial"/>
                <w:sz w:val="16"/>
                <w:szCs w:val="16"/>
              </w:rPr>
              <w:t>26,0</w:t>
            </w:r>
          </w:p>
        </w:tc>
        <w:tc>
          <w:tcPr>
            <w:tcW w:w="709" w:type="dxa"/>
            <w:tcBorders>
              <w:top w:val="nil"/>
              <w:left w:val="nil"/>
              <w:bottom w:val="nil"/>
              <w:right w:val="nil"/>
            </w:tcBorders>
            <w:shd w:val="clear" w:color="auto" w:fill="auto"/>
            <w:vAlign w:val="center"/>
            <w:hideMark/>
          </w:tcPr>
          <w:p w14:paraId="42BE213A" w14:textId="62611733" w:rsidR="00987E13" w:rsidRPr="00D92E20" w:rsidRDefault="00987E13" w:rsidP="00987E13">
            <w:pPr>
              <w:spacing w:after="0" w:line="240" w:lineRule="auto"/>
              <w:jc w:val="center"/>
              <w:rPr>
                <w:rFonts w:cs="Arial"/>
                <w:color w:val="000000"/>
                <w:sz w:val="16"/>
                <w:szCs w:val="16"/>
              </w:rPr>
            </w:pPr>
            <w:r>
              <w:rPr>
                <w:rFonts w:cs="Arial"/>
                <w:sz w:val="16"/>
                <w:szCs w:val="16"/>
              </w:rPr>
              <w:t>15,0</w:t>
            </w:r>
          </w:p>
        </w:tc>
        <w:tc>
          <w:tcPr>
            <w:tcW w:w="709" w:type="dxa"/>
            <w:tcBorders>
              <w:top w:val="nil"/>
              <w:left w:val="nil"/>
              <w:bottom w:val="nil"/>
              <w:right w:val="nil"/>
            </w:tcBorders>
            <w:shd w:val="clear" w:color="auto" w:fill="auto"/>
            <w:vAlign w:val="center"/>
            <w:hideMark/>
          </w:tcPr>
          <w:p w14:paraId="130D8852" w14:textId="15DD8A21" w:rsidR="00987E13" w:rsidRPr="00D92E20" w:rsidRDefault="00987E13" w:rsidP="00987E13">
            <w:pPr>
              <w:spacing w:after="0" w:line="240" w:lineRule="auto"/>
              <w:jc w:val="center"/>
              <w:rPr>
                <w:rFonts w:cs="Arial"/>
                <w:color w:val="000000"/>
                <w:sz w:val="16"/>
                <w:szCs w:val="16"/>
              </w:rPr>
            </w:pPr>
            <w:r>
              <w:rPr>
                <w:rFonts w:cs="Arial"/>
                <w:sz w:val="16"/>
                <w:szCs w:val="16"/>
              </w:rPr>
              <w:t>11,0</w:t>
            </w:r>
          </w:p>
        </w:tc>
      </w:tr>
    </w:tbl>
    <w:p w14:paraId="17B485DB" w14:textId="3D3E827A" w:rsidR="00537BCC" w:rsidRDefault="00537BCC" w:rsidP="00000A90">
      <w:pPr>
        <w:spacing w:before="60" w:after="120"/>
        <w:rPr>
          <w:sz w:val="16"/>
        </w:rPr>
      </w:pPr>
      <w:r w:rsidRPr="00D92E20">
        <w:rPr>
          <w:sz w:val="16"/>
        </w:rPr>
        <w:t>Zdroj: ČSÚ</w:t>
      </w:r>
    </w:p>
    <w:p w14:paraId="22206647" w14:textId="7BBC5F6C" w:rsidR="00CD63E8" w:rsidRPr="00D92E20" w:rsidRDefault="00CD63E8" w:rsidP="00CD63E8">
      <w:pPr>
        <w:spacing w:before="120" w:after="120"/>
        <w:jc w:val="both"/>
        <w:rPr>
          <w:sz w:val="16"/>
        </w:rPr>
      </w:pPr>
      <w:r w:rsidRPr="00987E13">
        <w:rPr>
          <w:rFonts w:cs="Arial"/>
          <w:color w:val="000000"/>
          <w:szCs w:val="16"/>
        </w:rPr>
        <w:t>Pro nemoc bylo v 1. pol. 202</w:t>
      </w:r>
      <w:r w:rsidR="00987E13" w:rsidRPr="00987E13">
        <w:rPr>
          <w:rFonts w:cs="Arial"/>
          <w:color w:val="000000"/>
          <w:szCs w:val="16"/>
        </w:rPr>
        <w:t>2</w:t>
      </w:r>
      <w:r w:rsidRPr="00987E13">
        <w:rPr>
          <w:rFonts w:cs="Arial"/>
          <w:color w:val="000000"/>
          <w:szCs w:val="16"/>
        </w:rPr>
        <w:t xml:space="preserve"> průměrně denně v neschopnosti 24</w:t>
      </w:r>
      <w:r w:rsidR="00987E13" w:rsidRPr="00987E13">
        <w:rPr>
          <w:rFonts w:cs="Arial"/>
          <w:color w:val="000000"/>
          <w:szCs w:val="16"/>
        </w:rPr>
        <w:t>5 169</w:t>
      </w:r>
      <w:r w:rsidRPr="00987E13">
        <w:rPr>
          <w:rFonts w:cs="Arial"/>
          <w:color w:val="000000"/>
          <w:szCs w:val="16"/>
        </w:rPr>
        <w:t xml:space="preserve"> pojištěnců, v důsledku pracovního úrazu </w:t>
      </w:r>
      <w:r w:rsidR="00987E13" w:rsidRPr="00987E13">
        <w:rPr>
          <w:rFonts w:cs="Arial"/>
          <w:color w:val="000000"/>
          <w:szCs w:val="16"/>
        </w:rPr>
        <w:t>7 185</w:t>
      </w:r>
      <w:r w:rsidRPr="00987E13">
        <w:rPr>
          <w:rFonts w:cs="Arial"/>
          <w:color w:val="000000"/>
          <w:szCs w:val="16"/>
        </w:rPr>
        <w:t xml:space="preserve"> osob a následkem ostatních úrazů </w:t>
      </w:r>
      <w:r w:rsidR="00987E13" w:rsidRPr="00987E13">
        <w:rPr>
          <w:rFonts w:cs="Arial"/>
          <w:color w:val="000000"/>
          <w:szCs w:val="16"/>
        </w:rPr>
        <w:t>26 027</w:t>
      </w:r>
      <w:r w:rsidRPr="00987E13">
        <w:rPr>
          <w:rFonts w:cs="Arial"/>
          <w:color w:val="000000"/>
          <w:szCs w:val="16"/>
        </w:rPr>
        <w:t xml:space="preserve"> nemocensky pojištěných. Ve Zpracovatelském průmyslu chybělo denně pro pracovní neschopnost 9</w:t>
      </w:r>
      <w:r w:rsidR="00987E13" w:rsidRPr="00987E13">
        <w:rPr>
          <w:rFonts w:cs="Arial"/>
          <w:color w:val="000000"/>
          <w:szCs w:val="16"/>
        </w:rPr>
        <w:t>1</w:t>
      </w:r>
      <w:r w:rsidRPr="00987E13">
        <w:rPr>
          <w:rFonts w:cs="Arial"/>
          <w:color w:val="000000"/>
          <w:szCs w:val="16"/>
        </w:rPr>
        <w:t> tis. pojištěnců, v odvětví Velkoobchod a maloobchod, opravy a údržba motorových vozidel 39 tis. osob. Tyto hodnoty jsou značně ovlivněné velikostí odvětví.</w:t>
      </w:r>
    </w:p>
    <w:p w14:paraId="037FDCC8" w14:textId="77777777" w:rsidR="002F607D" w:rsidRPr="00D92E20" w:rsidRDefault="002F607D" w:rsidP="005A63A4">
      <w:pPr>
        <w:pStyle w:val="Nadpis3"/>
        <w:numPr>
          <w:ilvl w:val="1"/>
          <w:numId w:val="5"/>
        </w:numPr>
        <w:spacing w:after="120"/>
        <w:ind w:left="425" w:hanging="425"/>
      </w:pPr>
      <w:bookmarkStart w:id="38" w:name="_Toc54262803"/>
      <w:bookmarkStart w:id="39" w:name="_Toc117774431"/>
      <w:r w:rsidRPr="00D92E20">
        <w:lastRenderedPageBreak/>
        <w:t>Ukončené případy dočasné pracovní neschopnosti</w:t>
      </w:r>
      <w:bookmarkEnd w:id="38"/>
      <w:bookmarkEnd w:id="39"/>
    </w:p>
    <w:p w14:paraId="5B459D4D" w14:textId="77777777" w:rsidR="002F607D" w:rsidRPr="00D92E20" w:rsidRDefault="002F607D" w:rsidP="00000A90">
      <w:pPr>
        <w:spacing w:before="120" w:after="120"/>
        <w:jc w:val="both"/>
      </w:pPr>
      <w:r w:rsidRPr="00D92E20">
        <w:t xml:space="preserve">Zatímco doposud se analýza týkala nově hlášených případů dočasné pracovní neschopnosti (kapitola 4.2), </w:t>
      </w:r>
      <w:r w:rsidR="00C24683" w:rsidRPr="00D92E20">
        <w:t>které</w:t>
      </w:r>
      <w:r w:rsidRPr="00D92E20">
        <w:t xml:space="preserve"> ČSÚ </w:t>
      </w:r>
      <w:r w:rsidR="00C24683" w:rsidRPr="00D92E20">
        <w:t xml:space="preserve">zpracovává </w:t>
      </w:r>
      <w:r w:rsidRPr="00D92E20">
        <w:t xml:space="preserve">z evidence ČSSZ, jiný pohled nabízí data o </w:t>
      </w:r>
      <w:r w:rsidRPr="00D92E20">
        <w:rPr>
          <w:b/>
        </w:rPr>
        <w:t>ukončených případech pracovní neschopnosti</w:t>
      </w:r>
      <w:r w:rsidRPr="00D92E20">
        <w:t xml:space="preserve"> přímo publikovaná ČSSZ. Rozdíly v počtech nově hlášených a ukončených případů dočasné pracovní neschopnosti jsou dány odlišnou metodikou sběru dat. Trendy vývoje těchto ukazatelů jsou však konzistentní.</w:t>
      </w:r>
    </w:p>
    <w:p w14:paraId="18B0791A" w14:textId="6F7D69F6" w:rsidR="002F607D" w:rsidRPr="00D92E20" w:rsidRDefault="002F607D" w:rsidP="00000A90">
      <w:pPr>
        <w:spacing w:before="120" w:after="120"/>
        <w:jc w:val="both"/>
      </w:pPr>
      <w:r w:rsidRPr="00D92E20">
        <w:t xml:space="preserve">Na rozdíl od statistik nově hlášených případů, ČSSZ publikuje údaje z hlediska </w:t>
      </w:r>
      <w:r w:rsidRPr="00D92E20">
        <w:rPr>
          <w:b/>
        </w:rPr>
        <w:t>případů ukončených ve</w:t>
      </w:r>
      <w:r w:rsidR="00CD63E8">
        <w:rPr>
          <w:b/>
        </w:rPr>
        <w:t> </w:t>
      </w:r>
      <w:r w:rsidRPr="00D92E20">
        <w:rPr>
          <w:b/>
        </w:rPr>
        <w:t>sledovaném roce</w:t>
      </w:r>
      <w:r w:rsidRPr="00D92E20">
        <w:t xml:space="preserve">. Případy vzniklé na konci roku přesahující do roku dalšího jsou evidovány až ve zpracování dat roku následujícího. Pro </w:t>
      </w:r>
      <w:r w:rsidR="00C24683" w:rsidRPr="00D92E20">
        <w:t>dokreslení</w:t>
      </w:r>
      <w:r w:rsidRPr="00D92E20">
        <w:t xml:space="preserve"> pohledu na statistiku nemocnosti byla vybraná data z tohoto zdroje využita v této kapitole. Data o ukončených případech jsou k dispozici v třídění z pohledu pojištěnce, nikoliv zaměstnavatele, jak </w:t>
      </w:r>
      <w:r w:rsidR="00C7753B" w:rsidRPr="00D92E20">
        <w:t xml:space="preserve">tomu </w:t>
      </w:r>
      <w:r w:rsidRPr="00D92E20">
        <w:t xml:space="preserve">bylo </w:t>
      </w:r>
      <w:r w:rsidR="00795664">
        <w:t>u nově hlášených případů</w:t>
      </w:r>
      <w:r w:rsidR="00C7753B" w:rsidRPr="00D92E20">
        <w:t>.</w:t>
      </w:r>
      <w:r w:rsidRPr="00D92E20">
        <w:t xml:space="preserve"> ČSSZ třídí data např. podle věku dočasně práce neschopných, </w:t>
      </w:r>
      <w:r w:rsidR="00CA3130" w:rsidRPr="00D92E20">
        <w:t>krajů</w:t>
      </w:r>
      <w:r w:rsidRPr="00D92E20">
        <w:t xml:space="preserve"> či skupin diagnóz.</w:t>
      </w:r>
    </w:p>
    <w:p w14:paraId="4522A406" w14:textId="027D66E4" w:rsidR="002F607D" w:rsidRPr="00D92E20" w:rsidRDefault="002F607D" w:rsidP="00000A90">
      <w:pPr>
        <w:pStyle w:val="Box1"/>
        <w:spacing w:before="120" w:after="120"/>
        <w:ind w:left="0"/>
        <w:contextualSpacing w:val="0"/>
        <w:jc w:val="both"/>
        <w:rPr>
          <w:i/>
        </w:rPr>
      </w:pPr>
      <w:r w:rsidRPr="00D92E20">
        <w:rPr>
          <w:b/>
          <w:i/>
        </w:rPr>
        <w:t xml:space="preserve">Ukončené případy pracovní neschopnosti </w:t>
      </w:r>
      <w:r w:rsidRPr="00D92E20">
        <w:rPr>
          <w:i/>
        </w:rPr>
        <w:t>– zahrnují veškerá onemocnění a úrazy, které zapříčinily alespoň jednodenní pracovní neschopnost u nemocensky pojištěných osob ukončenou v daném roce</w:t>
      </w:r>
      <w:r w:rsidR="00E863E8">
        <w:rPr>
          <w:i/>
        </w:rPr>
        <w:t>, resp. stav k určitému datu</w:t>
      </w:r>
      <w:r w:rsidRPr="00D92E20">
        <w:rPr>
          <w:i/>
        </w:rPr>
        <w:t>. Nezahrnuje tedy onemocnění a úrazy, u nichž pracovní neschopnost přesahovala do dalšího roku</w:t>
      </w:r>
      <w:r w:rsidR="00E863E8">
        <w:rPr>
          <w:i/>
        </w:rPr>
        <w:t>/období</w:t>
      </w:r>
      <w:r w:rsidRPr="00D92E20">
        <w:rPr>
          <w:i/>
        </w:rPr>
        <w:t>, ani ty případy, kdy nebylo vystaveno „Rozhodnutí o dočasné pracovní neschopnosti“.</w:t>
      </w:r>
      <w:r w:rsidR="00E863E8">
        <w:rPr>
          <w:i/>
        </w:rPr>
        <w:t xml:space="preserve"> Při zpracování pololetních dat se jedná o stav k 30. 6.</w:t>
      </w:r>
    </w:p>
    <w:p w14:paraId="5CFB6241" w14:textId="7B124031" w:rsidR="00B9122C" w:rsidRPr="00D92E20" w:rsidRDefault="00B9122C" w:rsidP="00000A90">
      <w:pPr>
        <w:spacing w:before="120" w:after="120"/>
        <w:jc w:val="both"/>
      </w:pPr>
      <w:r w:rsidRPr="00D92E20">
        <w:t xml:space="preserve">ČSSZ za </w:t>
      </w:r>
      <w:r w:rsidR="00E863E8">
        <w:t>1. pol. 202</w:t>
      </w:r>
      <w:r w:rsidR="00E57135">
        <w:t>2</w:t>
      </w:r>
      <w:r w:rsidRPr="00D92E20">
        <w:t xml:space="preserve"> evidovala </w:t>
      </w:r>
      <w:r w:rsidR="00E57135">
        <w:t>2 082</w:t>
      </w:r>
      <w:r w:rsidR="00646128">
        <w:t xml:space="preserve"> tis. </w:t>
      </w:r>
      <w:r w:rsidRPr="00D92E20">
        <w:t>ukončených případů dočasné pracovní neschopnosti, což je o </w:t>
      </w:r>
      <w:r w:rsidR="00E57135">
        <w:t>46</w:t>
      </w:r>
      <w:r w:rsidR="00646128">
        <w:t xml:space="preserve"> %</w:t>
      </w:r>
      <w:r w:rsidRPr="00D92E20">
        <w:t xml:space="preserve"> více než v</w:t>
      </w:r>
      <w:r w:rsidR="00646128">
        <w:t> 1. pol. 202</w:t>
      </w:r>
      <w:r w:rsidR="00E57135">
        <w:t>1</w:t>
      </w:r>
      <w:r w:rsidRPr="00D92E20">
        <w:t>.</w:t>
      </w:r>
      <w:r w:rsidR="00790B93">
        <w:t xml:space="preserve"> I zde je však nutné mít na paměti možnou duplicitu ve vydávání karanténních neschopenek v lednu a únoru, kterou však nelze v datech identifikovat ani kvantifikovat</w:t>
      </w:r>
      <w:r w:rsidR="00226A0F">
        <w:t xml:space="preserve"> (viz str. </w:t>
      </w:r>
      <w:r w:rsidR="00550835">
        <w:t>18</w:t>
      </w:r>
      <w:r w:rsidR="00226A0F">
        <w:t>)</w:t>
      </w:r>
      <w:r w:rsidR="00790B93">
        <w:t>.</w:t>
      </w:r>
    </w:p>
    <w:p w14:paraId="32F53CEB" w14:textId="04DEC449" w:rsidR="00391FBE" w:rsidRPr="00D92E20" w:rsidRDefault="00646128" w:rsidP="00000A90">
      <w:pPr>
        <w:spacing w:before="120" w:after="0"/>
        <w:jc w:val="both"/>
        <w:rPr>
          <w:b/>
        </w:rPr>
      </w:pPr>
      <w:r w:rsidRPr="00646128">
        <w:rPr>
          <w:b/>
        </w:rPr>
        <w:t>Tab. 3.1: Ukončené přípa</w:t>
      </w:r>
      <w:r w:rsidR="007B36AD">
        <w:rPr>
          <w:b/>
        </w:rPr>
        <w:t>dy dočasné pracovní neschopnosti</w:t>
      </w:r>
      <w:r w:rsidRPr="00646128">
        <w:rPr>
          <w:b/>
        </w:rPr>
        <w:t xml:space="preserve"> podle krajů ČR, 1. pol. 202</w:t>
      </w:r>
      <w:r w:rsidR="00E57135">
        <w:rPr>
          <w:b/>
        </w:rPr>
        <w:t>1, 2022</w:t>
      </w:r>
    </w:p>
    <w:tbl>
      <w:tblPr>
        <w:tblW w:w="9584" w:type="dxa"/>
        <w:tblCellMar>
          <w:left w:w="70" w:type="dxa"/>
          <w:right w:w="70" w:type="dxa"/>
        </w:tblCellMar>
        <w:tblLook w:val="04A0" w:firstRow="1" w:lastRow="0" w:firstColumn="1" w:lastColumn="0" w:noHBand="0" w:noVBand="1"/>
      </w:tblPr>
      <w:tblGrid>
        <w:gridCol w:w="2438"/>
        <w:gridCol w:w="1191"/>
        <w:gridCol w:w="1191"/>
        <w:gridCol w:w="1191"/>
        <w:gridCol w:w="1191"/>
        <w:gridCol w:w="1191"/>
        <w:gridCol w:w="1191"/>
      </w:tblGrid>
      <w:tr w:rsidR="00330CDD" w:rsidRPr="00D92E20" w14:paraId="70A4C9F3" w14:textId="77777777" w:rsidTr="00330CDD">
        <w:trPr>
          <w:trHeight w:val="1071"/>
        </w:trPr>
        <w:tc>
          <w:tcPr>
            <w:tcW w:w="2438" w:type="dxa"/>
            <w:vMerge w:val="restart"/>
            <w:tcBorders>
              <w:top w:val="single" w:sz="4" w:space="0" w:color="auto"/>
              <w:left w:val="nil"/>
              <w:right w:val="single" w:sz="4" w:space="0" w:color="auto"/>
            </w:tcBorders>
            <w:shd w:val="clear" w:color="000000" w:fill="F2DCDB"/>
            <w:vAlign w:val="center"/>
            <w:hideMark/>
          </w:tcPr>
          <w:p w14:paraId="052ECD08" w14:textId="77777777" w:rsidR="00330CDD" w:rsidRPr="00D92E20" w:rsidRDefault="00330CDD" w:rsidP="00391FBE">
            <w:pPr>
              <w:spacing w:after="0" w:line="240" w:lineRule="auto"/>
              <w:jc w:val="center"/>
              <w:rPr>
                <w:rFonts w:cs="Arial"/>
                <w:color w:val="000000"/>
                <w:sz w:val="16"/>
                <w:szCs w:val="16"/>
              </w:rPr>
            </w:pPr>
            <w:r w:rsidRPr="00D92E20">
              <w:rPr>
                <w:rFonts w:cs="Arial"/>
                <w:color w:val="000000"/>
                <w:sz w:val="16"/>
                <w:szCs w:val="16"/>
              </w:rPr>
              <w:t>Kraj ČR</w:t>
            </w:r>
          </w:p>
        </w:tc>
        <w:tc>
          <w:tcPr>
            <w:tcW w:w="2382" w:type="dxa"/>
            <w:gridSpan w:val="2"/>
            <w:tcBorders>
              <w:top w:val="single" w:sz="4" w:space="0" w:color="auto"/>
              <w:left w:val="nil"/>
              <w:bottom w:val="single" w:sz="4" w:space="0" w:color="auto"/>
              <w:right w:val="single" w:sz="4" w:space="0" w:color="auto"/>
            </w:tcBorders>
            <w:shd w:val="clear" w:color="000000" w:fill="F2DCDB"/>
            <w:vAlign w:val="center"/>
            <w:hideMark/>
          </w:tcPr>
          <w:p w14:paraId="6F7C4E39" w14:textId="5FBA17EE" w:rsidR="00330CDD" w:rsidRPr="00D92E20" w:rsidRDefault="00330CDD" w:rsidP="007B36AD">
            <w:pPr>
              <w:spacing w:after="0" w:line="240" w:lineRule="auto"/>
              <w:jc w:val="center"/>
              <w:rPr>
                <w:rFonts w:cs="Arial"/>
                <w:color w:val="000000"/>
                <w:sz w:val="16"/>
                <w:szCs w:val="16"/>
              </w:rPr>
            </w:pPr>
            <w:r w:rsidRPr="00D92E20">
              <w:rPr>
                <w:rFonts w:cs="Arial"/>
                <w:color w:val="000000"/>
                <w:sz w:val="16"/>
                <w:szCs w:val="16"/>
              </w:rPr>
              <w:t>Počet případů DPN (tis.)</w:t>
            </w:r>
          </w:p>
        </w:tc>
        <w:tc>
          <w:tcPr>
            <w:tcW w:w="2382" w:type="dxa"/>
            <w:gridSpan w:val="2"/>
            <w:tcBorders>
              <w:top w:val="single" w:sz="4" w:space="0" w:color="auto"/>
              <w:left w:val="nil"/>
              <w:bottom w:val="single" w:sz="4" w:space="0" w:color="auto"/>
              <w:right w:val="single" w:sz="4" w:space="0" w:color="auto"/>
            </w:tcBorders>
            <w:shd w:val="clear" w:color="000000" w:fill="F2DCDB"/>
            <w:vAlign w:val="center"/>
            <w:hideMark/>
          </w:tcPr>
          <w:p w14:paraId="0ED1C1E4" w14:textId="06832E07" w:rsidR="00330CDD" w:rsidRPr="00D92E20" w:rsidRDefault="00330CDD" w:rsidP="00391FBE">
            <w:pPr>
              <w:spacing w:after="0" w:line="240" w:lineRule="auto"/>
              <w:jc w:val="center"/>
              <w:rPr>
                <w:rFonts w:cs="Arial"/>
                <w:color w:val="000000"/>
                <w:sz w:val="16"/>
                <w:szCs w:val="16"/>
              </w:rPr>
            </w:pPr>
            <w:r w:rsidRPr="00D92E20">
              <w:rPr>
                <w:rFonts w:cs="Arial"/>
                <w:color w:val="000000"/>
                <w:sz w:val="16"/>
                <w:szCs w:val="16"/>
              </w:rPr>
              <w:t>Počet prostonaných dnů (tis.)</w:t>
            </w:r>
          </w:p>
        </w:tc>
        <w:tc>
          <w:tcPr>
            <w:tcW w:w="2382" w:type="dxa"/>
            <w:gridSpan w:val="2"/>
            <w:tcBorders>
              <w:top w:val="single" w:sz="4" w:space="0" w:color="auto"/>
              <w:left w:val="nil"/>
              <w:bottom w:val="single" w:sz="4" w:space="0" w:color="auto"/>
              <w:right w:val="nil"/>
            </w:tcBorders>
            <w:shd w:val="clear" w:color="000000" w:fill="F2DCDB"/>
            <w:vAlign w:val="center"/>
            <w:hideMark/>
          </w:tcPr>
          <w:p w14:paraId="200811EF" w14:textId="77777777" w:rsidR="00330CDD" w:rsidRPr="00D92E20" w:rsidRDefault="00330CDD" w:rsidP="00391FBE">
            <w:pPr>
              <w:spacing w:after="0" w:line="240" w:lineRule="auto"/>
              <w:jc w:val="center"/>
              <w:rPr>
                <w:rFonts w:cs="Arial"/>
                <w:color w:val="000000"/>
                <w:sz w:val="16"/>
                <w:szCs w:val="16"/>
              </w:rPr>
            </w:pPr>
            <w:r w:rsidRPr="00D92E20">
              <w:rPr>
                <w:rFonts w:cs="Arial"/>
                <w:color w:val="000000"/>
                <w:sz w:val="16"/>
                <w:szCs w:val="16"/>
              </w:rPr>
              <w:t>Průměrná délka trvání případu DPN ve dnech</w:t>
            </w:r>
          </w:p>
        </w:tc>
      </w:tr>
      <w:tr w:rsidR="00E57135" w:rsidRPr="00D92E20" w14:paraId="31C9C814" w14:textId="77777777" w:rsidTr="00795664">
        <w:trPr>
          <w:trHeight w:val="389"/>
        </w:trPr>
        <w:tc>
          <w:tcPr>
            <w:tcW w:w="2438" w:type="dxa"/>
            <w:vMerge/>
            <w:tcBorders>
              <w:left w:val="nil"/>
              <w:bottom w:val="single" w:sz="4" w:space="0" w:color="auto"/>
              <w:right w:val="single" w:sz="4" w:space="0" w:color="auto"/>
            </w:tcBorders>
            <w:shd w:val="clear" w:color="000000" w:fill="F2DCDB"/>
            <w:vAlign w:val="center"/>
          </w:tcPr>
          <w:p w14:paraId="584FDB66" w14:textId="77777777" w:rsidR="00E57135" w:rsidRPr="00D92E20" w:rsidRDefault="00E57135" w:rsidP="00E57135">
            <w:pPr>
              <w:spacing w:after="0" w:line="240" w:lineRule="auto"/>
              <w:jc w:val="center"/>
              <w:rPr>
                <w:rFonts w:cs="Arial"/>
                <w:color w:val="000000"/>
                <w:sz w:val="16"/>
                <w:szCs w:val="16"/>
              </w:rPr>
            </w:pPr>
          </w:p>
        </w:tc>
        <w:tc>
          <w:tcPr>
            <w:tcW w:w="1191" w:type="dxa"/>
            <w:tcBorders>
              <w:top w:val="single" w:sz="4" w:space="0" w:color="auto"/>
              <w:left w:val="nil"/>
              <w:bottom w:val="single" w:sz="4" w:space="0" w:color="auto"/>
              <w:right w:val="single" w:sz="4" w:space="0" w:color="auto"/>
            </w:tcBorders>
            <w:shd w:val="clear" w:color="000000" w:fill="F2DCDB"/>
            <w:vAlign w:val="center"/>
          </w:tcPr>
          <w:p w14:paraId="393A2A23" w14:textId="54FBDDAA" w:rsidR="00E57135" w:rsidRPr="00D92E20" w:rsidRDefault="00E57135" w:rsidP="00E57135">
            <w:pPr>
              <w:spacing w:after="0" w:line="240" w:lineRule="auto"/>
              <w:jc w:val="center"/>
              <w:rPr>
                <w:rFonts w:cs="Arial"/>
                <w:color w:val="000000"/>
                <w:sz w:val="16"/>
                <w:szCs w:val="16"/>
              </w:rPr>
            </w:pPr>
            <w:r>
              <w:rPr>
                <w:rFonts w:cs="Arial"/>
                <w:sz w:val="16"/>
                <w:szCs w:val="16"/>
              </w:rPr>
              <w:t>1. pol. 2021</w:t>
            </w:r>
          </w:p>
        </w:tc>
        <w:tc>
          <w:tcPr>
            <w:tcW w:w="1191" w:type="dxa"/>
            <w:tcBorders>
              <w:top w:val="single" w:sz="4" w:space="0" w:color="auto"/>
              <w:left w:val="nil"/>
              <w:bottom w:val="single" w:sz="4" w:space="0" w:color="auto"/>
              <w:right w:val="single" w:sz="4" w:space="0" w:color="auto"/>
            </w:tcBorders>
            <w:shd w:val="clear" w:color="000000" w:fill="F2DCDB"/>
            <w:vAlign w:val="center"/>
          </w:tcPr>
          <w:p w14:paraId="0AA0C7B4" w14:textId="37768951" w:rsidR="00E57135" w:rsidRPr="00D92E20" w:rsidRDefault="00E57135" w:rsidP="00E57135">
            <w:pPr>
              <w:spacing w:after="0" w:line="240" w:lineRule="auto"/>
              <w:jc w:val="center"/>
              <w:rPr>
                <w:rFonts w:cs="Arial"/>
                <w:color w:val="000000"/>
                <w:sz w:val="16"/>
                <w:szCs w:val="16"/>
              </w:rPr>
            </w:pPr>
            <w:r>
              <w:rPr>
                <w:rFonts w:cs="Arial"/>
                <w:sz w:val="16"/>
                <w:szCs w:val="16"/>
              </w:rPr>
              <w:t>1. pol. 2022</w:t>
            </w:r>
          </w:p>
        </w:tc>
        <w:tc>
          <w:tcPr>
            <w:tcW w:w="1191" w:type="dxa"/>
            <w:tcBorders>
              <w:top w:val="single" w:sz="4" w:space="0" w:color="auto"/>
              <w:left w:val="nil"/>
              <w:bottom w:val="single" w:sz="4" w:space="0" w:color="auto"/>
              <w:right w:val="single" w:sz="4" w:space="0" w:color="auto"/>
            </w:tcBorders>
            <w:shd w:val="clear" w:color="000000" w:fill="F2DCDB"/>
            <w:vAlign w:val="center"/>
          </w:tcPr>
          <w:p w14:paraId="32E00378" w14:textId="6B5A85A1" w:rsidR="00E57135" w:rsidRPr="00D92E20" w:rsidRDefault="00E57135" w:rsidP="00E57135">
            <w:pPr>
              <w:spacing w:after="0" w:line="240" w:lineRule="auto"/>
              <w:jc w:val="center"/>
              <w:rPr>
                <w:rFonts w:cs="Arial"/>
                <w:color w:val="000000"/>
                <w:sz w:val="16"/>
                <w:szCs w:val="16"/>
              </w:rPr>
            </w:pPr>
            <w:r>
              <w:rPr>
                <w:rFonts w:cs="Arial"/>
                <w:sz w:val="16"/>
                <w:szCs w:val="16"/>
              </w:rPr>
              <w:t>1. pol. 2021</w:t>
            </w:r>
          </w:p>
        </w:tc>
        <w:tc>
          <w:tcPr>
            <w:tcW w:w="1191" w:type="dxa"/>
            <w:tcBorders>
              <w:top w:val="single" w:sz="4" w:space="0" w:color="auto"/>
              <w:left w:val="nil"/>
              <w:bottom w:val="single" w:sz="4" w:space="0" w:color="auto"/>
              <w:right w:val="single" w:sz="4" w:space="0" w:color="auto"/>
            </w:tcBorders>
            <w:shd w:val="clear" w:color="000000" w:fill="F2DCDB"/>
            <w:vAlign w:val="center"/>
          </w:tcPr>
          <w:p w14:paraId="5519EA3A" w14:textId="4F603665" w:rsidR="00E57135" w:rsidRPr="00D92E20" w:rsidRDefault="00E57135" w:rsidP="00E57135">
            <w:pPr>
              <w:spacing w:after="0" w:line="240" w:lineRule="auto"/>
              <w:jc w:val="center"/>
              <w:rPr>
                <w:rFonts w:cs="Arial"/>
                <w:color w:val="000000"/>
                <w:sz w:val="16"/>
                <w:szCs w:val="16"/>
              </w:rPr>
            </w:pPr>
            <w:r>
              <w:rPr>
                <w:rFonts w:cs="Arial"/>
                <w:sz w:val="16"/>
                <w:szCs w:val="16"/>
              </w:rPr>
              <w:t>1. pol. 2022</w:t>
            </w:r>
          </w:p>
        </w:tc>
        <w:tc>
          <w:tcPr>
            <w:tcW w:w="1191" w:type="dxa"/>
            <w:tcBorders>
              <w:top w:val="single" w:sz="4" w:space="0" w:color="auto"/>
              <w:left w:val="nil"/>
              <w:bottom w:val="single" w:sz="4" w:space="0" w:color="auto"/>
              <w:right w:val="single" w:sz="4" w:space="0" w:color="auto"/>
            </w:tcBorders>
            <w:shd w:val="clear" w:color="000000" w:fill="F2DCDB"/>
            <w:vAlign w:val="center"/>
          </w:tcPr>
          <w:p w14:paraId="36307EDB" w14:textId="41B73296" w:rsidR="00E57135" w:rsidRPr="00D92E20" w:rsidRDefault="00E57135" w:rsidP="00E57135">
            <w:pPr>
              <w:spacing w:after="0" w:line="240" w:lineRule="auto"/>
              <w:jc w:val="center"/>
              <w:rPr>
                <w:rFonts w:cs="Arial"/>
                <w:color w:val="000000"/>
                <w:sz w:val="16"/>
                <w:szCs w:val="16"/>
              </w:rPr>
            </w:pPr>
            <w:r>
              <w:rPr>
                <w:rFonts w:cs="Arial"/>
                <w:sz w:val="16"/>
                <w:szCs w:val="16"/>
              </w:rPr>
              <w:t>1. pol. 2021</w:t>
            </w:r>
          </w:p>
        </w:tc>
        <w:tc>
          <w:tcPr>
            <w:tcW w:w="1191" w:type="dxa"/>
            <w:tcBorders>
              <w:top w:val="single" w:sz="4" w:space="0" w:color="auto"/>
              <w:left w:val="single" w:sz="4" w:space="0" w:color="auto"/>
              <w:bottom w:val="single" w:sz="4" w:space="0" w:color="auto"/>
              <w:right w:val="nil"/>
            </w:tcBorders>
            <w:shd w:val="clear" w:color="000000" w:fill="F2DCDB"/>
            <w:vAlign w:val="center"/>
          </w:tcPr>
          <w:p w14:paraId="5E3BA8DB" w14:textId="5A024D40" w:rsidR="00E57135" w:rsidRPr="00D92E20" w:rsidRDefault="00E57135" w:rsidP="00E57135">
            <w:pPr>
              <w:spacing w:after="0" w:line="240" w:lineRule="auto"/>
              <w:jc w:val="center"/>
              <w:rPr>
                <w:rFonts w:cs="Arial"/>
                <w:color w:val="000000"/>
                <w:sz w:val="16"/>
                <w:szCs w:val="16"/>
              </w:rPr>
            </w:pPr>
            <w:r>
              <w:rPr>
                <w:rFonts w:cs="Arial"/>
                <w:sz w:val="16"/>
                <w:szCs w:val="16"/>
              </w:rPr>
              <w:t>1. pol. 2022</w:t>
            </w:r>
          </w:p>
        </w:tc>
      </w:tr>
      <w:tr w:rsidR="00E57135" w:rsidRPr="00D92E20" w14:paraId="245D5B9B" w14:textId="77777777" w:rsidTr="00736595">
        <w:trPr>
          <w:trHeight w:val="285"/>
        </w:trPr>
        <w:tc>
          <w:tcPr>
            <w:tcW w:w="2438" w:type="dxa"/>
            <w:tcBorders>
              <w:top w:val="single" w:sz="4" w:space="0" w:color="auto"/>
              <w:bottom w:val="nil"/>
              <w:right w:val="single" w:sz="4" w:space="0" w:color="auto"/>
            </w:tcBorders>
            <w:shd w:val="clear" w:color="auto" w:fill="auto"/>
            <w:noWrap/>
            <w:vAlign w:val="center"/>
            <w:hideMark/>
          </w:tcPr>
          <w:p w14:paraId="7CE45E18" w14:textId="77777777" w:rsidR="00E57135" w:rsidRPr="00D92E20" w:rsidRDefault="00E57135" w:rsidP="00E57135">
            <w:pPr>
              <w:spacing w:after="0" w:line="240" w:lineRule="auto"/>
              <w:rPr>
                <w:rFonts w:cs="Arial"/>
                <w:b/>
                <w:bCs/>
                <w:color w:val="000000"/>
                <w:sz w:val="16"/>
                <w:szCs w:val="16"/>
              </w:rPr>
            </w:pPr>
            <w:r w:rsidRPr="00D92E20">
              <w:rPr>
                <w:rFonts w:cs="Arial"/>
                <w:b/>
                <w:bCs/>
                <w:color w:val="000000"/>
                <w:sz w:val="16"/>
                <w:szCs w:val="16"/>
              </w:rPr>
              <w:t>ČR celkem</w:t>
            </w:r>
          </w:p>
        </w:tc>
        <w:tc>
          <w:tcPr>
            <w:tcW w:w="1191" w:type="dxa"/>
            <w:tcBorders>
              <w:top w:val="nil"/>
              <w:left w:val="single" w:sz="4" w:space="0" w:color="auto"/>
              <w:bottom w:val="nil"/>
              <w:right w:val="nil"/>
            </w:tcBorders>
            <w:shd w:val="clear" w:color="auto" w:fill="auto"/>
            <w:noWrap/>
            <w:vAlign w:val="bottom"/>
          </w:tcPr>
          <w:p w14:paraId="3D2992EB" w14:textId="1B8D4489" w:rsidR="00E57135" w:rsidRPr="00D92E20" w:rsidRDefault="00E57135" w:rsidP="00E57135">
            <w:pPr>
              <w:spacing w:after="0" w:line="240" w:lineRule="auto"/>
              <w:jc w:val="right"/>
              <w:rPr>
                <w:rFonts w:cs="Arial"/>
                <w:b/>
                <w:bCs/>
                <w:color w:val="000000"/>
                <w:sz w:val="16"/>
                <w:szCs w:val="16"/>
              </w:rPr>
            </w:pPr>
            <w:r>
              <w:rPr>
                <w:rFonts w:cs="Arial"/>
                <w:b/>
                <w:bCs/>
                <w:color w:val="000000"/>
                <w:sz w:val="16"/>
                <w:szCs w:val="16"/>
              </w:rPr>
              <w:t>1 423,1</w:t>
            </w:r>
          </w:p>
        </w:tc>
        <w:tc>
          <w:tcPr>
            <w:tcW w:w="1191" w:type="dxa"/>
            <w:tcBorders>
              <w:top w:val="nil"/>
              <w:left w:val="single" w:sz="4" w:space="0" w:color="auto"/>
              <w:bottom w:val="nil"/>
              <w:right w:val="nil"/>
            </w:tcBorders>
            <w:shd w:val="clear" w:color="auto" w:fill="auto"/>
            <w:vAlign w:val="bottom"/>
          </w:tcPr>
          <w:p w14:paraId="5FFAB16F" w14:textId="0EFD6A92" w:rsidR="00E57135" w:rsidRPr="00D92E20" w:rsidRDefault="00E57135" w:rsidP="00E57135">
            <w:pPr>
              <w:spacing w:after="0" w:line="240" w:lineRule="auto"/>
              <w:jc w:val="right"/>
              <w:rPr>
                <w:rFonts w:cs="Arial"/>
                <w:b/>
                <w:bCs/>
                <w:color w:val="000000"/>
                <w:sz w:val="16"/>
                <w:szCs w:val="16"/>
              </w:rPr>
            </w:pPr>
            <w:r>
              <w:rPr>
                <w:rFonts w:cs="Arial"/>
                <w:b/>
                <w:bCs/>
                <w:color w:val="000000"/>
                <w:sz w:val="16"/>
                <w:szCs w:val="16"/>
              </w:rPr>
              <w:t>2 082,3</w:t>
            </w:r>
          </w:p>
        </w:tc>
        <w:tc>
          <w:tcPr>
            <w:tcW w:w="1191" w:type="dxa"/>
            <w:tcBorders>
              <w:top w:val="nil"/>
              <w:left w:val="single" w:sz="4" w:space="0" w:color="auto"/>
              <w:bottom w:val="nil"/>
              <w:right w:val="single" w:sz="4" w:space="0" w:color="auto"/>
            </w:tcBorders>
            <w:shd w:val="clear" w:color="auto" w:fill="auto"/>
            <w:noWrap/>
            <w:vAlign w:val="bottom"/>
          </w:tcPr>
          <w:p w14:paraId="0194022D" w14:textId="0A10C112" w:rsidR="00E57135" w:rsidRPr="00D92E20" w:rsidRDefault="00E57135" w:rsidP="00E57135">
            <w:pPr>
              <w:spacing w:after="0" w:line="240" w:lineRule="auto"/>
              <w:jc w:val="right"/>
              <w:rPr>
                <w:rFonts w:cs="Arial"/>
                <w:b/>
                <w:bCs/>
                <w:color w:val="000000"/>
                <w:sz w:val="16"/>
                <w:szCs w:val="16"/>
              </w:rPr>
            </w:pPr>
            <w:r>
              <w:rPr>
                <w:rFonts w:cs="Arial"/>
                <w:b/>
                <w:bCs/>
                <w:color w:val="000000"/>
                <w:sz w:val="16"/>
                <w:szCs w:val="16"/>
              </w:rPr>
              <w:t>51 409,2</w:t>
            </w:r>
          </w:p>
        </w:tc>
        <w:tc>
          <w:tcPr>
            <w:tcW w:w="1191" w:type="dxa"/>
            <w:tcBorders>
              <w:top w:val="nil"/>
              <w:left w:val="single" w:sz="4" w:space="0" w:color="auto"/>
              <w:bottom w:val="nil"/>
              <w:right w:val="single" w:sz="4" w:space="0" w:color="auto"/>
            </w:tcBorders>
            <w:shd w:val="clear" w:color="auto" w:fill="auto"/>
            <w:vAlign w:val="bottom"/>
          </w:tcPr>
          <w:p w14:paraId="2F75CCC3" w14:textId="7C73ED5F" w:rsidR="00E57135" w:rsidRPr="00D92E20" w:rsidRDefault="00E57135" w:rsidP="00E57135">
            <w:pPr>
              <w:spacing w:after="0" w:line="240" w:lineRule="auto"/>
              <w:jc w:val="right"/>
              <w:rPr>
                <w:rFonts w:cs="Arial"/>
                <w:b/>
                <w:bCs/>
                <w:color w:val="000000"/>
                <w:sz w:val="16"/>
                <w:szCs w:val="16"/>
              </w:rPr>
            </w:pPr>
            <w:r>
              <w:rPr>
                <w:rFonts w:cs="Arial"/>
                <w:b/>
                <w:bCs/>
                <w:color w:val="000000"/>
                <w:sz w:val="16"/>
                <w:szCs w:val="16"/>
              </w:rPr>
              <w:t>51 550,7</w:t>
            </w:r>
          </w:p>
        </w:tc>
        <w:tc>
          <w:tcPr>
            <w:tcW w:w="1191" w:type="dxa"/>
            <w:tcBorders>
              <w:top w:val="single" w:sz="4" w:space="0" w:color="auto"/>
              <w:left w:val="nil"/>
              <w:bottom w:val="nil"/>
              <w:right w:val="single" w:sz="4" w:space="0" w:color="auto"/>
            </w:tcBorders>
            <w:shd w:val="clear" w:color="auto" w:fill="auto"/>
            <w:noWrap/>
            <w:vAlign w:val="bottom"/>
          </w:tcPr>
          <w:p w14:paraId="034FAD61" w14:textId="20DEA931" w:rsidR="00E57135" w:rsidRPr="00D92E20" w:rsidRDefault="00E57135" w:rsidP="00E57135">
            <w:pPr>
              <w:spacing w:after="0" w:line="240" w:lineRule="auto"/>
              <w:jc w:val="right"/>
              <w:rPr>
                <w:rFonts w:cs="Arial"/>
                <w:b/>
                <w:bCs/>
                <w:color w:val="000000"/>
                <w:sz w:val="16"/>
                <w:szCs w:val="16"/>
              </w:rPr>
            </w:pPr>
            <w:r>
              <w:rPr>
                <w:rFonts w:cs="Arial"/>
                <w:b/>
                <w:bCs/>
                <w:color w:val="000000"/>
                <w:sz w:val="16"/>
                <w:szCs w:val="16"/>
              </w:rPr>
              <w:t>36,1</w:t>
            </w:r>
          </w:p>
        </w:tc>
        <w:tc>
          <w:tcPr>
            <w:tcW w:w="1191" w:type="dxa"/>
            <w:tcBorders>
              <w:top w:val="nil"/>
              <w:left w:val="single" w:sz="4" w:space="0" w:color="auto"/>
              <w:bottom w:val="nil"/>
              <w:right w:val="nil"/>
            </w:tcBorders>
            <w:shd w:val="clear" w:color="auto" w:fill="auto"/>
            <w:vAlign w:val="bottom"/>
          </w:tcPr>
          <w:p w14:paraId="553D1BB9" w14:textId="337F46A1" w:rsidR="00E57135" w:rsidRPr="00D92E20" w:rsidRDefault="00E57135" w:rsidP="00E57135">
            <w:pPr>
              <w:spacing w:after="0" w:line="240" w:lineRule="auto"/>
              <w:jc w:val="right"/>
              <w:rPr>
                <w:rFonts w:cs="Arial"/>
                <w:b/>
                <w:bCs/>
                <w:color w:val="000000"/>
                <w:sz w:val="16"/>
                <w:szCs w:val="16"/>
              </w:rPr>
            </w:pPr>
            <w:r>
              <w:rPr>
                <w:rFonts w:cs="Arial"/>
                <w:b/>
                <w:bCs/>
                <w:color w:val="000000"/>
                <w:sz w:val="16"/>
                <w:szCs w:val="16"/>
              </w:rPr>
              <w:t>24,8</w:t>
            </w:r>
          </w:p>
        </w:tc>
      </w:tr>
      <w:tr w:rsidR="00E57135" w:rsidRPr="00D92E20" w14:paraId="799E1028" w14:textId="77777777" w:rsidTr="00736595">
        <w:trPr>
          <w:trHeight w:val="285"/>
        </w:trPr>
        <w:tc>
          <w:tcPr>
            <w:tcW w:w="2438" w:type="dxa"/>
            <w:tcBorders>
              <w:top w:val="nil"/>
              <w:bottom w:val="nil"/>
              <w:right w:val="single" w:sz="4" w:space="0" w:color="auto"/>
            </w:tcBorders>
            <w:shd w:val="clear" w:color="auto" w:fill="auto"/>
            <w:noWrap/>
            <w:vAlign w:val="center"/>
            <w:hideMark/>
          </w:tcPr>
          <w:p w14:paraId="2C900328" w14:textId="77777777" w:rsidR="00E57135" w:rsidRPr="00D92E20" w:rsidRDefault="00E57135" w:rsidP="00E57135">
            <w:pPr>
              <w:spacing w:after="0" w:line="240" w:lineRule="auto"/>
              <w:ind w:firstLineChars="100" w:firstLine="160"/>
              <w:rPr>
                <w:rFonts w:cs="Arial"/>
                <w:color w:val="000000"/>
                <w:sz w:val="16"/>
                <w:szCs w:val="16"/>
              </w:rPr>
            </w:pPr>
            <w:r w:rsidRPr="00D92E20">
              <w:rPr>
                <w:rFonts w:cs="Arial"/>
                <w:color w:val="000000"/>
                <w:sz w:val="16"/>
                <w:szCs w:val="16"/>
              </w:rPr>
              <w:t>Hl. m. Praha</w:t>
            </w:r>
          </w:p>
        </w:tc>
        <w:tc>
          <w:tcPr>
            <w:tcW w:w="1191" w:type="dxa"/>
            <w:tcBorders>
              <w:top w:val="nil"/>
              <w:left w:val="single" w:sz="4" w:space="0" w:color="auto"/>
              <w:bottom w:val="nil"/>
              <w:right w:val="nil"/>
            </w:tcBorders>
            <w:shd w:val="clear" w:color="auto" w:fill="auto"/>
            <w:noWrap/>
            <w:vAlign w:val="bottom"/>
          </w:tcPr>
          <w:p w14:paraId="532E92C5" w14:textId="13FE132A" w:rsidR="00E57135" w:rsidRPr="00D92E20" w:rsidRDefault="00E57135" w:rsidP="00E57135">
            <w:pPr>
              <w:spacing w:after="0" w:line="240" w:lineRule="auto"/>
              <w:jc w:val="right"/>
              <w:rPr>
                <w:rFonts w:cs="Arial"/>
                <w:color w:val="000000"/>
                <w:sz w:val="16"/>
                <w:szCs w:val="16"/>
              </w:rPr>
            </w:pPr>
            <w:r>
              <w:rPr>
                <w:rFonts w:cs="Arial"/>
                <w:color w:val="000000"/>
                <w:sz w:val="16"/>
                <w:szCs w:val="16"/>
              </w:rPr>
              <w:t>146,7</w:t>
            </w:r>
          </w:p>
        </w:tc>
        <w:tc>
          <w:tcPr>
            <w:tcW w:w="1191" w:type="dxa"/>
            <w:tcBorders>
              <w:top w:val="nil"/>
              <w:left w:val="single" w:sz="4" w:space="0" w:color="auto"/>
              <w:bottom w:val="nil"/>
              <w:right w:val="nil"/>
            </w:tcBorders>
            <w:shd w:val="clear" w:color="auto" w:fill="auto"/>
            <w:vAlign w:val="bottom"/>
          </w:tcPr>
          <w:p w14:paraId="2BD5D1B3" w14:textId="38EAB094" w:rsidR="00E57135" w:rsidRPr="00D92E20" w:rsidRDefault="00E57135" w:rsidP="00E57135">
            <w:pPr>
              <w:spacing w:after="0" w:line="240" w:lineRule="auto"/>
              <w:jc w:val="right"/>
              <w:rPr>
                <w:rFonts w:cs="Arial"/>
                <w:color w:val="000000"/>
                <w:sz w:val="16"/>
                <w:szCs w:val="16"/>
              </w:rPr>
            </w:pPr>
            <w:r>
              <w:rPr>
                <w:rFonts w:cs="Arial"/>
                <w:color w:val="000000"/>
                <w:sz w:val="16"/>
                <w:szCs w:val="16"/>
              </w:rPr>
              <w:t>275,5</w:t>
            </w:r>
          </w:p>
        </w:tc>
        <w:tc>
          <w:tcPr>
            <w:tcW w:w="1191" w:type="dxa"/>
            <w:tcBorders>
              <w:top w:val="nil"/>
              <w:left w:val="single" w:sz="4" w:space="0" w:color="auto"/>
              <w:bottom w:val="nil"/>
              <w:right w:val="single" w:sz="4" w:space="0" w:color="auto"/>
            </w:tcBorders>
            <w:shd w:val="clear" w:color="auto" w:fill="auto"/>
            <w:noWrap/>
            <w:vAlign w:val="bottom"/>
          </w:tcPr>
          <w:p w14:paraId="422660F4" w14:textId="6CA337EB" w:rsidR="00E57135" w:rsidRPr="00D92E20" w:rsidRDefault="00E57135" w:rsidP="00E57135">
            <w:pPr>
              <w:spacing w:after="0" w:line="240" w:lineRule="auto"/>
              <w:jc w:val="right"/>
              <w:rPr>
                <w:rFonts w:cs="Arial"/>
                <w:color w:val="000000"/>
                <w:sz w:val="16"/>
                <w:szCs w:val="16"/>
              </w:rPr>
            </w:pPr>
            <w:r>
              <w:rPr>
                <w:rFonts w:cs="Arial"/>
                <w:color w:val="000000"/>
                <w:sz w:val="16"/>
                <w:szCs w:val="16"/>
              </w:rPr>
              <w:t>4 611,3</w:t>
            </w:r>
          </w:p>
        </w:tc>
        <w:tc>
          <w:tcPr>
            <w:tcW w:w="1191" w:type="dxa"/>
            <w:tcBorders>
              <w:top w:val="nil"/>
              <w:left w:val="single" w:sz="4" w:space="0" w:color="auto"/>
              <w:bottom w:val="nil"/>
              <w:right w:val="single" w:sz="4" w:space="0" w:color="auto"/>
            </w:tcBorders>
            <w:shd w:val="clear" w:color="auto" w:fill="auto"/>
            <w:vAlign w:val="bottom"/>
          </w:tcPr>
          <w:p w14:paraId="44DA9466" w14:textId="78EB1F36" w:rsidR="00E57135" w:rsidRPr="00D92E20" w:rsidRDefault="00E57135" w:rsidP="00E57135">
            <w:pPr>
              <w:spacing w:after="0" w:line="240" w:lineRule="auto"/>
              <w:jc w:val="right"/>
              <w:rPr>
                <w:rFonts w:cs="Arial"/>
                <w:color w:val="000000"/>
                <w:sz w:val="16"/>
                <w:szCs w:val="16"/>
              </w:rPr>
            </w:pPr>
            <w:r>
              <w:rPr>
                <w:rFonts w:cs="Arial"/>
                <w:color w:val="000000"/>
                <w:sz w:val="16"/>
                <w:szCs w:val="16"/>
              </w:rPr>
              <w:t>5 093,4</w:t>
            </w:r>
          </w:p>
        </w:tc>
        <w:tc>
          <w:tcPr>
            <w:tcW w:w="1191" w:type="dxa"/>
            <w:tcBorders>
              <w:top w:val="nil"/>
              <w:left w:val="nil"/>
              <w:bottom w:val="nil"/>
              <w:right w:val="single" w:sz="4" w:space="0" w:color="auto"/>
            </w:tcBorders>
            <w:shd w:val="clear" w:color="auto" w:fill="auto"/>
            <w:noWrap/>
            <w:vAlign w:val="bottom"/>
          </w:tcPr>
          <w:p w14:paraId="74672533" w14:textId="3ADD9AB0" w:rsidR="00E57135" w:rsidRPr="00D92E20" w:rsidRDefault="00E57135" w:rsidP="00E57135">
            <w:pPr>
              <w:spacing w:after="0" w:line="240" w:lineRule="auto"/>
              <w:jc w:val="right"/>
              <w:rPr>
                <w:rFonts w:cs="Arial"/>
                <w:color w:val="000000"/>
                <w:sz w:val="16"/>
                <w:szCs w:val="16"/>
              </w:rPr>
            </w:pPr>
            <w:r>
              <w:rPr>
                <w:rFonts w:cs="Arial"/>
                <w:color w:val="000000"/>
                <w:sz w:val="16"/>
                <w:szCs w:val="16"/>
              </w:rPr>
              <w:t>31,4</w:t>
            </w:r>
          </w:p>
        </w:tc>
        <w:tc>
          <w:tcPr>
            <w:tcW w:w="1191" w:type="dxa"/>
            <w:tcBorders>
              <w:top w:val="nil"/>
              <w:left w:val="single" w:sz="4" w:space="0" w:color="auto"/>
              <w:bottom w:val="nil"/>
              <w:right w:val="nil"/>
            </w:tcBorders>
            <w:shd w:val="clear" w:color="auto" w:fill="auto"/>
            <w:vAlign w:val="bottom"/>
          </w:tcPr>
          <w:p w14:paraId="107BD4C4" w14:textId="048D3797" w:rsidR="00E57135" w:rsidRPr="00D92E20" w:rsidRDefault="00E57135" w:rsidP="00E57135">
            <w:pPr>
              <w:spacing w:after="0" w:line="240" w:lineRule="auto"/>
              <w:jc w:val="right"/>
              <w:rPr>
                <w:rFonts w:cs="Arial"/>
                <w:color w:val="000000"/>
                <w:sz w:val="16"/>
                <w:szCs w:val="16"/>
              </w:rPr>
            </w:pPr>
            <w:r>
              <w:rPr>
                <w:rFonts w:cs="Arial"/>
                <w:color w:val="000000"/>
                <w:sz w:val="16"/>
                <w:szCs w:val="16"/>
              </w:rPr>
              <w:t>18,5</w:t>
            </w:r>
          </w:p>
        </w:tc>
      </w:tr>
      <w:tr w:rsidR="00E57135" w:rsidRPr="00D92E20" w14:paraId="0E2E4F83" w14:textId="77777777" w:rsidTr="00736595">
        <w:trPr>
          <w:trHeight w:val="285"/>
        </w:trPr>
        <w:tc>
          <w:tcPr>
            <w:tcW w:w="2438" w:type="dxa"/>
            <w:tcBorders>
              <w:top w:val="nil"/>
              <w:bottom w:val="nil"/>
              <w:right w:val="single" w:sz="4" w:space="0" w:color="auto"/>
            </w:tcBorders>
            <w:shd w:val="clear" w:color="auto" w:fill="auto"/>
            <w:noWrap/>
            <w:vAlign w:val="center"/>
            <w:hideMark/>
          </w:tcPr>
          <w:p w14:paraId="3FDECE22" w14:textId="77777777" w:rsidR="00E57135" w:rsidRPr="00D92E20" w:rsidRDefault="00E57135" w:rsidP="00E57135">
            <w:pPr>
              <w:spacing w:after="0" w:line="240" w:lineRule="auto"/>
              <w:ind w:firstLineChars="100" w:firstLine="160"/>
              <w:rPr>
                <w:rFonts w:cs="Arial"/>
                <w:color w:val="000000"/>
                <w:sz w:val="16"/>
                <w:szCs w:val="16"/>
              </w:rPr>
            </w:pPr>
            <w:r w:rsidRPr="00D92E20">
              <w:rPr>
                <w:rFonts w:cs="Arial"/>
                <w:color w:val="000000"/>
                <w:sz w:val="16"/>
                <w:szCs w:val="16"/>
              </w:rPr>
              <w:t>Středočeský kraj</w:t>
            </w:r>
          </w:p>
        </w:tc>
        <w:tc>
          <w:tcPr>
            <w:tcW w:w="1191" w:type="dxa"/>
            <w:tcBorders>
              <w:top w:val="nil"/>
              <w:left w:val="single" w:sz="4" w:space="0" w:color="auto"/>
              <w:bottom w:val="nil"/>
              <w:right w:val="nil"/>
            </w:tcBorders>
            <w:shd w:val="clear" w:color="auto" w:fill="auto"/>
            <w:noWrap/>
            <w:vAlign w:val="bottom"/>
          </w:tcPr>
          <w:p w14:paraId="0DF1A2B0" w14:textId="10362055" w:rsidR="00E57135" w:rsidRPr="00D92E20" w:rsidRDefault="00E57135" w:rsidP="00E57135">
            <w:pPr>
              <w:spacing w:after="0" w:line="240" w:lineRule="auto"/>
              <w:jc w:val="right"/>
              <w:rPr>
                <w:rFonts w:cs="Arial"/>
                <w:color w:val="000000"/>
                <w:sz w:val="16"/>
                <w:szCs w:val="16"/>
              </w:rPr>
            </w:pPr>
            <w:r>
              <w:rPr>
                <w:rFonts w:cs="Arial"/>
                <w:color w:val="000000"/>
                <w:sz w:val="16"/>
                <w:szCs w:val="16"/>
              </w:rPr>
              <w:t>166,2</w:t>
            </w:r>
          </w:p>
        </w:tc>
        <w:tc>
          <w:tcPr>
            <w:tcW w:w="1191" w:type="dxa"/>
            <w:tcBorders>
              <w:top w:val="nil"/>
              <w:left w:val="single" w:sz="4" w:space="0" w:color="auto"/>
              <w:bottom w:val="nil"/>
              <w:right w:val="nil"/>
            </w:tcBorders>
            <w:shd w:val="clear" w:color="auto" w:fill="auto"/>
            <w:vAlign w:val="bottom"/>
          </w:tcPr>
          <w:p w14:paraId="6196D514" w14:textId="4D47A000" w:rsidR="00E57135" w:rsidRPr="00D92E20" w:rsidRDefault="00E57135" w:rsidP="00E57135">
            <w:pPr>
              <w:spacing w:after="0" w:line="240" w:lineRule="auto"/>
              <w:jc w:val="right"/>
              <w:rPr>
                <w:rFonts w:cs="Arial"/>
                <w:color w:val="000000"/>
                <w:sz w:val="16"/>
                <w:szCs w:val="16"/>
              </w:rPr>
            </w:pPr>
            <w:r>
              <w:rPr>
                <w:rFonts w:cs="Arial"/>
                <w:color w:val="000000"/>
                <w:sz w:val="16"/>
                <w:szCs w:val="16"/>
              </w:rPr>
              <w:t>204,5</w:t>
            </w:r>
          </w:p>
        </w:tc>
        <w:tc>
          <w:tcPr>
            <w:tcW w:w="1191" w:type="dxa"/>
            <w:tcBorders>
              <w:top w:val="nil"/>
              <w:left w:val="single" w:sz="4" w:space="0" w:color="auto"/>
              <w:bottom w:val="nil"/>
              <w:right w:val="single" w:sz="4" w:space="0" w:color="auto"/>
            </w:tcBorders>
            <w:shd w:val="clear" w:color="auto" w:fill="auto"/>
            <w:noWrap/>
            <w:vAlign w:val="bottom"/>
          </w:tcPr>
          <w:p w14:paraId="3C7205A2" w14:textId="482D9EF7" w:rsidR="00E57135" w:rsidRPr="00D92E20" w:rsidRDefault="00E57135" w:rsidP="00E57135">
            <w:pPr>
              <w:spacing w:after="0" w:line="240" w:lineRule="auto"/>
              <w:jc w:val="right"/>
              <w:rPr>
                <w:rFonts w:cs="Arial"/>
                <w:color w:val="000000"/>
                <w:sz w:val="16"/>
                <w:szCs w:val="16"/>
              </w:rPr>
            </w:pPr>
            <w:r>
              <w:rPr>
                <w:rFonts w:cs="Arial"/>
                <w:color w:val="000000"/>
                <w:sz w:val="16"/>
                <w:szCs w:val="16"/>
              </w:rPr>
              <w:t>5 318,7</w:t>
            </w:r>
          </w:p>
        </w:tc>
        <w:tc>
          <w:tcPr>
            <w:tcW w:w="1191" w:type="dxa"/>
            <w:tcBorders>
              <w:top w:val="nil"/>
              <w:left w:val="single" w:sz="4" w:space="0" w:color="auto"/>
              <w:bottom w:val="nil"/>
              <w:right w:val="single" w:sz="4" w:space="0" w:color="auto"/>
            </w:tcBorders>
            <w:shd w:val="clear" w:color="auto" w:fill="auto"/>
            <w:vAlign w:val="bottom"/>
          </w:tcPr>
          <w:p w14:paraId="72793B3A" w14:textId="1C0126AF" w:rsidR="00E57135" w:rsidRPr="00D92E20" w:rsidRDefault="00E57135" w:rsidP="00E57135">
            <w:pPr>
              <w:spacing w:after="0" w:line="240" w:lineRule="auto"/>
              <w:jc w:val="right"/>
              <w:rPr>
                <w:rFonts w:cs="Arial"/>
                <w:color w:val="000000"/>
                <w:sz w:val="16"/>
                <w:szCs w:val="16"/>
              </w:rPr>
            </w:pPr>
            <w:r>
              <w:rPr>
                <w:rFonts w:cs="Arial"/>
                <w:color w:val="000000"/>
                <w:sz w:val="16"/>
                <w:szCs w:val="16"/>
              </w:rPr>
              <w:t>5 063,3</w:t>
            </w:r>
          </w:p>
        </w:tc>
        <w:tc>
          <w:tcPr>
            <w:tcW w:w="1191" w:type="dxa"/>
            <w:tcBorders>
              <w:top w:val="nil"/>
              <w:left w:val="nil"/>
              <w:bottom w:val="nil"/>
              <w:right w:val="single" w:sz="4" w:space="0" w:color="auto"/>
            </w:tcBorders>
            <w:shd w:val="clear" w:color="auto" w:fill="auto"/>
            <w:noWrap/>
            <w:vAlign w:val="bottom"/>
          </w:tcPr>
          <w:p w14:paraId="56485892" w14:textId="6FA07008" w:rsidR="00E57135" w:rsidRPr="00D92E20" w:rsidRDefault="00E57135" w:rsidP="00E57135">
            <w:pPr>
              <w:spacing w:after="0" w:line="240" w:lineRule="auto"/>
              <w:jc w:val="right"/>
              <w:rPr>
                <w:rFonts w:cs="Arial"/>
                <w:color w:val="000000"/>
                <w:sz w:val="16"/>
                <w:szCs w:val="16"/>
              </w:rPr>
            </w:pPr>
            <w:r>
              <w:rPr>
                <w:rFonts w:cs="Arial"/>
                <w:color w:val="000000"/>
                <w:sz w:val="16"/>
                <w:szCs w:val="16"/>
              </w:rPr>
              <w:t>32,0</w:t>
            </w:r>
          </w:p>
        </w:tc>
        <w:tc>
          <w:tcPr>
            <w:tcW w:w="1191" w:type="dxa"/>
            <w:tcBorders>
              <w:top w:val="nil"/>
              <w:left w:val="single" w:sz="4" w:space="0" w:color="auto"/>
              <w:bottom w:val="nil"/>
              <w:right w:val="nil"/>
            </w:tcBorders>
            <w:shd w:val="clear" w:color="auto" w:fill="auto"/>
            <w:vAlign w:val="bottom"/>
          </w:tcPr>
          <w:p w14:paraId="2FE20D8B" w14:textId="2DD33034" w:rsidR="00E57135" w:rsidRPr="00D92E20" w:rsidRDefault="00E57135" w:rsidP="00E57135">
            <w:pPr>
              <w:spacing w:after="0" w:line="240" w:lineRule="auto"/>
              <w:jc w:val="right"/>
              <w:rPr>
                <w:rFonts w:cs="Arial"/>
                <w:color w:val="000000"/>
                <w:sz w:val="16"/>
                <w:szCs w:val="16"/>
              </w:rPr>
            </w:pPr>
            <w:r>
              <w:rPr>
                <w:rFonts w:cs="Arial"/>
                <w:color w:val="000000"/>
                <w:sz w:val="16"/>
                <w:szCs w:val="16"/>
              </w:rPr>
              <w:t>24,8</w:t>
            </w:r>
          </w:p>
        </w:tc>
      </w:tr>
      <w:tr w:rsidR="00E57135" w:rsidRPr="00D92E20" w14:paraId="35A1AB73" w14:textId="77777777" w:rsidTr="00736595">
        <w:trPr>
          <w:trHeight w:val="285"/>
        </w:trPr>
        <w:tc>
          <w:tcPr>
            <w:tcW w:w="2438" w:type="dxa"/>
            <w:tcBorders>
              <w:top w:val="nil"/>
              <w:bottom w:val="nil"/>
              <w:right w:val="single" w:sz="4" w:space="0" w:color="auto"/>
            </w:tcBorders>
            <w:shd w:val="clear" w:color="auto" w:fill="auto"/>
            <w:noWrap/>
            <w:vAlign w:val="center"/>
            <w:hideMark/>
          </w:tcPr>
          <w:p w14:paraId="21AD090B" w14:textId="77777777" w:rsidR="00E57135" w:rsidRPr="00D92E20" w:rsidRDefault="00E57135" w:rsidP="00E57135">
            <w:pPr>
              <w:spacing w:after="0" w:line="240" w:lineRule="auto"/>
              <w:ind w:firstLineChars="100" w:firstLine="160"/>
              <w:rPr>
                <w:rFonts w:cs="Arial"/>
                <w:color w:val="000000"/>
                <w:sz w:val="16"/>
                <w:szCs w:val="16"/>
              </w:rPr>
            </w:pPr>
            <w:r w:rsidRPr="00D92E20">
              <w:rPr>
                <w:rFonts w:cs="Arial"/>
                <w:color w:val="000000"/>
                <w:sz w:val="16"/>
                <w:szCs w:val="16"/>
              </w:rPr>
              <w:t>Jihočeský kraj</w:t>
            </w:r>
          </w:p>
        </w:tc>
        <w:tc>
          <w:tcPr>
            <w:tcW w:w="1191" w:type="dxa"/>
            <w:tcBorders>
              <w:top w:val="nil"/>
              <w:left w:val="single" w:sz="4" w:space="0" w:color="auto"/>
              <w:bottom w:val="nil"/>
              <w:right w:val="nil"/>
            </w:tcBorders>
            <w:shd w:val="clear" w:color="auto" w:fill="auto"/>
            <w:noWrap/>
            <w:vAlign w:val="bottom"/>
          </w:tcPr>
          <w:p w14:paraId="6DD84B18" w14:textId="33F9C15F" w:rsidR="00E57135" w:rsidRPr="00D92E20" w:rsidRDefault="00E57135" w:rsidP="00E57135">
            <w:pPr>
              <w:spacing w:after="0" w:line="240" w:lineRule="auto"/>
              <w:jc w:val="right"/>
              <w:rPr>
                <w:rFonts w:cs="Arial"/>
                <w:color w:val="000000"/>
                <w:sz w:val="16"/>
                <w:szCs w:val="16"/>
              </w:rPr>
            </w:pPr>
            <w:r>
              <w:rPr>
                <w:rFonts w:cs="Arial"/>
                <w:color w:val="000000"/>
                <w:sz w:val="16"/>
                <w:szCs w:val="16"/>
              </w:rPr>
              <w:t>88,5</w:t>
            </w:r>
          </w:p>
        </w:tc>
        <w:tc>
          <w:tcPr>
            <w:tcW w:w="1191" w:type="dxa"/>
            <w:tcBorders>
              <w:top w:val="nil"/>
              <w:left w:val="single" w:sz="4" w:space="0" w:color="auto"/>
              <w:bottom w:val="nil"/>
              <w:right w:val="nil"/>
            </w:tcBorders>
            <w:shd w:val="clear" w:color="auto" w:fill="auto"/>
            <w:vAlign w:val="bottom"/>
          </w:tcPr>
          <w:p w14:paraId="0640A42C" w14:textId="2716400C" w:rsidR="00E57135" w:rsidRPr="00D92E20" w:rsidRDefault="00E57135" w:rsidP="00E57135">
            <w:pPr>
              <w:spacing w:after="0" w:line="240" w:lineRule="auto"/>
              <w:jc w:val="right"/>
              <w:rPr>
                <w:rFonts w:cs="Arial"/>
                <w:color w:val="000000"/>
                <w:sz w:val="16"/>
                <w:szCs w:val="16"/>
              </w:rPr>
            </w:pPr>
            <w:r>
              <w:rPr>
                <w:rFonts w:cs="Arial"/>
                <w:color w:val="000000"/>
                <w:sz w:val="16"/>
                <w:szCs w:val="16"/>
              </w:rPr>
              <w:t>126,3</w:t>
            </w:r>
          </w:p>
        </w:tc>
        <w:tc>
          <w:tcPr>
            <w:tcW w:w="1191" w:type="dxa"/>
            <w:tcBorders>
              <w:top w:val="nil"/>
              <w:left w:val="single" w:sz="4" w:space="0" w:color="auto"/>
              <w:bottom w:val="nil"/>
              <w:right w:val="single" w:sz="4" w:space="0" w:color="auto"/>
            </w:tcBorders>
            <w:shd w:val="clear" w:color="auto" w:fill="auto"/>
            <w:noWrap/>
            <w:vAlign w:val="bottom"/>
          </w:tcPr>
          <w:p w14:paraId="10062453" w14:textId="76872971" w:rsidR="00E57135" w:rsidRPr="00D92E20" w:rsidRDefault="00E57135" w:rsidP="00E57135">
            <w:pPr>
              <w:spacing w:after="0" w:line="240" w:lineRule="auto"/>
              <w:jc w:val="right"/>
              <w:rPr>
                <w:rFonts w:cs="Arial"/>
                <w:color w:val="000000"/>
                <w:sz w:val="16"/>
                <w:szCs w:val="16"/>
              </w:rPr>
            </w:pPr>
            <w:r>
              <w:rPr>
                <w:rFonts w:cs="Arial"/>
                <w:color w:val="000000"/>
                <w:sz w:val="16"/>
                <w:szCs w:val="16"/>
              </w:rPr>
              <w:t>3 311,9</w:t>
            </w:r>
          </w:p>
        </w:tc>
        <w:tc>
          <w:tcPr>
            <w:tcW w:w="1191" w:type="dxa"/>
            <w:tcBorders>
              <w:top w:val="nil"/>
              <w:left w:val="single" w:sz="4" w:space="0" w:color="auto"/>
              <w:bottom w:val="nil"/>
              <w:right w:val="single" w:sz="4" w:space="0" w:color="auto"/>
            </w:tcBorders>
            <w:shd w:val="clear" w:color="auto" w:fill="auto"/>
            <w:vAlign w:val="bottom"/>
          </w:tcPr>
          <w:p w14:paraId="78E6CFCC" w14:textId="56675846" w:rsidR="00E57135" w:rsidRPr="00D92E20" w:rsidRDefault="00E57135" w:rsidP="00E57135">
            <w:pPr>
              <w:spacing w:after="0" w:line="240" w:lineRule="auto"/>
              <w:jc w:val="right"/>
              <w:rPr>
                <w:rFonts w:cs="Arial"/>
                <w:color w:val="000000"/>
                <w:sz w:val="16"/>
                <w:szCs w:val="16"/>
              </w:rPr>
            </w:pPr>
            <w:r>
              <w:rPr>
                <w:rFonts w:cs="Arial"/>
                <w:color w:val="000000"/>
                <w:sz w:val="16"/>
                <w:szCs w:val="16"/>
              </w:rPr>
              <w:t>3 281,1</w:t>
            </w:r>
          </w:p>
        </w:tc>
        <w:tc>
          <w:tcPr>
            <w:tcW w:w="1191" w:type="dxa"/>
            <w:tcBorders>
              <w:top w:val="nil"/>
              <w:left w:val="nil"/>
              <w:bottom w:val="nil"/>
              <w:right w:val="single" w:sz="4" w:space="0" w:color="auto"/>
            </w:tcBorders>
            <w:shd w:val="clear" w:color="auto" w:fill="auto"/>
            <w:noWrap/>
            <w:vAlign w:val="bottom"/>
          </w:tcPr>
          <w:p w14:paraId="4D621D60" w14:textId="360AAB0E" w:rsidR="00E57135" w:rsidRPr="00D92E20" w:rsidRDefault="00E57135" w:rsidP="00E57135">
            <w:pPr>
              <w:spacing w:after="0" w:line="240" w:lineRule="auto"/>
              <w:jc w:val="right"/>
              <w:rPr>
                <w:rFonts w:cs="Arial"/>
                <w:color w:val="000000"/>
                <w:sz w:val="16"/>
                <w:szCs w:val="16"/>
              </w:rPr>
            </w:pPr>
            <w:r>
              <w:rPr>
                <w:rFonts w:cs="Arial"/>
                <w:color w:val="000000"/>
                <w:sz w:val="16"/>
                <w:szCs w:val="16"/>
              </w:rPr>
              <w:t>37,4</w:t>
            </w:r>
          </w:p>
        </w:tc>
        <w:tc>
          <w:tcPr>
            <w:tcW w:w="1191" w:type="dxa"/>
            <w:tcBorders>
              <w:top w:val="nil"/>
              <w:left w:val="single" w:sz="4" w:space="0" w:color="auto"/>
              <w:bottom w:val="nil"/>
              <w:right w:val="nil"/>
            </w:tcBorders>
            <w:shd w:val="clear" w:color="auto" w:fill="auto"/>
            <w:vAlign w:val="bottom"/>
          </w:tcPr>
          <w:p w14:paraId="49BEBE91" w14:textId="0BEA1A1C" w:rsidR="00E57135" w:rsidRPr="00D92E20" w:rsidRDefault="00E57135" w:rsidP="00E57135">
            <w:pPr>
              <w:spacing w:after="0" w:line="240" w:lineRule="auto"/>
              <w:jc w:val="right"/>
              <w:rPr>
                <w:rFonts w:cs="Arial"/>
                <w:color w:val="000000"/>
                <w:sz w:val="16"/>
                <w:szCs w:val="16"/>
              </w:rPr>
            </w:pPr>
            <w:r>
              <w:rPr>
                <w:rFonts w:cs="Arial"/>
                <w:color w:val="000000"/>
                <w:sz w:val="16"/>
                <w:szCs w:val="16"/>
              </w:rPr>
              <w:t>26,0</w:t>
            </w:r>
          </w:p>
        </w:tc>
      </w:tr>
      <w:tr w:rsidR="00E57135" w:rsidRPr="00D92E20" w14:paraId="2575C1CF" w14:textId="77777777" w:rsidTr="00736595">
        <w:trPr>
          <w:trHeight w:val="285"/>
        </w:trPr>
        <w:tc>
          <w:tcPr>
            <w:tcW w:w="2438" w:type="dxa"/>
            <w:tcBorders>
              <w:top w:val="nil"/>
              <w:bottom w:val="nil"/>
              <w:right w:val="single" w:sz="4" w:space="0" w:color="auto"/>
            </w:tcBorders>
            <w:shd w:val="clear" w:color="auto" w:fill="auto"/>
            <w:noWrap/>
            <w:vAlign w:val="center"/>
            <w:hideMark/>
          </w:tcPr>
          <w:p w14:paraId="163B2E66" w14:textId="77777777" w:rsidR="00E57135" w:rsidRPr="00D92E20" w:rsidRDefault="00E57135" w:rsidP="00E57135">
            <w:pPr>
              <w:spacing w:after="0" w:line="240" w:lineRule="auto"/>
              <w:ind w:firstLineChars="100" w:firstLine="160"/>
              <w:rPr>
                <w:rFonts w:cs="Arial"/>
                <w:color w:val="000000"/>
                <w:sz w:val="16"/>
                <w:szCs w:val="16"/>
              </w:rPr>
            </w:pPr>
            <w:r w:rsidRPr="00D92E20">
              <w:rPr>
                <w:rFonts w:cs="Arial"/>
                <w:color w:val="000000"/>
                <w:sz w:val="16"/>
                <w:szCs w:val="16"/>
              </w:rPr>
              <w:t>Plzeňský kraj</w:t>
            </w:r>
          </w:p>
        </w:tc>
        <w:tc>
          <w:tcPr>
            <w:tcW w:w="1191" w:type="dxa"/>
            <w:tcBorders>
              <w:top w:val="nil"/>
              <w:left w:val="single" w:sz="4" w:space="0" w:color="auto"/>
              <w:bottom w:val="nil"/>
              <w:right w:val="nil"/>
            </w:tcBorders>
            <w:shd w:val="clear" w:color="auto" w:fill="auto"/>
            <w:noWrap/>
            <w:vAlign w:val="bottom"/>
          </w:tcPr>
          <w:p w14:paraId="247E25BB" w14:textId="0713BAD1" w:rsidR="00E57135" w:rsidRPr="00D92E20" w:rsidRDefault="00E57135" w:rsidP="00E57135">
            <w:pPr>
              <w:spacing w:after="0" w:line="240" w:lineRule="auto"/>
              <w:jc w:val="right"/>
              <w:rPr>
                <w:rFonts w:cs="Arial"/>
                <w:color w:val="000000"/>
                <w:sz w:val="16"/>
                <w:szCs w:val="16"/>
              </w:rPr>
            </w:pPr>
            <w:r>
              <w:rPr>
                <w:rFonts w:cs="Arial"/>
                <w:color w:val="000000"/>
                <w:sz w:val="16"/>
                <w:szCs w:val="16"/>
              </w:rPr>
              <w:t>94,4</w:t>
            </w:r>
          </w:p>
        </w:tc>
        <w:tc>
          <w:tcPr>
            <w:tcW w:w="1191" w:type="dxa"/>
            <w:tcBorders>
              <w:top w:val="nil"/>
              <w:left w:val="single" w:sz="4" w:space="0" w:color="auto"/>
              <w:bottom w:val="nil"/>
              <w:right w:val="nil"/>
            </w:tcBorders>
            <w:shd w:val="clear" w:color="auto" w:fill="auto"/>
            <w:vAlign w:val="bottom"/>
          </w:tcPr>
          <w:p w14:paraId="776FCDCD" w14:textId="6A6D1C25" w:rsidR="00E57135" w:rsidRPr="00D92E20" w:rsidRDefault="00E57135" w:rsidP="00E57135">
            <w:pPr>
              <w:spacing w:after="0" w:line="240" w:lineRule="auto"/>
              <w:jc w:val="right"/>
              <w:rPr>
                <w:rFonts w:cs="Arial"/>
                <w:color w:val="000000"/>
                <w:sz w:val="16"/>
                <w:szCs w:val="16"/>
              </w:rPr>
            </w:pPr>
            <w:r>
              <w:rPr>
                <w:rFonts w:cs="Arial"/>
                <w:color w:val="000000"/>
                <w:sz w:val="16"/>
                <w:szCs w:val="16"/>
              </w:rPr>
              <w:t>128,5</w:t>
            </w:r>
          </w:p>
        </w:tc>
        <w:tc>
          <w:tcPr>
            <w:tcW w:w="1191" w:type="dxa"/>
            <w:tcBorders>
              <w:top w:val="nil"/>
              <w:left w:val="single" w:sz="4" w:space="0" w:color="auto"/>
              <w:bottom w:val="nil"/>
              <w:right w:val="single" w:sz="4" w:space="0" w:color="auto"/>
            </w:tcBorders>
            <w:shd w:val="clear" w:color="auto" w:fill="auto"/>
            <w:noWrap/>
            <w:vAlign w:val="bottom"/>
          </w:tcPr>
          <w:p w14:paraId="53977D90" w14:textId="2FB90AB2" w:rsidR="00E57135" w:rsidRPr="00D92E20" w:rsidRDefault="00E57135" w:rsidP="00E57135">
            <w:pPr>
              <w:spacing w:after="0" w:line="240" w:lineRule="auto"/>
              <w:jc w:val="right"/>
              <w:rPr>
                <w:rFonts w:cs="Arial"/>
                <w:color w:val="000000"/>
                <w:sz w:val="16"/>
                <w:szCs w:val="16"/>
              </w:rPr>
            </w:pPr>
            <w:r>
              <w:rPr>
                <w:rFonts w:cs="Arial"/>
                <w:color w:val="000000"/>
                <w:sz w:val="16"/>
                <w:szCs w:val="16"/>
              </w:rPr>
              <w:t>3 260,1</w:t>
            </w:r>
          </w:p>
        </w:tc>
        <w:tc>
          <w:tcPr>
            <w:tcW w:w="1191" w:type="dxa"/>
            <w:tcBorders>
              <w:top w:val="nil"/>
              <w:left w:val="single" w:sz="4" w:space="0" w:color="auto"/>
              <w:bottom w:val="nil"/>
              <w:right w:val="single" w:sz="4" w:space="0" w:color="auto"/>
            </w:tcBorders>
            <w:shd w:val="clear" w:color="auto" w:fill="auto"/>
            <w:vAlign w:val="bottom"/>
          </w:tcPr>
          <w:p w14:paraId="17372E02" w14:textId="60D1311F" w:rsidR="00E57135" w:rsidRPr="00D92E20" w:rsidRDefault="00E57135" w:rsidP="00E57135">
            <w:pPr>
              <w:spacing w:after="0" w:line="240" w:lineRule="auto"/>
              <w:jc w:val="right"/>
              <w:rPr>
                <w:rFonts w:cs="Arial"/>
                <w:color w:val="000000"/>
                <w:sz w:val="16"/>
                <w:szCs w:val="16"/>
              </w:rPr>
            </w:pPr>
            <w:r>
              <w:rPr>
                <w:rFonts w:cs="Arial"/>
                <w:color w:val="000000"/>
                <w:sz w:val="16"/>
                <w:szCs w:val="16"/>
              </w:rPr>
              <w:t>3 081,7</w:t>
            </w:r>
          </w:p>
        </w:tc>
        <w:tc>
          <w:tcPr>
            <w:tcW w:w="1191" w:type="dxa"/>
            <w:tcBorders>
              <w:top w:val="nil"/>
              <w:left w:val="nil"/>
              <w:bottom w:val="nil"/>
              <w:right w:val="single" w:sz="4" w:space="0" w:color="auto"/>
            </w:tcBorders>
            <w:shd w:val="clear" w:color="auto" w:fill="auto"/>
            <w:noWrap/>
            <w:vAlign w:val="bottom"/>
          </w:tcPr>
          <w:p w14:paraId="6C5EFCAF" w14:textId="0E7B8A11" w:rsidR="00E57135" w:rsidRPr="00D92E20" w:rsidRDefault="00E57135" w:rsidP="00E57135">
            <w:pPr>
              <w:spacing w:after="0" w:line="240" w:lineRule="auto"/>
              <w:jc w:val="right"/>
              <w:rPr>
                <w:rFonts w:cs="Arial"/>
                <w:color w:val="000000"/>
                <w:sz w:val="16"/>
                <w:szCs w:val="16"/>
              </w:rPr>
            </w:pPr>
            <w:r>
              <w:rPr>
                <w:rFonts w:cs="Arial"/>
                <w:color w:val="000000"/>
                <w:sz w:val="16"/>
                <w:szCs w:val="16"/>
              </w:rPr>
              <w:t>34,5</w:t>
            </w:r>
          </w:p>
        </w:tc>
        <w:tc>
          <w:tcPr>
            <w:tcW w:w="1191" w:type="dxa"/>
            <w:tcBorders>
              <w:top w:val="nil"/>
              <w:left w:val="single" w:sz="4" w:space="0" w:color="auto"/>
              <w:bottom w:val="nil"/>
              <w:right w:val="nil"/>
            </w:tcBorders>
            <w:shd w:val="clear" w:color="auto" w:fill="auto"/>
            <w:vAlign w:val="bottom"/>
          </w:tcPr>
          <w:p w14:paraId="3AECB202" w14:textId="3F9CF64D" w:rsidR="00E57135" w:rsidRPr="00D92E20" w:rsidRDefault="00E57135" w:rsidP="00E57135">
            <w:pPr>
              <w:spacing w:after="0" w:line="240" w:lineRule="auto"/>
              <w:jc w:val="right"/>
              <w:rPr>
                <w:rFonts w:cs="Arial"/>
                <w:color w:val="000000"/>
                <w:sz w:val="16"/>
                <w:szCs w:val="16"/>
              </w:rPr>
            </w:pPr>
            <w:r>
              <w:rPr>
                <w:rFonts w:cs="Arial"/>
                <w:color w:val="000000"/>
                <w:sz w:val="16"/>
                <w:szCs w:val="16"/>
              </w:rPr>
              <w:t>24,0</w:t>
            </w:r>
          </w:p>
        </w:tc>
      </w:tr>
      <w:tr w:rsidR="00E57135" w:rsidRPr="00D92E20" w14:paraId="6D750AAC" w14:textId="77777777" w:rsidTr="00736595">
        <w:trPr>
          <w:trHeight w:val="285"/>
        </w:trPr>
        <w:tc>
          <w:tcPr>
            <w:tcW w:w="2438" w:type="dxa"/>
            <w:tcBorders>
              <w:top w:val="nil"/>
              <w:bottom w:val="nil"/>
              <w:right w:val="single" w:sz="4" w:space="0" w:color="auto"/>
            </w:tcBorders>
            <w:shd w:val="clear" w:color="auto" w:fill="auto"/>
            <w:noWrap/>
            <w:vAlign w:val="center"/>
            <w:hideMark/>
          </w:tcPr>
          <w:p w14:paraId="3198D5D3" w14:textId="77777777" w:rsidR="00E57135" w:rsidRPr="00D92E20" w:rsidRDefault="00E57135" w:rsidP="00E57135">
            <w:pPr>
              <w:spacing w:after="0" w:line="240" w:lineRule="auto"/>
              <w:ind w:firstLineChars="100" w:firstLine="160"/>
              <w:rPr>
                <w:rFonts w:cs="Arial"/>
                <w:color w:val="000000"/>
                <w:sz w:val="16"/>
                <w:szCs w:val="16"/>
              </w:rPr>
            </w:pPr>
            <w:r w:rsidRPr="00D92E20">
              <w:rPr>
                <w:rFonts w:cs="Arial"/>
                <w:color w:val="000000"/>
                <w:sz w:val="16"/>
                <w:szCs w:val="16"/>
              </w:rPr>
              <w:t>Karlovarský kraj</w:t>
            </w:r>
          </w:p>
        </w:tc>
        <w:tc>
          <w:tcPr>
            <w:tcW w:w="1191" w:type="dxa"/>
            <w:tcBorders>
              <w:top w:val="nil"/>
              <w:left w:val="single" w:sz="4" w:space="0" w:color="auto"/>
              <w:bottom w:val="nil"/>
              <w:right w:val="nil"/>
            </w:tcBorders>
            <w:shd w:val="clear" w:color="auto" w:fill="auto"/>
            <w:noWrap/>
            <w:vAlign w:val="bottom"/>
          </w:tcPr>
          <w:p w14:paraId="2C4FB532" w14:textId="70C5CC86" w:rsidR="00E57135" w:rsidRPr="00D92E20" w:rsidRDefault="00E57135" w:rsidP="00E57135">
            <w:pPr>
              <w:spacing w:after="0" w:line="240" w:lineRule="auto"/>
              <w:jc w:val="right"/>
              <w:rPr>
                <w:rFonts w:cs="Arial"/>
                <w:color w:val="000000"/>
                <w:sz w:val="16"/>
                <w:szCs w:val="16"/>
              </w:rPr>
            </w:pPr>
            <w:r>
              <w:rPr>
                <w:rFonts w:cs="Arial"/>
                <w:color w:val="000000"/>
                <w:sz w:val="16"/>
                <w:szCs w:val="16"/>
              </w:rPr>
              <w:t>36,5</w:t>
            </w:r>
          </w:p>
        </w:tc>
        <w:tc>
          <w:tcPr>
            <w:tcW w:w="1191" w:type="dxa"/>
            <w:tcBorders>
              <w:top w:val="nil"/>
              <w:left w:val="single" w:sz="4" w:space="0" w:color="auto"/>
              <w:bottom w:val="nil"/>
              <w:right w:val="nil"/>
            </w:tcBorders>
            <w:shd w:val="clear" w:color="auto" w:fill="auto"/>
            <w:vAlign w:val="bottom"/>
          </w:tcPr>
          <w:p w14:paraId="4F4FDF43" w14:textId="23C9BA3C" w:rsidR="00E57135" w:rsidRPr="00D92E20" w:rsidRDefault="00E57135" w:rsidP="00E57135">
            <w:pPr>
              <w:spacing w:after="0" w:line="240" w:lineRule="auto"/>
              <w:jc w:val="right"/>
              <w:rPr>
                <w:rFonts w:cs="Arial"/>
                <w:color w:val="000000"/>
                <w:sz w:val="16"/>
                <w:szCs w:val="16"/>
              </w:rPr>
            </w:pPr>
            <w:r>
              <w:rPr>
                <w:rFonts w:cs="Arial"/>
                <w:color w:val="000000"/>
                <w:sz w:val="16"/>
                <w:szCs w:val="16"/>
              </w:rPr>
              <w:t>47,4</w:t>
            </w:r>
          </w:p>
        </w:tc>
        <w:tc>
          <w:tcPr>
            <w:tcW w:w="1191" w:type="dxa"/>
            <w:tcBorders>
              <w:top w:val="nil"/>
              <w:left w:val="single" w:sz="4" w:space="0" w:color="auto"/>
              <w:bottom w:val="nil"/>
              <w:right w:val="single" w:sz="4" w:space="0" w:color="auto"/>
            </w:tcBorders>
            <w:shd w:val="clear" w:color="auto" w:fill="auto"/>
            <w:noWrap/>
            <w:vAlign w:val="bottom"/>
          </w:tcPr>
          <w:p w14:paraId="1315E43C" w14:textId="78722068" w:rsidR="00E57135" w:rsidRPr="00D92E20" w:rsidRDefault="00E57135" w:rsidP="00E57135">
            <w:pPr>
              <w:spacing w:after="0" w:line="240" w:lineRule="auto"/>
              <w:jc w:val="right"/>
              <w:rPr>
                <w:rFonts w:cs="Arial"/>
                <w:color w:val="000000"/>
                <w:sz w:val="16"/>
                <w:szCs w:val="16"/>
              </w:rPr>
            </w:pPr>
            <w:r>
              <w:rPr>
                <w:rFonts w:cs="Arial"/>
                <w:color w:val="000000"/>
                <w:sz w:val="16"/>
                <w:szCs w:val="16"/>
              </w:rPr>
              <w:t>1 259,4</w:t>
            </w:r>
          </w:p>
        </w:tc>
        <w:tc>
          <w:tcPr>
            <w:tcW w:w="1191" w:type="dxa"/>
            <w:tcBorders>
              <w:top w:val="nil"/>
              <w:left w:val="single" w:sz="4" w:space="0" w:color="auto"/>
              <w:bottom w:val="nil"/>
              <w:right w:val="single" w:sz="4" w:space="0" w:color="auto"/>
            </w:tcBorders>
            <w:shd w:val="clear" w:color="auto" w:fill="auto"/>
            <w:vAlign w:val="bottom"/>
          </w:tcPr>
          <w:p w14:paraId="4634DE7D" w14:textId="676F04F6" w:rsidR="00E57135" w:rsidRPr="00D92E20" w:rsidRDefault="00E57135" w:rsidP="00E57135">
            <w:pPr>
              <w:spacing w:after="0" w:line="240" w:lineRule="auto"/>
              <w:jc w:val="right"/>
              <w:rPr>
                <w:rFonts w:cs="Arial"/>
                <w:color w:val="000000"/>
                <w:sz w:val="16"/>
                <w:szCs w:val="16"/>
              </w:rPr>
            </w:pPr>
            <w:r>
              <w:rPr>
                <w:rFonts w:cs="Arial"/>
                <w:color w:val="000000"/>
                <w:sz w:val="16"/>
                <w:szCs w:val="16"/>
              </w:rPr>
              <w:t>1 217,6</w:t>
            </w:r>
          </w:p>
        </w:tc>
        <w:tc>
          <w:tcPr>
            <w:tcW w:w="1191" w:type="dxa"/>
            <w:tcBorders>
              <w:top w:val="nil"/>
              <w:left w:val="nil"/>
              <w:bottom w:val="nil"/>
              <w:right w:val="single" w:sz="4" w:space="0" w:color="auto"/>
            </w:tcBorders>
            <w:shd w:val="clear" w:color="auto" w:fill="auto"/>
            <w:noWrap/>
            <w:vAlign w:val="bottom"/>
          </w:tcPr>
          <w:p w14:paraId="423EF97C" w14:textId="09E18E96" w:rsidR="00E57135" w:rsidRPr="00D92E20" w:rsidRDefault="00E57135" w:rsidP="00E57135">
            <w:pPr>
              <w:spacing w:after="0" w:line="240" w:lineRule="auto"/>
              <w:jc w:val="right"/>
              <w:rPr>
                <w:rFonts w:cs="Arial"/>
                <w:color w:val="000000"/>
                <w:sz w:val="16"/>
                <w:szCs w:val="16"/>
              </w:rPr>
            </w:pPr>
            <w:r>
              <w:rPr>
                <w:rFonts w:cs="Arial"/>
                <w:color w:val="000000"/>
                <w:sz w:val="16"/>
                <w:szCs w:val="16"/>
              </w:rPr>
              <w:t>34,5</w:t>
            </w:r>
          </w:p>
        </w:tc>
        <w:tc>
          <w:tcPr>
            <w:tcW w:w="1191" w:type="dxa"/>
            <w:tcBorders>
              <w:top w:val="nil"/>
              <w:left w:val="single" w:sz="4" w:space="0" w:color="auto"/>
              <w:bottom w:val="nil"/>
              <w:right w:val="nil"/>
            </w:tcBorders>
            <w:shd w:val="clear" w:color="auto" w:fill="auto"/>
            <w:vAlign w:val="bottom"/>
          </w:tcPr>
          <w:p w14:paraId="75483062" w14:textId="6B8CDC22" w:rsidR="00E57135" w:rsidRPr="00D92E20" w:rsidRDefault="00E57135" w:rsidP="00E57135">
            <w:pPr>
              <w:spacing w:after="0" w:line="240" w:lineRule="auto"/>
              <w:jc w:val="right"/>
              <w:rPr>
                <w:rFonts w:cs="Arial"/>
                <w:color w:val="000000"/>
                <w:sz w:val="16"/>
                <w:szCs w:val="16"/>
              </w:rPr>
            </w:pPr>
            <w:r>
              <w:rPr>
                <w:rFonts w:cs="Arial"/>
                <w:color w:val="000000"/>
                <w:sz w:val="16"/>
                <w:szCs w:val="16"/>
              </w:rPr>
              <w:t>25,7</w:t>
            </w:r>
          </w:p>
        </w:tc>
      </w:tr>
      <w:tr w:rsidR="00E57135" w:rsidRPr="00D92E20" w14:paraId="6B7122AB" w14:textId="77777777" w:rsidTr="00736595">
        <w:trPr>
          <w:trHeight w:val="285"/>
        </w:trPr>
        <w:tc>
          <w:tcPr>
            <w:tcW w:w="2438" w:type="dxa"/>
            <w:tcBorders>
              <w:top w:val="nil"/>
              <w:bottom w:val="nil"/>
              <w:right w:val="single" w:sz="4" w:space="0" w:color="auto"/>
            </w:tcBorders>
            <w:shd w:val="clear" w:color="auto" w:fill="auto"/>
            <w:noWrap/>
            <w:vAlign w:val="center"/>
            <w:hideMark/>
          </w:tcPr>
          <w:p w14:paraId="3E27580E" w14:textId="77777777" w:rsidR="00E57135" w:rsidRPr="00D92E20" w:rsidRDefault="00E57135" w:rsidP="00E57135">
            <w:pPr>
              <w:spacing w:after="0" w:line="240" w:lineRule="auto"/>
              <w:ind w:firstLineChars="100" w:firstLine="160"/>
              <w:rPr>
                <w:rFonts w:cs="Arial"/>
                <w:color w:val="000000"/>
                <w:sz w:val="16"/>
                <w:szCs w:val="16"/>
              </w:rPr>
            </w:pPr>
            <w:r w:rsidRPr="00D92E20">
              <w:rPr>
                <w:rFonts w:cs="Arial"/>
                <w:color w:val="000000"/>
                <w:sz w:val="16"/>
                <w:szCs w:val="16"/>
              </w:rPr>
              <w:t>Ústecký kraj</w:t>
            </w:r>
          </w:p>
        </w:tc>
        <w:tc>
          <w:tcPr>
            <w:tcW w:w="1191" w:type="dxa"/>
            <w:tcBorders>
              <w:top w:val="nil"/>
              <w:left w:val="single" w:sz="4" w:space="0" w:color="auto"/>
              <w:bottom w:val="nil"/>
              <w:right w:val="nil"/>
            </w:tcBorders>
            <w:shd w:val="clear" w:color="auto" w:fill="auto"/>
            <w:noWrap/>
            <w:vAlign w:val="bottom"/>
          </w:tcPr>
          <w:p w14:paraId="6D1EF149" w14:textId="2FA0A2EE" w:rsidR="00E57135" w:rsidRPr="00D92E20" w:rsidRDefault="00E57135" w:rsidP="00E57135">
            <w:pPr>
              <w:spacing w:after="0" w:line="240" w:lineRule="auto"/>
              <w:jc w:val="right"/>
              <w:rPr>
                <w:rFonts w:cs="Arial"/>
                <w:color w:val="000000"/>
                <w:sz w:val="16"/>
                <w:szCs w:val="16"/>
              </w:rPr>
            </w:pPr>
            <w:r>
              <w:rPr>
                <w:rFonts w:cs="Arial"/>
                <w:color w:val="000000"/>
                <w:sz w:val="16"/>
                <w:szCs w:val="16"/>
              </w:rPr>
              <w:t>113,1</w:t>
            </w:r>
          </w:p>
        </w:tc>
        <w:tc>
          <w:tcPr>
            <w:tcW w:w="1191" w:type="dxa"/>
            <w:tcBorders>
              <w:top w:val="nil"/>
              <w:left w:val="single" w:sz="4" w:space="0" w:color="auto"/>
              <w:bottom w:val="nil"/>
              <w:right w:val="nil"/>
            </w:tcBorders>
            <w:shd w:val="clear" w:color="auto" w:fill="auto"/>
            <w:vAlign w:val="bottom"/>
          </w:tcPr>
          <w:p w14:paraId="0669D666" w14:textId="078E3E3B" w:rsidR="00E57135" w:rsidRPr="00D92E20" w:rsidRDefault="00E57135" w:rsidP="00E57135">
            <w:pPr>
              <w:spacing w:after="0" w:line="240" w:lineRule="auto"/>
              <w:jc w:val="right"/>
              <w:rPr>
                <w:rFonts w:cs="Arial"/>
                <w:color w:val="000000"/>
                <w:sz w:val="16"/>
                <w:szCs w:val="16"/>
              </w:rPr>
            </w:pPr>
            <w:r>
              <w:rPr>
                <w:rFonts w:cs="Arial"/>
                <w:color w:val="000000"/>
                <w:sz w:val="16"/>
                <w:szCs w:val="16"/>
              </w:rPr>
              <w:t>154,4</w:t>
            </w:r>
          </w:p>
        </w:tc>
        <w:tc>
          <w:tcPr>
            <w:tcW w:w="1191" w:type="dxa"/>
            <w:tcBorders>
              <w:top w:val="nil"/>
              <w:left w:val="single" w:sz="4" w:space="0" w:color="auto"/>
              <w:bottom w:val="nil"/>
              <w:right w:val="single" w:sz="4" w:space="0" w:color="auto"/>
            </w:tcBorders>
            <w:shd w:val="clear" w:color="auto" w:fill="auto"/>
            <w:noWrap/>
            <w:vAlign w:val="bottom"/>
          </w:tcPr>
          <w:p w14:paraId="4A038CC0" w14:textId="5763FE4B" w:rsidR="00E57135" w:rsidRPr="00D92E20" w:rsidRDefault="00E57135" w:rsidP="00E57135">
            <w:pPr>
              <w:spacing w:after="0" w:line="240" w:lineRule="auto"/>
              <w:jc w:val="right"/>
              <w:rPr>
                <w:rFonts w:cs="Arial"/>
                <w:color w:val="000000"/>
                <w:sz w:val="16"/>
                <w:szCs w:val="16"/>
              </w:rPr>
            </w:pPr>
            <w:r>
              <w:rPr>
                <w:rFonts w:cs="Arial"/>
                <w:color w:val="000000"/>
                <w:sz w:val="16"/>
                <w:szCs w:val="16"/>
              </w:rPr>
              <w:t>3 877,3</w:t>
            </w:r>
          </w:p>
        </w:tc>
        <w:tc>
          <w:tcPr>
            <w:tcW w:w="1191" w:type="dxa"/>
            <w:tcBorders>
              <w:top w:val="nil"/>
              <w:left w:val="single" w:sz="4" w:space="0" w:color="auto"/>
              <w:bottom w:val="nil"/>
              <w:right w:val="single" w:sz="4" w:space="0" w:color="auto"/>
            </w:tcBorders>
            <w:shd w:val="clear" w:color="auto" w:fill="auto"/>
            <w:vAlign w:val="bottom"/>
          </w:tcPr>
          <w:p w14:paraId="2552BB35" w14:textId="77CFEBD5" w:rsidR="00E57135" w:rsidRPr="00D92E20" w:rsidRDefault="00E57135" w:rsidP="00E57135">
            <w:pPr>
              <w:spacing w:after="0" w:line="240" w:lineRule="auto"/>
              <w:jc w:val="right"/>
              <w:rPr>
                <w:rFonts w:cs="Arial"/>
                <w:color w:val="000000"/>
                <w:sz w:val="16"/>
                <w:szCs w:val="16"/>
              </w:rPr>
            </w:pPr>
            <w:r>
              <w:rPr>
                <w:rFonts w:cs="Arial"/>
                <w:color w:val="000000"/>
                <w:sz w:val="16"/>
                <w:szCs w:val="16"/>
              </w:rPr>
              <w:t>3 783,5</w:t>
            </w:r>
          </w:p>
        </w:tc>
        <w:tc>
          <w:tcPr>
            <w:tcW w:w="1191" w:type="dxa"/>
            <w:tcBorders>
              <w:top w:val="nil"/>
              <w:left w:val="nil"/>
              <w:bottom w:val="nil"/>
              <w:right w:val="single" w:sz="4" w:space="0" w:color="auto"/>
            </w:tcBorders>
            <w:shd w:val="clear" w:color="auto" w:fill="auto"/>
            <w:noWrap/>
            <w:vAlign w:val="bottom"/>
          </w:tcPr>
          <w:p w14:paraId="34F485B2" w14:textId="0EB8B4FF" w:rsidR="00E57135" w:rsidRPr="00D92E20" w:rsidRDefault="00E57135" w:rsidP="00E57135">
            <w:pPr>
              <w:spacing w:after="0" w:line="240" w:lineRule="auto"/>
              <w:jc w:val="right"/>
              <w:rPr>
                <w:rFonts w:cs="Arial"/>
                <w:color w:val="000000"/>
                <w:sz w:val="16"/>
                <w:szCs w:val="16"/>
              </w:rPr>
            </w:pPr>
            <w:r>
              <w:rPr>
                <w:rFonts w:cs="Arial"/>
                <w:color w:val="000000"/>
                <w:sz w:val="16"/>
                <w:szCs w:val="16"/>
              </w:rPr>
              <w:t>34,3</w:t>
            </w:r>
          </w:p>
        </w:tc>
        <w:tc>
          <w:tcPr>
            <w:tcW w:w="1191" w:type="dxa"/>
            <w:tcBorders>
              <w:top w:val="nil"/>
              <w:left w:val="single" w:sz="4" w:space="0" w:color="auto"/>
              <w:bottom w:val="nil"/>
              <w:right w:val="nil"/>
            </w:tcBorders>
            <w:shd w:val="clear" w:color="auto" w:fill="auto"/>
            <w:vAlign w:val="bottom"/>
          </w:tcPr>
          <w:p w14:paraId="71E4A3E9" w14:textId="46041FE0" w:rsidR="00E57135" w:rsidRPr="00D92E20" w:rsidRDefault="00E57135" w:rsidP="00E57135">
            <w:pPr>
              <w:spacing w:after="0" w:line="240" w:lineRule="auto"/>
              <w:jc w:val="right"/>
              <w:rPr>
                <w:rFonts w:cs="Arial"/>
                <w:color w:val="000000"/>
                <w:sz w:val="16"/>
                <w:szCs w:val="16"/>
              </w:rPr>
            </w:pPr>
            <w:r>
              <w:rPr>
                <w:rFonts w:cs="Arial"/>
                <w:color w:val="000000"/>
                <w:sz w:val="16"/>
                <w:szCs w:val="16"/>
              </w:rPr>
              <w:t>24,5</w:t>
            </w:r>
          </w:p>
        </w:tc>
      </w:tr>
      <w:tr w:rsidR="00E57135" w:rsidRPr="00D92E20" w14:paraId="1FADCF93" w14:textId="77777777" w:rsidTr="00736595">
        <w:trPr>
          <w:trHeight w:val="285"/>
        </w:trPr>
        <w:tc>
          <w:tcPr>
            <w:tcW w:w="2438" w:type="dxa"/>
            <w:tcBorders>
              <w:top w:val="nil"/>
              <w:bottom w:val="nil"/>
              <w:right w:val="single" w:sz="4" w:space="0" w:color="auto"/>
            </w:tcBorders>
            <w:shd w:val="clear" w:color="auto" w:fill="auto"/>
            <w:noWrap/>
            <w:vAlign w:val="center"/>
            <w:hideMark/>
          </w:tcPr>
          <w:p w14:paraId="6E4BF23B" w14:textId="77777777" w:rsidR="00E57135" w:rsidRPr="00D92E20" w:rsidRDefault="00E57135" w:rsidP="00E57135">
            <w:pPr>
              <w:spacing w:after="0" w:line="240" w:lineRule="auto"/>
              <w:ind w:firstLineChars="100" w:firstLine="160"/>
              <w:rPr>
                <w:rFonts w:cs="Arial"/>
                <w:color w:val="000000"/>
                <w:sz w:val="16"/>
                <w:szCs w:val="16"/>
              </w:rPr>
            </w:pPr>
            <w:r w:rsidRPr="00D92E20">
              <w:rPr>
                <w:rFonts w:cs="Arial"/>
                <w:color w:val="000000"/>
                <w:sz w:val="16"/>
                <w:szCs w:val="16"/>
              </w:rPr>
              <w:t>Liberecký kraj</w:t>
            </w:r>
          </w:p>
        </w:tc>
        <w:tc>
          <w:tcPr>
            <w:tcW w:w="1191" w:type="dxa"/>
            <w:tcBorders>
              <w:top w:val="nil"/>
              <w:left w:val="single" w:sz="4" w:space="0" w:color="auto"/>
              <w:bottom w:val="nil"/>
              <w:right w:val="nil"/>
            </w:tcBorders>
            <w:shd w:val="clear" w:color="auto" w:fill="auto"/>
            <w:noWrap/>
            <w:vAlign w:val="bottom"/>
          </w:tcPr>
          <w:p w14:paraId="48760506" w14:textId="04B6BCDD" w:rsidR="00E57135" w:rsidRPr="00D92E20" w:rsidRDefault="00E57135" w:rsidP="00E57135">
            <w:pPr>
              <w:spacing w:after="0" w:line="240" w:lineRule="auto"/>
              <w:jc w:val="right"/>
              <w:rPr>
                <w:rFonts w:cs="Arial"/>
                <w:color w:val="000000"/>
                <w:sz w:val="16"/>
                <w:szCs w:val="16"/>
              </w:rPr>
            </w:pPr>
            <w:r>
              <w:rPr>
                <w:rFonts w:cs="Arial"/>
                <w:color w:val="000000"/>
                <w:sz w:val="16"/>
                <w:szCs w:val="16"/>
              </w:rPr>
              <w:t>71,3</w:t>
            </w:r>
          </w:p>
        </w:tc>
        <w:tc>
          <w:tcPr>
            <w:tcW w:w="1191" w:type="dxa"/>
            <w:tcBorders>
              <w:top w:val="nil"/>
              <w:left w:val="single" w:sz="4" w:space="0" w:color="auto"/>
              <w:bottom w:val="nil"/>
              <w:right w:val="nil"/>
            </w:tcBorders>
            <w:shd w:val="clear" w:color="auto" w:fill="auto"/>
            <w:vAlign w:val="bottom"/>
          </w:tcPr>
          <w:p w14:paraId="7298A1DD" w14:textId="2648E877" w:rsidR="00E57135" w:rsidRPr="00D92E20" w:rsidRDefault="00E57135" w:rsidP="00E57135">
            <w:pPr>
              <w:spacing w:after="0" w:line="240" w:lineRule="auto"/>
              <w:jc w:val="right"/>
              <w:rPr>
                <w:rFonts w:cs="Arial"/>
                <w:color w:val="000000"/>
                <w:sz w:val="16"/>
                <w:szCs w:val="16"/>
              </w:rPr>
            </w:pPr>
            <w:r>
              <w:rPr>
                <w:rFonts w:cs="Arial"/>
                <w:color w:val="000000"/>
                <w:sz w:val="16"/>
                <w:szCs w:val="16"/>
              </w:rPr>
              <w:t>98,9</w:t>
            </w:r>
          </w:p>
        </w:tc>
        <w:tc>
          <w:tcPr>
            <w:tcW w:w="1191" w:type="dxa"/>
            <w:tcBorders>
              <w:top w:val="nil"/>
              <w:left w:val="single" w:sz="4" w:space="0" w:color="auto"/>
              <w:bottom w:val="nil"/>
              <w:right w:val="single" w:sz="4" w:space="0" w:color="auto"/>
            </w:tcBorders>
            <w:shd w:val="clear" w:color="auto" w:fill="auto"/>
            <w:noWrap/>
            <w:vAlign w:val="bottom"/>
          </w:tcPr>
          <w:p w14:paraId="0AF492E2" w14:textId="7A34678F" w:rsidR="00E57135" w:rsidRPr="00D92E20" w:rsidRDefault="00E57135" w:rsidP="00E57135">
            <w:pPr>
              <w:spacing w:after="0" w:line="240" w:lineRule="auto"/>
              <w:jc w:val="right"/>
              <w:rPr>
                <w:rFonts w:cs="Arial"/>
                <w:color w:val="000000"/>
                <w:sz w:val="16"/>
                <w:szCs w:val="16"/>
              </w:rPr>
            </w:pPr>
            <w:r>
              <w:rPr>
                <w:rFonts w:cs="Arial"/>
                <w:color w:val="000000"/>
                <w:sz w:val="16"/>
                <w:szCs w:val="16"/>
              </w:rPr>
              <w:t>2 396,0</w:t>
            </w:r>
          </w:p>
        </w:tc>
        <w:tc>
          <w:tcPr>
            <w:tcW w:w="1191" w:type="dxa"/>
            <w:tcBorders>
              <w:top w:val="nil"/>
              <w:left w:val="single" w:sz="4" w:space="0" w:color="auto"/>
              <w:bottom w:val="nil"/>
              <w:right w:val="single" w:sz="4" w:space="0" w:color="auto"/>
            </w:tcBorders>
            <w:shd w:val="clear" w:color="auto" w:fill="auto"/>
            <w:vAlign w:val="bottom"/>
          </w:tcPr>
          <w:p w14:paraId="648692CB" w14:textId="0C3E5FC4" w:rsidR="00E57135" w:rsidRPr="00D92E20" w:rsidRDefault="00E57135" w:rsidP="00E57135">
            <w:pPr>
              <w:spacing w:after="0" w:line="240" w:lineRule="auto"/>
              <w:jc w:val="right"/>
              <w:rPr>
                <w:rFonts w:cs="Arial"/>
                <w:color w:val="000000"/>
                <w:sz w:val="16"/>
                <w:szCs w:val="16"/>
              </w:rPr>
            </w:pPr>
            <w:r>
              <w:rPr>
                <w:rFonts w:cs="Arial"/>
                <w:color w:val="000000"/>
                <w:sz w:val="16"/>
                <w:szCs w:val="16"/>
              </w:rPr>
              <w:t>2 378,0</w:t>
            </w:r>
          </w:p>
        </w:tc>
        <w:tc>
          <w:tcPr>
            <w:tcW w:w="1191" w:type="dxa"/>
            <w:tcBorders>
              <w:top w:val="nil"/>
              <w:left w:val="nil"/>
              <w:bottom w:val="nil"/>
              <w:right w:val="single" w:sz="4" w:space="0" w:color="auto"/>
            </w:tcBorders>
            <w:shd w:val="clear" w:color="auto" w:fill="auto"/>
            <w:noWrap/>
            <w:vAlign w:val="bottom"/>
          </w:tcPr>
          <w:p w14:paraId="0E12CE94" w14:textId="44D4C7C0" w:rsidR="00E57135" w:rsidRPr="00D92E20" w:rsidRDefault="00E57135" w:rsidP="00E57135">
            <w:pPr>
              <w:spacing w:after="0" w:line="240" w:lineRule="auto"/>
              <w:jc w:val="right"/>
              <w:rPr>
                <w:rFonts w:cs="Arial"/>
                <w:color w:val="000000"/>
                <w:sz w:val="16"/>
                <w:szCs w:val="16"/>
              </w:rPr>
            </w:pPr>
            <w:r>
              <w:rPr>
                <w:rFonts w:cs="Arial"/>
                <w:color w:val="000000"/>
                <w:sz w:val="16"/>
                <w:szCs w:val="16"/>
              </w:rPr>
              <w:t>33,6</w:t>
            </w:r>
          </w:p>
        </w:tc>
        <w:tc>
          <w:tcPr>
            <w:tcW w:w="1191" w:type="dxa"/>
            <w:tcBorders>
              <w:top w:val="nil"/>
              <w:left w:val="single" w:sz="4" w:space="0" w:color="auto"/>
              <w:bottom w:val="nil"/>
              <w:right w:val="nil"/>
            </w:tcBorders>
            <w:shd w:val="clear" w:color="auto" w:fill="auto"/>
            <w:vAlign w:val="bottom"/>
          </w:tcPr>
          <w:p w14:paraId="19BA6B29" w14:textId="419B173E" w:rsidR="00E57135" w:rsidRPr="00D92E20" w:rsidRDefault="00E57135" w:rsidP="00E57135">
            <w:pPr>
              <w:spacing w:after="0" w:line="240" w:lineRule="auto"/>
              <w:jc w:val="right"/>
              <w:rPr>
                <w:rFonts w:cs="Arial"/>
                <w:color w:val="000000"/>
                <w:sz w:val="16"/>
                <w:szCs w:val="16"/>
              </w:rPr>
            </w:pPr>
            <w:r>
              <w:rPr>
                <w:rFonts w:cs="Arial"/>
                <w:color w:val="000000"/>
                <w:sz w:val="16"/>
                <w:szCs w:val="16"/>
              </w:rPr>
              <w:t>24,0</w:t>
            </w:r>
          </w:p>
        </w:tc>
      </w:tr>
      <w:tr w:rsidR="00E57135" w:rsidRPr="00D92E20" w14:paraId="5E70E6E2" w14:textId="77777777" w:rsidTr="00736595">
        <w:trPr>
          <w:trHeight w:val="285"/>
        </w:trPr>
        <w:tc>
          <w:tcPr>
            <w:tcW w:w="2438" w:type="dxa"/>
            <w:tcBorders>
              <w:top w:val="nil"/>
              <w:bottom w:val="nil"/>
              <w:right w:val="single" w:sz="4" w:space="0" w:color="auto"/>
            </w:tcBorders>
            <w:shd w:val="clear" w:color="auto" w:fill="auto"/>
            <w:noWrap/>
            <w:vAlign w:val="center"/>
            <w:hideMark/>
          </w:tcPr>
          <w:p w14:paraId="6A00FF69" w14:textId="77777777" w:rsidR="00E57135" w:rsidRPr="00D92E20" w:rsidRDefault="00E57135" w:rsidP="00E57135">
            <w:pPr>
              <w:spacing w:after="0" w:line="240" w:lineRule="auto"/>
              <w:ind w:firstLineChars="100" w:firstLine="160"/>
              <w:rPr>
                <w:rFonts w:cs="Arial"/>
                <w:color w:val="000000"/>
                <w:sz w:val="16"/>
                <w:szCs w:val="16"/>
              </w:rPr>
            </w:pPr>
            <w:r w:rsidRPr="00D92E20">
              <w:rPr>
                <w:rFonts w:cs="Arial"/>
                <w:color w:val="000000"/>
                <w:sz w:val="16"/>
                <w:szCs w:val="16"/>
              </w:rPr>
              <w:t>Královéhradecký kraj</w:t>
            </w:r>
          </w:p>
        </w:tc>
        <w:tc>
          <w:tcPr>
            <w:tcW w:w="1191" w:type="dxa"/>
            <w:tcBorders>
              <w:top w:val="nil"/>
              <w:left w:val="single" w:sz="4" w:space="0" w:color="auto"/>
              <w:bottom w:val="nil"/>
              <w:right w:val="nil"/>
            </w:tcBorders>
            <w:shd w:val="clear" w:color="auto" w:fill="auto"/>
            <w:noWrap/>
            <w:vAlign w:val="bottom"/>
          </w:tcPr>
          <w:p w14:paraId="043AD8D3" w14:textId="68A5344A" w:rsidR="00E57135" w:rsidRPr="00D92E20" w:rsidRDefault="00E57135" w:rsidP="00E57135">
            <w:pPr>
              <w:spacing w:after="0" w:line="240" w:lineRule="auto"/>
              <w:jc w:val="right"/>
              <w:rPr>
                <w:rFonts w:cs="Arial"/>
                <w:color w:val="000000"/>
                <w:sz w:val="16"/>
                <w:szCs w:val="16"/>
              </w:rPr>
            </w:pPr>
            <w:r>
              <w:rPr>
                <w:rFonts w:cs="Arial"/>
                <w:color w:val="000000"/>
                <w:sz w:val="16"/>
                <w:szCs w:val="16"/>
              </w:rPr>
              <w:t>89,4</w:t>
            </w:r>
          </w:p>
        </w:tc>
        <w:tc>
          <w:tcPr>
            <w:tcW w:w="1191" w:type="dxa"/>
            <w:tcBorders>
              <w:top w:val="nil"/>
              <w:left w:val="single" w:sz="4" w:space="0" w:color="auto"/>
              <w:bottom w:val="nil"/>
              <w:right w:val="nil"/>
            </w:tcBorders>
            <w:shd w:val="clear" w:color="auto" w:fill="auto"/>
            <w:vAlign w:val="bottom"/>
          </w:tcPr>
          <w:p w14:paraId="43534426" w14:textId="70D069A1" w:rsidR="00E57135" w:rsidRPr="00D92E20" w:rsidRDefault="00E57135" w:rsidP="00E57135">
            <w:pPr>
              <w:spacing w:after="0" w:line="240" w:lineRule="auto"/>
              <w:jc w:val="right"/>
              <w:rPr>
                <w:rFonts w:cs="Arial"/>
                <w:color w:val="000000"/>
                <w:sz w:val="16"/>
                <w:szCs w:val="16"/>
              </w:rPr>
            </w:pPr>
            <w:r>
              <w:rPr>
                <w:rFonts w:cs="Arial"/>
                <w:color w:val="000000"/>
                <w:sz w:val="16"/>
                <w:szCs w:val="16"/>
              </w:rPr>
              <w:t>120,8</w:t>
            </w:r>
          </w:p>
        </w:tc>
        <w:tc>
          <w:tcPr>
            <w:tcW w:w="1191" w:type="dxa"/>
            <w:tcBorders>
              <w:top w:val="nil"/>
              <w:left w:val="single" w:sz="4" w:space="0" w:color="auto"/>
              <w:bottom w:val="nil"/>
              <w:right w:val="single" w:sz="4" w:space="0" w:color="auto"/>
            </w:tcBorders>
            <w:shd w:val="clear" w:color="auto" w:fill="auto"/>
            <w:noWrap/>
            <w:vAlign w:val="bottom"/>
          </w:tcPr>
          <w:p w14:paraId="0C338273" w14:textId="42D625AF" w:rsidR="00E57135" w:rsidRPr="00D92E20" w:rsidRDefault="00E57135" w:rsidP="00E57135">
            <w:pPr>
              <w:spacing w:after="0" w:line="240" w:lineRule="auto"/>
              <w:jc w:val="right"/>
              <w:rPr>
                <w:rFonts w:cs="Arial"/>
                <w:color w:val="000000"/>
                <w:sz w:val="16"/>
                <w:szCs w:val="16"/>
              </w:rPr>
            </w:pPr>
            <w:r>
              <w:rPr>
                <w:rFonts w:cs="Arial"/>
                <w:color w:val="000000"/>
                <w:sz w:val="16"/>
                <w:szCs w:val="16"/>
              </w:rPr>
              <w:t>2 978,0</w:t>
            </w:r>
          </w:p>
        </w:tc>
        <w:tc>
          <w:tcPr>
            <w:tcW w:w="1191" w:type="dxa"/>
            <w:tcBorders>
              <w:top w:val="nil"/>
              <w:left w:val="single" w:sz="4" w:space="0" w:color="auto"/>
              <w:bottom w:val="nil"/>
              <w:right w:val="single" w:sz="4" w:space="0" w:color="auto"/>
            </w:tcBorders>
            <w:shd w:val="clear" w:color="auto" w:fill="auto"/>
            <w:vAlign w:val="bottom"/>
          </w:tcPr>
          <w:p w14:paraId="6C6A39F2" w14:textId="75BF6F38" w:rsidR="00E57135" w:rsidRPr="00D92E20" w:rsidRDefault="00E57135" w:rsidP="00E57135">
            <w:pPr>
              <w:spacing w:after="0" w:line="240" w:lineRule="auto"/>
              <w:jc w:val="right"/>
              <w:rPr>
                <w:rFonts w:cs="Arial"/>
                <w:color w:val="000000"/>
                <w:sz w:val="16"/>
                <w:szCs w:val="16"/>
              </w:rPr>
            </w:pPr>
            <w:r>
              <w:rPr>
                <w:rFonts w:cs="Arial"/>
                <w:color w:val="000000"/>
                <w:sz w:val="16"/>
                <w:szCs w:val="16"/>
              </w:rPr>
              <w:t>2 800,5</w:t>
            </w:r>
          </w:p>
        </w:tc>
        <w:tc>
          <w:tcPr>
            <w:tcW w:w="1191" w:type="dxa"/>
            <w:tcBorders>
              <w:top w:val="nil"/>
              <w:left w:val="nil"/>
              <w:bottom w:val="nil"/>
              <w:right w:val="single" w:sz="4" w:space="0" w:color="auto"/>
            </w:tcBorders>
            <w:shd w:val="clear" w:color="auto" w:fill="auto"/>
            <w:noWrap/>
            <w:vAlign w:val="bottom"/>
          </w:tcPr>
          <w:p w14:paraId="391730C0" w14:textId="33B918F5" w:rsidR="00E57135" w:rsidRPr="00D92E20" w:rsidRDefault="00E57135" w:rsidP="00E57135">
            <w:pPr>
              <w:spacing w:after="0" w:line="240" w:lineRule="auto"/>
              <w:jc w:val="right"/>
              <w:rPr>
                <w:rFonts w:cs="Arial"/>
                <w:color w:val="000000"/>
                <w:sz w:val="16"/>
                <w:szCs w:val="16"/>
              </w:rPr>
            </w:pPr>
            <w:r>
              <w:rPr>
                <w:rFonts w:cs="Arial"/>
                <w:color w:val="000000"/>
                <w:sz w:val="16"/>
                <w:szCs w:val="16"/>
              </w:rPr>
              <w:t>33,3</w:t>
            </w:r>
          </w:p>
        </w:tc>
        <w:tc>
          <w:tcPr>
            <w:tcW w:w="1191" w:type="dxa"/>
            <w:tcBorders>
              <w:top w:val="nil"/>
              <w:left w:val="single" w:sz="4" w:space="0" w:color="auto"/>
              <w:bottom w:val="nil"/>
              <w:right w:val="nil"/>
            </w:tcBorders>
            <w:shd w:val="clear" w:color="auto" w:fill="auto"/>
            <w:vAlign w:val="bottom"/>
          </w:tcPr>
          <w:p w14:paraId="423DF871" w14:textId="7E75A7DC" w:rsidR="00E57135" w:rsidRPr="00D92E20" w:rsidRDefault="00E57135" w:rsidP="00E57135">
            <w:pPr>
              <w:spacing w:after="0" w:line="240" w:lineRule="auto"/>
              <w:jc w:val="right"/>
              <w:rPr>
                <w:rFonts w:cs="Arial"/>
                <w:color w:val="000000"/>
                <w:sz w:val="16"/>
                <w:szCs w:val="16"/>
              </w:rPr>
            </w:pPr>
            <w:r>
              <w:rPr>
                <w:rFonts w:cs="Arial"/>
                <w:color w:val="000000"/>
                <w:sz w:val="16"/>
                <w:szCs w:val="16"/>
              </w:rPr>
              <w:t>23,2</w:t>
            </w:r>
          </w:p>
        </w:tc>
      </w:tr>
      <w:tr w:rsidR="00E57135" w:rsidRPr="00D92E20" w14:paraId="0FF080AD" w14:textId="77777777" w:rsidTr="00736595">
        <w:trPr>
          <w:trHeight w:val="285"/>
        </w:trPr>
        <w:tc>
          <w:tcPr>
            <w:tcW w:w="2438" w:type="dxa"/>
            <w:tcBorders>
              <w:top w:val="nil"/>
              <w:bottom w:val="nil"/>
              <w:right w:val="single" w:sz="4" w:space="0" w:color="auto"/>
            </w:tcBorders>
            <w:shd w:val="clear" w:color="auto" w:fill="auto"/>
            <w:noWrap/>
            <w:vAlign w:val="center"/>
            <w:hideMark/>
          </w:tcPr>
          <w:p w14:paraId="2C565228" w14:textId="77777777" w:rsidR="00E57135" w:rsidRPr="00D92E20" w:rsidRDefault="00E57135" w:rsidP="00E57135">
            <w:pPr>
              <w:spacing w:after="0" w:line="240" w:lineRule="auto"/>
              <w:ind w:firstLineChars="100" w:firstLine="160"/>
              <w:rPr>
                <w:rFonts w:cs="Arial"/>
                <w:color w:val="000000"/>
                <w:sz w:val="16"/>
                <w:szCs w:val="16"/>
              </w:rPr>
            </w:pPr>
            <w:r w:rsidRPr="00D92E20">
              <w:rPr>
                <w:rFonts w:cs="Arial"/>
                <w:color w:val="000000"/>
                <w:sz w:val="16"/>
                <w:szCs w:val="16"/>
              </w:rPr>
              <w:t>Pardubický kraj</w:t>
            </w:r>
          </w:p>
        </w:tc>
        <w:tc>
          <w:tcPr>
            <w:tcW w:w="1191" w:type="dxa"/>
            <w:tcBorders>
              <w:top w:val="nil"/>
              <w:left w:val="single" w:sz="4" w:space="0" w:color="auto"/>
              <w:bottom w:val="nil"/>
              <w:right w:val="nil"/>
            </w:tcBorders>
            <w:shd w:val="clear" w:color="auto" w:fill="auto"/>
            <w:noWrap/>
            <w:vAlign w:val="bottom"/>
          </w:tcPr>
          <w:p w14:paraId="525EB89F" w14:textId="0B1ACD00" w:rsidR="00E57135" w:rsidRPr="00D92E20" w:rsidRDefault="00E57135" w:rsidP="00E57135">
            <w:pPr>
              <w:spacing w:after="0" w:line="240" w:lineRule="auto"/>
              <w:jc w:val="right"/>
              <w:rPr>
                <w:rFonts w:cs="Arial"/>
                <w:color w:val="000000"/>
                <w:sz w:val="16"/>
                <w:szCs w:val="16"/>
              </w:rPr>
            </w:pPr>
            <w:r>
              <w:rPr>
                <w:rFonts w:cs="Arial"/>
                <w:color w:val="000000"/>
                <w:sz w:val="16"/>
                <w:szCs w:val="16"/>
              </w:rPr>
              <w:t>79,3</w:t>
            </w:r>
          </w:p>
        </w:tc>
        <w:tc>
          <w:tcPr>
            <w:tcW w:w="1191" w:type="dxa"/>
            <w:tcBorders>
              <w:top w:val="nil"/>
              <w:left w:val="single" w:sz="4" w:space="0" w:color="auto"/>
              <w:bottom w:val="nil"/>
              <w:right w:val="nil"/>
            </w:tcBorders>
            <w:shd w:val="clear" w:color="auto" w:fill="auto"/>
            <w:vAlign w:val="bottom"/>
          </w:tcPr>
          <w:p w14:paraId="069A8B25" w14:textId="489AAB7D" w:rsidR="00E57135" w:rsidRPr="00D92E20" w:rsidRDefault="00E57135" w:rsidP="00E57135">
            <w:pPr>
              <w:spacing w:after="0" w:line="240" w:lineRule="auto"/>
              <w:jc w:val="right"/>
              <w:rPr>
                <w:rFonts w:cs="Arial"/>
                <w:color w:val="000000"/>
                <w:sz w:val="16"/>
                <w:szCs w:val="16"/>
              </w:rPr>
            </w:pPr>
            <w:r>
              <w:rPr>
                <w:rFonts w:cs="Arial"/>
                <w:color w:val="000000"/>
                <w:sz w:val="16"/>
                <w:szCs w:val="16"/>
              </w:rPr>
              <w:t>110,1</w:t>
            </w:r>
          </w:p>
        </w:tc>
        <w:tc>
          <w:tcPr>
            <w:tcW w:w="1191" w:type="dxa"/>
            <w:tcBorders>
              <w:top w:val="nil"/>
              <w:left w:val="single" w:sz="4" w:space="0" w:color="auto"/>
              <w:bottom w:val="nil"/>
              <w:right w:val="single" w:sz="4" w:space="0" w:color="auto"/>
            </w:tcBorders>
            <w:shd w:val="clear" w:color="auto" w:fill="auto"/>
            <w:noWrap/>
            <w:vAlign w:val="bottom"/>
          </w:tcPr>
          <w:p w14:paraId="48A9A672" w14:textId="6F6C19A4" w:rsidR="00E57135" w:rsidRPr="00D92E20" w:rsidRDefault="00E57135" w:rsidP="00E57135">
            <w:pPr>
              <w:spacing w:after="0" w:line="240" w:lineRule="auto"/>
              <w:jc w:val="right"/>
              <w:rPr>
                <w:rFonts w:cs="Arial"/>
                <w:color w:val="000000"/>
                <w:sz w:val="16"/>
                <w:szCs w:val="16"/>
              </w:rPr>
            </w:pPr>
            <w:r>
              <w:rPr>
                <w:rFonts w:cs="Arial"/>
                <w:color w:val="000000"/>
                <w:sz w:val="16"/>
                <w:szCs w:val="16"/>
              </w:rPr>
              <w:t>2 655,0</w:t>
            </w:r>
          </w:p>
        </w:tc>
        <w:tc>
          <w:tcPr>
            <w:tcW w:w="1191" w:type="dxa"/>
            <w:tcBorders>
              <w:top w:val="nil"/>
              <w:left w:val="single" w:sz="4" w:space="0" w:color="auto"/>
              <w:bottom w:val="nil"/>
              <w:right w:val="single" w:sz="4" w:space="0" w:color="auto"/>
            </w:tcBorders>
            <w:shd w:val="clear" w:color="auto" w:fill="auto"/>
            <w:vAlign w:val="bottom"/>
          </w:tcPr>
          <w:p w14:paraId="71D8D046" w14:textId="7ACFEB3B" w:rsidR="00E57135" w:rsidRPr="00D92E20" w:rsidRDefault="00E57135" w:rsidP="00E57135">
            <w:pPr>
              <w:spacing w:after="0" w:line="240" w:lineRule="auto"/>
              <w:jc w:val="right"/>
              <w:rPr>
                <w:rFonts w:cs="Arial"/>
                <w:color w:val="000000"/>
                <w:sz w:val="16"/>
                <w:szCs w:val="16"/>
              </w:rPr>
            </w:pPr>
            <w:r>
              <w:rPr>
                <w:rFonts w:cs="Arial"/>
                <w:color w:val="000000"/>
                <w:sz w:val="16"/>
                <w:szCs w:val="16"/>
              </w:rPr>
              <w:t>2 632,6</w:t>
            </w:r>
          </w:p>
        </w:tc>
        <w:tc>
          <w:tcPr>
            <w:tcW w:w="1191" w:type="dxa"/>
            <w:tcBorders>
              <w:top w:val="nil"/>
              <w:left w:val="nil"/>
              <w:bottom w:val="nil"/>
              <w:right w:val="single" w:sz="4" w:space="0" w:color="auto"/>
            </w:tcBorders>
            <w:shd w:val="clear" w:color="auto" w:fill="auto"/>
            <w:noWrap/>
            <w:vAlign w:val="bottom"/>
          </w:tcPr>
          <w:p w14:paraId="0C57E791" w14:textId="718F0A9D" w:rsidR="00E57135" w:rsidRPr="00D92E20" w:rsidRDefault="00E57135" w:rsidP="00E57135">
            <w:pPr>
              <w:spacing w:after="0" w:line="240" w:lineRule="auto"/>
              <w:jc w:val="right"/>
              <w:rPr>
                <w:rFonts w:cs="Arial"/>
                <w:color w:val="000000"/>
                <w:sz w:val="16"/>
                <w:szCs w:val="16"/>
              </w:rPr>
            </w:pPr>
            <w:r>
              <w:rPr>
                <w:rFonts w:cs="Arial"/>
                <w:color w:val="000000"/>
                <w:sz w:val="16"/>
                <w:szCs w:val="16"/>
              </w:rPr>
              <w:t>33,5</w:t>
            </w:r>
          </w:p>
        </w:tc>
        <w:tc>
          <w:tcPr>
            <w:tcW w:w="1191" w:type="dxa"/>
            <w:tcBorders>
              <w:top w:val="nil"/>
              <w:left w:val="single" w:sz="4" w:space="0" w:color="auto"/>
              <w:bottom w:val="nil"/>
              <w:right w:val="nil"/>
            </w:tcBorders>
            <w:shd w:val="clear" w:color="auto" w:fill="auto"/>
            <w:vAlign w:val="bottom"/>
          </w:tcPr>
          <w:p w14:paraId="25BAF25C" w14:textId="1AF6936D" w:rsidR="00E57135" w:rsidRPr="00D92E20" w:rsidRDefault="00E57135" w:rsidP="00E57135">
            <w:pPr>
              <w:spacing w:after="0" w:line="240" w:lineRule="auto"/>
              <w:jc w:val="right"/>
              <w:rPr>
                <w:rFonts w:cs="Arial"/>
                <w:color w:val="000000"/>
                <w:sz w:val="16"/>
                <w:szCs w:val="16"/>
              </w:rPr>
            </w:pPr>
            <w:r>
              <w:rPr>
                <w:rFonts w:cs="Arial"/>
                <w:color w:val="000000"/>
                <w:sz w:val="16"/>
                <w:szCs w:val="16"/>
              </w:rPr>
              <w:t>23,9</w:t>
            </w:r>
          </w:p>
        </w:tc>
      </w:tr>
      <w:tr w:rsidR="00E57135" w:rsidRPr="00D92E20" w14:paraId="4A3A07D3" w14:textId="77777777" w:rsidTr="00736595">
        <w:trPr>
          <w:trHeight w:val="285"/>
        </w:trPr>
        <w:tc>
          <w:tcPr>
            <w:tcW w:w="2438" w:type="dxa"/>
            <w:tcBorders>
              <w:top w:val="nil"/>
              <w:bottom w:val="nil"/>
              <w:right w:val="single" w:sz="4" w:space="0" w:color="auto"/>
            </w:tcBorders>
            <w:shd w:val="clear" w:color="auto" w:fill="auto"/>
            <w:noWrap/>
            <w:vAlign w:val="center"/>
            <w:hideMark/>
          </w:tcPr>
          <w:p w14:paraId="18852ABE" w14:textId="77777777" w:rsidR="00E57135" w:rsidRPr="00D92E20" w:rsidRDefault="00E57135" w:rsidP="00E57135">
            <w:pPr>
              <w:spacing w:after="0" w:line="240" w:lineRule="auto"/>
              <w:ind w:firstLineChars="100" w:firstLine="160"/>
              <w:rPr>
                <w:rFonts w:cs="Arial"/>
                <w:color w:val="000000"/>
                <w:sz w:val="16"/>
                <w:szCs w:val="16"/>
              </w:rPr>
            </w:pPr>
            <w:r w:rsidRPr="00D92E20">
              <w:rPr>
                <w:rFonts w:cs="Arial"/>
                <w:color w:val="000000"/>
                <w:sz w:val="16"/>
                <w:szCs w:val="16"/>
              </w:rPr>
              <w:t>Kraj Vysočina</w:t>
            </w:r>
          </w:p>
        </w:tc>
        <w:tc>
          <w:tcPr>
            <w:tcW w:w="1191" w:type="dxa"/>
            <w:tcBorders>
              <w:top w:val="nil"/>
              <w:left w:val="single" w:sz="4" w:space="0" w:color="auto"/>
              <w:bottom w:val="nil"/>
              <w:right w:val="nil"/>
            </w:tcBorders>
            <w:shd w:val="clear" w:color="auto" w:fill="auto"/>
            <w:noWrap/>
            <w:vAlign w:val="bottom"/>
          </w:tcPr>
          <w:p w14:paraId="7B16540B" w14:textId="2AD54F40" w:rsidR="00E57135" w:rsidRPr="00D92E20" w:rsidRDefault="00E57135" w:rsidP="00E57135">
            <w:pPr>
              <w:spacing w:after="0" w:line="240" w:lineRule="auto"/>
              <w:jc w:val="right"/>
              <w:rPr>
                <w:rFonts w:cs="Arial"/>
                <w:color w:val="000000"/>
                <w:sz w:val="16"/>
                <w:szCs w:val="16"/>
              </w:rPr>
            </w:pPr>
            <w:r>
              <w:rPr>
                <w:rFonts w:cs="Arial"/>
                <w:color w:val="000000"/>
                <w:sz w:val="16"/>
                <w:szCs w:val="16"/>
              </w:rPr>
              <w:t>65,5</w:t>
            </w:r>
          </w:p>
        </w:tc>
        <w:tc>
          <w:tcPr>
            <w:tcW w:w="1191" w:type="dxa"/>
            <w:tcBorders>
              <w:top w:val="nil"/>
              <w:left w:val="single" w:sz="4" w:space="0" w:color="auto"/>
              <w:bottom w:val="nil"/>
              <w:right w:val="nil"/>
            </w:tcBorders>
            <w:shd w:val="clear" w:color="auto" w:fill="auto"/>
            <w:vAlign w:val="bottom"/>
          </w:tcPr>
          <w:p w14:paraId="47C56FD9" w14:textId="54CE4366" w:rsidR="00E57135" w:rsidRPr="00D92E20" w:rsidRDefault="00E57135" w:rsidP="00E57135">
            <w:pPr>
              <w:spacing w:after="0" w:line="240" w:lineRule="auto"/>
              <w:jc w:val="right"/>
              <w:rPr>
                <w:rFonts w:cs="Arial"/>
                <w:color w:val="000000"/>
                <w:sz w:val="16"/>
                <w:szCs w:val="16"/>
              </w:rPr>
            </w:pPr>
            <w:r>
              <w:rPr>
                <w:rFonts w:cs="Arial"/>
                <w:color w:val="000000"/>
                <w:sz w:val="16"/>
                <w:szCs w:val="16"/>
              </w:rPr>
              <w:t>101,1</w:t>
            </w:r>
          </w:p>
        </w:tc>
        <w:tc>
          <w:tcPr>
            <w:tcW w:w="1191" w:type="dxa"/>
            <w:tcBorders>
              <w:top w:val="nil"/>
              <w:left w:val="single" w:sz="4" w:space="0" w:color="auto"/>
              <w:bottom w:val="nil"/>
              <w:right w:val="single" w:sz="4" w:space="0" w:color="auto"/>
            </w:tcBorders>
            <w:shd w:val="clear" w:color="auto" w:fill="auto"/>
            <w:noWrap/>
            <w:vAlign w:val="bottom"/>
          </w:tcPr>
          <w:p w14:paraId="4D3C4118" w14:textId="7D612667" w:rsidR="00E57135" w:rsidRPr="00D92E20" w:rsidRDefault="00E57135" w:rsidP="00E57135">
            <w:pPr>
              <w:spacing w:after="0" w:line="240" w:lineRule="auto"/>
              <w:jc w:val="right"/>
              <w:rPr>
                <w:rFonts w:cs="Arial"/>
                <w:color w:val="000000"/>
                <w:sz w:val="16"/>
                <w:szCs w:val="16"/>
              </w:rPr>
            </w:pPr>
            <w:r>
              <w:rPr>
                <w:rFonts w:cs="Arial"/>
                <w:color w:val="000000"/>
                <w:sz w:val="16"/>
                <w:szCs w:val="16"/>
              </w:rPr>
              <w:t>2 577,6</w:t>
            </w:r>
          </w:p>
        </w:tc>
        <w:tc>
          <w:tcPr>
            <w:tcW w:w="1191" w:type="dxa"/>
            <w:tcBorders>
              <w:top w:val="nil"/>
              <w:left w:val="single" w:sz="4" w:space="0" w:color="auto"/>
              <w:bottom w:val="nil"/>
              <w:right w:val="single" w:sz="4" w:space="0" w:color="auto"/>
            </w:tcBorders>
            <w:shd w:val="clear" w:color="auto" w:fill="auto"/>
            <w:vAlign w:val="bottom"/>
          </w:tcPr>
          <w:p w14:paraId="7C60B3D7" w14:textId="2E53D073" w:rsidR="00E57135" w:rsidRPr="00D92E20" w:rsidRDefault="00E57135" w:rsidP="00E57135">
            <w:pPr>
              <w:spacing w:after="0" w:line="240" w:lineRule="auto"/>
              <w:jc w:val="right"/>
              <w:rPr>
                <w:rFonts w:cs="Arial"/>
                <w:color w:val="000000"/>
                <w:sz w:val="16"/>
                <w:szCs w:val="16"/>
              </w:rPr>
            </w:pPr>
            <w:r>
              <w:rPr>
                <w:rFonts w:cs="Arial"/>
                <w:color w:val="000000"/>
                <w:sz w:val="16"/>
                <w:szCs w:val="16"/>
              </w:rPr>
              <w:t>2 625,0</w:t>
            </w:r>
          </w:p>
        </w:tc>
        <w:tc>
          <w:tcPr>
            <w:tcW w:w="1191" w:type="dxa"/>
            <w:tcBorders>
              <w:top w:val="nil"/>
              <w:left w:val="nil"/>
              <w:bottom w:val="nil"/>
              <w:right w:val="single" w:sz="4" w:space="0" w:color="auto"/>
            </w:tcBorders>
            <w:shd w:val="clear" w:color="auto" w:fill="auto"/>
            <w:noWrap/>
            <w:vAlign w:val="bottom"/>
          </w:tcPr>
          <w:p w14:paraId="21582949" w14:textId="58304260" w:rsidR="00E57135" w:rsidRPr="00D92E20" w:rsidRDefault="00E57135" w:rsidP="00E57135">
            <w:pPr>
              <w:spacing w:after="0" w:line="240" w:lineRule="auto"/>
              <w:jc w:val="right"/>
              <w:rPr>
                <w:rFonts w:cs="Arial"/>
                <w:color w:val="000000"/>
                <w:sz w:val="16"/>
                <w:szCs w:val="16"/>
              </w:rPr>
            </w:pPr>
            <w:r>
              <w:rPr>
                <w:rFonts w:cs="Arial"/>
                <w:color w:val="000000"/>
                <w:sz w:val="16"/>
                <w:szCs w:val="16"/>
              </w:rPr>
              <w:t>39,4</w:t>
            </w:r>
          </w:p>
        </w:tc>
        <w:tc>
          <w:tcPr>
            <w:tcW w:w="1191" w:type="dxa"/>
            <w:tcBorders>
              <w:top w:val="nil"/>
              <w:left w:val="single" w:sz="4" w:space="0" w:color="auto"/>
              <w:bottom w:val="nil"/>
              <w:right w:val="nil"/>
            </w:tcBorders>
            <w:shd w:val="clear" w:color="auto" w:fill="auto"/>
            <w:vAlign w:val="bottom"/>
          </w:tcPr>
          <w:p w14:paraId="24E04168" w14:textId="200808D0" w:rsidR="00E57135" w:rsidRPr="00D92E20" w:rsidRDefault="00E57135" w:rsidP="00E57135">
            <w:pPr>
              <w:spacing w:after="0" w:line="240" w:lineRule="auto"/>
              <w:jc w:val="right"/>
              <w:rPr>
                <w:rFonts w:cs="Arial"/>
                <w:color w:val="000000"/>
                <w:sz w:val="16"/>
                <w:szCs w:val="16"/>
              </w:rPr>
            </w:pPr>
            <w:r>
              <w:rPr>
                <w:rFonts w:cs="Arial"/>
                <w:color w:val="000000"/>
                <w:sz w:val="16"/>
                <w:szCs w:val="16"/>
              </w:rPr>
              <w:t>26,0</w:t>
            </w:r>
          </w:p>
        </w:tc>
      </w:tr>
      <w:tr w:rsidR="00E57135" w:rsidRPr="00D92E20" w14:paraId="0FDFAE32" w14:textId="77777777" w:rsidTr="00736595">
        <w:trPr>
          <w:trHeight w:val="285"/>
        </w:trPr>
        <w:tc>
          <w:tcPr>
            <w:tcW w:w="2438" w:type="dxa"/>
            <w:tcBorders>
              <w:top w:val="nil"/>
              <w:bottom w:val="nil"/>
              <w:right w:val="single" w:sz="4" w:space="0" w:color="auto"/>
            </w:tcBorders>
            <w:shd w:val="clear" w:color="auto" w:fill="auto"/>
            <w:noWrap/>
            <w:vAlign w:val="center"/>
            <w:hideMark/>
          </w:tcPr>
          <w:p w14:paraId="2F4B09B6" w14:textId="77777777" w:rsidR="00E57135" w:rsidRPr="00D92E20" w:rsidRDefault="00E57135" w:rsidP="00E57135">
            <w:pPr>
              <w:spacing w:after="0" w:line="240" w:lineRule="auto"/>
              <w:ind w:firstLineChars="100" w:firstLine="160"/>
              <w:rPr>
                <w:rFonts w:cs="Arial"/>
                <w:color w:val="000000"/>
                <w:sz w:val="16"/>
                <w:szCs w:val="16"/>
              </w:rPr>
            </w:pPr>
            <w:r w:rsidRPr="00D92E20">
              <w:rPr>
                <w:rFonts w:cs="Arial"/>
                <w:color w:val="000000"/>
                <w:sz w:val="16"/>
                <w:szCs w:val="16"/>
              </w:rPr>
              <w:t>Jihomoravský kraj</w:t>
            </w:r>
          </w:p>
        </w:tc>
        <w:tc>
          <w:tcPr>
            <w:tcW w:w="1191" w:type="dxa"/>
            <w:tcBorders>
              <w:top w:val="nil"/>
              <w:left w:val="single" w:sz="4" w:space="0" w:color="auto"/>
              <w:bottom w:val="nil"/>
              <w:right w:val="nil"/>
            </w:tcBorders>
            <w:shd w:val="clear" w:color="auto" w:fill="auto"/>
            <w:noWrap/>
            <w:vAlign w:val="bottom"/>
          </w:tcPr>
          <w:p w14:paraId="1EE4B7A6" w14:textId="0B45A5AD" w:rsidR="00E57135" w:rsidRPr="00D92E20" w:rsidRDefault="00E57135" w:rsidP="00E57135">
            <w:pPr>
              <w:spacing w:after="0" w:line="240" w:lineRule="auto"/>
              <w:jc w:val="right"/>
              <w:rPr>
                <w:rFonts w:cs="Arial"/>
                <w:color w:val="000000"/>
                <w:sz w:val="16"/>
                <w:szCs w:val="16"/>
              </w:rPr>
            </w:pPr>
            <w:r>
              <w:rPr>
                <w:rFonts w:cs="Arial"/>
                <w:color w:val="000000"/>
                <w:sz w:val="16"/>
                <w:szCs w:val="16"/>
              </w:rPr>
              <w:t>146,5</w:t>
            </w:r>
          </w:p>
        </w:tc>
        <w:tc>
          <w:tcPr>
            <w:tcW w:w="1191" w:type="dxa"/>
            <w:tcBorders>
              <w:top w:val="nil"/>
              <w:left w:val="single" w:sz="4" w:space="0" w:color="auto"/>
              <w:bottom w:val="nil"/>
              <w:right w:val="nil"/>
            </w:tcBorders>
            <w:shd w:val="clear" w:color="auto" w:fill="auto"/>
            <w:vAlign w:val="bottom"/>
          </w:tcPr>
          <w:p w14:paraId="6CC05FB5" w14:textId="147AA227" w:rsidR="00E57135" w:rsidRPr="00D92E20" w:rsidRDefault="00E57135" w:rsidP="00E57135">
            <w:pPr>
              <w:spacing w:after="0" w:line="240" w:lineRule="auto"/>
              <w:jc w:val="right"/>
              <w:rPr>
                <w:rFonts w:cs="Arial"/>
                <w:color w:val="000000"/>
                <w:sz w:val="16"/>
                <w:szCs w:val="16"/>
              </w:rPr>
            </w:pPr>
            <w:r>
              <w:rPr>
                <w:rFonts w:cs="Arial"/>
                <w:color w:val="000000"/>
                <w:sz w:val="16"/>
                <w:szCs w:val="16"/>
              </w:rPr>
              <w:t>230,0</w:t>
            </w:r>
          </w:p>
        </w:tc>
        <w:tc>
          <w:tcPr>
            <w:tcW w:w="1191" w:type="dxa"/>
            <w:tcBorders>
              <w:top w:val="nil"/>
              <w:left w:val="single" w:sz="4" w:space="0" w:color="auto"/>
              <w:bottom w:val="nil"/>
              <w:right w:val="single" w:sz="4" w:space="0" w:color="auto"/>
            </w:tcBorders>
            <w:shd w:val="clear" w:color="auto" w:fill="auto"/>
            <w:noWrap/>
            <w:vAlign w:val="bottom"/>
          </w:tcPr>
          <w:p w14:paraId="01BD46D3" w14:textId="300D9E18" w:rsidR="00E57135" w:rsidRPr="00D92E20" w:rsidRDefault="00E57135" w:rsidP="00E57135">
            <w:pPr>
              <w:spacing w:after="0" w:line="240" w:lineRule="auto"/>
              <w:jc w:val="right"/>
              <w:rPr>
                <w:rFonts w:cs="Arial"/>
                <w:color w:val="000000"/>
                <w:sz w:val="16"/>
                <w:szCs w:val="16"/>
              </w:rPr>
            </w:pPr>
            <w:r>
              <w:rPr>
                <w:rFonts w:cs="Arial"/>
                <w:color w:val="000000"/>
                <w:sz w:val="16"/>
                <w:szCs w:val="16"/>
              </w:rPr>
              <w:t>5 702,6</w:t>
            </w:r>
          </w:p>
        </w:tc>
        <w:tc>
          <w:tcPr>
            <w:tcW w:w="1191" w:type="dxa"/>
            <w:tcBorders>
              <w:top w:val="nil"/>
              <w:left w:val="single" w:sz="4" w:space="0" w:color="auto"/>
              <w:bottom w:val="nil"/>
              <w:right w:val="single" w:sz="4" w:space="0" w:color="auto"/>
            </w:tcBorders>
            <w:shd w:val="clear" w:color="auto" w:fill="auto"/>
            <w:vAlign w:val="bottom"/>
          </w:tcPr>
          <w:p w14:paraId="2B24A5BB" w14:textId="09480FAE" w:rsidR="00E57135" w:rsidRPr="00D92E20" w:rsidRDefault="00E57135" w:rsidP="00E57135">
            <w:pPr>
              <w:spacing w:after="0" w:line="240" w:lineRule="auto"/>
              <w:jc w:val="right"/>
              <w:rPr>
                <w:rFonts w:cs="Arial"/>
                <w:color w:val="000000"/>
                <w:sz w:val="16"/>
                <w:szCs w:val="16"/>
              </w:rPr>
            </w:pPr>
            <w:r>
              <w:rPr>
                <w:rFonts w:cs="Arial"/>
                <w:color w:val="000000"/>
                <w:sz w:val="16"/>
                <w:szCs w:val="16"/>
              </w:rPr>
              <w:t>5 940,7</w:t>
            </w:r>
          </w:p>
        </w:tc>
        <w:tc>
          <w:tcPr>
            <w:tcW w:w="1191" w:type="dxa"/>
            <w:tcBorders>
              <w:top w:val="nil"/>
              <w:left w:val="nil"/>
              <w:bottom w:val="nil"/>
              <w:right w:val="single" w:sz="4" w:space="0" w:color="auto"/>
            </w:tcBorders>
            <w:shd w:val="clear" w:color="auto" w:fill="auto"/>
            <w:noWrap/>
            <w:vAlign w:val="bottom"/>
          </w:tcPr>
          <w:p w14:paraId="590DBFEF" w14:textId="6719E8AD" w:rsidR="00E57135" w:rsidRPr="00D92E20" w:rsidRDefault="00E57135" w:rsidP="00E57135">
            <w:pPr>
              <w:spacing w:after="0" w:line="240" w:lineRule="auto"/>
              <w:jc w:val="right"/>
              <w:rPr>
                <w:rFonts w:cs="Arial"/>
                <w:color w:val="000000"/>
                <w:sz w:val="16"/>
                <w:szCs w:val="16"/>
              </w:rPr>
            </w:pPr>
            <w:r>
              <w:rPr>
                <w:rFonts w:cs="Arial"/>
                <w:color w:val="000000"/>
                <w:sz w:val="16"/>
                <w:szCs w:val="16"/>
              </w:rPr>
              <w:t>38,9</w:t>
            </w:r>
          </w:p>
        </w:tc>
        <w:tc>
          <w:tcPr>
            <w:tcW w:w="1191" w:type="dxa"/>
            <w:tcBorders>
              <w:top w:val="nil"/>
              <w:left w:val="single" w:sz="4" w:space="0" w:color="auto"/>
              <w:bottom w:val="nil"/>
              <w:right w:val="nil"/>
            </w:tcBorders>
            <w:shd w:val="clear" w:color="auto" w:fill="auto"/>
            <w:vAlign w:val="bottom"/>
          </w:tcPr>
          <w:p w14:paraId="37F6BDE4" w14:textId="6950D8CB" w:rsidR="00E57135" w:rsidRPr="00D92E20" w:rsidRDefault="00E57135" w:rsidP="00E57135">
            <w:pPr>
              <w:spacing w:after="0" w:line="240" w:lineRule="auto"/>
              <w:jc w:val="right"/>
              <w:rPr>
                <w:rFonts w:cs="Arial"/>
                <w:color w:val="000000"/>
                <w:sz w:val="16"/>
                <w:szCs w:val="16"/>
              </w:rPr>
            </w:pPr>
            <w:r>
              <w:rPr>
                <w:rFonts w:cs="Arial"/>
                <w:color w:val="000000"/>
                <w:sz w:val="16"/>
                <w:szCs w:val="16"/>
              </w:rPr>
              <w:t>25,8</w:t>
            </w:r>
          </w:p>
        </w:tc>
      </w:tr>
      <w:tr w:rsidR="00E57135" w:rsidRPr="00D92E20" w14:paraId="42FF24A9" w14:textId="77777777" w:rsidTr="00736595">
        <w:trPr>
          <w:trHeight w:val="285"/>
        </w:trPr>
        <w:tc>
          <w:tcPr>
            <w:tcW w:w="2438" w:type="dxa"/>
            <w:tcBorders>
              <w:top w:val="nil"/>
              <w:bottom w:val="nil"/>
              <w:right w:val="single" w:sz="4" w:space="0" w:color="auto"/>
            </w:tcBorders>
            <w:shd w:val="clear" w:color="auto" w:fill="auto"/>
            <w:noWrap/>
            <w:vAlign w:val="center"/>
            <w:hideMark/>
          </w:tcPr>
          <w:p w14:paraId="132A69E4" w14:textId="77777777" w:rsidR="00E57135" w:rsidRPr="00D92E20" w:rsidRDefault="00E57135" w:rsidP="00E57135">
            <w:pPr>
              <w:spacing w:after="0" w:line="240" w:lineRule="auto"/>
              <w:ind w:firstLineChars="100" w:firstLine="160"/>
              <w:rPr>
                <w:rFonts w:cs="Arial"/>
                <w:color w:val="000000"/>
                <w:sz w:val="16"/>
                <w:szCs w:val="16"/>
              </w:rPr>
            </w:pPr>
            <w:r w:rsidRPr="00D92E20">
              <w:rPr>
                <w:rFonts w:cs="Arial"/>
                <w:color w:val="000000"/>
                <w:sz w:val="16"/>
                <w:szCs w:val="16"/>
              </w:rPr>
              <w:t>Olomoucký kraj</w:t>
            </w:r>
          </w:p>
        </w:tc>
        <w:tc>
          <w:tcPr>
            <w:tcW w:w="1191" w:type="dxa"/>
            <w:tcBorders>
              <w:top w:val="nil"/>
              <w:left w:val="single" w:sz="4" w:space="0" w:color="auto"/>
              <w:bottom w:val="nil"/>
              <w:right w:val="nil"/>
            </w:tcBorders>
            <w:shd w:val="clear" w:color="auto" w:fill="auto"/>
            <w:noWrap/>
            <w:vAlign w:val="bottom"/>
          </w:tcPr>
          <w:p w14:paraId="337F1D08" w14:textId="6EA06E70" w:rsidR="00E57135" w:rsidRPr="00D92E20" w:rsidRDefault="00E57135" w:rsidP="00E57135">
            <w:pPr>
              <w:spacing w:after="0" w:line="240" w:lineRule="auto"/>
              <w:jc w:val="right"/>
              <w:rPr>
                <w:rFonts w:cs="Arial"/>
                <w:color w:val="000000"/>
                <w:sz w:val="16"/>
                <w:szCs w:val="16"/>
              </w:rPr>
            </w:pPr>
            <w:r>
              <w:rPr>
                <w:rFonts w:cs="Arial"/>
                <w:color w:val="000000"/>
                <w:sz w:val="16"/>
                <w:szCs w:val="16"/>
              </w:rPr>
              <w:t>87,9</w:t>
            </w:r>
          </w:p>
        </w:tc>
        <w:tc>
          <w:tcPr>
            <w:tcW w:w="1191" w:type="dxa"/>
            <w:tcBorders>
              <w:top w:val="nil"/>
              <w:left w:val="single" w:sz="4" w:space="0" w:color="auto"/>
              <w:bottom w:val="nil"/>
              <w:right w:val="nil"/>
            </w:tcBorders>
            <w:shd w:val="clear" w:color="auto" w:fill="auto"/>
            <w:vAlign w:val="bottom"/>
          </w:tcPr>
          <w:p w14:paraId="5D2D0C5E" w14:textId="3C6D6A26" w:rsidR="00E57135" w:rsidRPr="00D92E20" w:rsidRDefault="00E57135" w:rsidP="00E57135">
            <w:pPr>
              <w:spacing w:after="0" w:line="240" w:lineRule="auto"/>
              <w:jc w:val="right"/>
              <w:rPr>
                <w:rFonts w:cs="Arial"/>
                <w:color w:val="000000"/>
                <w:sz w:val="16"/>
                <w:szCs w:val="16"/>
              </w:rPr>
            </w:pPr>
            <w:r>
              <w:rPr>
                <w:rFonts w:cs="Arial"/>
                <w:color w:val="000000"/>
                <w:sz w:val="16"/>
                <w:szCs w:val="16"/>
              </w:rPr>
              <w:t>129,6</w:t>
            </w:r>
          </w:p>
        </w:tc>
        <w:tc>
          <w:tcPr>
            <w:tcW w:w="1191" w:type="dxa"/>
            <w:tcBorders>
              <w:top w:val="nil"/>
              <w:left w:val="single" w:sz="4" w:space="0" w:color="auto"/>
              <w:bottom w:val="nil"/>
              <w:right w:val="single" w:sz="4" w:space="0" w:color="auto"/>
            </w:tcBorders>
            <w:shd w:val="clear" w:color="auto" w:fill="auto"/>
            <w:noWrap/>
            <w:vAlign w:val="bottom"/>
          </w:tcPr>
          <w:p w14:paraId="3AAA2D38" w14:textId="00EAA1E7" w:rsidR="00E57135" w:rsidRPr="00D92E20" w:rsidRDefault="00E57135" w:rsidP="00E57135">
            <w:pPr>
              <w:spacing w:after="0" w:line="240" w:lineRule="auto"/>
              <w:jc w:val="right"/>
              <w:rPr>
                <w:rFonts w:cs="Arial"/>
                <w:color w:val="000000"/>
                <w:sz w:val="16"/>
                <w:szCs w:val="16"/>
              </w:rPr>
            </w:pPr>
            <w:r>
              <w:rPr>
                <w:rFonts w:cs="Arial"/>
                <w:color w:val="000000"/>
                <w:sz w:val="16"/>
                <w:szCs w:val="16"/>
              </w:rPr>
              <w:t>3 349,6</w:t>
            </w:r>
          </w:p>
        </w:tc>
        <w:tc>
          <w:tcPr>
            <w:tcW w:w="1191" w:type="dxa"/>
            <w:tcBorders>
              <w:top w:val="nil"/>
              <w:left w:val="single" w:sz="4" w:space="0" w:color="auto"/>
              <w:bottom w:val="nil"/>
              <w:right w:val="single" w:sz="4" w:space="0" w:color="auto"/>
            </w:tcBorders>
            <w:shd w:val="clear" w:color="auto" w:fill="auto"/>
            <w:vAlign w:val="bottom"/>
          </w:tcPr>
          <w:p w14:paraId="2440695D" w14:textId="0FDDFC16" w:rsidR="00E57135" w:rsidRPr="00D92E20" w:rsidRDefault="00E57135" w:rsidP="00E57135">
            <w:pPr>
              <w:spacing w:after="0" w:line="240" w:lineRule="auto"/>
              <w:jc w:val="right"/>
              <w:rPr>
                <w:rFonts w:cs="Arial"/>
                <w:color w:val="000000"/>
                <w:sz w:val="16"/>
                <w:szCs w:val="16"/>
              </w:rPr>
            </w:pPr>
            <w:r>
              <w:rPr>
                <w:rFonts w:cs="Arial"/>
                <w:color w:val="000000"/>
                <w:sz w:val="16"/>
                <w:szCs w:val="16"/>
              </w:rPr>
              <w:t>3 414,6</w:t>
            </w:r>
          </w:p>
        </w:tc>
        <w:tc>
          <w:tcPr>
            <w:tcW w:w="1191" w:type="dxa"/>
            <w:tcBorders>
              <w:top w:val="nil"/>
              <w:left w:val="nil"/>
              <w:bottom w:val="nil"/>
              <w:right w:val="single" w:sz="4" w:space="0" w:color="auto"/>
            </w:tcBorders>
            <w:shd w:val="clear" w:color="auto" w:fill="auto"/>
            <w:noWrap/>
            <w:vAlign w:val="bottom"/>
          </w:tcPr>
          <w:p w14:paraId="16B745B8" w14:textId="2C250C02" w:rsidR="00E57135" w:rsidRPr="00D92E20" w:rsidRDefault="00E57135" w:rsidP="00E57135">
            <w:pPr>
              <w:spacing w:after="0" w:line="240" w:lineRule="auto"/>
              <w:jc w:val="right"/>
              <w:rPr>
                <w:rFonts w:cs="Arial"/>
                <w:color w:val="000000"/>
                <w:sz w:val="16"/>
                <w:szCs w:val="16"/>
              </w:rPr>
            </w:pPr>
            <w:r>
              <w:rPr>
                <w:rFonts w:cs="Arial"/>
                <w:color w:val="000000"/>
                <w:sz w:val="16"/>
                <w:szCs w:val="16"/>
              </w:rPr>
              <w:t>38,1</w:t>
            </w:r>
          </w:p>
        </w:tc>
        <w:tc>
          <w:tcPr>
            <w:tcW w:w="1191" w:type="dxa"/>
            <w:tcBorders>
              <w:top w:val="nil"/>
              <w:left w:val="single" w:sz="4" w:space="0" w:color="auto"/>
              <w:bottom w:val="nil"/>
              <w:right w:val="nil"/>
            </w:tcBorders>
            <w:shd w:val="clear" w:color="auto" w:fill="auto"/>
            <w:vAlign w:val="bottom"/>
          </w:tcPr>
          <w:p w14:paraId="5616C7E3" w14:textId="58325559" w:rsidR="00E57135" w:rsidRPr="00D92E20" w:rsidRDefault="00E57135" w:rsidP="00E57135">
            <w:pPr>
              <w:spacing w:after="0" w:line="240" w:lineRule="auto"/>
              <w:jc w:val="right"/>
              <w:rPr>
                <w:rFonts w:cs="Arial"/>
                <w:color w:val="000000"/>
                <w:sz w:val="16"/>
                <w:szCs w:val="16"/>
              </w:rPr>
            </w:pPr>
            <w:r>
              <w:rPr>
                <w:rFonts w:cs="Arial"/>
                <w:color w:val="000000"/>
                <w:sz w:val="16"/>
                <w:szCs w:val="16"/>
              </w:rPr>
              <w:t>26,3</w:t>
            </w:r>
          </w:p>
        </w:tc>
      </w:tr>
      <w:tr w:rsidR="00E57135" w:rsidRPr="00D92E20" w14:paraId="1E3005C3" w14:textId="77777777" w:rsidTr="00736595">
        <w:trPr>
          <w:trHeight w:val="285"/>
        </w:trPr>
        <w:tc>
          <w:tcPr>
            <w:tcW w:w="2438" w:type="dxa"/>
            <w:tcBorders>
              <w:top w:val="nil"/>
              <w:bottom w:val="nil"/>
              <w:right w:val="single" w:sz="4" w:space="0" w:color="auto"/>
            </w:tcBorders>
            <w:shd w:val="clear" w:color="auto" w:fill="auto"/>
            <w:noWrap/>
            <w:vAlign w:val="center"/>
            <w:hideMark/>
          </w:tcPr>
          <w:p w14:paraId="512E2F06" w14:textId="77777777" w:rsidR="00E57135" w:rsidRPr="00D92E20" w:rsidRDefault="00E57135" w:rsidP="00E57135">
            <w:pPr>
              <w:spacing w:after="0" w:line="240" w:lineRule="auto"/>
              <w:ind w:firstLineChars="100" w:firstLine="160"/>
              <w:rPr>
                <w:rFonts w:cs="Arial"/>
                <w:color w:val="000000"/>
                <w:sz w:val="16"/>
                <w:szCs w:val="16"/>
              </w:rPr>
            </w:pPr>
            <w:r w:rsidRPr="00D92E20">
              <w:rPr>
                <w:rFonts w:cs="Arial"/>
                <w:color w:val="000000"/>
                <w:sz w:val="16"/>
                <w:szCs w:val="16"/>
              </w:rPr>
              <w:t>Zlínský kraj</w:t>
            </w:r>
          </w:p>
        </w:tc>
        <w:tc>
          <w:tcPr>
            <w:tcW w:w="1191" w:type="dxa"/>
            <w:tcBorders>
              <w:top w:val="nil"/>
              <w:left w:val="single" w:sz="4" w:space="0" w:color="auto"/>
              <w:bottom w:val="nil"/>
              <w:right w:val="nil"/>
            </w:tcBorders>
            <w:shd w:val="clear" w:color="auto" w:fill="auto"/>
            <w:noWrap/>
            <w:vAlign w:val="bottom"/>
          </w:tcPr>
          <w:p w14:paraId="5853F82F" w14:textId="2C91B8EA" w:rsidR="00E57135" w:rsidRPr="00D92E20" w:rsidRDefault="00E57135" w:rsidP="00E57135">
            <w:pPr>
              <w:spacing w:after="0" w:line="240" w:lineRule="auto"/>
              <w:jc w:val="right"/>
              <w:rPr>
                <w:rFonts w:cs="Arial"/>
                <w:color w:val="000000"/>
                <w:sz w:val="16"/>
                <w:szCs w:val="16"/>
              </w:rPr>
            </w:pPr>
            <w:r>
              <w:rPr>
                <w:rFonts w:cs="Arial"/>
                <w:color w:val="000000"/>
                <w:sz w:val="16"/>
                <w:szCs w:val="16"/>
              </w:rPr>
              <w:t>75,3</w:t>
            </w:r>
          </w:p>
        </w:tc>
        <w:tc>
          <w:tcPr>
            <w:tcW w:w="1191" w:type="dxa"/>
            <w:tcBorders>
              <w:top w:val="nil"/>
              <w:left w:val="single" w:sz="4" w:space="0" w:color="auto"/>
              <w:bottom w:val="nil"/>
              <w:right w:val="nil"/>
            </w:tcBorders>
            <w:shd w:val="clear" w:color="auto" w:fill="auto"/>
            <w:vAlign w:val="bottom"/>
          </w:tcPr>
          <w:p w14:paraId="73CEEBE4" w14:textId="6F710018" w:rsidR="00E57135" w:rsidRPr="00D92E20" w:rsidRDefault="00E57135" w:rsidP="00E57135">
            <w:pPr>
              <w:spacing w:after="0" w:line="240" w:lineRule="auto"/>
              <w:jc w:val="right"/>
              <w:rPr>
                <w:rFonts w:cs="Arial"/>
                <w:color w:val="000000"/>
                <w:sz w:val="16"/>
                <w:szCs w:val="16"/>
              </w:rPr>
            </w:pPr>
            <w:r>
              <w:rPr>
                <w:rFonts w:cs="Arial"/>
                <w:color w:val="000000"/>
                <w:sz w:val="16"/>
                <w:szCs w:val="16"/>
              </w:rPr>
              <w:t>121,0</w:t>
            </w:r>
          </w:p>
        </w:tc>
        <w:tc>
          <w:tcPr>
            <w:tcW w:w="1191" w:type="dxa"/>
            <w:tcBorders>
              <w:top w:val="nil"/>
              <w:left w:val="single" w:sz="4" w:space="0" w:color="auto"/>
              <w:bottom w:val="nil"/>
              <w:right w:val="single" w:sz="4" w:space="0" w:color="auto"/>
            </w:tcBorders>
            <w:shd w:val="clear" w:color="auto" w:fill="auto"/>
            <w:noWrap/>
            <w:vAlign w:val="bottom"/>
          </w:tcPr>
          <w:p w14:paraId="1DEC9E90" w14:textId="50C30709" w:rsidR="00E57135" w:rsidRPr="00D92E20" w:rsidRDefault="00E57135" w:rsidP="00E57135">
            <w:pPr>
              <w:spacing w:after="0" w:line="240" w:lineRule="auto"/>
              <w:jc w:val="right"/>
              <w:rPr>
                <w:rFonts w:cs="Arial"/>
                <w:color w:val="000000"/>
                <w:sz w:val="16"/>
                <w:szCs w:val="16"/>
              </w:rPr>
            </w:pPr>
            <w:r>
              <w:rPr>
                <w:rFonts w:cs="Arial"/>
                <w:color w:val="000000"/>
                <w:sz w:val="16"/>
                <w:szCs w:val="16"/>
              </w:rPr>
              <w:t>3 340,2</w:t>
            </w:r>
          </w:p>
        </w:tc>
        <w:tc>
          <w:tcPr>
            <w:tcW w:w="1191" w:type="dxa"/>
            <w:tcBorders>
              <w:top w:val="nil"/>
              <w:left w:val="single" w:sz="4" w:space="0" w:color="auto"/>
              <w:bottom w:val="nil"/>
              <w:right w:val="single" w:sz="4" w:space="0" w:color="auto"/>
            </w:tcBorders>
            <w:shd w:val="clear" w:color="auto" w:fill="auto"/>
            <w:vAlign w:val="bottom"/>
          </w:tcPr>
          <w:p w14:paraId="643C8D8D" w14:textId="2B4790A0" w:rsidR="00E57135" w:rsidRPr="00D92E20" w:rsidRDefault="00E57135" w:rsidP="00E57135">
            <w:pPr>
              <w:spacing w:after="0" w:line="240" w:lineRule="auto"/>
              <w:jc w:val="right"/>
              <w:rPr>
                <w:rFonts w:cs="Arial"/>
                <w:color w:val="000000"/>
                <w:sz w:val="16"/>
                <w:szCs w:val="16"/>
              </w:rPr>
            </w:pPr>
            <w:r>
              <w:rPr>
                <w:rFonts w:cs="Arial"/>
                <w:color w:val="000000"/>
                <w:sz w:val="16"/>
                <w:szCs w:val="16"/>
              </w:rPr>
              <w:t>3 362,4</w:t>
            </w:r>
          </w:p>
        </w:tc>
        <w:tc>
          <w:tcPr>
            <w:tcW w:w="1191" w:type="dxa"/>
            <w:tcBorders>
              <w:top w:val="nil"/>
              <w:left w:val="nil"/>
              <w:bottom w:val="nil"/>
              <w:right w:val="single" w:sz="4" w:space="0" w:color="auto"/>
            </w:tcBorders>
            <w:shd w:val="clear" w:color="auto" w:fill="auto"/>
            <w:noWrap/>
            <w:vAlign w:val="bottom"/>
          </w:tcPr>
          <w:p w14:paraId="0A008656" w14:textId="2FA0E9B0" w:rsidR="00E57135" w:rsidRPr="00D92E20" w:rsidRDefault="00E57135" w:rsidP="00E57135">
            <w:pPr>
              <w:spacing w:after="0" w:line="240" w:lineRule="auto"/>
              <w:jc w:val="right"/>
              <w:rPr>
                <w:rFonts w:cs="Arial"/>
                <w:color w:val="000000"/>
                <w:sz w:val="16"/>
                <w:szCs w:val="16"/>
              </w:rPr>
            </w:pPr>
            <w:r>
              <w:rPr>
                <w:rFonts w:cs="Arial"/>
                <w:color w:val="000000"/>
                <w:sz w:val="16"/>
                <w:szCs w:val="16"/>
              </w:rPr>
              <w:t>44,4</w:t>
            </w:r>
          </w:p>
        </w:tc>
        <w:tc>
          <w:tcPr>
            <w:tcW w:w="1191" w:type="dxa"/>
            <w:tcBorders>
              <w:top w:val="nil"/>
              <w:left w:val="single" w:sz="4" w:space="0" w:color="auto"/>
              <w:bottom w:val="nil"/>
              <w:right w:val="nil"/>
            </w:tcBorders>
            <w:shd w:val="clear" w:color="auto" w:fill="auto"/>
            <w:vAlign w:val="bottom"/>
          </w:tcPr>
          <w:p w14:paraId="020F40A7" w14:textId="51B55B8D" w:rsidR="00E57135" w:rsidRPr="00D92E20" w:rsidRDefault="00E57135" w:rsidP="00E57135">
            <w:pPr>
              <w:spacing w:after="0" w:line="240" w:lineRule="auto"/>
              <w:jc w:val="right"/>
              <w:rPr>
                <w:rFonts w:cs="Arial"/>
                <w:color w:val="000000"/>
                <w:sz w:val="16"/>
                <w:szCs w:val="16"/>
              </w:rPr>
            </w:pPr>
            <w:r>
              <w:rPr>
                <w:rFonts w:cs="Arial"/>
                <w:color w:val="000000"/>
                <w:sz w:val="16"/>
                <w:szCs w:val="16"/>
              </w:rPr>
              <w:t>27,8</w:t>
            </w:r>
          </w:p>
        </w:tc>
      </w:tr>
      <w:tr w:rsidR="00E57135" w:rsidRPr="00D92E20" w14:paraId="400E6602" w14:textId="77777777" w:rsidTr="00736595">
        <w:trPr>
          <w:trHeight w:val="285"/>
        </w:trPr>
        <w:tc>
          <w:tcPr>
            <w:tcW w:w="2438" w:type="dxa"/>
            <w:tcBorders>
              <w:top w:val="nil"/>
              <w:bottom w:val="nil"/>
              <w:right w:val="single" w:sz="4" w:space="0" w:color="auto"/>
            </w:tcBorders>
            <w:shd w:val="clear" w:color="auto" w:fill="auto"/>
            <w:noWrap/>
            <w:vAlign w:val="center"/>
            <w:hideMark/>
          </w:tcPr>
          <w:p w14:paraId="3359BB12" w14:textId="77777777" w:rsidR="00E57135" w:rsidRPr="00D92E20" w:rsidRDefault="00E57135" w:rsidP="00E57135">
            <w:pPr>
              <w:spacing w:after="0" w:line="240" w:lineRule="auto"/>
              <w:ind w:firstLineChars="100" w:firstLine="160"/>
              <w:rPr>
                <w:rFonts w:cs="Arial"/>
                <w:color w:val="000000"/>
                <w:sz w:val="16"/>
                <w:szCs w:val="16"/>
              </w:rPr>
            </w:pPr>
            <w:r w:rsidRPr="00D92E20">
              <w:rPr>
                <w:rFonts w:cs="Arial"/>
                <w:color w:val="000000"/>
                <w:sz w:val="16"/>
                <w:szCs w:val="16"/>
              </w:rPr>
              <w:t>Moravskoslezský kraj</w:t>
            </w:r>
          </w:p>
        </w:tc>
        <w:tc>
          <w:tcPr>
            <w:tcW w:w="1191" w:type="dxa"/>
            <w:tcBorders>
              <w:top w:val="nil"/>
              <w:left w:val="single" w:sz="4" w:space="0" w:color="auto"/>
              <w:bottom w:val="nil"/>
              <w:right w:val="nil"/>
            </w:tcBorders>
            <w:shd w:val="clear" w:color="auto" w:fill="auto"/>
            <w:noWrap/>
            <w:vAlign w:val="bottom"/>
          </w:tcPr>
          <w:p w14:paraId="68B9C209" w14:textId="75AC71E8" w:rsidR="00E57135" w:rsidRPr="00D92E20" w:rsidRDefault="00E57135" w:rsidP="00E57135">
            <w:pPr>
              <w:spacing w:after="0" w:line="240" w:lineRule="auto"/>
              <w:jc w:val="right"/>
              <w:rPr>
                <w:rFonts w:cs="Arial"/>
                <w:color w:val="000000"/>
                <w:sz w:val="16"/>
                <w:szCs w:val="16"/>
              </w:rPr>
            </w:pPr>
            <w:r>
              <w:rPr>
                <w:rFonts w:cs="Arial"/>
                <w:color w:val="000000"/>
                <w:sz w:val="16"/>
                <w:szCs w:val="16"/>
              </w:rPr>
              <w:t>162,5</w:t>
            </w:r>
          </w:p>
        </w:tc>
        <w:tc>
          <w:tcPr>
            <w:tcW w:w="1191" w:type="dxa"/>
            <w:tcBorders>
              <w:top w:val="nil"/>
              <w:left w:val="single" w:sz="4" w:space="0" w:color="auto"/>
              <w:bottom w:val="nil"/>
              <w:right w:val="nil"/>
            </w:tcBorders>
            <w:shd w:val="clear" w:color="auto" w:fill="auto"/>
            <w:vAlign w:val="bottom"/>
          </w:tcPr>
          <w:p w14:paraId="146A78FC" w14:textId="160FCC09" w:rsidR="00E57135" w:rsidRPr="00D92E20" w:rsidRDefault="00E57135" w:rsidP="00E57135">
            <w:pPr>
              <w:spacing w:after="0" w:line="240" w:lineRule="auto"/>
              <w:jc w:val="right"/>
              <w:rPr>
                <w:rFonts w:cs="Arial"/>
                <w:color w:val="000000"/>
                <w:sz w:val="16"/>
                <w:szCs w:val="16"/>
              </w:rPr>
            </w:pPr>
            <w:r>
              <w:rPr>
                <w:rFonts w:cs="Arial"/>
                <w:color w:val="000000"/>
                <w:sz w:val="16"/>
                <w:szCs w:val="16"/>
              </w:rPr>
              <w:t>234,1</w:t>
            </w:r>
          </w:p>
        </w:tc>
        <w:tc>
          <w:tcPr>
            <w:tcW w:w="1191" w:type="dxa"/>
            <w:tcBorders>
              <w:top w:val="nil"/>
              <w:left w:val="single" w:sz="4" w:space="0" w:color="auto"/>
              <w:bottom w:val="nil"/>
              <w:right w:val="single" w:sz="4" w:space="0" w:color="auto"/>
            </w:tcBorders>
            <w:shd w:val="clear" w:color="auto" w:fill="auto"/>
            <w:noWrap/>
            <w:vAlign w:val="bottom"/>
          </w:tcPr>
          <w:p w14:paraId="78077ADB" w14:textId="393C48F3" w:rsidR="00E57135" w:rsidRPr="00D92E20" w:rsidRDefault="00E57135" w:rsidP="00E57135">
            <w:pPr>
              <w:spacing w:after="0" w:line="240" w:lineRule="auto"/>
              <w:jc w:val="right"/>
              <w:rPr>
                <w:rFonts w:cs="Arial"/>
                <w:color w:val="000000"/>
                <w:sz w:val="16"/>
                <w:szCs w:val="16"/>
              </w:rPr>
            </w:pPr>
            <w:r>
              <w:rPr>
                <w:rFonts w:cs="Arial"/>
                <w:color w:val="000000"/>
                <w:sz w:val="16"/>
                <w:szCs w:val="16"/>
              </w:rPr>
              <w:t>6 771,5</w:t>
            </w:r>
          </w:p>
        </w:tc>
        <w:tc>
          <w:tcPr>
            <w:tcW w:w="1191" w:type="dxa"/>
            <w:tcBorders>
              <w:top w:val="nil"/>
              <w:left w:val="single" w:sz="4" w:space="0" w:color="auto"/>
              <w:bottom w:val="nil"/>
              <w:right w:val="single" w:sz="4" w:space="0" w:color="auto"/>
            </w:tcBorders>
            <w:shd w:val="clear" w:color="auto" w:fill="auto"/>
            <w:vAlign w:val="bottom"/>
          </w:tcPr>
          <w:p w14:paraId="53B00E0C" w14:textId="75B98A80" w:rsidR="00E57135" w:rsidRPr="00D92E20" w:rsidRDefault="00E57135" w:rsidP="00E57135">
            <w:pPr>
              <w:spacing w:after="0" w:line="240" w:lineRule="auto"/>
              <w:jc w:val="right"/>
              <w:rPr>
                <w:rFonts w:cs="Arial"/>
                <w:color w:val="000000"/>
                <w:sz w:val="16"/>
                <w:szCs w:val="16"/>
              </w:rPr>
            </w:pPr>
            <w:r>
              <w:rPr>
                <w:rFonts w:cs="Arial"/>
                <w:color w:val="000000"/>
                <w:sz w:val="16"/>
                <w:szCs w:val="16"/>
              </w:rPr>
              <w:t>6 876,5</w:t>
            </w:r>
          </w:p>
        </w:tc>
        <w:tc>
          <w:tcPr>
            <w:tcW w:w="1191" w:type="dxa"/>
            <w:tcBorders>
              <w:top w:val="nil"/>
              <w:left w:val="nil"/>
              <w:bottom w:val="nil"/>
              <w:right w:val="single" w:sz="4" w:space="0" w:color="auto"/>
            </w:tcBorders>
            <w:shd w:val="clear" w:color="auto" w:fill="auto"/>
            <w:noWrap/>
            <w:vAlign w:val="bottom"/>
          </w:tcPr>
          <w:p w14:paraId="5BBC090B" w14:textId="1808CB82" w:rsidR="00E57135" w:rsidRPr="00D92E20" w:rsidRDefault="00E57135" w:rsidP="00E57135">
            <w:pPr>
              <w:spacing w:after="0" w:line="240" w:lineRule="auto"/>
              <w:jc w:val="right"/>
              <w:rPr>
                <w:rFonts w:cs="Arial"/>
                <w:color w:val="000000"/>
                <w:sz w:val="16"/>
                <w:szCs w:val="16"/>
              </w:rPr>
            </w:pPr>
            <w:r>
              <w:rPr>
                <w:rFonts w:cs="Arial"/>
                <w:color w:val="000000"/>
                <w:sz w:val="16"/>
                <w:szCs w:val="16"/>
              </w:rPr>
              <w:t>41,7</w:t>
            </w:r>
          </w:p>
        </w:tc>
        <w:tc>
          <w:tcPr>
            <w:tcW w:w="1191" w:type="dxa"/>
            <w:tcBorders>
              <w:top w:val="nil"/>
              <w:left w:val="single" w:sz="4" w:space="0" w:color="auto"/>
              <w:bottom w:val="nil"/>
              <w:right w:val="nil"/>
            </w:tcBorders>
            <w:shd w:val="clear" w:color="auto" w:fill="auto"/>
            <w:vAlign w:val="bottom"/>
          </w:tcPr>
          <w:p w14:paraId="2417CC89" w14:textId="106FAD2D" w:rsidR="00E57135" w:rsidRPr="00D92E20" w:rsidRDefault="00E57135" w:rsidP="00E57135">
            <w:pPr>
              <w:spacing w:after="0" w:line="240" w:lineRule="auto"/>
              <w:jc w:val="right"/>
              <w:rPr>
                <w:rFonts w:cs="Arial"/>
                <w:color w:val="000000"/>
                <w:sz w:val="16"/>
                <w:szCs w:val="16"/>
              </w:rPr>
            </w:pPr>
            <w:r>
              <w:rPr>
                <w:rFonts w:cs="Arial"/>
                <w:color w:val="000000"/>
                <w:sz w:val="16"/>
                <w:szCs w:val="16"/>
              </w:rPr>
              <w:t>29,4</w:t>
            </w:r>
          </w:p>
        </w:tc>
      </w:tr>
    </w:tbl>
    <w:p w14:paraId="036C2416" w14:textId="77777777" w:rsidR="00391FBE" w:rsidRPr="00D92E20" w:rsidRDefault="00391FBE" w:rsidP="00391FBE">
      <w:pPr>
        <w:spacing w:before="120"/>
        <w:rPr>
          <w:sz w:val="16"/>
        </w:rPr>
      </w:pPr>
      <w:r w:rsidRPr="00D92E20">
        <w:rPr>
          <w:sz w:val="16"/>
        </w:rPr>
        <w:t>Zdroj: ČSSZ</w:t>
      </w:r>
    </w:p>
    <w:p w14:paraId="79A545F2" w14:textId="61FC65D8" w:rsidR="007B36AD" w:rsidRDefault="00391FBE" w:rsidP="00CD63E8">
      <w:pPr>
        <w:spacing w:before="120" w:after="120"/>
        <w:jc w:val="both"/>
      </w:pPr>
      <w:r w:rsidRPr="00D92E20">
        <w:t xml:space="preserve">Celková </w:t>
      </w:r>
      <w:r w:rsidRPr="00D92E20">
        <w:rPr>
          <w:b/>
        </w:rPr>
        <w:t>prostonaná doba</w:t>
      </w:r>
      <w:r w:rsidRPr="00D92E20">
        <w:t xml:space="preserve"> v</w:t>
      </w:r>
      <w:r w:rsidR="00646128">
        <w:t> 1. pol. 202</w:t>
      </w:r>
      <w:r w:rsidR="00790B93">
        <w:t>2</w:t>
      </w:r>
      <w:r w:rsidRPr="00D92E20">
        <w:t xml:space="preserve"> činila </w:t>
      </w:r>
      <w:r w:rsidR="00646128">
        <w:t xml:space="preserve">51 </w:t>
      </w:r>
      <w:r w:rsidR="00E57135">
        <w:t>551</w:t>
      </w:r>
      <w:r w:rsidRPr="00D92E20">
        <w:t xml:space="preserve"> </w:t>
      </w:r>
      <w:r w:rsidR="00CA3130" w:rsidRPr="00D92E20">
        <w:t>tis.</w:t>
      </w:r>
      <w:r w:rsidRPr="00D92E20">
        <w:t xml:space="preserve"> dnů, což je o </w:t>
      </w:r>
      <w:r w:rsidR="00E57135">
        <w:t>142</w:t>
      </w:r>
      <w:r w:rsidRPr="00D92E20">
        <w:t xml:space="preserve"> </w:t>
      </w:r>
      <w:r w:rsidR="00E57135">
        <w:t>tis</w:t>
      </w:r>
      <w:r w:rsidRPr="00D92E20">
        <w:t xml:space="preserve">. dnů více než </w:t>
      </w:r>
      <w:r w:rsidR="00CA3130" w:rsidRPr="00D92E20">
        <w:t>v</w:t>
      </w:r>
      <w:r w:rsidR="00646128">
        <w:t> 1.</w:t>
      </w:r>
      <w:r w:rsidR="00CD63E8">
        <w:t> p</w:t>
      </w:r>
      <w:r w:rsidR="00646128">
        <w:t>ol.</w:t>
      </w:r>
      <w:r w:rsidR="00CD63E8">
        <w:t> </w:t>
      </w:r>
      <w:r w:rsidR="00CA3130" w:rsidRPr="00D92E20">
        <w:t>předchozí</w:t>
      </w:r>
      <w:r w:rsidR="00646128">
        <w:t>ho roku</w:t>
      </w:r>
      <w:r w:rsidRPr="00D92E20">
        <w:t xml:space="preserve">. Jeden případ dočasné pracovní neschopnosti trval </w:t>
      </w:r>
      <w:r w:rsidR="00CA3130" w:rsidRPr="00D92E20">
        <w:t>průměrně</w:t>
      </w:r>
      <w:r w:rsidRPr="00D92E20">
        <w:t xml:space="preserve"> </w:t>
      </w:r>
      <w:r w:rsidR="00E57135">
        <w:t>necelých 25</w:t>
      </w:r>
      <w:r w:rsidRPr="00D92E20">
        <w:t xml:space="preserve"> dn</w:t>
      </w:r>
      <w:r w:rsidR="00E57135">
        <w:t>í</w:t>
      </w:r>
      <w:r w:rsidRPr="00D92E20">
        <w:t xml:space="preserve">. </w:t>
      </w:r>
      <w:r w:rsidR="00C7753B" w:rsidRPr="00D92E20">
        <w:t>V průměru n</w:t>
      </w:r>
      <w:r w:rsidRPr="00D92E20">
        <w:t xml:space="preserve">ejdelší </w:t>
      </w:r>
      <w:r w:rsidR="00B527E8" w:rsidRPr="00D92E20">
        <w:t>pracovní neschopnost</w:t>
      </w:r>
      <w:r w:rsidRPr="00D92E20">
        <w:t xml:space="preserve"> </w:t>
      </w:r>
      <w:r w:rsidR="00396FAF" w:rsidRPr="00D92E20">
        <w:t>si vyžádaly nemoci a úrazy v</w:t>
      </w:r>
      <w:r w:rsidR="00646128">
        <w:t xml:space="preserve"> Moravskoslezském </w:t>
      </w:r>
      <w:r w:rsidR="00E57135">
        <w:t xml:space="preserve">a </w:t>
      </w:r>
      <w:r w:rsidR="00E57135" w:rsidRPr="00D92E20">
        <w:t xml:space="preserve">Zlínském </w:t>
      </w:r>
      <w:r w:rsidRPr="00D92E20">
        <w:t xml:space="preserve">kraji, a sice </w:t>
      </w:r>
      <w:r w:rsidR="00E57135">
        <w:t>29</w:t>
      </w:r>
      <w:r w:rsidRPr="00D92E20">
        <w:t xml:space="preserve"> resp. </w:t>
      </w:r>
      <w:r w:rsidR="00E57135">
        <w:t>28</w:t>
      </w:r>
      <w:r w:rsidR="00C02C40" w:rsidRPr="00D92E20">
        <w:t> </w:t>
      </w:r>
      <w:r w:rsidR="00646128">
        <w:t>dnů na jed</w:t>
      </w:r>
      <w:r w:rsidR="00B527E8" w:rsidRPr="00D92E20">
        <w:t>n</w:t>
      </w:r>
      <w:r w:rsidR="00646128">
        <w:t>u</w:t>
      </w:r>
      <w:r w:rsidR="00B527E8" w:rsidRPr="00D92E20">
        <w:t xml:space="preserve"> </w:t>
      </w:r>
      <w:r w:rsidR="00646128">
        <w:t>pracovní neschopnost.</w:t>
      </w:r>
      <w:r w:rsidR="007B36AD">
        <w:br w:type="page"/>
      </w:r>
    </w:p>
    <w:p w14:paraId="3A499DD3" w14:textId="1EBDB1EC" w:rsidR="000E0772" w:rsidRPr="00D92E20" w:rsidRDefault="00646128" w:rsidP="00000A90">
      <w:pPr>
        <w:spacing w:after="0"/>
        <w:jc w:val="both"/>
        <w:rPr>
          <w:b/>
        </w:rPr>
      </w:pPr>
      <w:r w:rsidRPr="00646128">
        <w:rPr>
          <w:b/>
        </w:rPr>
        <w:lastRenderedPageBreak/>
        <w:t>Tab. 3.2: Ukončené případy</w:t>
      </w:r>
      <w:r w:rsidR="007B36AD">
        <w:rPr>
          <w:b/>
        </w:rPr>
        <w:t xml:space="preserve"> dočasné pracovní neschopnosti </w:t>
      </w:r>
      <w:r w:rsidRPr="00646128">
        <w:rPr>
          <w:b/>
        </w:rPr>
        <w:t>podle věku a pohlaví, 1. pol. 202</w:t>
      </w:r>
      <w:r w:rsidR="00E57135">
        <w:rPr>
          <w:b/>
        </w:rPr>
        <w:t>2</w:t>
      </w:r>
      <w:r w:rsidRPr="00646128">
        <w:rPr>
          <w:b/>
        </w:rPr>
        <w:t>, 202</w:t>
      </w:r>
      <w:r w:rsidR="00E57135">
        <w:rPr>
          <w:b/>
        </w:rPr>
        <w:t>1</w:t>
      </w:r>
    </w:p>
    <w:tbl>
      <w:tblPr>
        <w:tblW w:w="9776" w:type="dxa"/>
        <w:tblCellMar>
          <w:left w:w="70" w:type="dxa"/>
          <w:right w:w="70" w:type="dxa"/>
        </w:tblCellMar>
        <w:tblLook w:val="04A0" w:firstRow="1" w:lastRow="0" w:firstColumn="1" w:lastColumn="0" w:noHBand="0" w:noVBand="1"/>
      </w:tblPr>
      <w:tblGrid>
        <w:gridCol w:w="1271"/>
        <w:gridCol w:w="907"/>
        <w:gridCol w:w="907"/>
        <w:gridCol w:w="907"/>
        <w:gridCol w:w="1021"/>
        <w:gridCol w:w="1020"/>
        <w:gridCol w:w="1021"/>
        <w:gridCol w:w="907"/>
        <w:gridCol w:w="907"/>
        <w:gridCol w:w="908"/>
      </w:tblGrid>
      <w:tr w:rsidR="002E0A24" w:rsidRPr="00D92E20" w14:paraId="0610A139" w14:textId="77777777" w:rsidTr="002E0A24">
        <w:trPr>
          <w:trHeight w:val="505"/>
        </w:trPr>
        <w:tc>
          <w:tcPr>
            <w:tcW w:w="1271" w:type="dxa"/>
            <w:vMerge w:val="restart"/>
            <w:tcBorders>
              <w:top w:val="single" w:sz="4" w:space="0" w:color="auto"/>
              <w:left w:val="nil"/>
              <w:bottom w:val="single" w:sz="4" w:space="0" w:color="000000"/>
              <w:right w:val="single" w:sz="4" w:space="0" w:color="auto"/>
            </w:tcBorders>
            <w:shd w:val="clear" w:color="000000" w:fill="F5DADD"/>
            <w:vAlign w:val="center"/>
            <w:hideMark/>
          </w:tcPr>
          <w:p w14:paraId="35387AE6" w14:textId="77777777" w:rsidR="00E57135" w:rsidRPr="00D92E20" w:rsidRDefault="00E57135" w:rsidP="00B9122C">
            <w:pPr>
              <w:spacing w:after="0" w:line="240" w:lineRule="auto"/>
              <w:jc w:val="center"/>
              <w:rPr>
                <w:rFonts w:cs="Arial"/>
                <w:color w:val="000000"/>
                <w:sz w:val="16"/>
                <w:szCs w:val="16"/>
              </w:rPr>
            </w:pPr>
            <w:r w:rsidRPr="00D92E20">
              <w:rPr>
                <w:rFonts w:cs="Arial"/>
                <w:color w:val="000000"/>
                <w:sz w:val="16"/>
                <w:szCs w:val="16"/>
              </w:rPr>
              <w:t>Věková skupina</w:t>
            </w:r>
          </w:p>
        </w:tc>
        <w:tc>
          <w:tcPr>
            <w:tcW w:w="2721" w:type="dxa"/>
            <w:gridSpan w:val="3"/>
            <w:tcBorders>
              <w:top w:val="single" w:sz="4" w:space="0" w:color="auto"/>
              <w:left w:val="nil"/>
              <w:bottom w:val="single" w:sz="4" w:space="0" w:color="auto"/>
              <w:right w:val="single" w:sz="4" w:space="0" w:color="000000"/>
            </w:tcBorders>
            <w:shd w:val="clear" w:color="000000" w:fill="F2DBDB"/>
            <w:vAlign w:val="center"/>
            <w:hideMark/>
          </w:tcPr>
          <w:p w14:paraId="52CF9BD3" w14:textId="284CF704" w:rsidR="00E57135" w:rsidRPr="00D92E20" w:rsidRDefault="00E57135" w:rsidP="007B36AD">
            <w:pPr>
              <w:spacing w:after="0" w:line="240" w:lineRule="auto"/>
              <w:jc w:val="center"/>
              <w:rPr>
                <w:rFonts w:cs="Arial"/>
                <w:color w:val="000000"/>
                <w:sz w:val="16"/>
                <w:szCs w:val="16"/>
              </w:rPr>
            </w:pPr>
            <w:r w:rsidRPr="00D92E20">
              <w:rPr>
                <w:rFonts w:cs="Arial"/>
                <w:color w:val="000000"/>
                <w:sz w:val="16"/>
                <w:szCs w:val="16"/>
              </w:rPr>
              <w:t>Počet případů DPN (tis.)</w:t>
            </w:r>
          </w:p>
        </w:tc>
        <w:tc>
          <w:tcPr>
            <w:tcW w:w="3062" w:type="dxa"/>
            <w:gridSpan w:val="3"/>
            <w:tcBorders>
              <w:top w:val="single" w:sz="4" w:space="0" w:color="auto"/>
              <w:left w:val="nil"/>
              <w:bottom w:val="single" w:sz="4" w:space="0" w:color="auto"/>
              <w:right w:val="single" w:sz="4" w:space="0" w:color="auto"/>
            </w:tcBorders>
            <w:shd w:val="clear" w:color="000000" w:fill="F2DBDB"/>
            <w:vAlign w:val="center"/>
          </w:tcPr>
          <w:p w14:paraId="0C8906C4" w14:textId="6D84B57F" w:rsidR="00E57135" w:rsidRPr="00E57135" w:rsidRDefault="00E57135" w:rsidP="00B34EC0">
            <w:pPr>
              <w:spacing w:after="0" w:line="240" w:lineRule="auto"/>
              <w:jc w:val="center"/>
              <w:rPr>
                <w:rFonts w:cs="Arial"/>
                <w:sz w:val="16"/>
                <w:szCs w:val="16"/>
              </w:rPr>
            </w:pPr>
            <w:r>
              <w:rPr>
                <w:rFonts w:cs="Arial"/>
                <w:sz w:val="16"/>
                <w:szCs w:val="16"/>
              </w:rPr>
              <w:t>Počet kalendářních dnů DPN (tis.)</w:t>
            </w:r>
          </w:p>
        </w:tc>
        <w:tc>
          <w:tcPr>
            <w:tcW w:w="2722" w:type="dxa"/>
            <w:gridSpan w:val="3"/>
            <w:tcBorders>
              <w:top w:val="single" w:sz="4" w:space="0" w:color="auto"/>
              <w:left w:val="single" w:sz="4" w:space="0" w:color="auto"/>
              <w:bottom w:val="single" w:sz="4" w:space="0" w:color="auto"/>
              <w:right w:val="nil"/>
            </w:tcBorders>
            <w:shd w:val="clear" w:color="000000" w:fill="F2DBDB"/>
            <w:vAlign w:val="center"/>
            <w:hideMark/>
          </w:tcPr>
          <w:p w14:paraId="0199D86E" w14:textId="1133D542" w:rsidR="00E57135" w:rsidRPr="00D92E20" w:rsidRDefault="00E57135" w:rsidP="009F67D0">
            <w:pPr>
              <w:spacing w:after="0" w:line="240" w:lineRule="auto"/>
              <w:jc w:val="center"/>
              <w:rPr>
                <w:rFonts w:cs="Arial"/>
                <w:color w:val="000000"/>
                <w:sz w:val="16"/>
                <w:szCs w:val="16"/>
              </w:rPr>
            </w:pPr>
            <w:r w:rsidRPr="00D92E20">
              <w:rPr>
                <w:rFonts w:cs="Arial"/>
                <w:color w:val="000000"/>
                <w:sz w:val="16"/>
                <w:szCs w:val="16"/>
              </w:rPr>
              <w:t>Průměrná délka trvání případu DPN ve dnech</w:t>
            </w:r>
          </w:p>
        </w:tc>
      </w:tr>
      <w:tr w:rsidR="002E0A24" w:rsidRPr="00D92E20" w14:paraId="7303041B" w14:textId="77777777" w:rsidTr="002E0A24">
        <w:trPr>
          <w:trHeight w:val="288"/>
        </w:trPr>
        <w:tc>
          <w:tcPr>
            <w:tcW w:w="1271" w:type="dxa"/>
            <w:vMerge/>
            <w:tcBorders>
              <w:top w:val="single" w:sz="4" w:space="0" w:color="auto"/>
              <w:left w:val="nil"/>
              <w:bottom w:val="single" w:sz="4" w:space="0" w:color="000000"/>
              <w:right w:val="single" w:sz="4" w:space="0" w:color="auto"/>
            </w:tcBorders>
            <w:vAlign w:val="center"/>
            <w:hideMark/>
          </w:tcPr>
          <w:p w14:paraId="4705B018" w14:textId="77777777" w:rsidR="002E0A24" w:rsidRPr="00D92E20" w:rsidRDefault="002E0A24" w:rsidP="00E57135">
            <w:pPr>
              <w:spacing w:after="0" w:line="240" w:lineRule="auto"/>
              <w:rPr>
                <w:rFonts w:cs="Arial"/>
                <w:color w:val="000000"/>
                <w:sz w:val="16"/>
                <w:szCs w:val="16"/>
              </w:rPr>
            </w:pPr>
          </w:p>
        </w:tc>
        <w:tc>
          <w:tcPr>
            <w:tcW w:w="907" w:type="dxa"/>
            <w:vMerge w:val="restart"/>
            <w:tcBorders>
              <w:top w:val="nil"/>
              <w:left w:val="single" w:sz="4" w:space="0" w:color="auto"/>
              <w:right w:val="nil"/>
            </w:tcBorders>
            <w:shd w:val="clear" w:color="000000" w:fill="F2DBDB"/>
            <w:vAlign w:val="center"/>
            <w:hideMark/>
          </w:tcPr>
          <w:p w14:paraId="40416A62" w14:textId="77777777" w:rsidR="002E0A24" w:rsidRPr="00D92E20" w:rsidRDefault="002E0A24" w:rsidP="00E57135">
            <w:pPr>
              <w:spacing w:after="0" w:line="240" w:lineRule="auto"/>
              <w:jc w:val="center"/>
              <w:rPr>
                <w:rFonts w:cs="Arial"/>
                <w:b/>
                <w:bCs/>
                <w:color w:val="000000"/>
                <w:sz w:val="16"/>
                <w:szCs w:val="16"/>
              </w:rPr>
            </w:pPr>
            <w:r w:rsidRPr="00D92E20">
              <w:rPr>
                <w:rFonts w:cs="Arial"/>
                <w:b/>
                <w:bCs/>
                <w:color w:val="000000"/>
                <w:sz w:val="16"/>
                <w:szCs w:val="16"/>
              </w:rPr>
              <w:t>Celkem</w:t>
            </w:r>
          </w:p>
        </w:tc>
        <w:tc>
          <w:tcPr>
            <w:tcW w:w="1814"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289B0E24" w14:textId="77777777" w:rsidR="002E0A24" w:rsidRPr="00D92E20" w:rsidRDefault="002E0A24" w:rsidP="00E57135">
            <w:pPr>
              <w:spacing w:after="0" w:line="240" w:lineRule="auto"/>
              <w:jc w:val="center"/>
              <w:rPr>
                <w:rFonts w:cs="Arial"/>
                <w:color w:val="000000"/>
                <w:sz w:val="16"/>
                <w:szCs w:val="16"/>
              </w:rPr>
            </w:pPr>
            <w:r w:rsidRPr="00D92E20">
              <w:rPr>
                <w:rFonts w:cs="Arial"/>
                <w:color w:val="000000"/>
                <w:sz w:val="16"/>
                <w:szCs w:val="16"/>
              </w:rPr>
              <w:t>podle pohlaví</w:t>
            </w:r>
          </w:p>
        </w:tc>
        <w:tc>
          <w:tcPr>
            <w:tcW w:w="1021" w:type="dxa"/>
            <w:vMerge w:val="restart"/>
            <w:tcBorders>
              <w:top w:val="nil"/>
              <w:left w:val="single" w:sz="4" w:space="0" w:color="auto"/>
              <w:right w:val="single" w:sz="4" w:space="0" w:color="auto"/>
            </w:tcBorders>
            <w:shd w:val="clear" w:color="000000" w:fill="F2DBDB"/>
            <w:vAlign w:val="center"/>
          </w:tcPr>
          <w:p w14:paraId="29592BD9" w14:textId="57AE47F8" w:rsidR="002E0A24" w:rsidRPr="00D92E20" w:rsidRDefault="002E0A24" w:rsidP="00E57135">
            <w:pPr>
              <w:spacing w:after="0" w:line="240" w:lineRule="auto"/>
              <w:jc w:val="center"/>
              <w:rPr>
                <w:rFonts w:cs="Arial"/>
                <w:b/>
                <w:bCs/>
                <w:color w:val="000000"/>
                <w:sz w:val="16"/>
                <w:szCs w:val="16"/>
              </w:rPr>
            </w:pPr>
            <w:r w:rsidRPr="00D92E20">
              <w:rPr>
                <w:rFonts w:cs="Arial"/>
                <w:b/>
                <w:bCs/>
                <w:color w:val="000000"/>
                <w:sz w:val="16"/>
                <w:szCs w:val="16"/>
              </w:rPr>
              <w:t>Celkem</w:t>
            </w:r>
          </w:p>
        </w:tc>
        <w:tc>
          <w:tcPr>
            <w:tcW w:w="2041" w:type="dxa"/>
            <w:gridSpan w:val="2"/>
            <w:tcBorders>
              <w:top w:val="nil"/>
              <w:left w:val="single" w:sz="4" w:space="0" w:color="auto"/>
              <w:bottom w:val="single" w:sz="4" w:space="0" w:color="000000"/>
              <w:right w:val="single" w:sz="4" w:space="0" w:color="auto"/>
            </w:tcBorders>
            <w:shd w:val="clear" w:color="000000" w:fill="F2DBDB"/>
            <w:vAlign w:val="center"/>
          </w:tcPr>
          <w:p w14:paraId="35E24512" w14:textId="60BC24F0" w:rsidR="002E0A24" w:rsidRPr="00D92E20" w:rsidRDefault="002E0A24" w:rsidP="00E57135">
            <w:pPr>
              <w:spacing w:after="0" w:line="240" w:lineRule="auto"/>
              <w:jc w:val="center"/>
              <w:rPr>
                <w:rFonts w:cs="Arial"/>
                <w:b/>
                <w:bCs/>
                <w:color w:val="000000"/>
                <w:sz w:val="16"/>
                <w:szCs w:val="16"/>
              </w:rPr>
            </w:pPr>
            <w:r w:rsidRPr="00D92E20">
              <w:rPr>
                <w:rFonts w:cs="Arial"/>
                <w:color w:val="000000"/>
                <w:sz w:val="16"/>
                <w:szCs w:val="16"/>
              </w:rPr>
              <w:t>podle pohlaví</w:t>
            </w:r>
          </w:p>
        </w:tc>
        <w:tc>
          <w:tcPr>
            <w:tcW w:w="907" w:type="dxa"/>
            <w:vMerge w:val="restart"/>
            <w:tcBorders>
              <w:top w:val="nil"/>
              <w:left w:val="single" w:sz="4" w:space="0" w:color="auto"/>
              <w:right w:val="nil"/>
            </w:tcBorders>
            <w:shd w:val="clear" w:color="000000" w:fill="F2DBDB"/>
            <w:vAlign w:val="center"/>
            <w:hideMark/>
          </w:tcPr>
          <w:p w14:paraId="5F7A3B11" w14:textId="7FD5531C" w:rsidR="002E0A24" w:rsidRPr="00D92E20" w:rsidRDefault="002E0A24" w:rsidP="00E57135">
            <w:pPr>
              <w:spacing w:after="0" w:line="240" w:lineRule="auto"/>
              <w:jc w:val="center"/>
              <w:rPr>
                <w:rFonts w:cs="Arial"/>
                <w:b/>
                <w:bCs/>
                <w:color w:val="000000"/>
                <w:sz w:val="16"/>
                <w:szCs w:val="16"/>
              </w:rPr>
            </w:pPr>
            <w:r w:rsidRPr="00D92E20">
              <w:rPr>
                <w:rFonts w:cs="Arial"/>
                <w:b/>
                <w:bCs/>
                <w:color w:val="000000"/>
                <w:sz w:val="16"/>
                <w:szCs w:val="16"/>
              </w:rPr>
              <w:t>Celkem</w:t>
            </w:r>
          </w:p>
        </w:tc>
        <w:tc>
          <w:tcPr>
            <w:tcW w:w="1815" w:type="dxa"/>
            <w:gridSpan w:val="2"/>
            <w:tcBorders>
              <w:top w:val="single" w:sz="4" w:space="0" w:color="auto"/>
              <w:left w:val="single" w:sz="4" w:space="0" w:color="auto"/>
              <w:bottom w:val="single" w:sz="4" w:space="0" w:color="auto"/>
            </w:tcBorders>
            <w:shd w:val="clear" w:color="000000" w:fill="F2DBDB"/>
            <w:vAlign w:val="center"/>
            <w:hideMark/>
          </w:tcPr>
          <w:p w14:paraId="6F38D9A8" w14:textId="77777777" w:rsidR="002E0A24" w:rsidRPr="00D92E20" w:rsidRDefault="002E0A24" w:rsidP="00E57135">
            <w:pPr>
              <w:spacing w:after="0" w:line="240" w:lineRule="auto"/>
              <w:jc w:val="center"/>
              <w:rPr>
                <w:rFonts w:cs="Arial"/>
                <w:color w:val="000000"/>
                <w:sz w:val="16"/>
                <w:szCs w:val="16"/>
              </w:rPr>
            </w:pPr>
            <w:r w:rsidRPr="00D92E20">
              <w:rPr>
                <w:rFonts w:cs="Arial"/>
                <w:color w:val="000000"/>
                <w:sz w:val="16"/>
                <w:szCs w:val="16"/>
              </w:rPr>
              <w:t>podle pohlaví</w:t>
            </w:r>
          </w:p>
        </w:tc>
      </w:tr>
      <w:tr w:rsidR="002E0A24" w:rsidRPr="00D92E20" w14:paraId="4116ABFF" w14:textId="77777777" w:rsidTr="002E0A24">
        <w:trPr>
          <w:trHeight w:val="288"/>
        </w:trPr>
        <w:tc>
          <w:tcPr>
            <w:tcW w:w="1271" w:type="dxa"/>
            <w:vMerge/>
            <w:tcBorders>
              <w:top w:val="single" w:sz="4" w:space="0" w:color="auto"/>
              <w:left w:val="nil"/>
              <w:bottom w:val="single" w:sz="4" w:space="0" w:color="000000"/>
              <w:right w:val="single" w:sz="4" w:space="0" w:color="auto"/>
            </w:tcBorders>
            <w:vAlign w:val="center"/>
            <w:hideMark/>
          </w:tcPr>
          <w:p w14:paraId="55C1663C" w14:textId="77777777" w:rsidR="002E0A24" w:rsidRPr="00D92E20" w:rsidRDefault="002E0A24" w:rsidP="00E57135">
            <w:pPr>
              <w:spacing w:after="0" w:line="240" w:lineRule="auto"/>
              <w:rPr>
                <w:rFonts w:cs="Arial"/>
                <w:color w:val="000000"/>
                <w:sz w:val="16"/>
                <w:szCs w:val="16"/>
              </w:rPr>
            </w:pPr>
          </w:p>
        </w:tc>
        <w:tc>
          <w:tcPr>
            <w:tcW w:w="907" w:type="dxa"/>
            <w:vMerge/>
            <w:tcBorders>
              <w:left w:val="single" w:sz="4" w:space="0" w:color="auto"/>
              <w:bottom w:val="single" w:sz="4" w:space="0" w:color="000000"/>
              <w:right w:val="nil"/>
            </w:tcBorders>
            <w:vAlign w:val="center"/>
            <w:hideMark/>
          </w:tcPr>
          <w:p w14:paraId="777BF152" w14:textId="77777777" w:rsidR="002E0A24" w:rsidRPr="00D92E20" w:rsidRDefault="002E0A24" w:rsidP="00E57135">
            <w:pPr>
              <w:spacing w:after="0" w:line="240" w:lineRule="auto"/>
              <w:rPr>
                <w:rFonts w:cs="Arial"/>
                <w:b/>
                <w:bCs/>
                <w:color w:val="000000"/>
                <w:sz w:val="16"/>
                <w:szCs w:val="16"/>
              </w:rPr>
            </w:pPr>
          </w:p>
        </w:tc>
        <w:tc>
          <w:tcPr>
            <w:tcW w:w="907" w:type="dxa"/>
            <w:tcBorders>
              <w:top w:val="nil"/>
              <w:left w:val="single" w:sz="4" w:space="0" w:color="auto"/>
              <w:bottom w:val="single" w:sz="4" w:space="0" w:color="auto"/>
              <w:right w:val="single" w:sz="4" w:space="0" w:color="auto"/>
            </w:tcBorders>
            <w:shd w:val="clear" w:color="000000" w:fill="F2DBDB"/>
            <w:vAlign w:val="center"/>
            <w:hideMark/>
          </w:tcPr>
          <w:p w14:paraId="68E5DBB6" w14:textId="77777777" w:rsidR="002E0A24" w:rsidRPr="00D92E20" w:rsidRDefault="002E0A24" w:rsidP="00E57135">
            <w:pPr>
              <w:spacing w:after="0" w:line="240" w:lineRule="auto"/>
              <w:jc w:val="center"/>
              <w:rPr>
                <w:rFonts w:cs="Arial"/>
                <w:color w:val="000000"/>
                <w:sz w:val="16"/>
                <w:szCs w:val="16"/>
              </w:rPr>
            </w:pPr>
            <w:r w:rsidRPr="00D92E20">
              <w:rPr>
                <w:rFonts w:cs="Arial"/>
                <w:color w:val="000000"/>
                <w:sz w:val="16"/>
                <w:szCs w:val="16"/>
              </w:rPr>
              <w:t>muži</w:t>
            </w:r>
          </w:p>
        </w:tc>
        <w:tc>
          <w:tcPr>
            <w:tcW w:w="907" w:type="dxa"/>
            <w:tcBorders>
              <w:top w:val="nil"/>
              <w:left w:val="nil"/>
              <w:bottom w:val="single" w:sz="4" w:space="0" w:color="auto"/>
              <w:right w:val="single" w:sz="4" w:space="0" w:color="auto"/>
            </w:tcBorders>
            <w:shd w:val="clear" w:color="000000" w:fill="F2DBDB"/>
            <w:vAlign w:val="center"/>
            <w:hideMark/>
          </w:tcPr>
          <w:p w14:paraId="552AB7F2" w14:textId="77777777" w:rsidR="002E0A24" w:rsidRPr="00D92E20" w:rsidRDefault="002E0A24" w:rsidP="00E57135">
            <w:pPr>
              <w:spacing w:after="0" w:line="240" w:lineRule="auto"/>
              <w:jc w:val="center"/>
              <w:rPr>
                <w:rFonts w:cs="Arial"/>
                <w:color w:val="000000"/>
                <w:sz w:val="16"/>
                <w:szCs w:val="16"/>
              </w:rPr>
            </w:pPr>
            <w:r w:rsidRPr="00D92E20">
              <w:rPr>
                <w:rFonts w:cs="Arial"/>
                <w:color w:val="000000"/>
                <w:sz w:val="16"/>
                <w:szCs w:val="16"/>
              </w:rPr>
              <w:t>ženy</w:t>
            </w:r>
          </w:p>
        </w:tc>
        <w:tc>
          <w:tcPr>
            <w:tcW w:w="1021" w:type="dxa"/>
            <w:vMerge/>
            <w:tcBorders>
              <w:left w:val="single" w:sz="4" w:space="0" w:color="auto"/>
              <w:bottom w:val="single" w:sz="4" w:space="0" w:color="000000"/>
              <w:right w:val="single" w:sz="4" w:space="0" w:color="auto"/>
            </w:tcBorders>
            <w:vAlign w:val="center"/>
          </w:tcPr>
          <w:p w14:paraId="0A964EF7" w14:textId="77777777" w:rsidR="002E0A24" w:rsidRPr="00D92E20" w:rsidRDefault="002E0A24" w:rsidP="00E57135">
            <w:pPr>
              <w:spacing w:after="0" w:line="240" w:lineRule="auto"/>
              <w:rPr>
                <w:rFonts w:cs="Arial"/>
                <w:b/>
                <w:bCs/>
                <w:color w:val="000000"/>
                <w:sz w:val="16"/>
                <w:szCs w:val="16"/>
              </w:rPr>
            </w:pPr>
          </w:p>
        </w:tc>
        <w:tc>
          <w:tcPr>
            <w:tcW w:w="1020" w:type="dxa"/>
            <w:tcBorders>
              <w:top w:val="nil"/>
              <w:left w:val="single" w:sz="4" w:space="0" w:color="auto"/>
              <w:bottom w:val="single" w:sz="4" w:space="0" w:color="000000"/>
              <w:right w:val="single" w:sz="4" w:space="0" w:color="auto"/>
            </w:tcBorders>
            <w:shd w:val="clear" w:color="auto" w:fill="F2DBDB"/>
            <w:vAlign w:val="center"/>
          </w:tcPr>
          <w:p w14:paraId="4360160C" w14:textId="2FC5D744" w:rsidR="002E0A24" w:rsidRPr="00E57135" w:rsidRDefault="002E0A24" w:rsidP="00E57135">
            <w:pPr>
              <w:spacing w:after="0" w:line="240" w:lineRule="auto"/>
              <w:jc w:val="center"/>
              <w:rPr>
                <w:rFonts w:cs="Arial"/>
                <w:color w:val="000000"/>
                <w:sz w:val="16"/>
                <w:szCs w:val="16"/>
              </w:rPr>
            </w:pPr>
            <w:r w:rsidRPr="00D92E20">
              <w:rPr>
                <w:rFonts w:cs="Arial"/>
                <w:color w:val="000000"/>
                <w:sz w:val="16"/>
                <w:szCs w:val="16"/>
              </w:rPr>
              <w:t>muži</w:t>
            </w:r>
          </w:p>
        </w:tc>
        <w:tc>
          <w:tcPr>
            <w:tcW w:w="1021" w:type="dxa"/>
            <w:tcBorders>
              <w:top w:val="nil"/>
              <w:left w:val="single" w:sz="4" w:space="0" w:color="auto"/>
              <w:bottom w:val="single" w:sz="4" w:space="0" w:color="000000"/>
              <w:right w:val="single" w:sz="4" w:space="0" w:color="auto"/>
            </w:tcBorders>
            <w:shd w:val="clear" w:color="auto" w:fill="F2DBDB"/>
            <w:vAlign w:val="center"/>
          </w:tcPr>
          <w:p w14:paraId="129E80E2" w14:textId="4F4F43E6" w:rsidR="002E0A24" w:rsidRPr="00E57135" w:rsidRDefault="002E0A24" w:rsidP="00E57135">
            <w:pPr>
              <w:spacing w:after="0" w:line="240" w:lineRule="auto"/>
              <w:jc w:val="center"/>
              <w:rPr>
                <w:rFonts w:cs="Arial"/>
                <w:color w:val="000000"/>
                <w:sz w:val="16"/>
                <w:szCs w:val="16"/>
              </w:rPr>
            </w:pPr>
            <w:r w:rsidRPr="00D92E20">
              <w:rPr>
                <w:rFonts w:cs="Arial"/>
                <w:color w:val="000000"/>
                <w:sz w:val="16"/>
                <w:szCs w:val="16"/>
              </w:rPr>
              <w:t>ženy</w:t>
            </w:r>
          </w:p>
        </w:tc>
        <w:tc>
          <w:tcPr>
            <w:tcW w:w="907" w:type="dxa"/>
            <w:vMerge/>
            <w:tcBorders>
              <w:left w:val="single" w:sz="4" w:space="0" w:color="auto"/>
              <w:bottom w:val="single" w:sz="4" w:space="0" w:color="000000"/>
              <w:right w:val="nil"/>
            </w:tcBorders>
            <w:vAlign w:val="center"/>
            <w:hideMark/>
          </w:tcPr>
          <w:p w14:paraId="62DFAF28" w14:textId="44808C98" w:rsidR="002E0A24" w:rsidRPr="00D92E20" w:rsidRDefault="002E0A24" w:rsidP="00E57135">
            <w:pPr>
              <w:spacing w:after="0" w:line="240" w:lineRule="auto"/>
              <w:rPr>
                <w:rFonts w:cs="Arial"/>
                <w:b/>
                <w:bCs/>
                <w:color w:val="000000"/>
                <w:sz w:val="16"/>
                <w:szCs w:val="16"/>
              </w:rPr>
            </w:pPr>
          </w:p>
        </w:tc>
        <w:tc>
          <w:tcPr>
            <w:tcW w:w="907" w:type="dxa"/>
            <w:tcBorders>
              <w:top w:val="nil"/>
              <w:left w:val="single" w:sz="4" w:space="0" w:color="auto"/>
              <w:bottom w:val="single" w:sz="4" w:space="0" w:color="auto"/>
              <w:right w:val="single" w:sz="4" w:space="0" w:color="auto"/>
            </w:tcBorders>
            <w:shd w:val="clear" w:color="000000" w:fill="F2DBDB"/>
            <w:vAlign w:val="center"/>
            <w:hideMark/>
          </w:tcPr>
          <w:p w14:paraId="3A4F6F1E" w14:textId="77777777" w:rsidR="002E0A24" w:rsidRPr="00D92E20" w:rsidRDefault="002E0A24" w:rsidP="00E57135">
            <w:pPr>
              <w:spacing w:after="0" w:line="240" w:lineRule="auto"/>
              <w:jc w:val="center"/>
              <w:rPr>
                <w:rFonts w:cs="Arial"/>
                <w:color w:val="000000"/>
                <w:sz w:val="16"/>
                <w:szCs w:val="16"/>
              </w:rPr>
            </w:pPr>
            <w:r w:rsidRPr="00D92E20">
              <w:rPr>
                <w:rFonts w:cs="Arial"/>
                <w:color w:val="000000"/>
                <w:sz w:val="16"/>
                <w:szCs w:val="16"/>
              </w:rPr>
              <w:t>muži</w:t>
            </w:r>
          </w:p>
        </w:tc>
        <w:tc>
          <w:tcPr>
            <w:tcW w:w="908" w:type="dxa"/>
            <w:tcBorders>
              <w:top w:val="nil"/>
              <w:left w:val="nil"/>
              <w:bottom w:val="single" w:sz="4" w:space="0" w:color="auto"/>
              <w:right w:val="nil"/>
            </w:tcBorders>
            <w:shd w:val="clear" w:color="000000" w:fill="F2DBDB"/>
            <w:vAlign w:val="center"/>
            <w:hideMark/>
          </w:tcPr>
          <w:p w14:paraId="1466A6B8" w14:textId="77777777" w:rsidR="002E0A24" w:rsidRPr="00D92E20" w:rsidRDefault="002E0A24" w:rsidP="00E57135">
            <w:pPr>
              <w:spacing w:after="0" w:line="240" w:lineRule="auto"/>
              <w:jc w:val="center"/>
              <w:rPr>
                <w:rFonts w:cs="Arial"/>
                <w:color w:val="000000"/>
                <w:sz w:val="16"/>
                <w:szCs w:val="16"/>
              </w:rPr>
            </w:pPr>
            <w:r w:rsidRPr="00D92E20">
              <w:rPr>
                <w:rFonts w:cs="Arial"/>
                <w:color w:val="000000"/>
                <w:sz w:val="16"/>
                <w:szCs w:val="16"/>
              </w:rPr>
              <w:t>ženy</w:t>
            </w:r>
          </w:p>
        </w:tc>
      </w:tr>
      <w:tr w:rsidR="002E0A24" w:rsidRPr="00D92E20" w14:paraId="69473146" w14:textId="77777777" w:rsidTr="002E0A24">
        <w:trPr>
          <w:trHeight w:val="288"/>
        </w:trPr>
        <w:tc>
          <w:tcPr>
            <w:tcW w:w="1271" w:type="dxa"/>
            <w:vMerge/>
            <w:tcBorders>
              <w:top w:val="single" w:sz="4" w:space="0" w:color="auto"/>
              <w:left w:val="nil"/>
              <w:bottom w:val="single" w:sz="4" w:space="0" w:color="000000"/>
              <w:right w:val="single" w:sz="4" w:space="0" w:color="auto"/>
            </w:tcBorders>
            <w:vAlign w:val="center"/>
            <w:hideMark/>
          </w:tcPr>
          <w:p w14:paraId="1DD13699" w14:textId="77777777" w:rsidR="00E57135" w:rsidRPr="00D92E20" w:rsidRDefault="00E57135" w:rsidP="00E57135">
            <w:pPr>
              <w:spacing w:after="0" w:line="240" w:lineRule="auto"/>
              <w:rPr>
                <w:rFonts w:cs="Arial"/>
                <w:color w:val="000000"/>
                <w:sz w:val="16"/>
                <w:szCs w:val="16"/>
              </w:rPr>
            </w:pPr>
          </w:p>
        </w:tc>
        <w:tc>
          <w:tcPr>
            <w:tcW w:w="8505" w:type="dxa"/>
            <w:gridSpan w:val="9"/>
            <w:tcBorders>
              <w:top w:val="single" w:sz="4" w:space="0" w:color="auto"/>
              <w:left w:val="nil"/>
              <w:bottom w:val="single" w:sz="4" w:space="0" w:color="auto"/>
              <w:right w:val="nil"/>
            </w:tcBorders>
            <w:shd w:val="clear" w:color="000000" w:fill="F2DBDB"/>
            <w:vAlign w:val="center"/>
          </w:tcPr>
          <w:p w14:paraId="7E2840B4" w14:textId="65C31386" w:rsidR="00E57135" w:rsidRPr="00646128" w:rsidRDefault="00E57135" w:rsidP="00E57135">
            <w:pPr>
              <w:spacing w:after="0" w:line="240" w:lineRule="auto"/>
              <w:jc w:val="center"/>
              <w:rPr>
                <w:rFonts w:ascii="Arial CE" w:hAnsi="Arial CE" w:cs="Arial CE"/>
                <w:b/>
                <w:sz w:val="16"/>
                <w:szCs w:val="16"/>
              </w:rPr>
            </w:pPr>
            <w:r>
              <w:rPr>
                <w:rFonts w:ascii="Arial CE" w:hAnsi="Arial CE" w:cs="Arial CE"/>
                <w:b/>
                <w:sz w:val="16"/>
                <w:szCs w:val="16"/>
              </w:rPr>
              <w:t>1. pol. 2022</w:t>
            </w:r>
          </w:p>
        </w:tc>
      </w:tr>
      <w:tr w:rsidR="00B34EC0" w:rsidRPr="00D92E20" w14:paraId="2ACB1F46" w14:textId="77777777" w:rsidTr="00257662">
        <w:trPr>
          <w:trHeight w:val="288"/>
        </w:trPr>
        <w:tc>
          <w:tcPr>
            <w:tcW w:w="1271" w:type="dxa"/>
            <w:tcBorders>
              <w:top w:val="nil"/>
              <w:left w:val="nil"/>
              <w:bottom w:val="nil"/>
              <w:right w:val="single" w:sz="4" w:space="0" w:color="auto"/>
            </w:tcBorders>
            <w:shd w:val="clear" w:color="auto" w:fill="auto"/>
            <w:vAlign w:val="center"/>
            <w:hideMark/>
          </w:tcPr>
          <w:p w14:paraId="6B3A3C3E" w14:textId="77777777" w:rsidR="0038133B" w:rsidRPr="00D92E20" w:rsidRDefault="0038133B" w:rsidP="0038133B">
            <w:pPr>
              <w:spacing w:after="0" w:line="240" w:lineRule="auto"/>
              <w:rPr>
                <w:rFonts w:cs="Arial"/>
                <w:b/>
                <w:bCs/>
                <w:color w:val="000000"/>
                <w:sz w:val="16"/>
                <w:szCs w:val="16"/>
              </w:rPr>
            </w:pPr>
            <w:r w:rsidRPr="00D92E20">
              <w:rPr>
                <w:rFonts w:cs="Arial"/>
                <w:b/>
                <w:bCs/>
                <w:color w:val="000000"/>
                <w:sz w:val="16"/>
                <w:szCs w:val="16"/>
              </w:rPr>
              <w:t>Celkem</w:t>
            </w:r>
          </w:p>
        </w:tc>
        <w:tc>
          <w:tcPr>
            <w:tcW w:w="907" w:type="dxa"/>
            <w:tcBorders>
              <w:top w:val="nil"/>
              <w:left w:val="nil"/>
              <w:bottom w:val="nil"/>
              <w:right w:val="nil"/>
            </w:tcBorders>
            <w:shd w:val="clear" w:color="auto" w:fill="auto"/>
            <w:vAlign w:val="center"/>
            <w:hideMark/>
          </w:tcPr>
          <w:p w14:paraId="3426135B" w14:textId="5BE01963" w:rsidR="0038133B" w:rsidRPr="00D92E20" w:rsidRDefault="0038133B" w:rsidP="0038133B">
            <w:pPr>
              <w:spacing w:after="0" w:line="240" w:lineRule="auto"/>
              <w:jc w:val="right"/>
              <w:rPr>
                <w:rFonts w:cs="Arial"/>
                <w:b/>
                <w:bCs/>
                <w:color w:val="000000"/>
                <w:sz w:val="16"/>
                <w:szCs w:val="16"/>
              </w:rPr>
            </w:pPr>
            <w:r>
              <w:rPr>
                <w:rFonts w:cs="Arial"/>
                <w:b/>
                <w:bCs/>
                <w:sz w:val="16"/>
                <w:szCs w:val="16"/>
              </w:rPr>
              <w:t>2 082,3</w:t>
            </w:r>
          </w:p>
        </w:tc>
        <w:tc>
          <w:tcPr>
            <w:tcW w:w="907" w:type="dxa"/>
            <w:tcBorders>
              <w:top w:val="nil"/>
              <w:left w:val="nil"/>
              <w:bottom w:val="nil"/>
              <w:right w:val="nil"/>
            </w:tcBorders>
            <w:shd w:val="clear" w:color="auto" w:fill="auto"/>
            <w:vAlign w:val="center"/>
            <w:hideMark/>
          </w:tcPr>
          <w:p w14:paraId="33C15536" w14:textId="4DB0D818" w:rsidR="0038133B" w:rsidRPr="00D92E20" w:rsidRDefault="0038133B" w:rsidP="0038133B">
            <w:pPr>
              <w:spacing w:after="0" w:line="240" w:lineRule="auto"/>
              <w:jc w:val="right"/>
              <w:rPr>
                <w:rFonts w:cs="Arial"/>
                <w:b/>
                <w:bCs/>
                <w:color w:val="000000"/>
                <w:sz w:val="16"/>
                <w:szCs w:val="16"/>
              </w:rPr>
            </w:pPr>
            <w:r>
              <w:rPr>
                <w:rFonts w:cs="Arial"/>
                <w:b/>
                <w:bCs/>
                <w:sz w:val="16"/>
                <w:szCs w:val="16"/>
              </w:rPr>
              <w:t>959,6</w:t>
            </w:r>
          </w:p>
        </w:tc>
        <w:tc>
          <w:tcPr>
            <w:tcW w:w="907" w:type="dxa"/>
            <w:tcBorders>
              <w:top w:val="nil"/>
              <w:left w:val="nil"/>
              <w:bottom w:val="nil"/>
              <w:right w:val="single" w:sz="4" w:space="0" w:color="auto"/>
            </w:tcBorders>
            <w:shd w:val="clear" w:color="auto" w:fill="auto"/>
            <w:vAlign w:val="center"/>
            <w:hideMark/>
          </w:tcPr>
          <w:p w14:paraId="1AEED994" w14:textId="167C1718" w:rsidR="0038133B" w:rsidRPr="00D92E20" w:rsidRDefault="0038133B" w:rsidP="0038133B">
            <w:pPr>
              <w:spacing w:after="0" w:line="240" w:lineRule="auto"/>
              <w:jc w:val="right"/>
              <w:rPr>
                <w:rFonts w:cs="Arial"/>
                <w:b/>
                <w:bCs/>
                <w:color w:val="000000"/>
                <w:sz w:val="16"/>
                <w:szCs w:val="16"/>
              </w:rPr>
            </w:pPr>
            <w:r>
              <w:rPr>
                <w:rFonts w:cs="Arial"/>
                <w:b/>
                <w:bCs/>
                <w:sz w:val="16"/>
                <w:szCs w:val="16"/>
              </w:rPr>
              <w:t>1 122,8</w:t>
            </w:r>
          </w:p>
        </w:tc>
        <w:tc>
          <w:tcPr>
            <w:tcW w:w="1021" w:type="dxa"/>
            <w:tcBorders>
              <w:top w:val="nil"/>
              <w:left w:val="single" w:sz="4" w:space="0" w:color="auto"/>
              <w:bottom w:val="nil"/>
              <w:right w:val="nil"/>
            </w:tcBorders>
            <w:shd w:val="clear" w:color="000000" w:fill="FFFFFF"/>
            <w:vAlign w:val="center"/>
          </w:tcPr>
          <w:p w14:paraId="53EE47AF" w14:textId="73E7F2BD" w:rsidR="0038133B" w:rsidRDefault="0038133B" w:rsidP="00257662">
            <w:pPr>
              <w:spacing w:after="0" w:line="240" w:lineRule="auto"/>
              <w:jc w:val="right"/>
              <w:rPr>
                <w:rFonts w:cs="Arial"/>
                <w:b/>
                <w:bCs/>
                <w:sz w:val="16"/>
                <w:szCs w:val="16"/>
              </w:rPr>
            </w:pPr>
            <w:r>
              <w:rPr>
                <w:rFonts w:cs="Arial"/>
                <w:b/>
                <w:bCs/>
                <w:sz w:val="16"/>
                <w:szCs w:val="16"/>
              </w:rPr>
              <w:t>51 550,7</w:t>
            </w:r>
          </w:p>
        </w:tc>
        <w:tc>
          <w:tcPr>
            <w:tcW w:w="1020" w:type="dxa"/>
            <w:tcBorders>
              <w:top w:val="nil"/>
              <w:left w:val="nil"/>
              <w:bottom w:val="nil"/>
              <w:right w:val="nil"/>
            </w:tcBorders>
            <w:shd w:val="clear" w:color="000000" w:fill="FFFFFF"/>
            <w:vAlign w:val="center"/>
          </w:tcPr>
          <w:p w14:paraId="66045A92" w14:textId="2458209E" w:rsidR="0038133B" w:rsidRDefault="0038133B" w:rsidP="00257662">
            <w:pPr>
              <w:spacing w:after="0" w:line="240" w:lineRule="auto"/>
              <w:jc w:val="right"/>
              <w:rPr>
                <w:rFonts w:cs="Arial"/>
                <w:b/>
                <w:bCs/>
                <w:sz w:val="16"/>
                <w:szCs w:val="16"/>
              </w:rPr>
            </w:pPr>
            <w:r>
              <w:rPr>
                <w:rFonts w:cs="Arial"/>
                <w:b/>
                <w:bCs/>
                <w:sz w:val="16"/>
                <w:szCs w:val="16"/>
              </w:rPr>
              <w:t>23 363,8</w:t>
            </w:r>
          </w:p>
        </w:tc>
        <w:tc>
          <w:tcPr>
            <w:tcW w:w="1021" w:type="dxa"/>
            <w:tcBorders>
              <w:top w:val="single" w:sz="4" w:space="0" w:color="auto"/>
              <w:left w:val="nil"/>
              <w:bottom w:val="nil"/>
              <w:right w:val="single" w:sz="4" w:space="0" w:color="auto"/>
            </w:tcBorders>
            <w:shd w:val="clear" w:color="000000" w:fill="FFFFFF"/>
            <w:vAlign w:val="center"/>
          </w:tcPr>
          <w:p w14:paraId="7B7458C2" w14:textId="63E80CDC" w:rsidR="0038133B" w:rsidRDefault="0038133B" w:rsidP="00257662">
            <w:pPr>
              <w:spacing w:after="0" w:line="240" w:lineRule="auto"/>
              <w:jc w:val="right"/>
              <w:rPr>
                <w:rFonts w:cs="Arial"/>
                <w:b/>
                <w:bCs/>
                <w:sz w:val="16"/>
                <w:szCs w:val="16"/>
              </w:rPr>
            </w:pPr>
            <w:r>
              <w:rPr>
                <w:rFonts w:cs="Arial"/>
                <w:b/>
                <w:bCs/>
                <w:sz w:val="16"/>
                <w:szCs w:val="16"/>
              </w:rPr>
              <w:t>28 186,9</w:t>
            </w:r>
          </w:p>
        </w:tc>
        <w:tc>
          <w:tcPr>
            <w:tcW w:w="907" w:type="dxa"/>
            <w:tcBorders>
              <w:top w:val="nil"/>
              <w:left w:val="single" w:sz="4" w:space="0" w:color="auto"/>
              <w:bottom w:val="nil"/>
              <w:right w:val="nil"/>
            </w:tcBorders>
            <w:shd w:val="clear" w:color="auto" w:fill="auto"/>
            <w:vAlign w:val="center"/>
            <w:hideMark/>
          </w:tcPr>
          <w:p w14:paraId="581DB7E3" w14:textId="748A5F3B" w:rsidR="0038133B" w:rsidRPr="00D92E20" w:rsidRDefault="0038133B" w:rsidP="00257662">
            <w:pPr>
              <w:spacing w:after="0" w:line="240" w:lineRule="auto"/>
              <w:jc w:val="right"/>
              <w:rPr>
                <w:rFonts w:cs="Arial"/>
                <w:b/>
                <w:bCs/>
                <w:color w:val="000000"/>
                <w:sz w:val="16"/>
                <w:szCs w:val="16"/>
              </w:rPr>
            </w:pPr>
            <w:r>
              <w:rPr>
                <w:rFonts w:cs="Arial"/>
                <w:b/>
                <w:bCs/>
                <w:sz w:val="16"/>
                <w:szCs w:val="16"/>
              </w:rPr>
              <w:t>24,8</w:t>
            </w:r>
          </w:p>
        </w:tc>
        <w:tc>
          <w:tcPr>
            <w:tcW w:w="907" w:type="dxa"/>
            <w:tcBorders>
              <w:top w:val="nil"/>
              <w:left w:val="nil"/>
              <w:bottom w:val="nil"/>
              <w:right w:val="nil"/>
            </w:tcBorders>
            <w:shd w:val="clear" w:color="auto" w:fill="auto"/>
            <w:vAlign w:val="center"/>
            <w:hideMark/>
          </w:tcPr>
          <w:p w14:paraId="0724775B" w14:textId="3117083D" w:rsidR="0038133B" w:rsidRPr="00D92E20" w:rsidRDefault="0038133B" w:rsidP="00257662">
            <w:pPr>
              <w:spacing w:after="0" w:line="240" w:lineRule="auto"/>
              <w:jc w:val="right"/>
              <w:rPr>
                <w:rFonts w:cs="Arial"/>
                <w:b/>
                <w:bCs/>
                <w:color w:val="000000"/>
                <w:sz w:val="16"/>
                <w:szCs w:val="16"/>
              </w:rPr>
            </w:pPr>
            <w:r>
              <w:rPr>
                <w:rFonts w:cs="Arial"/>
                <w:b/>
                <w:bCs/>
                <w:sz w:val="16"/>
                <w:szCs w:val="16"/>
              </w:rPr>
              <w:t>24,3</w:t>
            </w:r>
          </w:p>
        </w:tc>
        <w:tc>
          <w:tcPr>
            <w:tcW w:w="908" w:type="dxa"/>
            <w:tcBorders>
              <w:top w:val="nil"/>
              <w:left w:val="nil"/>
              <w:bottom w:val="nil"/>
              <w:right w:val="nil"/>
            </w:tcBorders>
            <w:shd w:val="clear" w:color="auto" w:fill="auto"/>
            <w:vAlign w:val="center"/>
            <w:hideMark/>
          </w:tcPr>
          <w:p w14:paraId="1D038327" w14:textId="3A930179" w:rsidR="0038133B" w:rsidRPr="00D92E20" w:rsidRDefault="0038133B" w:rsidP="00257662">
            <w:pPr>
              <w:spacing w:after="0" w:line="240" w:lineRule="auto"/>
              <w:jc w:val="right"/>
              <w:rPr>
                <w:rFonts w:cs="Arial"/>
                <w:b/>
                <w:bCs/>
                <w:color w:val="000000"/>
                <w:sz w:val="16"/>
                <w:szCs w:val="16"/>
              </w:rPr>
            </w:pPr>
            <w:r>
              <w:rPr>
                <w:rFonts w:cs="Arial"/>
                <w:b/>
                <w:bCs/>
                <w:sz w:val="16"/>
                <w:szCs w:val="16"/>
              </w:rPr>
              <w:t>25,1</w:t>
            </w:r>
          </w:p>
        </w:tc>
      </w:tr>
      <w:tr w:rsidR="00B34EC0" w:rsidRPr="00D92E20" w14:paraId="7B0F614A" w14:textId="77777777" w:rsidTr="00257662">
        <w:trPr>
          <w:trHeight w:val="288"/>
        </w:trPr>
        <w:tc>
          <w:tcPr>
            <w:tcW w:w="1271" w:type="dxa"/>
            <w:tcBorders>
              <w:top w:val="nil"/>
              <w:left w:val="nil"/>
              <w:bottom w:val="nil"/>
              <w:right w:val="single" w:sz="4" w:space="0" w:color="auto"/>
            </w:tcBorders>
            <w:shd w:val="clear" w:color="auto" w:fill="auto"/>
            <w:vAlign w:val="center"/>
            <w:hideMark/>
          </w:tcPr>
          <w:p w14:paraId="4D7B8B6F" w14:textId="77777777" w:rsidR="0038133B" w:rsidRPr="00D92E20" w:rsidRDefault="0038133B" w:rsidP="0038133B">
            <w:pPr>
              <w:spacing w:after="0" w:line="240" w:lineRule="auto"/>
              <w:ind w:firstLineChars="100" w:firstLine="160"/>
              <w:rPr>
                <w:rFonts w:cs="Arial"/>
                <w:color w:val="000000"/>
                <w:sz w:val="16"/>
                <w:szCs w:val="16"/>
              </w:rPr>
            </w:pPr>
            <w:r w:rsidRPr="00D92E20">
              <w:rPr>
                <w:rFonts w:cs="Arial"/>
                <w:color w:val="000000"/>
                <w:sz w:val="16"/>
                <w:szCs w:val="16"/>
              </w:rPr>
              <w:t>mladší 20 let</w:t>
            </w:r>
          </w:p>
        </w:tc>
        <w:tc>
          <w:tcPr>
            <w:tcW w:w="907" w:type="dxa"/>
            <w:tcBorders>
              <w:top w:val="nil"/>
              <w:left w:val="nil"/>
              <w:bottom w:val="nil"/>
              <w:right w:val="nil"/>
            </w:tcBorders>
            <w:shd w:val="clear" w:color="auto" w:fill="auto"/>
            <w:vAlign w:val="center"/>
            <w:hideMark/>
          </w:tcPr>
          <w:p w14:paraId="17A0F459" w14:textId="47A886BC" w:rsidR="0038133B" w:rsidRPr="00D92E20" w:rsidRDefault="0038133B" w:rsidP="0038133B">
            <w:pPr>
              <w:spacing w:after="0" w:line="240" w:lineRule="auto"/>
              <w:jc w:val="right"/>
              <w:rPr>
                <w:rFonts w:cs="Arial"/>
                <w:color w:val="000000"/>
                <w:sz w:val="16"/>
                <w:szCs w:val="16"/>
              </w:rPr>
            </w:pPr>
            <w:r>
              <w:rPr>
                <w:rFonts w:cs="Arial"/>
                <w:sz w:val="16"/>
                <w:szCs w:val="16"/>
              </w:rPr>
              <w:t>19,8</w:t>
            </w:r>
          </w:p>
        </w:tc>
        <w:tc>
          <w:tcPr>
            <w:tcW w:w="907" w:type="dxa"/>
            <w:tcBorders>
              <w:top w:val="nil"/>
              <w:left w:val="nil"/>
              <w:bottom w:val="nil"/>
              <w:right w:val="nil"/>
            </w:tcBorders>
            <w:shd w:val="clear" w:color="auto" w:fill="auto"/>
            <w:vAlign w:val="center"/>
            <w:hideMark/>
          </w:tcPr>
          <w:p w14:paraId="14CAB7B4" w14:textId="375EBCEC" w:rsidR="0038133B" w:rsidRPr="00D92E20" w:rsidRDefault="0038133B" w:rsidP="0038133B">
            <w:pPr>
              <w:spacing w:after="0" w:line="240" w:lineRule="auto"/>
              <w:jc w:val="right"/>
              <w:rPr>
                <w:rFonts w:cs="Arial"/>
                <w:color w:val="000000"/>
                <w:sz w:val="16"/>
                <w:szCs w:val="16"/>
              </w:rPr>
            </w:pPr>
            <w:r>
              <w:rPr>
                <w:rFonts w:cs="Arial"/>
                <w:sz w:val="16"/>
                <w:szCs w:val="16"/>
              </w:rPr>
              <w:t>11,4</w:t>
            </w:r>
          </w:p>
        </w:tc>
        <w:tc>
          <w:tcPr>
            <w:tcW w:w="907" w:type="dxa"/>
            <w:tcBorders>
              <w:top w:val="nil"/>
              <w:left w:val="nil"/>
              <w:bottom w:val="nil"/>
              <w:right w:val="single" w:sz="4" w:space="0" w:color="auto"/>
            </w:tcBorders>
            <w:shd w:val="clear" w:color="auto" w:fill="auto"/>
            <w:vAlign w:val="center"/>
            <w:hideMark/>
          </w:tcPr>
          <w:p w14:paraId="3FF61ECD" w14:textId="52716AE6" w:rsidR="0038133B" w:rsidRPr="00D92E20" w:rsidRDefault="0038133B" w:rsidP="0038133B">
            <w:pPr>
              <w:spacing w:after="0" w:line="240" w:lineRule="auto"/>
              <w:jc w:val="right"/>
              <w:rPr>
                <w:rFonts w:cs="Arial"/>
                <w:color w:val="000000"/>
                <w:sz w:val="16"/>
                <w:szCs w:val="16"/>
              </w:rPr>
            </w:pPr>
            <w:r>
              <w:rPr>
                <w:rFonts w:cs="Arial"/>
                <w:sz w:val="16"/>
                <w:szCs w:val="16"/>
              </w:rPr>
              <w:t>8,5</w:t>
            </w:r>
          </w:p>
        </w:tc>
        <w:tc>
          <w:tcPr>
            <w:tcW w:w="1021" w:type="dxa"/>
            <w:tcBorders>
              <w:top w:val="nil"/>
              <w:left w:val="single" w:sz="4" w:space="0" w:color="auto"/>
              <w:bottom w:val="nil"/>
              <w:right w:val="nil"/>
            </w:tcBorders>
            <w:shd w:val="clear" w:color="000000" w:fill="FFFFFF"/>
            <w:vAlign w:val="center"/>
          </w:tcPr>
          <w:p w14:paraId="6F906DF2" w14:textId="58424E5B" w:rsidR="0038133B" w:rsidRDefault="0038133B" w:rsidP="00257662">
            <w:pPr>
              <w:spacing w:after="0" w:line="240" w:lineRule="auto"/>
              <w:jc w:val="right"/>
              <w:rPr>
                <w:rFonts w:cs="Arial"/>
                <w:sz w:val="16"/>
                <w:szCs w:val="16"/>
              </w:rPr>
            </w:pPr>
            <w:r>
              <w:rPr>
                <w:rFonts w:cs="Arial"/>
                <w:sz w:val="16"/>
                <w:szCs w:val="16"/>
              </w:rPr>
              <w:t>266,9</w:t>
            </w:r>
          </w:p>
        </w:tc>
        <w:tc>
          <w:tcPr>
            <w:tcW w:w="1020" w:type="dxa"/>
            <w:tcBorders>
              <w:top w:val="nil"/>
              <w:left w:val="nil"/>
              <w:bottom w:val="nil"/>
              <w:right w:val="nil"/>
            </w:tcBorders>
            <w:shd w:val="clear" w:color="000000" w:fill="FFFFFF"/>
            <w:vAlign w:val="center"/>
          </w:tcPr>
          <w:p w14:paraId="14848449" w14:textId="02C4CB42" w:rsidR="0038133B" w:rsidRDefault="0038133B" w:rsidP="00257662">
            <w:pPr>
              <w:spacing w:after="0" w:line="240" w:lineRule="auto"/>
              <w:jc w:val="right"/>
              <w:rPr>
                <w:rFonts w:cs="Arial"/>
                <w:sz w:val="16"/>
                <w:szCs w:val="16"/>
              </w:rPr>
            </w:pPr>
            <w:r>
              <w:rPr>
                <w:rFonts w:cs="Arial"/>
                <w:sz w:val="16"/>
                <w:szCs w:val="16"/>
              </w:rPr>
              <w:t>141,6</w:t>
            </w:r>
          </w:p>
        </w:tc>
        <w:tc>
          <w:tcPr>
            <w:tcW w:w="1021" w:type="dxa"/>
            <w:tcBorders>
              <w:top w:val="nil"/>
              <w:left w:val="nil"/>
              <w:bottom w:val="nil"/>
              <w:right w:val="single" w:sz="4" w:space="0" w:color="auto"/>
            </w:tcBorders>
            <w:shd w:val="clear" w:color="000000" w:fill="FFFFFF"/>
            <w:vAlign w:val="center"/>
          </w:tcPr>
          <w:p w14:paraId="34DC7668" w14:textId="52B6606B" w:rsidR="0038133B" w:rsidRDefault="0038133B" w:rsidP="00257662">
            <w:pPr>
              <w:spacing w:after="0" w:line="240" w:lineRule="auto"/>
              <w:jc w:val="right"/>
              <w:rPr>
                <w:rFonts w:cs="Arial"/>
                <w:sz w:val="16"/>
                <w:szCs w:val="16"/>
              </w:rPr>
            </w:pPr>
            <w:r>
              <w:rPr>
                <w:rFonts w:cs="Arial"/>
                <w:sz w:val="16"/>
                <w:szCs w:val="16"/>
              </w:rPr>
              <w:t>125,4</w:t>
            </w:r>
          </w:p>
        </w:tc>
        <w:tc>
          <w:tcPr>
            <w:tcW w:w="907" w:type="dxa"/>
            <w:tcBorders>
              <w:top w:val="nil"/>
              <w:left w:val="single" w:sz="4" w:space="0" w:color="auto"/>
              <w:bottom w:val="nil"/>
              <w:right w:val="nil"/>
            </w:tcBorders>
            <w:shd w:val="clear" w:color="auto" w:fill="auto"/>
            <w:vAlign w:val="center"/>
            <w:hideMark/>
          </w:tcPr>
          <w:p w14:paraId="600870F8" w14:textId="397E1445" w:rsidR="0038133B" w:rsidRPr="00D92E20" w:rsidRDefault="0038133B" w:rsidP="00257662">
            <w:pPr>
              <w:spacing w:after="0" w:line="240" w:lineRule="auto"/>
              <w:jc w:val="right"/>
              <w:rPr>
                <w:rFonts w:cs="Arial"/>
                <w:color w:val="000000"/>
                <w:sz w:val="16"/>
                <w:szCs w:val="16"/>
              </w:rPr>
            </w:pPr>
            <w:r>
              <w:rPr>
                <w:rFonts w:cs="Arial"/>
                <w:sz w:val="16"/>
                <w:szCs w:val="16"/>
              </w:rPr>
              <w:t>13,5</w:t>
            </w:r>
          </w:p>
        </w:tc>
        <w:tc>
          <w:tcPr>
            <w:tcW w:w="907" w:type="dxa"/>
            <w:tcBorders>
              <w:top w:val="nil"/>
              <w:left w:val="nil"/>
              <w:bottom w:val="nil"/>
              <w:right w:val="nil"/>
            </w:tcBorders>
            <w:shd w:val="clear" w:color="auto" w:fill="auto"/>
            <w:vAlign w:val="center"/>
            <w:hideMark/>
          </w:tcPr>
          <w:p w14:paraId="3EE2B369" w14:textId="560CC83B" w:rsidR="0038133B" w:rsidRPr="00D92E20" w:rsidRDefault="0038133B" w:rsidP="00257662">
            <w:pPr>
              <w:spacing w:after="0" w:line="240" w:lineRule="auto"/>
              <w:jc w:val="right"/>
              <w:rPr>
                <w:rFonts w:cs="Arial"/>
                <w:color w:val="000000"/>
                <w:sz w:val="16"/>
                <w:szCs w:val="16"/>
              </w:rPr>
            </w:pPr>
            <w:r>
              <w:rPr>
                <w:rFonts w:cs="Arial"/>
                <w:sz w:val="16"/>
                <w:szCs w:val="16"/>
              </w:rPr>
              <w:t>12,5</w:t>
            </w:r>
          </w:p>
        </w:tc>
        <w:tc>
          <w:tcPr>
            <w:tcW w:w="908" w:type="dxa"/>
            <w:tcBorders>
              <w:top w:val="nil"/>
              <w:left w:val="nil"/>
              <w:bottom w:val="nil"/>
              <w:right w:val="nil"/>
            </w:tcBorders>
            <w:shd w:val="clear" w:color="auto" w:fill="auto"/>
            <w:vAlign w:val="center"/>
            <w:hideMark/>
          </w:tcPr>
          <w:p w14:paraId="1A098A67" w14:textId="61180DCD" w:rsidR="0038133B" w:rsidRPr="00D92E20" w:rsidRDefault="0038133B" w:rsidP="00257662">
            <w:pPr>
              <w:spacing w:after="0" w:line="240" w:lineRule="auto"/>
              <w:jc w:val="right"/>
              <w:rPr>
                <w:rFonts w:cs="Arial"/>
                <w:color w:val="000000"/>
                <w:sz w:val="16"/>
                <w:szCs w:val="16"/>
              </w:rPr>
            </w:pPr>
            <w:r>
              <w:rPr>
                <w:rFonts w:cs="Arial"/>
                <w:sz w:val="16"/>
                <w:szCs w:val="16"/>
              </w:rPr>
              <w:t>14,8</w:t>
            </w:r>
          </w:p>
        </w:tc>
      </w:tr>
      <w:tr w:rsidR="00B34EC0" w:rsidRPr="00D92E20" w14:paraId="7372BE45" w14:textId="77777777" w:rsidTr="00257662">
        <w:trPr>
          <w:trHeight w:val="288"/>
        </w:trPr>
        <w:tc>
          <w:tcPr>
            <w:tcW w:w="1271" w:type="dxa"/>
            <w:tcBorders>
              <w:top w:val="nil"/>
              <w:left w:val="nil"/>
              <w:bottom w:val="nil"/>
              <w:right w:val="single" w:sz="4" w:space="0" w:color="auto"/>
            </w:tcBorders>
            <w:shd w:val="clear" w:color="auto" w:fill="auto"/>
            <w:vAlign w:val="center"/>
            <w:hideMark/>
          </w:tcPr>
          <w:p w14:paraId="181445DA" w14:textId="77777777" w:rsidR="0038133B" w:rsidRPr="00D92E20" w:rsidRDefault="0038133B" w:rsidP="0038133B">
            <w:pPr>
              <w:spacing w:after="0" w:line="240" w:lineRule="auto"/>
              <w:ind w:firstLineChars="100" w:firstLine="160"/>
              <w:rPr>
                <w:rFonts w:cs="Arial"/>
                <w:color w:val="000000"/>
                <w:sz w:val="16"/>
                <w:szCs w:val="16"/>
              </w:rPr>
            </w:pPr>
            <w:r w:rsidRPr="00D92E20">
              <w:rPr>
                <w:rFonts w:cs="Arial"/>
                <w:color w:val="000000"/>
                <w:sz w:val="16"/>
                <w:szCs w:val="16"/>
              </w:rPr>
              <w:t>20–29 let</w:t>
            </w:r>
          </w:p>
        </w:tc>
        <w:tc>
          <w:tcPr>
            <w:tcW w:w="907" w:type="dxa"/>
            <w:tcBorders>
              <w:top w:val="nil"/>
              <w:left w:val="nil"/>
              <w:bottom w:val="nil"/>
              <w:right w:val="nil"/>
            </w:tcBorders>
            <w:shd w:val="clear" w:color="auto" w:fill="auto"/>
            <w:vAlign w:val="center"/>
            <w:hideMark/>
          </w:tcPr>
          <w:p w14:paraId="5CC87A4F" w14:textId="119A2D96" w:rsidR="0038133B" w:rsidRPr="00D92E20" w:rsidRDefault="0038133B" w:rsidP="0038133B">
            <w:pPr>
              <w:spacing w:after="0" w:line="240" w:lineRule="auto"/>
              <w:jc w:val="right"/>
              <w:rPr>
                <w:rFonts w:cs="Arial"/>
                <w:color w:val="000000"/>
                <w:sz w:val="16"/>
                <w:szCs w:val="16"/>
              </w:rPr>
            </w:pPr>
            <w:r>
              <w:rPr>
                <w:rFonts w:cs="Arial"/>
                <w:sz w:val="16"/>
                <w:szCs w:val="16"/>
              </w:rPr>
              <w:t>378,7</w:t>
            </w:r>
          </w:p>
        </w:tc>
        <w:tc>
          <w:tcPr>
            <w:tcW w:w="907" w:type="dxa"/>
            <w:tcBorders>
              <w:top w:val="nil"/>
              <w:left w:val="nil"/>
              <w:bottom w:val="nil"/>
              <w:right w:val="nil"/>
            </w:tcBorders>
            <w:shd w:val="clear" w:color="auto" w:fill="auto"/>
            <w:vAlign w:val="center"/>
            <w:hideMark/>
          </w:tcPr>
          <w:p w14:paraId="120918CC" w14:textId="67B42C5A" w:rsidR="0038133B" w:rsidRPr="00D92E20" w:rsidRDefault="0038133B" w:rsidP="0038133B">
            <w:pPr>
              <w:spacing w:after="0" w:line="240" w:lineRule="auto"/>
              <w:jc w:val="right"/>
              <w:rPr>
                <w:rFonts w:cs="Arial"/>
                <w:color w:val="000000"/>
                <w:sz w:val="16"/>
                <w:szCs w:val="16"/>
              </w:rPr>
            </w:pPr>
            <w:r>
              <w:rPr>
                <w:rFonts w:cs="Arial"/>
                <w:sz w:val="16"/>
                <w:szCs w:val="16"/>
              </w:rPr>
              <w:t>199,2</w:t>
            </w:r>
          </w:p>
        </w:tc>
        <w:tc>
          <w:tcPr>
            <w:tcW w:w="907" w:type="dxa"/>
            <w:tcBorders>
              <w:top w:val="nil"/>
              <w:left w:val="nil"/>
              <w:bottom w:val="nil"/>
              <w:right w:val="single" w:sz="4" w:space="0" w:color="auto"/>
            </w:tcBorders>
            <w:shd w:val="clear" w:color="auto" w:fill="auto"/>
            <w:vAlign w:val="center"/>
            <w:hideMark/>
          </w:tcPr>
          <w:p w14:paraId="0208F366" w14:textId="22325A64" w:rsidR="0038133B" w:rsidRPr="00D92E20" w:rsidRDefault="0038133B" w:rsidP="0038133B">
            <w:pPr>
              <w:spacing w:after="0" w:line="240" w:lineRule="auto"/>
              <w:jc w:val="right"/>
              <w:rPr>
                <w:rFonts w:cs="Arial"/>
                <w:color w:val="000000"/>
                <w:sz w:val="16"/>
                <w:szCs w:val="16"/>
              </w:rPr>
            </w:pPr>
            <w:r>
              <w:rPr>
                <w:rFonts w:cs="Arial"/>
                <w:sz w:val="16"/>
                <w:szCs w:val="16"/>
              </w:rPr>
              <w:t>179,5</w:t>
            </w:r>
          </w:p>
        </w:tc>
        <w:tc>
          <w:tcPr>
            <w:tcW w:w="1021" w:type="dxa"/>
            <w:tcBorders>
              <w:top w:val="nil"/>
              <w:left w:val="single" w:sz="4" w:space="0" w:color="auto"/>
              <w:bottom w:val="nil"/>
              <w:right w:val="nil"/>
            </w:tcBorders>
            <w:shd w:val="clear" w:color="000000" w:fill="FFFFFF"/>
            <w:vAlign w:val="center"/>
          </w:tcPr>
          <w:p w14:paraId="580ED425" w14:textId="399DC09D" w:rsidR="0038133B" w:rsidRDefault="0038133B" w:rsidP="00257662">
            <w:pPr>
              <w:spacing w:after="0" w:line="240" w:lineRule="auto"/>
              <w:jc w:val="right"/>
              <w:rPr>
                <w:rFonts w:cs="Arial"/>
                <w:sz w:val="16"/>
                <w:szCs w:val="16"/>
              </w:rPr>
            </w:pPr>
            <w:r>
              <w:rPr>
                <w:rFonts w:cs="Arial"/>
                <w:sz w:val="16"/>
                <w:szCs w:val="16"/>
              </w:rPr>
              <w:t>6 347,3</w:t>
            </w:r>
          </w:p>
        </w:tc>
        <w:tc>
          <w:tcPr>
            <w:tcW w:w="1020" w:type="dxa"/>
            <w:tcBorders>
              <w:top w:val="nil"/>
              <w:left w:val="nil"/>
              <w:bottom w:val="nil"/>
              <w:right w:val="nil"/>
            </w:tcBorders>
            <w:shd w:val="clear" w:color="000000" w:fill="FFFFFF"/>
            <w:vAlign w:val="center"/>
          </w:tcPr>
          <w:p w14:paraId="1895873C" w14:textId="73F32C69" w:rsidR="0038133B" w:rsidRDefault="0038133B" w:rsidP="00257662">
            <w:pPr>
              <w:spacing w:after="0" w:line="240" w:lineRule="auto"/>
              <w:jc w:val="right"/>
              <w:rPr>
                <w:rFonts w:cs="Arial"/>
                <w:sz w:val="16"/>
                <w:szCs w:val="16"/>
              </w:rPr>
            </w:pPr>
            <w:r>
              <w:rPr>
                <w:rFonts w:cs="Arial"/>
                <w:sz w:val="16"/>
                <w:szCs w:val="16"/>
              </w:rPr>
              <w:t>2 887,3</w:t>
            </w:r>
          </w:p>
        </w:tc>
        <w:tc>
          <w:tcPr>
            <w:tcW w:w="1021" w:type="dxa"/>
            <w:tcBorders>
              <w:top w:val="nil"/>
              <w:left w:val="nil"/>
              <w:bottom w:val="nil"/>
              <w:right w:val="single" w:sz="4" w:space="0" w:color="auto"/>
            </w:tcBorders>
            <w:shd w:val="clear" w:color="000000" w:fill="FFFFFF"/>
            <w:vAlign w:val="center"/>
          </w:tcPr>
          <w:p w14:paraId="77D3E4D7" w14:textId="52FBAF21" w:rsidR="0038133B" w:rsidRDefault="0038133B" w:rsidP="00257662">
            <w:pPr>
              <w:spacing w:after="0" w:line="240" w:lineRule="auto"/>
              <w:jc w:val="right"/>
              <w:rPr>
                <w:rFonts w:cs="Arial"/>
                <w:sz w:val="16"/>
                <w:szCs w:val="16"/>
              </w:rPr>
            </w:pPr>
            <w:r>
              <w:rPr>
                <w:rFonts w:cs="Arial"/>
                <w:sz w:val="16"/>
                <w:szCs w:val="16"/>
              </w:rPr>
              <w:t>3 460,0</w:t>
            </w:r>
          </w:p>
        </w:tc>
        <w:tc>
          <w:tcPr>
            <w:tcW w:w="907" w:type="dxa"/>
            <w:tcBorders>
              <w:top w:val="nil"/>
              <w:left w:val="single" w:sz="4" w:space="0" w:color="auto"/>
              <w:bottom w:val="nil"/>
              <w:right w:val="nil"/>
            </w:tcBorders>
            <w:shd w:val="clear" w:color="auto" w:fill="auto"/>
            <w:vAlign w:val="center"/>
            <w:hideMark/>
          </w:tcPr>
          <w:p w14:paraId="2C6E46C1" w14:textId="08B7375F" w:rsidR="0038133B" w:rsidRPr="00D92E20" w:rsidRDefault="0038133B" w:rsidP="00257662">
            <w:pPr>
              <w:spacing w:after="0" w:line="240" w:lineRule="auto"/>
              <w:jc w:val="right"/>
              <w:rPr>
                <w:rFonts w:cs="Arial"/>
                <w:color w:val="000000"/>
                <w:sz w:val="16"/>
                <w:szCs w:val="16"/>
              </w:rPr>
            </w:pPr>
            <w:r>
              <w:rPr>
                <w:rFonts w:cs="Arial"/>
                <w:sz w:val="16"/>
                <w:szCs w:val="16"/>
              </w:rPr>
              <w:t>16,8</w:t>
            </w:r>
          </w:p>
        </w:tc>
        <w:tc>
          <w:tcPr>
            <w:tcW w:w="907" w:type="dxa"/>
            <w:tcBorders>
              <w:top w:val="nil"/>
              <w:left w:val="nil"/>
              <w:bottom w:val="nil"/>
              <w:right w:val="nil"/>
            </w:tcBorders>
            <w:shd w:val="clear" w:color="auto" w:fill="auto"/>
            <w:vAlign w:val="center"/>
            <w:hideMark/>
          </w:tcPr>
          <w:p w14:paraId="1D9D2486" w14:textId="1E0148B3" w:rsidR="0038133B" w:rsidRPr="00D92E20" w:rsidRDefault="0038133B" w:rsidP="00257662">
            <w:pPr>
              <w:spacing w:after="0" w:line="240" w:lineRule="auto"/>
              <w:jc w:val="right"/>
              <w:rPr>
                <w:rFonts w:cs="Arial"/>
                <w:color w:val="000000"/>
                <w:sz w:val="16"/>
                <w:szCs w:val="16"/>
              </w:rPr>
            </w:pPr>
            <w:r>
              <w:rPr>
                <w:rFonts w:cs="Arial"/>
                <w:sz w:val="16"/>
                <w:szCs w:val="16"/>
              </w:rPr>
              <w:t>14,5</w:t>
            </w:r>
          </w:p>
        </w:tc>
        <w:tc>
          <w:tcPr>
            <w:tcW w:w="908" w:type="dxa"/>
            <w:tcBorders>
              <w:top w:val="nil"/>
              <w:left w:val="nil"/>
              <w:bottom w:val="nil"/>
              <w:right w:val="nil"/>
            </w:tcBorders>
            <w:shd w:val="clear" w:color="auto" w:fill="auto"/>
            <w:vAlign w:val="center"/>
            <w:hideMark/>
          </w:tcPr>
          <w:p w14:paraId="308EDAF5" w14:textId="11EAC11F" w:rsidR="0038133B" w:rsidRPr="00D92E20" w:rsidRDefault="0038133B" w:rsidP="00257662">
            <w:pPr>
              <w:spacing w:after="0" w:line="240" w:lineRule="auto"/>
              <w:jc w:val="right"/>
              <w:rPr>
                <w:rFonts w:cs="Arial"/>
                <w:color w:val="000000"/>
                <w:sz w:val="16"/>
                <w:szCs w:val="16"/>
              </w:rPr>
            </w:pPr>
            <w:r>
              <w:rPr>
                <w:rFonts w:cs="Arial"/>
                <w:sz w:val="16"/>
                <w:szCs w:val="16"/>
              </w:rPr>
              <w:t>19,3</w:t>
            </w:r>
          </w:p>
        </w:tc>
      </w:tr>
      <w:tr w:rsidR="00B34EC0" w:rsidRPr="00D92E20" w14:paraId="4C346089" w14:textId="77777777" w:rsidTr="00257662">
        <w:trPr>
          <w:trHeight w:val="288"/>
        </w:trPr>
        <w:tc>
          <w:tcPr>
            <w:tcW w:w="1271" w:type="dxa"/>
            <w:tcBorders>
              <w:top w:val="nil"/>
              <w:left w:val="nil"/>
              <w:bottom w:val="nil"/>
              <w:right w:val="single" w:sz="4" w:space="0" w:color="auto"/>
            </w:tcBorders>
            <w:shd w:val="clear" w:color="auto" w:fill="auto"/>
            <w:vAlign w:val="center"/>
            <w:hideMark/>
          </w:tcPr>
          <w:p w14:paraId="13FA5208" w14:textId="77777777" w:rsidR="0038133B" w:rsidRPr="00D92E20" w:rsidRDefault="0038133B" w:rsidP="0038133B">
            <w:pPr>
              <w:spacing w:after="0" w:line="240" w:lineRule="auto"/>
              <w:ind w:firstLineChars="100" w:firstLine="160"/>
              <w:rPr>
                <w:rFonts w:cs="Arial"/>
                <w:color w:val="000000"/>
                <w:sz w:val="16"/>
                <w:szCs w:val="16"/>
              </w:rPr>
            </w:pPr>
            <w:r w:rsidRPr="00D92E20">
              <w:rPr>
                <w:rFonts w:cs="Arial"/>
                <w:color w:val="000000"/>
                <w:sz w:val="16"/>
                <w:szCs w:val="16"/>
              </w:rPr>
              <w:t>30–39 let</w:t>
            </w:r>
          </w:p>
        </w:tc>
        <w:tc>
          <w:tcPr>
            <w:tcW w:w="907" w:type="dxa"/>
            <w:tcBorders>
              <w:top w:val="nil"/>
              <w:left w:val="nil"/>
              <w:bottom w:val="nil"/>
              <w:right w:val="nil"/>
            </w:tcBorders>
            <w:shd w:val="clear" w:color="auto" w:fill="auto"/>
            <w:vAlign w:val="center"/>
            <w:hideMark/>
          </w:tcPr>
          <w:p w14:paraId="0529C537" w14:textId="3EE0CE78" w:rsidR="0038133B" w:rsidRPr="00D92E20" w:rsidRDefault="0038133B" w:rsidP="0038133B">
            <w:pPr>
              <w:spacing w:after="0" w:line="240" w:lineRule="auto"/>
              <w:jc w:val="right"/>
              <w:rPr>
                <w:rFonts w:cs="Arial"/>
                <w:color w:val="000000"/>
                <w:sz w:val="16"/>
                <w:szCs w:val="16"/>
              </w:rPr>
            </w:pPr>
            <w:r>
              <w:rPr>
                <w:rFonts w:cs="Arial"/>
                <w:sz w:val="16"/>
                <w:szCs w:val="16"/>
              </w:rPr>
              <w:t>456,4</w:t>
            </w:r>
          </w:p>
        </w:tc>
        <w:tc>
          <w:tcPr>
            <w:tcW w:w="907" w:type="dxa"/>
            <w:tcBorders>
              <w:top w:val="nil"/>
              <w:left w:val="nil"/>
              <w:bottom w:val="nil"/>
              <w:right w:val="nil"/>
            </w:tcBorders>
            <w:shd w:val="clear" w:color="auto" w:fill="auto"/>
            <w:vAlign w:val="center"/>
            <w:hideMark/>
          </w:tcPr>
          <w:p w14:paraId="2E7F8D52" w14:textId="12B750C1" w:rsidR="0038133B" w:rsidRPr="00D92E20" w:rsidRDefault="0038133B" w:rsidP="0038133B">
            <w:pPr>
              <w:spacing w:after="0" w:line="240" w:lineRule="auto"/>
              <w:jc w:val="right"/>
              <w:rPr>
                <w:rFonts w:cs="Arial"/>
                <w:color w:val="000000"/>
                <w:sz w:val="16"/>
                <w:szCs w:val="16"/>
              </w:rPr>
            </w:pPr>
            <w:r>
              <w:rPr>
                <w:rFonts w:cs="Arial"/>
                <w:sz w:val="16"/>
                <w:szCs w:val="16"/>
              </w:rPr>
              <w:t>234,7</w:t>
            </w:r>
          </w:p>
        </w:tc>
        <w:tc>
          <w:tcPr>
            <w:tcW w:w="907" w:type="dxa"/>
            <w:tcBorders>
              <w:top w:val="nil"/>
              <w:left w:val="nil"/>
              <w:bottom w:val="nil"/>
              <w:right w:val="single" w:sz="4" w:space="0" w:color="auto"/>
            </w:tcBorders>
            <w:shd w:val="clear" w:color="auto" w:fill="auto"/>
            <w:vAlign w:val="center"/>
            <w:hideMark/>
          </w:tcPr>
          <w:p w14:paraId="6E5D616C" w14:textId="611BCB88" w:rsidR="0038133B" w:rsidRPr="00D92E20" w:rsidRDefault="0038133B" w:rsidP="0038133B">
            <w:pPr>
              <w:spacing w:after="0" w:line="240" w:lineRule="auto"/>
              <w:jc w:val="right"/>
              <w:rPr>
                <w:rFonts w:cs="Arial"/>
                <w:color w:val="000000"/>
                <w:sz w:val="16"/>
                <w:szCs w:val="16"/>
              </w:rPr>
            </w:pPr>
            <w:r>
              <w:rPr>
                <w:rFonts w:cs="Arial"/>
                <w:sz w:val="16"/>
                <w:szCs w:val="16"/>
              </w:rPr>
              <w:t>221,6</w:t>
            </w:r>
          </w:p>
        </w:tc>
        <w:tc>
          <w:tcPr>
            <w:tcW w:w="1021" w:type="dxa"/>
            <w:tcBorders>
              <w:top w:val="nil"/>
              <w:left w:val="single" w:sz="4" w:space="0" w:color="auto"/>
              <w:bottom w:val="nil"/>
              <w:right w:val="nil"/>
            </w:tcBorders>
            <w:shd w:val="clear" w:color="000000" w:fill="FFFFFF"/>
            <w:vAlign w:val="center"/>
          </w:tcPr>
          <w:p w14:paraId="544E9FA2" w14:textId="1C7A6FEA" w:rsidR="0038133B" w:rsidRDefault="0038133B" w:rsidP="00257662">
            <w:pPr>
              <w:spacing w:after="0" w:line="240" w:lineRule="auto"/>
              <w:jc w:val="right"/>
              <w:rPr>
                <w:rFonts w:cs="Arial"/>
                <w:sz w:val="16"/>
                <w:szCs w:val="16"/>
              </w:rPr>
            </w:pPr>
            <w:r>
              <w:rPr>
                <w:rFonts w:cs="Arial"/>
                <w:sz w:val="16"/>
                <w:szCs w:val="16"/>
              </w:rPr>
              <w:t>9 034,4</w:t>
            </w:r>
          </w:p>
        </w:tc>
        <w:tc>
          <w:tcPr>
            <w:tcW w:w="1020" w:type="dxa"/>
            <w:tcBorders>
              <w:top w:val="nil"/>
              <w:left w:val="nil"/>
              <w:bottom w:val="nil"/>
              <w:right w:val="nil"/>
            </w:tcBorders>
            <w:shd w:val="clear" w:color="000000" w:fill="FFFFFF"/>
            <w:vAlign w:val="center"/>
          </w:tcPr>
          <w:p w14:paraId="1EEAA3CF" w14:textId="20241F34" w:rsidR="0038133B" w:rsidRDefault="0038133B" w:rsidP="00257662">
            <w:pPr>
              <w:spacing w:after="0" w:line="240" w:lineRule="auto"/>
              <w:jc w:val="right"/>
              <w:rPr>
                <w:rFonts w:cs="Arial"/>
                <w:sz w:val="16"/>
                <w:szCs w:val="16"/>
              </w:rPr>
            </w:pPr>
            <w:r>
              <w:rPr>
                <w:rFonts w:cs="Arial"/>
                <w:sz w:val="16"/>
                <w:szCs w:val="16"/>
              </w:rPr>
              <w:t>4 172,9</w:t>
            </w:r>
          </w:p>
        </w:tc>
        <w:tc>
          <w:tcPr>
            <w:tcW w:w="1021" w:type="dxa"/>
            <w:tcBorders>
              <w:top w:val="nil"/>
              <w:left w:val="nil"/>
              <w:bottom w:val="nil"/>
              <w:right w:val="single" w:sz="4" w:space="0" w:color="auto"/>
            </w:tcBorders>
            <w:shd w:val="clear" w:color="000000" w:fill="FFFFFF"/>
            <w:vAlign w:val="center"/>
          </w:tcPr>
          <w:p w14:paraId="50E9EB7C" w14:textId="24CDD466" w:rsidR="0038133B" w:rsidRDefault="0038133B" w:rsidP="00257662">
            <w:pPr>
              <w:spacing w:after="0" w:line="240" w:lineRule="auto"/>
              <w:jc w:val="right"/>
              <w:rPr>
                <w:rFonts w:cs="Arial"/>
                <w:sz w:val="16"/>
                <w:szCs w:val="16"/>
              </w:rPr>
            </w:pPr>
            <w:r>
              <w:rPr>
                <w:rFonts w:cs="Arial"/>
                <w:sz w:val="16"/>
                <w:szCs w:val="16"/>
              </w:rPr>
              <w:t>4 861,5</w:t>
            </w:r>
          </w:p>
        </w:tc>
        <w:tc>
          <w:tcPr>
            <w:tcW w:w="907" w:type="dxa"/>
            <w:tcBorders>
              <w:top w:val="nil"/>
              <w:left w:val="single" w:sz="4" w:space="0" w:color="auto"/>
              <w:bottom w:val="nil"/>
              <w:right w:val="nil"/>
            </w:tcBorders>
            <w:shd w:val="clear" w:color="auto" w:fill="auto"/>
            <w:vAlign w:val="center"/>
            <w:hideMark/>
          </w:tcPr>
          <w:p w14:paraId="0F6F55E3" w14:textId="16FF0831" w:rsidR="0038133B" w:rsidRPr="00D92E20" w:rsidRDefault="0038133B" w:rsidP="00257662">
            <w:pPr>
              <w:spacing w:after="0" w:line="240" w:lineRule="auto"/>
              <w:jc w:val="right"/>
              <w:rPr>
                <w:rFonts w:cs="Arial"/>
                <w:color w:val="000000"/>
                <w:sz w:val="16"/>
                <w:szCs w:val="16"/>
              </w:rPr>
            </w:pPr>
            <w:r>
              <w:rPr>
                <w:rFonts w:cs="Arial"/>
                <w:sz w:val="16"/>
                <w:szCs w:val="16"/>
              </w:rPr>
              <w:t>19,8</w:t>
            </w:r>
          </w:p>
        </w:tc>
        <w:tc>
          <w:tcPr>
            <w:tcW w:w="907" w:type="dxa"/>
            <w:tcBorders>
              <w:top w:val="nil"/>
              <w:left w:val="nil"/>
              <w:bottom w:val="nil"/>
              <w:right w:val="nil"/>
            </w:tcBorders>
            <w:shd w:val="clear" w:color="auto" w:fill="auto"/>
            <w:vAlign w:val="center"/>
            <w:hideMark/>
          </w:tcPr>
          <w:p w14:paraId="3D3E9D70" w14:textId="09B7A699" w:rsidR="0038133B" w:rsidRPr="00D92E20" w:rsidRDefault="0038133B" w:rsidP="00257662">
            <w:pPr>
              <w:spacing w:after="0" w:line="240" w:lineRule="auto"/>
              <w:jc w:val="right"/>
              <w:rPr>
                <w:rFonts w:cs="Arial"/>
                <w:color w:val="000000"/>
                <w:sz w:val="16"/>
                <w:szCs w:val="16"/>
              </w:rPr>
            </w:pPr>
            <w:r>
              <w:rPr>
                <w:rFonts w:cs="Arial"/>
                <w:sz w:val="16"/>
                <w:szCs w:val="16"/>
              </w:rPr>
              <w:t>17,8</w:t>
            </w:r>
          </w:p>
        </w:tc>
        <w:tc>
          <w:tcPr>
            <w:tcW w:w="908" w:type="dxa"/>
            <w:tcBorders>
              <w:top w:val="nil"/>
              <w:left w:val="nil"/>
              <w:bottom w:val="nil"/>
              <w:right w:val="nil"/>
            </w:tcBorders>
            <w:shd w:val="clear" w:color="auto" w:fill="auto"/>
            <w:vAlign w:val="center"/>
            <w:hideMark/>
          </w:tcPr>
          <w:p w14:paraId="262A9F77" w14:textId="54B98C30" w:rsidR="0038133B" w:rsidRPr="00D92E20" w:rsidRDefault="0038133B" w:rsidP="00257662">
            <w:pPr>
              <w:spacing w:after="0" w:line="240" w:lineRule="auto"/>
              <w:jc w:val="right"/>
              <w:rPr>
                <w:rFonts w:cs="Arial"/>
                <w:color w:val="000000"/>
                <w:sz w:val="16"/>
                <w:szCs w:val="16"/>
              </w:rPr>
            </w:pPr>
            <w:r>
              <w:rPr>
                <w:rFonts w:cs="Arial"/>
                <w:sz w:val="16"/>
                <w:szCs w:val="16"/>
              </w:rPr>
              <w:t>21,9</w:t>
            </w:r>
          </w:p>
        </w:tc>
      </w:tr>
      <w:tr w:rsidR="00B34EC0" w:rsidRPr="00D92E20" w14:paraId="2C9DA50E" w14:textId="77777777" w:rsidTr="00257662">
        <w:trPr>
          <w:trHeight w:val="288"/>
        </w:trPr>
        <w:tc>
          <w:tcPr>
            <w:tcW w:w="1271" w:type="dxa"/>
            <w:tcBorders>
              <w:top w:val="nil"/>
              <w:left w:val="nil"/>
              <w:bottom w:val="nil"/>
              <w:right w:val="single" w:sz="4" w:space="0" w:color="auto"/>
            </w:tcBorders>
            <w:shd w:val="clear" w:color="auto" w:fill="auto"/>
            <w:vAlign w:val="center"/>
            <w:hideMark/>
          </w:tcPr>
          <w:p w14:paraId="10684C7A" w14:textId="77777777" w:rsidR="0038133B" w:rsidRPr="00D92E20" w:rsidRDefault="0038133B" w:rsidP="0038133B">
            <w:pPr>
              <w:spacing w:after="0" w:line="240" w:lineRule="auto"/>
              <w:ind w:firstLineChars="100" w:firstLine="160"/>
              <w:rPr>
                <w:rFonts w:cs="Arial"/>
                <w:color w:val="000000"/>
                <w:sz w:val="16"/>
                <w:szCs w:val="16"/>
              </w:rPr>
            </w:pPr>
            <w:r w:rsidRPr="00D92E20">
              <w:rPr>
                <w:rFonts w:cs="Arial"/>
                <w:color w:val="000000"/>
                <w:sz w:val="16"/>
                <w:szCs w:val="16"/>
              </w:rPr>
              <w:t>40–49 let</w:t>
            </w:r>
          </w:p>
        </w:tc>
        <w:tc>
          <w:tcPr>
            <w:tcW w:w="907" w:type="dxa"/>
            <w:tcBorders>
              <w:top w:val="nil"/>
              <w:left w:val="nil"/>
              <w:bottom w:val="nil"/>
              <w:right w:val="nil"/>
            </w:tcBorders>
            <w:shd w:val="clear" w:color="auto" w:fill="auto"/>
            <w:vAlign w:val="center"/>
            <w:hideMark/>
          </w:tcPr>
          <w:p w14:paraId="0C4A9C98" w14:textId="1FE39A4F" w:rsidR="0038133B" w:rsidRPr="00D92E20" w:rsidRDefault="0038133B" w:rsidP="0038133B">
            <w:pPr>
              <w:spacing w:after="0" w:line="240" w:lineRule="auto"/>
              <w:jc w:val="right"/>
              <w:rPr>
                <w:rFonts w:cs="Arial"/>
                <w:color w:val="000000"/>
                <w:sz w:val="16"/>
                <w:szCs w:val="16"/>
              </w:rPr>
            </w:pPr>
            <w:r>
              <w:rPr>
                <w:rFonts w:cs="Arial"/>
                <w:sz w:val="16"/>
                <w:szCs w:val="16"/>
              </w:rPr>
              <w:t>611,9</w:t>
            </w:r>
          </w:p>
        </w:tc>
        <w:tc>
          <w:tcPr>
            <w:tcW w:w="907" w:type="dxa"/>
            <w:tcBorders>
              <w:top w:val="nil"/>
              <w:left w:val="nil"/>
              <w:bottom w:val="nil"/>
              <w:right w:val="nil"/>
            </w:tcBorders>
            <w:shd w:val="clear" w:color="auto" w:fill="auto"/>
            <w:vAlign w:val="center"/>
            <w:hideMark/>
          </w:tcPr>
          <w:p w14:paraId="25663682" w14:textId="10EB0700" w:rsidR="0038133B" w:rsidRPr="00D92E20" w:rsidRDefault="0038133B" w:rsidP="0038133B">
            <w:pPr>
              <w:spacing w:after="0" w:line="240" w:lineRule="auto"/>
              <w:jc w:val="right"/>
              <w:rPr>
                <w:rFonts w:cs="Arial"/>
                <w:color w:val="000000"/>
                <w:sz w:val="16"/>
                <w:szCs w:val="16"/>
              </w:rPr>
            </w:pPr>
            <w:r>
              <w:rPr>
                <w:rFonts w:cs="Arial"/>
                <w:sz w:val="16"/>
                <w:szCs w:val="16"/>
              </w:rPr>
              <w:t>251,3</w:t>
            </w:r>
          </w:p>
        </w:tc>
        <w:tc>
          <w:tcPr>
            <w:tcW w:w="907" w:type="dxa"/>
            <w:tcBorders>
              <w:top w:val="nil"/>
              <w:left w:val="nil"/>
              <w:bottom w:val="nil"/>
              <w:right w:val="single" w:sz="4" w:space="0" w:color="auto"/>
            </w:tcBorders>
            <w:shd w:val="clear" w:color="auto" w:fill="auto"/>
            <w:vAlign w:val="center"/>
            <w:hideMark/>
          </w:tcPr>
          <w:p w14:paraId="5D45D10C" w14:textId="55A8AF83" w:rsidR="0038133B" w:rsidRPr="00D92E20" w:rsidRDefault="0038133B" w:rsidP="0038133B">
            <w:pPr>
              <w:spacing w:after="0" w:line="240" w:lineRule="auto"/>
              <w:jc w:val="right"/>
              <w:rPr>
                <w:rFonts w:cs="Arial"/>
                <w:color w:val="000000"/>
                <w:sz w:val="16"/>
                <w:szCs w:val="16"/>
              </w:rPr>
            </w:pPr>
            <w:r>
              <w:rPr>
                <w:rFonts w:cs="Arial"/>
                <w:sz w:val="16"/>
                <w:szCs w:val="16"/>
              </w:rPr>
              <w:t>360,6</w:t>
            </w:r>
          </w:p>
        </w:tc>
        <w:tc>
          <w:tcPr>
            <w:tcW w:w="1021" w:type="dxa"/>
            <w:tcBorders>
              <w:top w:val="nil"/>
              <w:left w:val="single" w:sz="4" w:space="0" w:color="auto"/>
              <w:bottom w:val="nil"/>
              <w:right w:val="nil"/>
            </w:tcBorders>
            <w:shd w:val="clear" w:color="000000" w:fill="FFFFFF"/>
            <w:vAlign w:val="center"/>
          </w:tcPr>
          <w:p w14:paraId="4AA326E2" w14:textId="075A23FA" w:rsidR="0038133B" w:rsidRDefault="0038133B" w:rsidP="00257662">
            <w:pPr>
              <w:spacing w:after="0" w:line="240" w:lineRule="auto"/>
              <w:jc w:val="right"/>
              <w:rPr>
                <w:rFonts w:cs="Arial"/>
                <w:sz w:val="16"/>
                <w:szCs w:val="16"/>
              </w:rPr>
            </w:pPr>
            <w:r>
              <w:rPr>
                <w:rFonts w:cs="Arial"/>
                <w:sz w:val="16"/>
                <w:szCs w:val="16"/>
              </w:rPr>
              <w:t>14 226,5</w:t>
            </w:r>
          </w:p>
        </w:tc>
        <w:tc>
          <w:tcPr>
            <w:tcW w:w="1020" w:type="dxa"/>
            <w:tcBorders>
              <w:top w:val="nil"/>
              <w:left w:val="nil"/>
              <w:bottom w:val="nil"/>
              <w:right w:val="nil"/>
            </w:tcBorders>
            <w:shd w:val="clear" w:color="000000" w:fill="FFFFFF"/>
            <w:vAlign w:val="center"/>
          </w:tcPr>
          <w:p w14:paraId="2A30971C" w14:textId="2822D5E9" w:rsidR="0038133B" w:rsidRDefault="0038133B" w:rsidP="00257662">
            <w:pPr>
              <w:spacing w:after="0" w:line="240" w:lineRule="auto"/>
              <w:jc w:val="right"/>
              <w:rPr>
                <w:rFonts w:cs="Arial"/>
                <w:sz w:val="16"/>
                <w:szCs w:val="16"/>
              </w:rPr>
            </w:pPr>
            <w:r>
              <w:rPr>
                <w:rFonts w:cs="Arial"/>
                <w:sz w:val="16"/>
                <w:szCs w:val="16"/>
              </w:rPr>
              <w:t>5 943,5</w:t>
            </w:r>
          </w:p>
        </w:tc>
        <w:tc>
          <w:tcPr>
            <w:tcW w:w="1021" w:type="dxa"/>
            <w:tcBorders>
              <w:top w:val="nil"/>
              <w:left w:val="nil"/>
              <w:bottom w:val="nil"/>
              <w:right w:val="single" w:sz="4" w:space="0" w:color="auto"/>
            </w:tcBorders>
            <w:shd w:val="clear" w:color="000000" w:fill="FFFFFF"/>
            <w:vAlign w:val="center"/>
          </w:tcPr>
          <w:p w14:paraId="2E7DF5FE" w14:textId="5B7505F0" w:rsidR="0038133B" w:rsidRDefault="0038133B" w:rsidP="00257662">
            <w:pPr>
              <w:spacing w:after="0" w:line="240" w:lineRule="auto"/>
              <w:jc w:val="right"/>
              <w:rPr>
                <w:rFonts w:cs="Arial"/>
                <w:sz w:val="16"/>
                <w:szCs w:val="16"/>
              </w:rPr>
            </w:pPr>
            <w:r>
              <w:rPr>
                <w:rFonts w:cs="Arial"/>
                <w:sz w:val="16"/>
                <w:szCs w:val="16"/>
              </w:rPr>
              <w:t>8 282,9</w:t>
            </w:r>
          </w:p>
        </w:tc>
        <w:tc>
          <w:tcPr>
            <w:tcW w:w="907" w:type="dxa"/>
            <w:tcBorders>
              <w:top w:val="nil"/>
              <w:left w:val="single" w:sz="4" w:space="0" w:color="auto"/>
              <w:bottom w:val="nil"/>
              <w:right w:val="nil"/>
            </w:tcBorders>
            <w:shd w:val="clear" w:color="auto" w:fill="auto"/>
            <w:vAlign w:val="center"/>
            <w:hideMark/>
          </w:tcPr>
          <w:p w14:paraId="5A719F8F" w14:textId="38FBC9EA" w:rsidR="0038133B" w:rsidRPr="00D92E20" w:rsidRDefault="0038133B" w:rsidP="00257662">
            <w:pPr>
              <w:spacing w:after="0" w:line="240" w:lineRule="auto"/>
              <w:jc w:val="right"/>
              <w:rPr>
                <w:rFonts w:cs="Arial"/>
                <w:color w:val="000000"/>
                <w:sz w:val="16"/>
                <w:szCs w:val="16"/>
              </w:rPr>
            </w:pPr>
            <w:r>
              <w:rPr>
                <w:rFonts w:cs="Arial"/>
                <w:sz w:val="16"/>
                <w:szCs w:val="16"/>
              </w:rPr>
              <w:t>23,3</w:t>
            </w:r>
          </w:p>
        </w:tc>
        <w:tc>
          <w:tcPr>
            <w:tcW w:w="907" w:type="dxa"/>
            <w:tcBorders>
              <w:top w:val="nil"/>
              <w:left w:val="nil"/>
              <w:bottom w:val="nil"/>
              <w:right w:val="nil"/>
            </w:tcBorders>
            <w:shd w:val="clear" w:color="auto" w:fill="auto"/>
            <w:vAlign w:val="center"/>
            <w:hideMark/>
          </w:tcPr>
          <w:p w14:paraId="540327DC" w14:textId="0BE1C12B" w:rsidR="0038133B" w:rsidRPr="00D92E20" w:rsidRDefault="0038133B" w:rsidP="00257662">
            <w:pPr>
              <w:spacing w:after="0" w:line="240" w:lineRule="auto"/>
              <w:jc w:val="right"/>
              <w:rPr>
                <w:rFonts w:cs="Arial"/>
                <w:color w:val="000000"/>
                <w:sz w:val="16"/>
                <w:szCs w:val="16"/>
              </w:rPr>
            </w:pPr>
            <w:r>
              <w:rPr>
                <w:rFonts w:cs="Arial"/>
                <w:sz w:val="16"/>
                <w:szCs w:val="16"/>
              </w:rPr>
              <w:t>23,7</w:t>
            </w:r>
          </w:p>
        </w:tc>
        <w:tc>
          <w:tcPr>
            <w:tcW w:w="908" w:type="dxa"/>
            <w:tcBorders>
              <w:top w:val="nil"/>
              <w:left w:val="nil"/>
              <w:bottom w:val="nil"/>
              <w:right w:val="nil"/>
            </w:tcBorders>
            <w:shd w:val="clear" w:color="auto" w:fill="auto"/>
            <w:vAlign w:val="center"/>
            <w:hideMark/>
          </w:tcPr>
          <w:p w14:paraId="181D06E1" w14:textId="4A70E606" w:rsidR="0038133B" w:rsidRPr="00D92E20" w:rsidRDefault="0038133B" w:rsidP="00257662">
            <w:pPr>
              <w:spacing w:after="0" w:line="240" w:lineRule="auto"/>
              <w:jc w:val="right"/>
              <w:rPr>
                <w:rFonts w:cs="Arial"/>
                <w:color w:val="000000"/>
                <w:sz w:val="16"/>
                <w:szCs w:val="16"/>
              </w:rPr>
            </w:pPr>
            <w:r>
              <w:rPr>
                <w:rFonts w:cs="Arial"/>
                <w:sz w:val="16"/>
                <w:szCs w:val="16"/>
              </w:rPr>
              <w:t>23,0</w:t>
            </w:r>
          </w:p>
        </w:tc>
      </w:tr>
      <w:tr w:rsidR="00B34EC0" w:rsidRPr="00D92E20" w14:paraId="6CE35C38" w14:textId="77777777" w:rsidTr="00257662">
        <w:trPr>
          <w:trHeight w:val="288"/>
        </w:trPr>
        <w:tc>
          <w:tcPr>
            <w:tcW w:w="1271" w:type="dxa"/>
            <w:tcBorders>
              <w:top w:val="nil"/>
              <w:left w:val="nil"/>
              <w:bottom w:val="nil"/>
              <w:right w:val="single" w:sz="4" w:space="0" w:color="auto"/>
            </w:tcBorders>
            <w:shd w:val="clear" w:color="auto" w:fill="auto"/>
            <w:vAlign w:val="center"/>
            <w:hideMark/>
          </w:tcPr>
          <w:p w14:paraId="36D1D038" w14:textId="77777777" w:rsidR="0038133B" w:rsidRPr="00D92E20" w:rsidRDefault="0038133B" w:rsidP="0038133B">
            <w:pPr>
              <w:spacing w:after="0" w:line="240" w:lineRule="auto"/>
              <w:ind w:firstLineChars="100" w:firstLine="160"/>
              <w:rPr>
                <w:rFonts w:cs="Arial"/>
                <w:color w:val="000000"/>
                <w:sz w:val="16"/>
                <w:szCs w:val="16"/>
              </w:rPr>
            </w:pPr>
            <w:r w:rsidRPr="00D92E20">
              <w:rPr>
                <w:rFonts w:cs="Arial"/>
                <w:color w:val="000000"/>
                <w:sz w:val="16"/>
                <w:szCs w:val="16"/>
              </w:rPr>
              <w:t>50–59 let</w:t>
            </w:r>
          </w:p>
        </w:tc>
        <w:tc>
          <w:tcPr>
            <w:tcW w:w="907" w:type="dxa"/>
            <w:tcBorders>
              <w:top w:val="nil"/>
              <w:left w:val="nil"/>
              <w:bottom w:val="nil"/>
              <w:right w:val="nil"/>
            </w:tcBorders>
            <w:shd w:val="clear" w:color="auto" w:fill="auto"/>
            <w:vAlign w:val="center"/>
            <w:hideMark/>
          </w:tcPr>
          <w:p w14:paraId="2A2DCEC9" w14:textId="231E2BA7" w:rsidR="0038133B" w:rsidRPr="00D92E20" w:rsidRDefault="0038133B" w:rsidP="0038133B">
            <w:pPr>
              <w:spacing w:after="0" w:line="240" w:lineRule="auto"/>
              <w:jc w:val="right"/>
              <w:rPr>
                <w:rFonts w:cs="Arial"/>
                <w:color w:val="000000"/>
                <w:sz w:val="16"/>
                <w:szCs w:val="16"/>
              </w:rPr>
            </w:pPr>
            <w:r>
              <w:rPr>
                <w:rFonts w:cs="Arial"/>
                <w:sz w:val="16"/>
                <w:szCs w:val="16"/>
              </w:rPr>
              <w:t>477,5</w:t>
            </w:r>
          </w:p>
        </w:tc>
        <w:tc>
          <w:tcPr>
            <w:tcW w:w="907" w:type="dxa"/>
            <w:tcBorders>
              <w:top w:val="nil"/>
              <w:left w:val="nil"/>
              <w:bottom w:val="nil"/>
              <w:right w:val="nil"/>
            </w:tcBorders>
            <w:shd w:val="clear" w:color="auto" w:fill="auto"/>
            <w:vAlign w:val="center"/>
            <w:hideMark/>
          </w:tcPr>
          <w:p w14:paraId="3A62B1B6" w14:textId="028C072E" w:rsidR="0038133B" w:rsidRPr="00D92E20" w:rsidRDefault="0038133B" w:rsidP="0038133B">
            <w:pPr>
              <w:spacing w:after="0" w:line="240" w:lineRule="auto"/>
              <w:jc w:val="right"/>
              <w:rPr>
                <w:rFonts w:cs="Arial"/>
                <w:color w:val="000000"/>
                <w:sz w:val="16"/>
                <w:szCs w:val="16"/>
              </w:rPr>
            </w:pPr>
            <w:r>
              <w:rPr>
                <w:rFonts w:cs="Arial"/>
                <w:sz w:val="16"/>
                <w:szCs w:val="16"/>
              </w:rPr>
              <w:t>191,7</w:t>
            </w:r>
          </w:p>
        </w:tc>
        <w:tc>
          <w:tcPr>
            <w:tcW w:w="907" w:type="dxa"/>
            <w:tcBorders>
              <w:top w:val="nil"/>
              <w:left w:val="nil"/>
              <w:bottom w:val="nil"/>
              <w:right w:val="single" w:sz="4" w:space="0" w:color="auto"/>
            </w:tcBorders>
            <w:shd w:val="clear" w:color="auto" w:fill="auto"/>
            <w:vAlign w:val="center"/>
            <w:hideMark/>
          </w:tcPr>
          <w:p w14:paraId="774871E6" w14:textId="75BBE4A4" w:rsidR="0038133B" w:rsidRPr="00D92E20" w:rsidRDefault="0038133B" w:rsidP="0038133B">
            <w:pPr>
              <w:spacing w:after="0" w:line="240" w:lineRule="auto"/>
              <w:jc w:val="right"/>
              <w:rPr>
                <w:rFonts w:cs="Arial"/>
                <w:color w:val="000000"/>
                <w:sz w:val="16"/>
                <w:szCs w:val="16"/>
              </w:rPr>
            </w:pPr>
            <w:r>
              <w:rPr>
                <w:rFonts w:cs="Arial"/>
                <w:sz w:val="16"/>
                <w:szCs w:val="16"/>
              </w:rPr>
              <w:t>285,8</w:t>
            </w:r>
          </w:p>
        </w:tc>
        <w:tc>
          <w:tcPr>
            <w:tcW w:w="1021" w:type="dxa"/>
            <w:tcBorders>
              <w:top w:val="nil"/>
              <w:left w:val="single" w:sz="4" w:space="0" w:color="auto"/>
              <w:bottom w:val="nil"/>
              <w:right w:val="nil"/>
            </w:tcBorders>
            <w:shd w:val="clear" w:color="000000" w:fill="FFFFFF"/>
            <w:vAlign w:val="center"/>
          </w:tcPr>
          <w:p w14:paraId="241A89EC" w14:textId="3371AE2A" w:rsidR="0038133B" w:rsidRDefault="0038133B" w:rsidP="00257662">
            <w:pPr>
              <w:spacing w:after="0" w:line="240" w:lineRule="auto"/>
              <w:jc w:val="right"/>
              <w:rPr>
                <w:rFonts w:cs="Arial"/>
                <w:sz w:val="16"/>
                <w:szCs w:val="16"/>
              </w:rPr>
            </w:pPr>
            <w:r>
              <w:rPr>
                <w:rFonts w:cs="Arial"/>
                <w:sz w:val="16"/>
                <w:szCs w:val="16"/>
              </w:rPr>
              <w:t>15 736,0</w:t>
            </w:r>
          </w:p>
        </w:tc>
        <w:tc>
          <w:tcPr>
            <w:tcW w:w="1020" w:type="dxa"/>
            <w:tcBorders>
              <w:top w:val="nil"/>
              <w:left w:val="nil"/>
              <w:bottom w:val="nil"/>
              <w:right w:val="nil"/>
            </w:tcBorders>
            <w:shd w:val="clear" w:color="000000" w:fill="FFFFFF"/>
            <w:vAlign w:val="center"/>
          </w:tcPr>
          <w:p w14:paraId="6708265B" w14:textId="2B336344" w:rsidR="0038133B" w:rsidRDefault="0038133B" w:rsidP="00257662">
            <w:pPr>
              <w:spacing w:after="0" w:line="240" w:lineRule="auto"/>
              <w:jc w:val="right"/>
              <w:rPr>
                <w:rFonts w:cs="Arial"/>
                <w:sz w:val="16"/>
                <w:szCs w:val="16"/>
              </w:rPr>
            </w:pPr>
            <w:r>
              <w:rPr>
                <w:rFonts w:cs="Arial"/>
                <w:sz w:val="16"/>
                <w:szCs w:val="16"/>
              </w:rPr>
              <w:t>6 754,2</w:t>
            </w:r>
          </w:p>
        </w:tc>
        <w:tc>
          <w:tcPr>
            <w:tcW w:w="1021" w:type="dxa"/>
            <w:tcBorders>
              <w:top w:val="nil"/>
              <w:left w:val="nil"/>
              <w:bottom w:val="nil"/>
              <w:right w:val="single" w:sz="4" w:space="0" w:color="auto"/>
            </w:tcBorders>
            <w:shd w:val="clear" w:color="000000" w:fill="FFFFFF"/>
            <w:vAlign w:val="center"/>
          </w:tcPr>
          <w:p w14:paraId="533DFE49" w14:textId="6D73F1A8" w:rsidR="0038133B" w:rsidRDefault="0038133B" w:rsidP="00257662">
            <w:pPr>
              <w:spacing w:after="0" w:line="240" w:lineRule="auto"/>
              <w:jc w:val="right"/>
              <w:rPr>
                <w:rFonts w:cs="Arial"/>
                <w:sz w:val="16"/>
                <w:szCs w:val="16"/>
              </w:rPr>
            </w:pPr>
            <w:r>
              <w:rPr>
                <w:rFonts w:cs="Arial"/>
                <w:sz w:val="16"/>
                <w:szCs w:val="16"/>
              </w:rPr>
              <w:t>8 981,8</w:t>
            </w:r>
          </w:p>
        </w:tc>
        <w:tc>
          <w:tcPr>
            <w:tcW w:w="907" w:type="dxa"/>
            <w:tcBorders>
              <w:top w:val="nil"/>
              <w:left w:val="single" w:sz="4" w:space="0" w:color="auto"/>
              <w:bottom w:val="nil"/>
              <w:right w:val="nil"/>
            </w:tcBorders>
            <w:shd w:val="clear" w:color="auto" w:fill="auto"/>
            <w:vAlign w:val="center"/>
            <w:hideMark/>
          </w:tcPr>
          <w:p w14:paraId="31467C24" w14:textId="3152DEE6" w:rsidR="0038133B" w:rsidRPr="00D92E20" w:rsidRDefault="0038133B" w:rsidP="00257662">
            <w:pPr>
              <w:spacing w:after="0" w:line="240" w:lineRule="auto"/>
              <w:jc w:val="right"/>
              <w:rPr>
                <w:rFonts w:cs="Arial"/>
                <w:color w:val="000000"/>
                <w:sz w:val="16"/>
                <w:szCs w:val="16"/>
              </w:rPr>
            </w:pPr>
            <w:r>
              <w:rPr>
                <w:rFonts w:cs="Arial"/>
                <w:sz w:val="16"/>
                <w:szCs w:val="16"/>
              </w:rPr>
              <w:t>33,0</w:t>
            </w:r>
          </w:p>
        </w:tc>
        <w:tc>
          <w:tcPr>
            <w:tcW w:w="907" w:type="dxa"/>
            <w:tcBorders>
              <w:top w:val="nil"/>
              <w:left w:val="nil"/>
              <w:bottom w:val="nil"/>
              <w:right w:val="nil"/>
            </w:tcBorders>
            <w:shd w:val="clear" w:color="auto" w:fill="auto"/>
            <w:vAlign w:val="center"/>
            <w:hideMark/>
          </w:tcPr>
          <w:p w14:paraId="78154705" w14:textId="40385BFC" w:rsidR="0038133B" w:rsidRPr="00D92E20" w:rsidRDefault="0038133B" w:rsidP="00257662">
            <w:pPr>
              <w:spacing w:after="0" w:line="240" w:lineRule="auto"/>
              <w:jc w:val="right"/>
              <w:rPr>
                <w:rFonts w:cs="Arial"/>
                <w:color w:val="000000"/>
                <w:sz w:val="16"/>
                <w:szCs w:val="16"/>
              </w:rPr>
            </w:pPr>
            <w:r>
              <w:rPr>
                <w:rFonts w:cs="Arial"/>
                <w:sz w:val="16"/>
                <w:szCs w:val="16"/>
              </w:rPr>
              <w:t>35,2</w:t>
            </w:r>
          </w:p>
        </w:tc>
        <w:tc>
          <w:tcPr>
            <w:tcW w:w="908" w:type="dxa"/>
            <w:tcBorders>
              <w:top w:val="nil"/>
              <w:left w:val="nil"/>
              <w:bottom w:val="nil"/>
              <w:right w:val="nil"/>
            </w:tcBorders>
            <w:shd w:val="clear" w:color="auto" w:fill="auto"/>
            <w:vAlign w:val="center"/>
            <w:hideMark/>
          </w:tcPr>
          <w:p w14:paraId="635271C4" w14:textId="6B77AC6E" w:rsidR="0038133B" w:rsidRPr="00D92E20" w:rsidRDefault="0038133B" w:rsidP="00257662">
            <w:pPr>
              <w:spacing w:after="0" w:line="240" w:lineRule="auto"/>
              <w:jc w:val="right"/>
              <w:rPr>
                <w:rFonts w:cs="Arial"/>
                <w:color w:val="000000"/>
                <w:sz w:val="16"/>
                <w:szCs w:val="16"/>
              </w:rPr>
            </w:pPr>
            <w:r>
              <w:rPr>
                <w:rFonts w:cs="Arial"/>
                <w:sz w:val="16"/>
                <w:szCs w:val="16"/>
              </w:rPr>
              <w:t>31,4</w:t>
            </w:r>
          </w:p>
        </w:tc>
      </w:tr>
      <w:tr w:rsidR="002E0A24" w:rsidRPr="00D92E20" w14:paraId="7C794DF4" w14:textId="77777777" w:rsidTr="00257662">
        <w:trPr>
          <w:trHeight w:val="288"/>
        </w:trPr>
        <w:tc>
          <w:tcPr>
            <w:tcW w:w="1271" w:type="dxa"/>
            <w:tcBorders>
              <w:top w:val="nil"/>
              <w:left w:val="nil"/>
              <w:bottom w:val="nil"/>
              <w:right w:val="single" w:sz="4" w:space="0" w:color="auto"/>
            </w:tcBorders>
            <w:shd w:val="clear" w:color="auto" w:fill="auto"/>
            <w:vAlign w:val="center"/>
            <w:hideMark/>
          </w:tcPr>
          <w:p w14:paraId="6955BF63" w14:textId="77777777" w:rsidR="0038133B" w:rsidRPr="00D92E20" w:rsidRDefault="0038133B" w:rsidP="0038133B">
            <w:pPr>
              <w:spacing w:after="0" w:line="240" w:lineRule="auto"/>
              <w:ind w:firstLineChars="100" w:firstLine="160"/>
              <w:rPr>
                <w:rFonts w:cs="Arial"/>
                <w:color w:val="000000"/>
                <w:sz w:val="16"/>
                <w:szCs w:val="16"/>
              </w:rPr>
            </w:pPr>
            <w:r w:rsidRPr="00D92E20">
              <w:rPr>
                <w:rFonts w:cs="Arial"/>
                <w:color w:val="000000"/>
                <w:sz w:val="16"/>
                <w:szCs w:val="16"/>
              </w:rPr>
              <w:t>60 a více let</w:t>
            </w:r>
          </w:p>
        </w:tc>
        <w:tc>
          <w:tcPr>
            <w:tcW w:w="907" w:type="dxa"/>
            <w:tcBorders>
              <w:top w:val="nil"/>
              <w:left w:val="nil"/>
              <w:bottom w:val="nil"/>
              <w:right w:val="nil"/>
            </w:tcBorders>
            <w:shd w:val="clear" w:color="auto" w:fill="auto"/>
            <w:vAlign w:val="center"/>
            <w:hideMark/>
          </w:tcPr>
          <w:p w14:paraId="199C1A4D" w14:textId="4E15E5A5" w:rsidR="0038133B" w:rsidRPr="00D92E20" w:rsidRDefault="0038133B" w:rsidP="0038133B">
            <w:pPr>
              <w:spacing w:after="0" w:line="240" w:lineRule="auto"/>
              <w:jc w:val="right"/>
              <w:rPr>
                <w:rFonts w:cs="Arial"/>
                <w:color w:val="000000"/>
                <w:sz w:val="16"/>
                <w:szCs w:val="16"/>
              </w:rPr>
            </w:pPr>
            <w:r>
              <w:rPr>
                <w:rFonts w:cs="Arial"/>
                <w:sz w:val="16"/>
                <w:szCs w:val="16"/>
              </w:rPr>
              <w:t>138,1</w:t>
            </w:r>
          </w:p>
        </w:tc>
        <w:tc>
          <w:tcPr>
            <w:tcW w:w="907" w:type="dxa"/>
            <w:tcBorders>
              <w:top w:val="nil"/>
              <w:left w:val="nil"/>
              <w:bottom w:val="single" w:sz="4" w:space="0" w:color="auto"/>
              <w:right w:val="nil"/>
            </w:tcBorders>
            <w:shd w:val="clear" w:color="auto" w:fill="auto"/>
            <w:vAlign w:val="center"/>
            <w:hideMark/>
          </w:tcPr>
          <w:p w14:paraId="14A9AD94" w14:textId="5EA02CF1" w:rsidR="0038133B" w:rsidRPr="00D92E20" w:rsidRDefault="0038133B" w:rsidP="0038133B">
            <w:pPr>
              <w:spacing w:after="0" w:line="240" w:lineRule="auto"/>
              <w:jc w:val="right"/>
              <w:rPr>
                <w:rFonts w:cs="Arial"/>
                <w:color w:val="000000"/>
                <w:sz w:val="16"/>
                <w:szCs w:val="16"/>
              </w:rPr>
            </w:pPr>
            <w:r>
              <w:rPr>
                <w:rFonts w:cs="Arial"/>
                <w:sz w:val="16"/>
                <w:szCs w:val="16"/>
              </w:rPr>
              <w:t>71,3</w:t>
            </w:r>
          </w:p>
        </w:tc>
        <w:tc>
          <w:tcPr>
            <w:tcW w:w="907" w:type="dxa"/>
            <w:tcBorders>
              <w:top w:val="nil"/>
              <w:left w:val="nil"/>
              <w:bottom w:val="nil"/>
              <w:right w:val="single" w:sz="4" w:space="0" w:color="auto"/>
            </w:tcBorders>
            <w:shd w:val="clear" w:color="auto" w:fill="auto"/>
            <w:vAlign w:val="center"/>
            <w:hideMark/>
          </w:tcPr>
          <w:p w14:paraId="4C74C3AF" w14:textId="2188EC99" w:rsidR="0038133B" w:rsidRPr="00D92E20" w:rsidRDefault="0038133B" w:rsidP="0038133B">
            <w:pPr>
              <w:spacing w:after="0" w:line="240" w:lineRule="auto"/>
              <w:jc w:val="right"/>
              <w:rPr>
                <w:rFonts w:cs="Arial"/>
                <w:color w:val="000000"/>
                <w:sz w:val="16"/>
                <w:szCs w:val="16"/>
              </w:rPr>
            </w:pPr>
            <w:r>
              <w:rPr>
                <w:rFonts w:cs="Arial"/>
                <w:sz w:val="16"/>
                <w:szCs w:val="16"/>
              </w:rPr>
              <w:t>66,8</w:t>
            </w:r>
          </w:p>
        </w:tc>
        <w:tc>
          <w:tcPr>
            <w:tcW w:w="1021" w:type="dxa"/>
            <w:tcBorders>
              <w:top w:val="nil"/>
              <w:left w:val="single" w:sz="4" w:space="0" w:color="auto"/>
              <w:bottom w:val="nil"/>
              <w:right w:val="nil"/>
            </w:tcBorders>
            <w:shd w:val="clear" w:color="000000" w:fill="FFFFFF"/>
            <w:vAlign w:val="center"/>
          </w:tcPr>
          <w:p w14:paraId="62050754" w14:textId="140A9E97" w:rsidR="0038133B" w:rsidRDefault="0038133B" w:rsidP="00257662">
            <w:pPr>
              <w:spacing w:after="0" w:line="240" w:lineRule="auto"/>
              <w:jc w:val="right"/>
              <w:rPr>
                <w:rFonts w:cs="Arial"/>
                <w:sz w:val="16"/>
                <w:szCs w:val="16"/>
              </w:rPr>
            </w:pPr>
            <w:r>
              <w:rPr>
                <w:rFonts w:cs="Arial"/>
                <w:sz w:val="16"/>
                <w:szCs w:val="16"/>
              </w:rPr>
              <w:t>5 939,8</w:t>
            </w:r>
          </w:p>
        </w:tc>
        <w:tc>
          <w:tcPr>
            <w:tcW w:w="1020" w:type="dxa"/>
            <w:tcBorders>
              <w:top w:val="nil"/>
              <w:left w:val="nil"/>
              <w:bottom w:val="nil"/>
              <w:right w:val="nil"/>
            </w:tcBorders>
            <w:shd w:val="clear" w:color="000000" w:fill="FFFFFF"/>
            <w:vAlign w:val="center"/>
          </w:tcPr>
          <w:p w14:paraId="0F5D46DC" w14:textId="7672B156" w:rsidR="0038133B" w:rsidRDefault="0038133B" w:rsidP="00257662">
            <w:pPr>
              <w:spacing w:after="0" w:line="240" w:lineRule="auto"/>
              <w:jc w:val="right"/>
              <w:rPr>
                <w:rFonts w:cs="Arial"/>
                <w:sz w:val="16"/>
                <w:szCs w:val="16"/>
              </w:rPr>
            </w:pPr>
            <w:r>
              <w:rPr>
                <w:rFonts w:cs="Arial"/>
                <w:sz w:val="16"/>
                <w:szCs w:val="16"/>
              </w:rPr>
              <w:t>3 464,4</w:t>
            </w:r>
          </w:p>
        </w:tc>
        <w:tc>
          <w:tcPr>
            <w:tcW w:w="1021" w:type="dxa"/>
            <w:tcBorders>
              <w:top w:val="nil"/>
              <w:left w:val="nil"/>
              <w:bottom w:val="nil"/>
              <w:right w:val="single" w:sz="4" w:space="0" w:color="auto"/>
            </w:tcBorders>
            <w:shd w:val="clear" w:color="000000" w:fill="FFFFFF"/>
            <w:vAlign w:val="center"/>
          </w:tcPr>
          <w:p w14:paraId="1FCA6A1E" w14:textId="290A3012" w:rsidR="0038133B" w:rsidRDefault="0038133B" w:rsidP="00257662">
            <w:pPr>
              <w:spacing w:after="0" w:line="240" w:lineRule="auto"/>
              <w:jc w:val="right"/>
              <w:rPr>
                <w:rFonts w:cs="Arial"/>
                <w:sz w:val="16"/>
                <w:szCs w:val="16"/>
              </w:rPr>
            </w:pPr>
            <w:r>
              <w:rPr>
                <w:rFonts w:cs="Arial"/>
                <w:sz w:val="16"/>
                <w:szCs w:val="16"/>
              </w:rPr>
              <w:t>2 475,3</w:t>
            </w:r>
          </w:p>
        </w:tc>
        <w:tc>
          <w:tcPr>
            <w:tcW w:w="907" w:type="dxa"/>
            <w:tcBorders>
              <w:top w:val="nil"/>
              <w:left w:val="single" w:sz="4" w:space="0" w:color="auto"/>
              <w:bottom w:val="nil"/>
              <w:right w:val="nil"/>
            </w:tcBorders>
            <w:shd w:val="clear" w:color="auto" w:fill="auto"/>
            <w:vAlign w:val="center"/>
            <w:hideMark/>
          </w:tcPr>
          <w:p w14:paraId="3683DDE7" w14:textId="0C512378" w:rsidR="0038133B" w:rsidRPr="00D92E20" w:rsidRDefault="0038133B" w:rsidP="00257662">
            <w:pPr>
              <w:spacing w:after="0" w:line="240" w:lineRule="auto"/>
              <w:jc w:val="right"/>
              <w:rPr>
                <w:rFonts w:cs="Arial"/>
                <w:color w:val="000000"/>
                <w:sz w:val="16"/>
                <w:szCs w:val="16"/>
              </w:rPr>
            </w:pPr>
            <w:r>
              <w:rPr>
                <w:rFonts w:cs="Arial"/>
                <w:sz w:val="16"/>
                <w:szCs w:val="16"/>
              </w:rPr>
              <w:t>43,0</w:t>
            </w:r>
          </w:p>
        </w:tc>
        <w:tc>
          <w:tcPr>
            <w:tcW w:w="907" w:type="dxa"/>
            <w:tcBorders>
              <w:top w:val="nil"/>
              <w:left w:val="nil"/>
              <w:bottom w:val="single" w:sz="4" w:space="0" w:color="auto"/>
              <w:right w:val="nil"/>
            </w:tcBorders>
            <w:shd w:val="clear" w:color="auto" w:fill="auto"/>
            <w:vAlign w:val="center"/>
            <w:hideMark/>
          </w:tcPr>
          <w:p w14:paraId="7BE4ABC6" w14:textId="5CA3E4E9" w:rsidR="0038133B" w:rsidRPr="00D92E20" w:rsidRDefault="0038133B" w:rsidP="00257662">
            <w:pPr>
              <w:spacing w:after="0" w:line="240" w:lineRule="auto"/>
              <w:jc w:val="right"/>
              <w:rPr>
                <w:rFonts w:cs="Arial"/>
                <w:color w:val="000000"/>
                <w:sz w:val="16"/>
                <w:szCs w:val="16"/>
              </w:rPr>
            </w:pPr>
            <w:r>
              <w:rPr>
                <w:rFonts w:cs="Arial"/>
                <w:sz w:val="16"/>
                <w:szCs w:val="16"/>
              </w:rPr>
              <w:t>48,6</w:t>
            </w:r>
          </w:p>
        </w:tc>
        <w:tc>
          <w:tcPr>
            <w:tcW w:w="908" w:type="dxa"/>
            <w:tcBorders>
              <w:top w:val="nil"/>
              <w:left w:val="nil"/>
              <w:bottom w:val="nil"/>
              <w:right w:val="nil"/>
            </w:tcBorders>
            <w:shd w:val="clear" w:color="auto" w:fill="auto"/>
            <w:vAlign w:val="center"/>
            <w:hideMark/>
          </w:tcPr>
          <w:p w14:paraId="0E9EC85D" w14:textId="69D8C71F" w:rsidR="0038133B" w:rsidRPr="00D92E20" w:rsidRDefault="0038133B" w:rsidP="00257662">
            <w:pPr>
              <w:spacing w:after="0" w:line="240" w:lineRule="auto"/>
              <w:jc w:val="right"/>
              <w:rPr>
                <w:rFonts w:cs="Arial"/>
                <w:color w:val="000000"/>
                <w:sz w:val="16"/>
                <w:szCs w:val="16"/>
              </w:rPr>
            </w:pPr>
            <w:r>
              <w:rPr>
                <w:rFonts w:cs="Arial"/>
                <w:sz w:val="16"/>
                <w:szCs w:val="16"/>
              </w:rPr>
              <w:t>37,1</w:t>
            </w:r>
          </w:p>
        </w:tc>
      </w:tr>
      <w:tr w:rsidR="0038133B" w:rsidRPr="00D92E20" w14:paraId="2A5212F4" w14:textId="77777777" w:rsidTr="002E0A24">
        <w:trPr>
          <w:trHeight w:val="288"/>
        </w:trPr>
        <w:tc>
          <w:tcPr>
            <w:tcW w:w="1271" w:type="dxa"/>
            <w:tcBorders>
              <w:top w:val="single" w:sz="4" w:space="0" w:color="auto"/>
              <w:left w:val="nil"/>
              <w:bottom w:val="single" w:sz="4" w:space="0" w:color="auto"/>
              <w:right w:val="single" w:sz="4" w:space="0" w:color="auto"/>
            </w:tcBorders>
            <w:shd w:val="clear" w:color="000000" w:fill="F5DADD"/>
            <w:vAlign w:val="center"/>
            <w:hideMark/>
          </w:tcPr>
          <w:p w14:paraId="54B0965B" w14:textId="77777777" w:rsidR="0038133B" w:rsidRPr="00D92E20" w:rsidRDefault="0038133B" w:rsidP="0038133B">
            <w:pPr>
              <w:spacing w:after="0" w:line="240" w:lineRule="auto"/>
              <w:jc w:val="center"/>
              <w:rPr>
                <w:rFonts w:cs="Arial"/>
                <w:color w:val="000000"/>
                <w:sz w:val="16"/>
                <w:szCs w:val="16"/>
              </w:rPr>
            </w:pPr>
            <w:r w:rsidRPr="00D92E20">
              <w:rPr>
                <w:rFonts w:cs="Arial"/>
                <w:color w:val="000000"/>
                <w:sz w:val="16"/>
                <w:szCs w:val="16"/>
              </w:rPr>
              <w:t> </w:t>
            </w:r>
          </w:p>
        </w:tc>
        <w:tc>
          <w:tcPr>
            <w:tcW w:w="8504" w:type="dxa"/>
            <w:gridSpan w:val="9"/>
            <w:tcBorders>
              <w:top w:val="single" w:sz="4" w:space="0" w:color="auto"/>
              <w:left w:val="nil"/>
              <w:bottom w:val="single" w:sz="4" w:space="0" w:color="auto"/>
              <w:right w:val="nil"/>
            </w:tcBorders>
            <w:shd w:val="clear" w:color="000000" w:fill="F2DBDB"/>
            <w:vAlign w:val="center"/>
          </w:tcPr>
          <w:p w14:paraId="1584FFB2" w14:textId="3355CB3A" w:rsidR="0038133B" w:rsidRPr="00D92E20" w:rsidRDefault="0038133B" w:rsidP="0038133B">
            <w:pPr>
              <w:spacing w:after="0" w:line="240" w:lineRule="auto"/>
              <w:jc w:val="center"/>
              <w:rPr>
                <w:rFonts w:cs="Arial"/>
                <w:b/>
                <w:bCs/>
                <w:color w:val="000000"/>
                <w:sz w:val="16"/>
                <w:szCs w:val="16"/>
              </w:rPr>
            </w:pPr>
            <w:r>
              <w:rPr>
                <w:rFonts w:cs="Arial"/>
                <w:b/>
                <w:bCs/>
                <w:color w:val="000000"/>
                <w:sz w:val="16"/>
                <w:szCs w:val="16"/>
              </w:rPr>
              <w:t>1. pol. 2021</w:t>
            </w:r>
          </w:p>
        </w:tc>
      </w:tr>
      <w:tr w:rsidR="00B34EC0" w:rsidRPr="00D92E20" w14:paraId="34A0EF4C" w14:textId="77777777" w:rsidTr="00257662">
        <w:trPr>
          <w:trHeight w:val="288"/>
        </w:trPr>
        <w:tc>
          <w:tcPr>
            <w:tcW w:w="1271" w:type="dxa"/>
            <w:tcBorders>
              <w:top w:val="nil"/>
              <w:left w:val="nil"/>
              <w:bottom w:val="nil"/>
              <w:right w:val="single" w:sz="4" w:space="0" w:color="auto"/>
            </w:tcBorders>
            <w:shd w:val="clear" w:color="auto" w:fill="auto"/>
            <w:vAlign w:val="center"/>
            <w:hideMark/>
          </w:tcPr>
          <w:p w14:paraId="29ADD277" w14:textId="77777777" w:rsidR="0038133B" w:rsidRPr="00D92E20" w:rsidRDefault="0038133B" w:rsidP="0038133B">
            <w:pPr>
              <w:spacing w:after="0" w:line="240" w:lineRule="auto"/>
              <w:rPr>
                <w:rFonts w:cs="Arial"/>
                <w:b/>
                <w:bCs/>
                <w:color w:val="000000"/>
                <w:sz w:val="16"/>
                <w:szCs w:val="16"/>
              </w:rPr>
            </w:pPr>
            <w:r w:rsidRPr="00D92E20">
              <w:rPr>
                <w:rFonts w:cs="Arial"/>
                <w:b/>
                <w:bCs/>
                <w:color w:val="000000"/>
                <w:sz w:val="16"/>
                <w:szCs w:val="16"/>
              </w:rPr>
              <w:t>Celkem</w:t>
            </w:r>
          </w:p>
        </w:tc>
        <w:tc>
          <w:tcPr>
            <w:tcW w:w="907" w:type="dxa"/>
            <w:tcBorders>
              <w:top w:val="nil"/>
              <w:left w:val="nil"/>
              <w:bottom w:val="nil"/>
              <w:right w:val="nil"/>
            </w:tcBorders>
            <w:shd w:val="clear" w:color="auto" w:fill="auto"/>
            <w:vAlign w:val="center"/>
            <w:hideMark/>
          </w:tcPr>
          <w:p w14:paraId="0C6FDF13" w14:textId="509CCE25" w:rsidR="0038133B" w:rsidRPr="00D92E20" w:rsidRDefault="0038133B" w:rsidP="0038133B">
            <w:pPr>
              <w:spacing w:after="0" w:line="240" w:lineRule="auto"/>
              <w:jc w:val="right"/>
              <w:rPr>
                <w:rFonts w:cs="Arial"/>
                <w:b/>
                <w:bCs/>
                <w:color w:val="000000"/>
                <w:sz w:val="16"/>
                <w:szCs w:val="16"/>
              </w:rPr>
            </w:pPr>
            <w:r>
              <w:rPr>
                <w:rFonts w:cs="Arial"/>
                <w:b/>
                <w:bCs/>
                <w:sz w:val="16"/>
                <w:szCs w:val="16"/>
              </w:rPr>
              <w:t>1 423,1</w:t>
            </w:r>
          </w:p>
        </w:tc>
        <w:tc>
          <w:tcPr>
            <w:tcW w:w="907" w:type="dxa"/>
            <w:tcBorders>
              <w:top w:val="nil"/>
              <w:left w:val="nil"/>
              <w:bottom w:val="nil"/>
              <w:right w:val="nil"/>
            </w:tcBorders>
            <w:shd w:val="clear" w:color="auto" w:fill="auto"/>
            <w:vAlign w:val="center"/>
            <w:hideMark/>
          </w:tcPr>
          <w:p w14:paraId="3ACD8616" w14:textId="6E371C78" w:rsidR="0038133B" w:rsidRPr="00D92E20" w:rsidRDefault="0038133B" w:rsidP="0038133B">
            <w:pPr>
              <w:spacing w:after="0" w:line="240" w:lineRule="auto"/>
              <w:jc w:val="right"/>
              <w:rPr>
                <w:rFonts w:cs="Arial"/>
                <w:b/>
                <w:bCs/>
                <w:color w:val="000000"/>
                <w:sz w:val="16"/>
                <w:szCs w:val="16"/>
              </w:rPr>
            </w:pPr>
            <w:r>
              <w:rPr>
                <w:rFonts w:cs="Arial"/>
                <w:b/>
                <w:bCs/>
                <w:sz w:val="16"/>
                <w:szCs w:val="16"/>
              </w:rPr>
              <w:t>708,5</w:t>
            </w:r>
          </w:p>
        </w:tc>
        <w:tc>
          <w:tcPr>
            <w:tcW w:w="907" w:type="dxa"/>
            <w:tcBorders>
              <w:top w:val="nil"/>
              <w:left w:val="nil"/>
              <w:bottom w:val="nil"/>
              <w:right w:val="single" w:sz="4" w:space="0" w:color="auto"/>
            </w:tcBorders>
            <w:shd w:val="clear" w:color="auto" w:fill="auto"/>
            <w:vAlign w:val="center"/>
            <w:hideMark/>
          </w:tcPr>
          <w:p w14:paraId="799DDDF1" w14:textId="2BFE6A84" w:rsidR="0038133B" w:rsidRPr="00D92E20" w:rsidRDefault="0038133B" w:rsidP="0038133B">
            <w:pPr>
              <w:spacing w:after="0" w:line="240" w:lineRule="auto"/>
              <w:jc w:val="right"/>
              <w:rPr>
                <w:rFonts w:cs="Arial"/>
                <w:b/>
                <w:bCs/>
                <w:color w:val="000000"/>
                <w:sz w:val="16"/>
                <w:szCs w:val="16"/>
              </w:rPr>
            </w:pPr>
            <w:r>
              <w:rPr>
                <w:rFonts w:cs="Arial"/>
                <w:b/>
                <w:bCs/>
                <w:sz w:val="16"/>
                <w:szCs w:val="16"/>
              </w:rPr>
              <w:t>714,7</w:t>
            </w:r>
          </w:p>
        </w:tc>
        <w:tc>
          <w:tcPr>
            <w:tcW w:w="1021" w:type="dxa"/>
            <w:tcBorders>
              <w:top w:val="nil"/>
              <w:left w:val="single" w:sz="4" w:space="0" w:color="auto"/>
              <w:bottom w:val="nil"/>
              <w:right w:val="nil"/>
            </w:tcBorders>
            <w:shd w:val="clear" w:color="000000" w:fill="FFFFFF"/>
            <w:vAlign w:val="center"/>
          </w:tcPr>
          <w:p w14:paraId="5204F37A" w14:textId="1CB4174D" w:rsidR="0038133B" w:rsidRDefault="0038133B" w:rsidP="00257662">
            <w:pPr>
              <w:spacing w:after="0" w:line="240" w:lineRule="auto"/>
              <w:jc w:val="right"/>
              <w:rPr>
                <w:rFonts w:cs="Arial"/>
                <w:b/>
                <w:bCs/>
                <w:sz w:val="16"/>
                <w:szCs w:val="16"/>
              </w:rPr>
            </w:pPr>
            <w:r>
              <w:rPr>
                <w:rFonts w:cs="Arial"/>
                <w:b/>
                <w:bCs/>
                <w:sz w:val="16"/>
                <w:szCs w:val="16"/>
              </w:rPr>
              <w:t>51 409,2</w:t>
            </w:r>
          </w:p>
        </w:tc>
        <w:tc>
          <w:tcPr>
            <w:tcW w:w="1020" w:type="dxa"/>
            <w:tcBorders>
              <w:top w:val="nil"/>
              <w:left w:val="nil"/>
              <w:bottom w:val="nil"/>
              <w:right w:val="nil"/>
            </w:tcBorders>
            <w:shd w:val="clear" w:color="000000" w:fill="FFFFFF"/>
            <w:vAlign w:val="center"/>
          </w:tcPr>
          <w:p w14:paraId="2B74ED4A" w14:textId="43EEB299" w:rsidR="0038133B" w:rsidRDefault="0038133B" w:rsidP="00257662">
            <w:pPr>
              <w:spacing w:after="0" w:line="240" w:lineRule="auto"/>
              <w:jc w:val="right"/>
              <w:rPr>
                <w:rFonts w:cs="Arial"/>
                <w:b/>
                <w:bCs/>
                <w:sz w:val="16"/>
                <w:szCs w:val="16"/>
              </w:rPr>
            </w:pPr>
            <w:r>
              <w:rPr>
                <w:rFonts w:cs="Arial"/>
                <w:b/>
                <w:bCs/>
                <w:sz w:val="16"/>
                <w:szCs w:val="16"/>
              </w:rPr>
              <w:t>23 928,4</w:t>
            </w:r>
          </w:p>
        </w:tc>
        <w:tc>
          <w:tcPr>
            <w:tcW w:w="1021" w:type="dxa"/>
            <w:tcBorders>
              <w:top w:val="single" w:sz="4" w:space="0" w:color="auto"/>
              <w:left w:val="nil"/>
              <w:bottom w:val="nil"/>
              <w:right w:val="single" w:sz="4" w:space="0" w:color="auto"/>
            </w:tcBorders>
            <w:shd w:val="clear" w:color="000000" w:fill="FFFFFF"/>
            <w:vAlign w:val="center"/>
          </w:tcPr>
          <w:p w14:paraId="64D04F78" w14:textId="37467851" w:rsidR="0038133B" w:rsidRDefault="0038133B" w:rsidP="00257662">
            <w:pPr>
              <w:spacing w:after="0" w:line="240" w:lineRule="auto"/>
              <w:jc w:val="right"/>
              <w:rPr>
                <w:rFonts w:cs="Arial"/>
                <w:b/>
                <w:bCs/>
                <w:sz w:val="16"/>
                <w:szCs w:val="16"/>
              </w:rPr>
            </w:pPr>
            <w:r>
              <w:rPr>
                <w:rFonts w:cs="Arial"/>
                <w:b/>
                <w:bCs/>
                <w:sz w:val="16"/>
                <w:szCs w:val="16"/>
              </w:rPr>
              <w:t>27 480,8</w:t>
            </w:r>
          </w:p>
        </w:tc>
        <w:tc>
          <w:tcPr>
            <w:tcW w:w="907" w:type="dxa"/>
            <w:tcBorders>
              <w:top w:val="nil"/>
              <w:left w:val="single" w:sz="4" w:space="0" w:color="auto"/>
              <w:bottom w:val="nil"/>
              <w:right w:val="nil"/>
            </w:tcBorders>
            <w:shd w:val="clear" w:color="auto" w:fill="auto"/>
            <w:vAlign w:val="center"/>
            <w:hideMark/>
          </w:tcPr>
          <w:p w14:paraId="38587298" w14:textId="3FCE34E7" w:rsidR="0038133B" w:rsidRPr="00D92E20" w:rsidRDefault="0038133B" w:rsidP="00257662">
            <w:pPr>
              <w:spacing w:after="0" w:line="240" w:lineRule="auto"/>
              <w:jc w:val="right"/>
              <w:rPr>
                <w:rFonts w:cs="Arial"/>
                <w:b/>
                <w:bCs/>
                <w:color w:val="000000"/>
                <w:sz w:val="16"/>
                <w:szCs w:val="16"/>
              </w:rPr>
            </w:pPr>
            <w:r>
              <w:rPr>
                <w:rFonts w:cs="Arial"/>
                <w:b/>
                <w:bCs/>
                <w:sz w:val="16"/>
                <w:szCs w:val="16"/>
              </w:rPr>
              <w:t>36,1</w:t>
            </w:r>
          </w:p>
        </w:tc>
        <w:tc>
          <w:tcPr>
            <w:tcW w:w="907" w:type="dxa"/>
            <w:tcBorders>
              <w:top w:val="nil"/>
              <w:left w:val="nil"/>
              <w:bottom w:val="nil"/>
              <w:right w:val="nil"/>
            </w:tcBorders>
            <w:shd w:val="clear" w:color="auto" w:fill="auto"/>
            <w:vAlign w:val="center"/>
            <w:hideMark/>
          </w:tcPr>
          <w:p w14:paraId="3430F76D" w14:textId="765BC0AB" w:rsidR="0038133B" w:rsidRPr="00D92E20" w:rsidRDefault="0038133B" w:rsidP="00257662">
            <w:pPr>
              <w:spacing w:after="0" w:line="240" w:lineRule="auto"/>
              <w:jc w:val="right"/>
              <w:rPr>
                <w:rFonts w:cs="Arial"/>
                <w:b/>
                <w:bCs/>
                <w:color w:val="000000"/>
                <w:sz w:val="16"/>
                <w:szCs w:val="16"/>
              </w:rPr>
            </w:pPr>
            <w:r>
              <w:rPr>
                <w:rFonts w:cs="Arial"/>
                <w:b/>
                <w:bCs/>
                <w:sz w:val="16"/>
                <w:szCs w:val="16"/>
              </w:rPr>
              <w:t>33,8</w:t>
            </w:r>
          </w:p>
        </w:tc>
        <w:tc>
          <w:tcPr>
            <w:tcW w:w="908" w:type="dxa"/>
            <w:tcBorders>
              <w:top w:val="nil"/>
              <w:left w:val="nil"/>
              <w:bottom w:val="nil"/>
              <w:right w:val="nil"/>
            </w:tcBorders>
            <w:shd w:val="clear" w:color="auto" w:fill="auto"/>
            <w:vAlign w:val="center"/>
            <w:hideMark/>
          </w:tcPr>
          <w:p w14:paraId="5590F201" w14:textId="1C6F1B90" w:rsidR="0038133B" w:rsidRPr="00D92E20" w:rsidRDefault="0038133B" w:rsidP="00257662">
            <w:pPr>
              <w:spacing w:after="0" w:line="240" w:lineRule="auto"/>
              <w:jc w:val="right"/>
              <w:rPr>
                <w:rFonts w:cs="Arial"/>
                <w:b/>
                <w:bCs/>
                <w:color w:val="000000"/>
                <w:sz w:val="16"/>
                <w:szCs w:val="16"/>
              </w:rPr>
            </w:pPr>
            <w:r>
              <w:rPr>
                <w:rFonts w:cs="Arial"/>
                <w:b/>
                <w:bCs/>
                <w:sz w:val="16"/>
                <w:szCs w:val="16"/>
              </w:rPr>
              <w:t>38,5</w:t>
            </w:r>
          </w:p>
        </w:tc>
      </w:tr>
      <w:tr w:rsidR="002E0A24" w:rsidRPr="00D92E20" w14:paraId="7CCF88CE" w14:textId="77777777" w:rsidTr="00257662">
        <w:trPr>
          <w:trHeight w:val="288"/>
        </w:trPr>
        <w:tc>
          <w:tcPr>
            <w:tcW w:w="1271" w:type="dxa"/>
            <w:tcBorders>
              <w:top w:val="nil"/>
              <w:left w:val="nil"/>
              <w:bottom w:val="nil"/>
              <w:right w:val="single" w:sz="4" w:space="0" w:color="auto"/>
            </w:tcBorders>
            <w:shd w:val="clear" w:color="auto" w:fill="auto"/>
            <w:vAlign w:val="center"/>
            <w:hideMark/>
          </w:tcPr>
          <w:p w14:paraId="1D0915C5" w14:textId="77777777" w:rsidR="0038133B" w:rsidRPr="00D92E20" w:rsidRDefault="0038133B" w:rsidP="0038133B">
            <w:pPr>
              <w:spacing w:after="0" w:line="240" w:lineRule="auto"/>
              <w:ind w:firstLineChars="100" w:firstLine="160"/>
              <w:rPr>
                <w:rFonts w:cs="Arial"/>
                <w:color w:val="000000"/>
                <w:sz w:val="16"/>
                <w:szCs w:val="16"/>
              </w:rPr>
            </w:pPr>
            <w:r w:rsidRPr="00D92E20">
              <w:rPr>
                <w:rFonts w:cs="Arial"/>
                <w:color w:val="000000"/>
                <w:sz w:val="16"/>
                <w:szCs w:val="16"/>
              </w:rPr>
              <w:t>mladší 20 let</w:t>
            </w:r>
          </w:p>
        </w:tc>
        <w:tc>
          <w:tcPr>
            <w:tcW w:w="907" w:type="dxa"/>
            <w:tcBorders>
              <w:top w:val="nil"/>
              <w:left w:val="nil"/>
              <w:bottom w:val="nil"/>
              <w:right w:val="nil"/>
            </w:tcBorders>
            <w:shd w:val="clear" w:color="auto" w:fill="auto"/>
            <w:vAlign w:val="center"/>
            <w:hideMark/>
          </w:tcPr>
          <w:p w14:paraId="0094F445" w14:textId="3FBBB947" w:rsidR="0038133B" w:rsidRPr="00D92E20" w:rsidRDefault="0038133B" w:rsidP="0038133B">
            <w:pPr>
              <w:spacing w:after="0" w:line="240" w:lineRule="auto"/>
              <w:jc w:val="right"/>
              <w:rPr>
                <w:rFonts w:cs="Arial"/>
                <w:color w:val="000000"/>
                <w:sz w:val="16"/>
                <w:szCs w:val="16"/>
              </w:rPr>
            </w:pPr>
            <w:r>
              <w:rPr>
                <w:rFonts w:cs="Arial"/>
                <w:sz w:val="16"/>
                <w:szCs w:val="16"/>
              </w:rPr>
              <w:t>13,9</w:t>
            </w:r>
          </w:p>
        </w:tc>
        <w:tc>
          <w:tcPr>
            <w:tcW w:w="907" w:type="dxa"/>
            <w:tcBorders>
              <w:top w:val="nil"/>
              <w:left w:val="nil"/>
              <w:bottom w:val="nil"/>
              <w:right w:val="nil"/>
            </w:tcBorders>
            <w:shd w:val="clear" w:color="auto" w:fill="auto"/>
            <w:vAlign w:val="center"/>
            <w:hideMark/>
          </w:tcPr>
          <w:p w14:paraId="6D6BBC67" w14:textId="15ED3CC8" w:rsidR="0038133B" w:rsidRPr="00D92E20" w:rsidRDefault="0038133B" w:rsidP="0038133B">
            <w:pPr>
              <w:spacing w:after="0" w:line="240" w:lineRule="auto"/>
              <w:jc w:val="right"/>
              <w:rPr>
                <w:rFonts w:cs="Arial"/>
                <w:color w:val="000000"/>
                <w:sz w:val="16"/>
                <w:szCs w:val="16"/>
              </w:rPr>
            </w:pPr>
            <w:r>
              <w:rPr>
                <w:rFonts w:cs="Arial"/>
                <w:sz w:val="16"/>
                <w:szCs w:val="16"/>
              </w:rPr>
              <w:t>8,1</w:t>
            </w:r>
          </w:p>
        </w:tc>
        <w:tc>
          <w:tcPr>
            <w:tcW w:w="907" w:type="dxa"/>
            <w:tcBorders>
              <w:top w:val="nil"/>
              <w:left w:val="nil"/>
              <w:bottom w:val="nil"/>
              <w:right w:val="single" w:sz="4" w:space="0" w:color="auto"/>
            </w:tcBorders>
            <w:shd w:val="clear" w:color="auto" w:fill="auto"/>
            <w:vAlign w:val="center"/>
            <w:hideMark/>
          </w:tcPr>
          <w:p w14:paraId="5927A43E" w14:textId="6E7CAF9A" w:rsidR="0038133B" w:rsidRPr="00D92E20" w:rsidRDefault="0038133B" w:rsidP="0038133B">
            <w:pPr>
              <w:spacing w:after="0" w:line="240" w:lineRule="auto"/>
              <w:jc w:val="right"/>
              <w:rPr>
                <w:rFonts w:cs="Arial"/>
                <w:color w:val="000000"/>
                <w:sz w:val="16"/>
                <w:szCs w:val="16"/>
              </w:rPr>
            </w:pPr>
            <w:r>
              <w:rPr>
                <w:rFonts w:cs="Arial"/>
                <w:sz w:val="16"/>
                <w:szCs w:val="16"/>
              </w:rPr>
              <w:t>5,8</w:t>
            </w:r>
          </w:p>
        </w:tc>
        <w:tc>
          <w:tcPr>
            <w:tcW w:w="1021" w:type="dxa"/>
            <w:tcBorders>
              <w:top w:val="nil"/>
              <w:left w:val="single" w:sz="4" w:space="0" w:color="auto"/>
              <w:bottom w:val="nil"/>
              <w:right w:val="nil"/>
            </w:tcBorders>
            <w:shd w:val="clear" w:color="000000" w:fill="FFFFFF"/>
            <w:vAlign w:val="center"/>
          </w:tcPr>
          <w:p w14:paraId="6443D6B2" w14:textId="25828203" w:rsidR="0038133B" w:rsidRDefault="0038133B" w:rsidP="00257662">
            <w:pPr>
              <w:spacing w:after="0" w:line="240" w:lineRule="auto"/>
              <w:jc w:val="right"/>
              <w:rPr>
                <w:rFonts w:cs="Arial"/>
                <w:sz w:val="16"/>
                <w:szCs w:val="16"/>
              </w:rPr>
            </w:pPr>
            <w:r>
              <w:rPr>
                <w:rFonts w:cs="Arial"/>
                <w:sz w:val="16"/>
                <w:szCs w:val="16"/>
              </w:rPr>
              <w:t>244,9</w:t>
            </w:r>
          </w:p>
        </w:tc>
        <w:tc>
          <w:tcPr>
            <w:tcW w:w="1020" w:type="dxa"/>
            <w:tcBorders>
              <w:top w:val="nil"/>
              <w:left w:val="nil"/>
              <w:bottom w:val="nil"/>
              <w:right w:val="nil"/>
            </w:tcBorders>
            <w:shd w:val="clear" w:color="000000" w:fill="FFFFFF"/>
            <w:vAlign w:val="center"/>
          </w:tcPr>
          <w:p w14:paraId="4D1D62C7" w14:textId="1AC2649D" w:rsidR="0038133B" w:rsidRDefault="0038133B" w:rsidP="00257662">
            <w:pPr>
              <w:spacing w:after="0" w:line="240" w:lineRule="auto"/>
              <w:jc w:val="right"/>
              <w:rPr>
                <w:rFonts w:cs="Arial"/>
                <w:sz w:val="16"/>
                <w:szCs w:val="16"/>
              </w:rPr>
            </w:pPr>
            <w:r>
              <w:rPr>
                <w:rFonts w:cs="Arial"/>
                <w:sz w:val="16"/>
                <w:szCs w:val="16"/>
              </w:rPr>
              <w:t>132,2</w:t>
            </w:r>
          </w:p>
        </w:tc>
        <w:tc>
          <w:tcPr>
            <w:tcW w:w="1021" w:type="dxa"/>
            <w:tcBorders>
              <w:top w:val="nil"/>
              <w:left w:val="nil"/>
              <w:bottom w:val="nil"/>
              <w:right w:val="single" w:sz="4" w:space="0" w:color="auto"/>
            </w:tcBorders>
            <w:shd w:val="clear" w:color="000000" w:fill="FFFFFF"/>
            <w:vAlign w:val="center"/>
          </w:tcPr>
          <w:p w14:paraId="6BCCFC1F" w14:textId="2E9AA55E" w:rsidR="0038133B" w:rsidRDefault="0038133B" w:rsidP="00257662">
            <w:pPr>
              <w:spacing w:after="0" w:line="240" w:lineRule="auto"/>
              <w:jc w:val="right"/>
              <w:rPr>
                <w:rFonts w:cs="Arial"/>
                <w:sz w:val="16"/>
                <w:szCs w:val="16"/>
              </w:rPr>
            </w:pPr>
            <w:r>
              <w:rPr>
                <w:rFonts w:cs="Arial"/>
                <w:sz w:val="16"/>
                <w:szCs w:val="16"/>
              </w:rPr>
              <w:t>112,7</w:t>
            </w:r>
          </w:p>
        </w:tc>
        <w:tc>
          <w:tcPr>
            <w:tcW w:w="907" w:type="dxa"/>
            <w:tcBorders>
              <w:top w:val="nil"/>
              <w:left w:val="single" w:sz="4" w:space="0" w:color="auto"/>
              <w:bottom w:val="nil"/>
              <w:right w:val="nil"/>
            </w:tcBorders>
            <w:shd w:val="clear" w:color="auto" w:fill="auto"/>
            <w:vAlign w:val="center"/>
            <w:hideMark/>
          </w:tcPr>
          <w:p w14:paraId="60D4C865" w14:textId="2685885C" w:rsidR="0038133B" w:rsidRPr="00D92E20" w:rsidRDefault="0038133B" w:rsidP="00257662">
            <w:pPr>
              <w:spacing w:after="0" w:line="240" w:lineRule="auto"/>
              <w:jc w:val="right"/>
              <w:rPr>
                <w:rFonts w:cs="Arial"/>
                <w:color w:val="000000"/>
                <w:sz w:val="16"/>
                <w:szCs w:val="16"/>
              </w:rPr>
            </w:pPr>
            <w:r>
              <w:rPr>
                <w:rFonts w:cs="Arial"/>
                <w:sz w:val="16"/>
                <w:szCs w:val="16"/>
              </w:rPr>
              <w:t>17,7</w:t>
            </w:r>
          </w:p>
        </w:tc>
        <w:tc>
          <w:tcPr>
            <w:tcW w:w="907" w:type="dxa"/>
            <w:tcBorders>
              <w:top w:val="nil"/>
              <w:left w:val="nil"/>
              <w:bottom w:val="nil"/>
              <w:right w:val="nil"/>
            </w:tcBorders>
            <w:shd w:val="clear" w:color="auto" w:fill="auto"/>
            <w:vAlign w:val="center"/>
            <w:hideMark/>
          </w:tcPr>
          <w:p w14:paraId="5E18BDC8" w14:textId="7CBFF354" w:rsidR="0038133B" w:rsidRPr="00D92E20" w:rsidRDefault="0038133B" w:rsidP="00257662">
            <w:pPr>
              <w:spacing w:after="0" w:line="240" w:lineRule="auto"/>
              <w:jc w:val="right"/>
              <w:rPr>
                <w:rFonts w:cs="Arial"/>
                <w:color w:val="000000"/>
                <w:sz w:val="16"/>
                <w:szCs w:val="16"/>
              </w:rPr>
            </w:pPr>
            <w:r>
              <w:rPr>
                <w:rFonts w:cs="Arial"/>
                <w:sz w:val="16"/>
                <w:szCs w:val="16"/>
              </w:rPr>
              <w:t>16,3</w:t>
            </w:r>
          </w:p>
        </w:tc>
        <w:tc>
          <w:tcPr>
            <w:tcW w:w="908" w:type="dxa"/>
            <w:tcBorders>
              <w:top w:val="nil"/>
              <w:left w:val="nil"/>
              <w:bottom w:val="nil"/>
              <w:right w:val="nil"/>
            </w:tcBorders>
            <w:shd w:val="clear" w:color="auto" w:fill="auto"/>
            <w:vAlign w:val="center"/>
            <w:hideMark/>
          </w:tcPr>
          <w:p w14:paraId="76357B7E" w14:textId="37E595CC" w:rsidR="0038133B" w:rsidRPr="00D92E20" w:rsidRDefault="0038133B" w:rsidP="00257662">
            <w:pPr>
              <w:spacing w:after="0" w:line="240" w:lineRule="auto"/>
              <w:jc w:val="right"/>
              <w:rPr>
                <w:rFonts w:cs="Arial"/>
                <w:color w:val="000000"/>
                <w:sz w:val="16"/>
                <w:szCs w:val="16"/>
              </w:rPr>
            </w:pPr>
            <w:r>
              <w:rPr>
                <w:rFonts w:cs="Arial"/>
                <w:sz w:val="16"/>
                <w:szCs w:val="16"/>
              </w:rPr>
              <w:t>19,6</w:t>
            </w:r>
          </w:p>
        </w:tc>
      </w:tr>
      <w:tr w:rsidR="002E0A24" w:rsidRPr="00D92E20" w14:paraId="6D7823B0" w14:textId="77777777" w:rsidTr="00257662">
        <w:trPr>
          <w:trHeight w:val="288"/>
        </w:trPr>
        <w:tc>
          <w:tcPr>
            <w:tcW w:w="1271" w:type="dxa"/>
            <w:tcBorders>
              <w:top w:val="nil"/>
              <w:left w:val="nil"/>
              <w:bottom w:val="nil"/>
              <w:right w:val="single" w:sz="4" w:space="0" w:color="auto"/>
            </w:tcBorders>
            <w:shd w:val="clear" w:color="auto" w:fill="auto"/>
            <w:vAlign w:val="center"/>
            <w:hideMark/>
          </w:tcPr>
          <w:p w14:paraId="40C046BD" w14:textId="77777777" w:rsidR="0038133B" w:rsidRPr="00D92E20" w:rsidRDefault="0038133B" w:rsidP="0038133B">
            <w:pPr>
              <w:spacing w:after="0" w:line="240" w:lineRule="auto"/>
              <w:ind w:firstLineChars="100" w:firstLine="160"/>
              <w:rPr>
                <w:rFonts w:cs="Arial"/>
                <w:color w:val="000000"/>
                <w:sz w:val="16"/>
                <w:szCs w:val="16"/>
              </w:rPr>
            </w:pPr>
            <w:r w:rsidRPr="00D92E20">
              <w:rPr>
                <w:rFonts w:cs="Arial"/>
                <w:color w:val="000000"/>
                <w:sz w:val="16"/>
                <w:szCs w:val="16"/>
              </w:rPr>
              <w:t>20–29 let</w:t>
            </w:r>
          </w:p>
        </w:tc>
        <w:tc>
          <w:tcPr>
            <w:tcW w:w="907" w:type="dxa"/>
            <w:tcBorders>
              <w:top w:val="nil"/>
              <w:left w:val="nil"/>
              <w:bottom w:val="nil"/>
              <w:right w:val="nil"/>
            </w:tcBorders>
            <w:shd w:val="clear" w:color="auto" w:fill="auto"/>
            <w:vAlign w:val="center"/>
            <w:hideMark/>
          </w:tcPr>
          <w:p w14:paraId="2B669CE6" w14:textId="2C083EFA" w:rsidR="0038133B" w:rsidRPr="00D92E20" w:rsidRDefault="0038133B" w:rsidP="0038133B">
            <w:pPr>
              <w:spacing w:after="0" w:line="240" w:lineRule="auto"/>
              <w:jc w:val="right"/>
              <w:rPr>
                <w:rFonts w:cs="Arial"/>
                <w:color w:val="000000"/>
                <w:sz w:val="16"/>
                <w:szCs w:val="16"/>
              </w:rPr>
            </w:pPr>
            <w:r>
              <w:rPr>
                <w:rFonts w:cs="Arial"/>
                <w:sz w:val="16"/>
                <w:szCs w:val="16"/>
              </w:rPr>
              <w:t>257,2</w:t>
            </w:r>
          </w:p>
        </w:tc>
        <w:tc>
          <w:tcPr>
            <w:tcW w:w="907" w:type="dxa"/>
            <w:tcBorders>
              <w:top w:val="nil"/>
              <w:left w:val="nil"/>
              <w:bottom w:val="nil"/>
              <w:right w:val="nil"/>
            </w:tcBorders>
            <w:shd w:val="clear" w:color="auto" w:fill="auto"/>
            <w:vAlign w:val="center"/>
            <w:hideMark/>
          </w:tcPr>
          <w:p w14:paraId="1A9DEE09" w14:textId="5A5BB34E" w:rsidR="0038133B" w:rsidRPr="00D92E20" w:rsidRDefault="0038133B" w:rsidP="0038133B">
            <w:pPr>
              <w:spacing w:after="0" w:line="240" w:lineRule="auto"/>
              <w:jc w:val="right"/>
              <w:rPr>
                <w:rFonts w:cs="Arial"/>
                <w:color w:val="000000"/>
                <w:sz w:val="16"/>
                <w:szCs w:val="16"/>
              </w:rPr>
            </w:pPr>
            <w:r>
              <w:rPr>
                <w:rFonts w:cs="Arial"/>
                <w:sz w:val="16"/>
                <w:szCs w:val="16"/>
              </w:rPr>
              <w:t>144,8</w:t>
            </w:r>
          </w:p>
        </w:tc>
        <w:tc>
          <w:tcPr>
            <w:tcW w:w="907" w:type="dxa"/>
            <w:tcBorders>
              <w:top w:val="nil"/>
              <w:left w:val="nil"/>
              <w:bottom w:val="nil"/>
              <w:right w:val="single" w:sz="4" w:space="0" w:color="auto"/>
            </w:tcBorders>
            <w:shd w:val="clear" w:color="auto" w:fill="auto"/>
            <w:vAlign w:val="center"/>
            <w:hideMark/>
          </w:tcPr>
          <w:p w14:paraId="37C197E0" w14:textId="49F39945" w:rsidR="0038133B" w:rsidRPr="00D92E20" w:rsidRDefault="0038133B" w:rsidP="0038133B">
            <w:pPr>
              <w:spacing w:after="0" w:line="240" w:lineRule="auto"/>
              <w:jc w:val="right"/>
              <w:rPr>
                <w:rFonts w:cs="Arial"/>
                <w:color w:val="000000"/>
                <w:sz w:val="16"/>
                <w:szCs w:val="16"/>
              </w:rPr>
            </w:pPr>
            <w:r>
              <w:rPr>
                <w:rFonts w:cs="Arial"/>
                <w:sz w:val="16"/>
                <w:szCs w:val="16"/>
              </w:rPr>
              <w:t>112,4</w:t>
            </w:r>
          </w:p>
        </w:tc>
        <w:tc>
          <w:tcPr>
            <w:tcW w:w="1021" w:type="dxa"/>
            <w:tcBorders>
              <w:top w:val="nil"/>
              <w:left w:val="single" w:sz="4" w:space="0" w:color="auto"/>
              <w:bottom w:val="nil"/>
              <w:right w:val="nil"/>
            </w:tcBorders>
            <w:shd w:val="clear" w:color="000000" w:fill="FFFFFF"/>
            <w:vAlign w:val="center"/>
          </w:tcPr>
          <w:p w14:paraId="31B30454" w14:textId="7DC6C1D0" w:rsidR="0038133B" w:rsidRDefault="0038133B" w:rsidP="00257662">
            <w:pPr>
              <w:spacing w:after="0" w:line="240" w:lineRule="auto"/>
              <w:jc w:val="right"/>
              <w:rPr>
                <w:rFonts w:cs="Arial"/>
                <w:sz w:val="16"/>
                <w:szCs w:val="16"/>
              </w:rPr>
            </w:pPr>
            <w:r>
              <w:rPr>
                <w:rFonts w:cs="Arial"/>
                <w:sz w:val="16"/>
                <w:szCs w:val="16"/>
              </w:rPr>
              <w:t>6 184,1</w:t>
            </w:r>
          </w:p>
        </w:tc>
        <w:tc>
          <w:tcPr>
            <w:tcW w:w="1020" w:type="dxa"/>
            <w:tcBorders>
              <w:top w:val="nil"/>
              <w:left w:val="nil"/>
              <w:bottom w:val="nil"/>
              <w:right w:val="nil"/>
            </w:tcBorders>
            <w:shd w:val="clear" w:color="000000" w:fill="FFFFFF"/>
            <w:vAlign w:val="center"/>
          </w:tcPr>
          <w:p w14:paraId="7DA1921A" w14:textId="4D065162" w:rsidR="0038133B" w:rsidRDefault="0038133B" w:rsidP="00257662">
            <w:pPr>
              <w:spacing w:after="0" w:line="240" w:lineRule="auto"/>
              <w:jc w:val="right"/>
              <w:rPr>
                <w:rFonts w:cs="Arial"/>
                <w:sz w:val="16"/>
                <w:szCs w:val="16"/>
              </w:rPr>
            </w:pPr>
            <w:r>
              <w:rPr>
                <w:rFonts w:cs="Arial"/>
                <w:sz w:val="16"/>
                <w:szCs w:val="16"/>
              </w:rPr>
              <w:t>2 887,1</w:t>
            </w:r>
          </w:p>
        </w:tc>
        <w:tc>
          <w:tcPr>
            <w:tcW w:w="1021" w:type="dxa"/>
            <w:tcBorders>
              <w:top w:val="nil"/>
              <w:left w:val="nil"/>
              <w:bottom w:val="nil"/>
              <w:right w:val="single" w:sz="4" w:space="0" w:color="auto"/>
            </w:tcBorders>
            <w:shd w:val="clear" w:color="000000" w:fill="FFFFFF"/>
            <w:vAlign w:val="center"/>
          </w:tcPr>
          <w:p w14:paraId="0D904D92" w14:textId="066CEA28" w:rsidR="0038133B" w:rsidRDefault="0038133B" w:rsidP="00257662">
            <w:pPr>
              <w:spacing w:after="0" w:line="240" w:lineRule="auto"/>
              <w:jc w:val="right"/>
              <w:rPr>
                <w:rFonts w:cs="Arial"/>
                <w:sz w:val="16"/>
                <w:szCs w:val="16"/>
              </w:rPr>
            </w:pPr>
            <w:r>
              <w:rPr>
                <w:rFonts w:cs="Arial"/>
                <w:sz w:val="16"/>
                <w:szCs w:val="16"/>
              </w:rPr>
              <w:t>3 297,1</w:t>
            </w:r>
          </w:p>
        </w:tc>
        <w:tc>
          <w:tcPr>
            <w:tcW w:w="907" w:type="dxa"/>
            <w:tcBorders>
              <w:top w:val="nil"/>
              <w:left w:val="single" w:sz="4" w:space="0" w:color="auto"/>
              <w:bottom w:val="nil"/>
              <w:right w:val="nil"/>
            </w:tcBorders>
            <w:shd w:val="clear" w:color="auto" w:fill="auto"/>
            <w:vAlign w:val="center"/>
            <w:hideMark/>
          </w:tcPr>
          <w:p w14:paraId="18EC4697" w14:textId="31F13523" w:rsidR="0038133B" w:rsidRPr="00D92E20" w:rsidRDefault="0038133B" w:rsidP="00257662">
            <w:pPr>
              <w:spacing w:after="0" w:line="240" w:lineRule="auto"/>
              <w:jc w:val="right"/>
              <w:rPr>
                <w:rFonts w:cs="Arial"/>
                <w:color w:val="000000"/>
                <w:sz w:val="16"/>
                <w:szCs w:val="16"/>
              </w:rPr>
            </w:pPr>
            <w:r>
              <w:rPr>
                <w:rFonts w:cs="Arial"/>
                <w:sz w:val="16"/>
                <w:szCs w:val="16"/>
              </w:rPr>
              <w:t>24,0</w:t>
            </w:r>
          </w:p>
        </w:tc>
        <w:tc>
          <w:tcPr>
            <w:tcW w:w="907" w:type="dxa"/>
            <w:tcBorders>
              <w:top w:val="nil"/>
              <w:left w:val="nil"/>
              <w:bottom w:val="nil"/>
              <w:right w:val="nil"/>
            </w:tcBorders>
            <w:shd w:val="clear" w:color="auto" w:fill="auto"/>
            <w:vAlign w:val="center"/>
            <w:hideMark/>
          </w:tcPr>
          <w:p w14:paraId="3B5CDD02" w14:textId="5E6D5685" w:rsidR="0038133B" w:rsidRPr="00D92E20" w:rsidRDefault="0038133B" w:rsidP="00257662">
            <w:pPr>
              <w:spacing w:after="0" w:line="240" w:lineRule="auto"/>
              <w:jc w:val="right"/>
              <w:rPr>
                <w:rFonts w:cs="Arial"/>
                <w:color w:val="000000"/>
                <w:sz w:val="16"/>
                <w:szCs w:val="16"/>
              </w:rPr>
            </w:pPr>
            <w:r>
              <w:rPr>
                <w:rFonts w:cs="Arial"/>
                <w:sz w:val="16"/>
                <w:szCs w:val="16"/>
              </w:rPr>
              <w:t>19,9</w:t>
            </w:r>
          </w:p>
        </w:tc>
        <w:tc>
          <w:tcPr>
            <w:tcW w:w="908" w:type="dxa"/>
            <w:tcBorders>
              <w:top w:val="nil"/>
              <w:left w:val="nil"/>
              <w:bottom w:val="nil"/>
              <w:right w:val="nil"/>
            </w:tcBorders>
            <w:shd w:val="clear" w:color="auto" w:fill="auto"/>
            <w:vAlign w:val="center"/>
            <w:hideMark/>
          </w:tcPr>
          <w:p w14:paraId="74975A82" w14:textId="5CEA7CB5" w:rsidR="0038133B" w:rsidRPr="00D92E20" w:rsidRDefault="0038133B" w:rsidP="00257662">
            <w:pPr>
              <w:spacing w:after="0" w:line="240" w:lineRule="auto"/>
              <w:jc w:val="right"/>
              <w:rPr>
                <w:rFonts w:cs="Arial"/>
                <w:color w:val="000000"/>
                <w:sz w:val="16"/>
                <w:szCs w:val="16"/>
              </w:rPr>
            </w:pPr>
            <w:r>
              <w:rPr>
                <w:rFonts w:cs="Arial"/>
                <w:sz w:val="16"/>
                <w:szCs w:val="16"/>
              </w:rPr>
              <w:t>29,3</w:t>
            </w:r>
          </w:p>
        </w:tc>
      </w:tr>
      <w:tr w:rsidR="002E0A24" w:rsidRPr="00D92E20" w14:paraId="3129E1F7" w14:textId="77777777" w:rsidTr="00257662">
        <w:trPr>
          <w:trHeight w:val="288"/>
        </w:trPr>
        <w:tc>
          <w:tcPr>
            <w:tcW w:w="1271" w:type="dxa"/>
            <w:tcBorders>
              <w:top w:val="nil"/>
              <w:left w:val="nil"/>
              <w:bottom w:val="nil"/>
              <w:right w:val="single" w:sz="4" w:space="0" w:color="auto"/>
            </w:tcBorders>
            <w:shd w:val="clear" w:color="auto" w:fill="auto"/>
            <w:vAlign w:val="center"/>
            <w:hideMark/>
          </w:tcPr>
          <w:p w14:paraId="34FDF785" w14:textId="77777777" w:rsidR="0038133B" w:rsidRPr="00D92E20" w:rsidRDefault="0038133B" w:rsidP="0038133B">
            <w:pPr>
              <w:spacing w:after="0" w:line="240" w:lineRule="auto"/>
              <w:ind w:firstLineChars="100" w:firstLine="160"/>
              <w:rPr>
                <w:rFonts w:cs="Arial"/>
                <w:color w:val="000000"/>
                <w:sz w:val="16"/>
                <w:szCs w:val="16"/>
              </w:rPr>
            </w:pPr>
            <w:r w:rsidRPr="00D92E20">
              <w:rPr>
                <w:rFonts w:cs="Arial"/>
                <w:color w:val="000000"/>
                <w:sz w:val="16"/>
                <w:szCs w:val="16"/>
              </w:rPr>
              <w:t>30–39 let</w:t>
            </w:r>
          </w:p>
        </w:tc>
        <w:tc>
          <w:tcPr>
            <w:tcW w:w="907" w:type="dxa"/>
            <w:tcBorders>
              <w:top w:val="nil"/>
              <w:left w:val="nil"/>
              <w:bottom w:val="nil"/>
              <w:right w:val="nil"/>
            </w:tcBorders>
            <w:shd w:val="clear" w:color="auto" w:fill="auto"/>
            <w:vAlign w:val="center"/>
            <w:hideMark/>
          </w:tcPr>
          <w:p w14:paraId="0E0D8867" w14:textId="72394F5B" w:rsidR="0038133B" w:rsidRPr="00D92E20" w:rsidRDefault="0038133B" w:rsidP="0038133B">
            <w:pPr>
              <w:spacing w:after="0" w:line="240" w:lineRule="auto"/>
              <w:jc w:val="right"/>
              <w:rPr>
                <w:rFonts w:cs="Arial"/>
                <w:color w:val="000000"/>
                <w:sz w:val="16"/>
                <w:szCs w:val="16"/>
              </w:rPr>
            </w:pPr>
            <w:r>
              <w:rPr>
                <w:rFonts w:cs="Arial"/>
                <w:sz w:val="16"/>
                <w:szCs w:val="16"/>
              </w:rPr>
              <w:t>287,3</w:t>
            </w:r>
          </w:p>
        </w:tc>
        <w:tc>
          <w:tcPr>
            <w:tcW w:w="907" w:type="dxa"/>
            <w:tcBorders>
              <w:top w:val="nil"/>
              <w:left w:val="nil"/>
              <w:bottom w:val="nil"/>
              <w:right w:val="nil"/>
            </w:tcBorders>
            <w:shd w:val="clear" w:color="auto" w:fill="auto"/>
            <w:vAlign w:val="center"/>
            <w:hideMark/>
          </w:tcPr>
          <w:p w14:paraId="38369E27" w14:textId="571CFBF3" w:rsidR="0038133B" w:rsidRPr="00D92E20" w:rsidRDefault="0038133B" w:rsidP="0038133B">
            <w:pPr>
              <w:spacing w:after="0" w:line="240" w:lineRule="auto"/>
              <w:jc w:val="right"/>
              <w:rPr>
                <w:rFonts w:cs="Arial"/>
                <w:color w:val="000000"/>
                <w:sz w:val="16"/>
                <w:szCs w:val="16"/>
              </w:rPr>
            </w:pPr>
            <w:r>
              <w:rPr>
                <w:rFonts w:cs="Arial"/>
                <w:sz w:val="16"/>
                <w:szCs w:val="16"/>
              </w:rPr>
              <w:t>157,6</w:t>
            </w:r>
          </w:p>
        </w:tc>
        <w:tc>
          <w:tcPr>
            <w:tcW w:w="907" w:type="dxa"/>
            <w:tcBorders>
              <w:top w:val="nil"/>
              <w:left w:val="nil"/>
              <w:bottom w:val="nil"/>
              <w:right w:val="single" w:sz="4" w:space="0" w:color="auto"/>
            </w:tcBorders>
            <w:shd w:val="clear" w:color="auto" w:fill="auto"/>
            <w:vAlign w:val="center"/>
            <w:hideMark/>
          </w:tcPr>
          <w:p w14:paraId="225E03A1" w14:textId="5F918FDE" w:rsidR="0038133B" w:rsidRPr="00D92E20" w:rsidRDefault="0038133B" w:rsidP="0038133B">
            <w:pPr>
              <w:spacing w:after="0" w:line="240" w:lineRule="auto"/>
              <w:jc w:val="right"/>
              <w:rPr>
                <w:rFonts w:cs="Arial"/>
                <w:color w:val="000000"/>
                <w:sz w:val="16"/>
                <w:szCs w:val="16"/>
              </w:rPr>
            </w:pPr>
            <w:r>
              <w:rPr>
                <w:rFonts w:cs="Arial"/>
                <w:sz w:val="16"/>
                <w:szCs w:val="16"/>
              </w:rPr>
              <w:t>129,7</w:t>
            </w:r>
          </w:p>
        </w:tc>
        <w:tc>
          <w:tcPr>
            <w:tcW w:w="1021" w:type="dxa"/>
            <w:tcBorders>
              <w:top w:val="nil"/>
              <w:left w:val="single" w:sz="4" w:space="0" w:color="auto"/>
              <w:bottom w:val="nil"/>
              <w:right w:val="nil"/>
            </w:tcBorders>
            <w:shd w:val="clear" w:color="000000" w:fill="FFFFFF"/>
            <w:vAlign w:val="center"/>
          </w:tcPr>
          <w:p w14:paraId="31F0D113" w14:textId="1B5FB3EF" w:rsidR="0038133B" w:rsidRDefault="0038133B" w:rsidP="00257662">
            <w:pPr>
              <w:spacing w:after="0" w:line="240" w:lineRule="auto"/>
              <w:jc w:val="right"/>
              <w:rPr>
                <w:rFonts w:cs="Arial"/>
                <w:sz w:val="16"/>
                <w:szCs w:val="16"/>
              </w:rPr>
            </w:pPr>
            <w:r>
              <w:rPr>
                <w:rFonts w:cs="Arial"/>
                <w:sz w:val="16"/>
                <w:szCs w:val="16"/>
              </w:rPr>
              <w:t>8 573,9</w:t>
            </w:r>
          </w:p>
        </w:tc>
        <w:tc>
          <w:tcPr>
            <w:tcW w:w="1020" w:type="dxa"/>
            <w:tcBorders>
              <w:top w:val="nil"/>
              <w:left w:val="nil"/>
              <w:bottom w:val="nil"/>
              <w:right w:val="nil"/>
            </w:tcBorders>
            <w:shd w:val="clear" w:color="000000" w:fill="FFFFFF"/>
            <w:vAlign w:val="center"/>
          </w:tcPr>
          <w:p w14:paraId="189AE854" w14:textId="4186A287" w:rsidR="0038133B" w:rsidRDefault="0038133B" w:rsidP="00257662">
            <w:pPr>
              <w:spacing w:after="0" w:line="240" w:lineRule="auto"/>
              <w:jc w:val="right"/>
              <w:rPr>
                <w:rFonts w:cs="Arial"/>
                <w:sz w:val="16"/>
                <w:szCs w:val="16"/>
              </w:rPr>
            </w:pPr>
            <w:r>
              <w:rPr>
                <w:rFonts w:cs="Arial"/>
                <w:sz w:val="16"/>
                <w:szCs w:val="16"/>
              </w:rPr>
              <w:t>4 020,1</w:t>
            </w:r>
          </w:p>
        </w:tc>
        <w:tc>
          <w:tcPr>
            <w:tcW w:w="1021" w:type="dxa"/>
            <w:tcBorders>
              <w:top w:val="nil"/>
              <w:left w:val="nil"/>
              <w:bottom w:val="nil"/>
              <w:right w:val="single" w:sz="4" w:space="0" w:color="auto"/>
            </w:tcBorders>
            <w:shd w:val="clear" w:color="000000" w:fill="FFFFFF"/>
            <w:vAlign w:val="center"/>
          </w:tcPr>
          <w:p w14:paraId="393884DC" w14:textId="6515F28D" w:rsidR="0038133B" w:rsidRDefault="0038133B" w:rsidP="00257662">
            <w:pPr>
              <w:spacing w:after="0" w:line="240" w:lineRule="auto"/>
              <w:jc w:val="right"/>
              <w:rPr>
                <w:rFonts w:cs="Arial"/>
                <w:sz w:val="16"/>
                <w:szCs w:val="16"/>
              </w:rPr>
            </w:pPr>
            <w:r>
              <w:rPr>
                <w:rFonts w:cs="Arial"/>
                <w:sz w:val="16"/>
                <w:szCs w:val="16"/>
              </w:rPr>
              <w:t>4 553,8</w:t>
            </w:r>
          </w:p>
        </w:tc>
        <w:tc>
          <w:tcPr>
            <w:tcW w:w="907" w:type="dxa"/>
            <w:tcBorders>
              <w:top w:val="nil"/>
              <w:left w:val="single" w:sz="4" w:space="0" w:color="auto"/>
              <w:bottom w:val="nil"/>
              <w:right w:val="nil"/>
            </w:tcBorders>
            <w:shd w:val="clear" w:color="auto" w:fill="auto"/>
            <w:vAlign w:val="center"/>
            <w:hideMark/>
          </w:tcPr>
          <w:p w14:paraId="0BBDF994" w14:textId="73FC82F2" w:rsidR="0038133B" w:rsidRPr="00D92E20" w:rsidRDefault="0038133B" w:rsidP="00257662">
            <w:pPr>
              <w:spacing w:after="0" w:line="240" w:lineRule="auto"/>
              <w:jc w:val="right"/>
              <w:rPr>
                <w:rFonts w:cs="Arial"/>
                <w:color w:val="000000"/>
                <w:sz w:val="16"/>
                <w:szCs w:val="16"/>
              </w:rPr>
            </w:pPr>
            <w:r>
              <w:rPr>
                <w:rFonts w:cs="Arial"/>
                <w:sz w:val="16"/>
                <w:szCs w:val="16"/>
              </w:rPr>
              <w:t>29,8</w:t>
            </w:r>
          </w:p>
        </w:tc>
        <w:tc>
          <w:tcPr>
            <w:tcW w:w="907" w:type="dxa"/>
            <w:tcBorders>
              <w:top w:val="nil"/>
              <w:left w:val="nil"/>
              <w:bottom w:val="nil"/>
              <w:right w:val="nil"/>
            </w:tcBorders>
            <w:shd w:val="clear" w:color="auto" w:fill="auto"/>
            <w:vAlign w:val="center"/>
            <w:hideMark/>
          </w:tcPr>
          <w:p w14:paraId="121C5E30" w14:textId="3CE5B8F4" w:rsidR="0038133B" w:rsidRPr="00D92E20" w:rsidRDefault="0038133B" w:rsidP="00257662">
            <w:pPr>
              <w:spacing w:after="0" w:line="240" w:lineRule="auto"/>
              <w:jc w:val="right"/>
              <w:rPr>
                <w:rFonts w:cs="Arial"/>
                <w:color w:val="000000"/>
                <w:sz w:val="16"/>
                <w:szCs w:val="16"/>
              </w:rPr>
            </w:pPr>
            <w:r>
              <w:rPr>
                <w:rFonts w:cs="Arial"/>
                <w:sz w:val="16"/>
                <w:szCs w:val="16"/>
              </w:rPr>
              <w:t>25,5</w:t>
            </w:r>
          </w:p>
        </w:tc>
        <w:tc>
          <w:tcPr>
            <w:tcW w:w="908" w:type="dxa"/>
            <w:tcBorders>
              <w:top w:val="nil"/>
              <w:left w:val="nil"/>
              <w:bottom w:val="nil"/>
              <w:right w:val="nil"/>
            </w:tcBorders>
            <w:shd w:val="clear" w:color="auto" w:fill="auto"/>
            <w:vAlign w:val="center"/>
            <w:hideMark/>
          </w:tcPr>
          <w:p w14:paraId="65560C7C" w14:textId="0420CD8E" w:rsidR="0038133B" w:rsidRPr="00D92E20" w:rsidRDefault="0038133B" w:rsidP="00257662">
            <w:pPr>
              <w:spacing w:after="0" w:line="240" w:lineRule="auto"/>
              <w:jc w:val="right"/>
              <w:rPr>
                <w:rFonts w:cs="Arial"/>
                <w:color w:val="000000"/>
                <w:sz w:val="16"/>
                <w:szCs w:val="16"/>
              </w:rPr>
            </w:pPr>
            <w:r>
              <w:rPr>
                <w:rFonts w:cs="Arial"/>
                <w:sz w:val="16"/>
                <w:szCs w:val="16"/>
              </w:rPr>
              <w:t>35,1</w:t>
            </w:r>
          </w:p>
        </w:tc>
      </w:tr>
      <w:tr w:rsidR="002E0A24" w:rsidRPr="00D92E20" w14:paraId="72325EEA" w14:textId="77777777" w:rsidTr="00257662">
        <w:trPr>
          <w:trHeight w:val="288"/>
        </w:trPr>
        <w:tc>
          <w:tcPr>
            <w:tcW w:w="1271" w:type="dxa"/>
            <w:tcBorders>
              <w:top w:val="nil"/>
              <w:left w:val="nil"/>
              <w:bottom w:val="nil"/>
              <w:right w:val="single" w:sz="4" w:space="0" w:color="auto"/>
            </w:tcBorders>
            <w:shd w:val="clear" w:color="auto" w:fill="auto"/>
            <w:vAlign w:val="center"/>
            <w:hideMark/>
          </w:tcPr>
          <w:p w14:paraId="2ECE904E" w14:textId="77777777" w:rsidR="0038133B" w:rsidRPr="00D92E20" w:rsidRDefault="0038133B" w:rsidP="0038133B">
            <w:pPr>
              <w:spacing w:after="0" w:line="240" w:lineRule="auto"/>
              <w:ind w:firstLineChars="100" w:firstLine="160"/>
              <w:rPr>
                <w:rFonts w:cs="Arial"/>
                <w:color w:val="000000"/>
                <w:sz w:val="16"/>
                <w:szCs w:val="16"/>
              </w:rPr>
            </w:pPr>
            <w:r w:rsidRPr="00D92E20">
              <w:rPr>
                <w:rFonts w:cs="Arial"/>
                <w:color w:val="000000"/>
                <w:sz w:val="16"/>
                <w:szCs w:val="16"/>
              </w:rPr>
              <w:t>40–49 let</w:t>
            </w:r>
          </w:p>
        </w:tc>
        <w:tc>
          <w:tcPr>
            <w:tcW w:w="907" w:type="dxa"/>
            <w:tcBorders>
              <w:top w:val="nil"/>
              <w:left w:val="nil"/>
              <w:bottom w:val="nil"/>
              <w:right w:val="nil"/>
            </w:tcBorders>
            <w:shd w:val="clear" w:color="auto" w:fill="auto"/>
            <w:vAlign w:val="center"/>
            <w:hideMark/>
          </w:tcPr>
          <w:p w14:paraId="4582D66E" w14:textId="043F1970" w:rsidR="0038133B" w:rsidRPr="00D92E20" w:rsidRDefault="0038133B" w:rsidP="0038133B">
            <w:pPr>
              <w:spacing w:after="0" w:line="240" w:lineRule="auto"/>
              <w:jc w:val="right"/>
              <w:rPr>
                <w:rFonts w:cs="Arial"/>
                <w:color w:val="000000"/>
                <w:sz w:val="16"/>
                <w:szCs w:val="16"/>
              </w:rPr>
            </w:pPr>
            <w:r>
              <w:rPr>
                <w:rFonts w:cs="Arial"/>
                <w:sz w:val="16"/>
                <w:szCs w:val="16"/>
              </w:rPr>
              <w:t>405,9</w:t>
            </w:r>
          </w:p>
        </w:tc>
        <w:tc>
          <w:tcPr>
            <w:tcW w:w="907" w:type="dxa"/>
            <w:tcBorders>
              <w:top w:val="nil"/>
              <w:left w:val="nil"/>
              <w:bottom w:val="nil"/>
              <w:right w:val="nil"/>
            </w:tcBorders>
            <w:shd w:val="clear" w:color="auto" w:fill="auto"/>
            <w:vAlign w:val="center"/>
            <w:hideMark/>
          </w:tcPr>
          <w:p w14:paraId="4769087C" w14:textId="69CBABEC" w:rsidR="0038133B" w:rsidRPr="00D92E20" w:rsidRDefault="0038133B" w:rsidP="0038133B">
            <w:pPr>
              <w:spacing w:after="0" w:line="240" w:lineRule="auto"/>
              <w:jc w:val="right"/>
              <w:rPr>
                <w:rFonts w:cs="Arial"/>
                <w:color w:val="000000"/>
                <w:sz w:val="16"/>
                <w:szCs w:val="16"/>
              </w:rPr>
            </w:pPr>
            <w:r>
              <w:rPr>
                <w:rFonts w:cs="Arial"/>
                <w:sz w:val="16"/>
                <w:szCs w:val="16"/>
              </w:rPr>
              <w:t>180,2</w:t>
            </w:r>
          </w:p>
        </w:tc>
        <w:tc>
          <w:tcPr>
            <w:tcW w:w="907" w:type="dxa"/>
            <w:tcBorders>
              <w:top w:val="nil"/>
              <w:left w:val="nil"/>
              <w:bottom w:val="nil"/>
              <w:right w:val="single" w:sz="4" w:space="0" w:color="auto"/>
            </w:tcBorders>
            <w:shd w:val="clear" w:color="auto" w:fill="auto"/>
            <w:vAlign w:val="center"/>
            <w:hideMark/>
          </w:tcPr>
          <w:p w14:paraId="237764AD" w14:textId="2D1A9077" w:rsidR="0038133B" w:rsidRPr="00D92E20" w:rsidRDefault="0038133B" w:rsidP="0038133B">
            <w:pPr>
              <w:spacing w:after="0" w:line="240" w:lineRule="auto"/>
              <w:jc w:val="right"/>
              <w:rPr>
                <w:rFonts w:cs="Arial"/>
                <w:color w:val="000000"/>
                <w:sz w:val="16"/>
                <w:szCs w:val="16"/>
              </w:rPr>
            </w:pPr>
            <w:r>
              <w:rPr>
                <w:rFonts w:cs="Arial"/>
                <w:sz w:val="16"/>
                <w:szCs w:val="16"/>
              </w:rPr>
              <w:t>225,7</w:t>
            </w:r>
          </w:p>
        </w:tc>
        <w:tc>
          <w:tcPr>
            <w:tcW w:w="1021" w:type="dxa"/>
            <w:tcBorders>
              <w:top w:val="nil"/>
              <w:left w:val="single" w:sz="4" w:space="0" w:color="auto"/>
              <w:bottom w:val="nil"/>
              <w:right w:val="nil"/>
            </w:tcBorders>
            <w:shd w:val="clear" w:color="000000" w:fill="FFFFFF"/>
            <w:vAlign w:val="center"/>
          </w:tcPr>
          <w:p w14:paraId="42A232DE" w14:textId="1606FF70" w:rsidR="0038133B" w:rsidRDefault="0038133B" w:rsidP="00257662">
            <w:pPr>
              <w:spacing w:after="0" w:line="240" w:lineRule="auto"/>
              <w:jc w:val="right"/>
              <w:rPr>
                <w:rFonts w:cs="Arial"/>
                <w:sz w:val="16"/>
                <w:szCs w:val="16"/>
              </w:rPr>
            </w:pPr>
            <w:r>
              <w:rPr>
                <w:rFonts w:cs="Arial"/>
                <w:sz w:val="16"/>
                <w:szCs w:val="16"/>
              </w:rPr>
              <w:t>14 204,1</w:t>
            </w:r>
          </w:p>
        </w:tc>
        <w:tc>
          <w:tcPr>
            <w:tcW w:w="1020" w:type="dxa"/>
            <w:tcBorders>
              <w:top w:val="nil"/>
              <w:left w:val="nil"/>
              <w:bottom w:val="nil"/>
              <w:right w:val="nil"/>
            </w:tcBorders>
            <w:shd w:val="clear" w:color="000000" w:fill="FFFFFF"/>
            <w:vAlign w:val="center"/>
          </w:tcPr>
          <w:p w14:paraId="1DBC1DF1" w14:textId="25823AF7" w:rsidR="0038133B" w:rsidRDefault="0038133B" w:rsidP="00257662">
            <w:pPr>
              <w:spacing w:after="0" w:line="240" w:lineRule="auto"/>
              <w:jc w:val="right"/>
              <w:rPr>
                <w:rFonts w:cs="Arial"/>
                <w:sz w:val="16"/>
                <w:szCs w:val="16"/>
              </w:rPr>
            </w:pPr>
            <w:r>
              <w:rPr>
                <w:rFonts w:cs="Arial"/>
                <w:sz w:val="16"/>
                <w:szCs w:val="16"/>
              </w:rPr>
              <w:t>6 085,0</w:t>
            </w:r>
          </w:p>
        </w:tc>
        <w:tc>
          <w:tcPr>
            <w:tcW w:w="1021" w:type="dxa"/>
            <w:tcBorders>
              <w:top w:val="nil"/>
              <w:left w:val="nil"/>
              <w:bottom w:val="nil"/>
              <w:right w:val="single" w:sz="4" w:space="0" w:color="auto"/>
            </w:tcBorders>
            <w:shd w:val="clear" w:color="000000" w:fill="FFFFFF"/>
            <w:vAlign w:val="center"/>
          </w:tcPr>
          <w:p w14:paraId="6B71D275" w14:textId="101CCFF4" w:rsidR="0038133B" w:rsidRDefault="0038133B" w:rsidP="00257662">
            <w:pPr>
              <w:spacing w:after="0" w:line="240" w:lineRule="auto"/>
              <w:jc w:val="right"/>
              <w:rPr>
                <w:rFonts w:cs="Arial"/>
                <w:sz w:val="16"/>
                <w:szCs w:val="16"/>
              </w:rPr>
            </w:pPr>
            <w:r>
              <w:rPr>
                <w:rFonts w:cs="Arial"/>
                <w:sz w:val="16"/>
                <w:szCs w:val="16"/>
              </w:rPr>
              <w:t>8 119,1</w:t>
            </w:r>
          </w:p>
        </w:tc>
        <w:tc>
          <w:tcPr>
            <w:tcW w:w="907" w:type="dxa"/>
            <w:tcBorders>
              <w:top w:val="nil"/>
              <w:left w:val="single" w:sz="4" w:space="0" w:color="auto"/>
              <w:bottom w:val="nil"/>
              <w:right w:val="nil"/>
            </w:tcBorders>
            <w:shd w:val="clear" w:color="auto" w:fill="auto"/>
            <w:vAlign w:val="center"/>
            <w:hideMark/>
          </w:tcPr>
          <w:p w14:paraId="365DFC57" w14:textId="484DCB01" w:rsidR="0038133B" w:rsidRPr="00D92E20" w:rsidRDefault="0038133B" w:rsidP="00257662">
            <w:pPr>
              <w:spacing w:after="0" w:line="240" w:lineRule="auto"/>
              <w:jc w:val="right"/>
              <w:rPr>
                <w:rFonts w:cs="Arial"/>
                <w:color w:val="000000"/>
                <w:sz w:val="16"/>
                <w:szCs w:val="16"/>
              </w:rPr>
            </w:pPr>
            <w:r>
              <w:rPr>
                <w:rFonts w:cs="Arial"/>
                <w:sz w:val="16"/>
                <w:szCs w:val="16"/>
              </w:rPr>
              <w:t>35,0</w:t>
            </w:r>
          </w:p>
        </w:tc>
        <w:tc>
          <w:tcPr>
            <w:tcW w:w="907" w:type="dxa"/>
            <w:tcBorders>
              <w:top w:val="nil"/>
              <w:left w:val="nil"/>
              <w:bottom w:val="nil"/>
              <w:right w:val="nil"/>
            </w:tcBorders>
            <w:shd w:val="clear" w:color="auto" w:fill="auto"/>
            <w:vAlign w:val="center"/>
            <w:hideMark/>
          </w:tcPr>
          <w:p w14:paraId="4EA677FC" w14:textId="1E659490" w:rsidR="0038133B" w:rsidRPr="00D92E20" w:rsidRDefault="0038133B" w:rsidP="00257662">
            <w:pPr>
              <w:spacing w:after="0" w:line="240" w:lineRule="auto"/>
              <w:jc w:val="right"/>
              <w:rPr>
                <w:rFonts w:cs="Arial"/>
                <w:color w:val="000000"/>
                <w:sz w:val="16"/>
                <w:szCs w:val="16"/>
              </w:rPr>
            </w:pPr>
            <w:r>
              <w:rPr>
                <w:rFonts w:cs="Arial"/>
                <w:sz w:val="16"/>
                <w:szCs w:val="16"/>
              </w:rPr>
              <w:t>33,8</w:t>
            </w:r>
          </w:p>
        </w:tc>
        <w:tc>
          <w:tcPr>
            <w:tcW w:w="908" w:type="dxa"/>
            <w:tcBorders>
              <w:top w:val="nil"/>
              <w:left w:val="nil"/>
              <w:bottom w:val="nil"/>
              <w:right w:val="nil"/>
            </w:tcBorders>
            <w:shd w:val="clear" w:color="auto" w:fill="auto"/>
            <w:vAlign w:val="center"/>
            <w:hideMark/>
          </w:tcPr>
          <w:p w14:paraId="6355EB57" w14:textId="55B80FD9" w:rsidR="0038133B" w:rsidRPr="00D92E20" w:rsidRDefault="0038133B" w:rsidP="00257662">
            <w:pPr>
              <w:spacing w:after="0" w:line="240" w:lineRule="auto"/>
              <w:jc w:val="right"/>
              <w:rPr>
                <w:rFonts w:cs="Arial"/>
                <w:color w:val="000000"/>
                <w:sz w:val="16"/>
                <w:szCs w:val="16"/>
              </w:rPr>
            </w:pPr>
            <w:r>
              <w:rPr>
                <w:rFonts w:cs="Arial"/>
                <w:sz w:val="16"/>
                <w:szCs w:val="16"/>
              </w:rPr>
              <w:t>36,0</w:t>
            </w:r>
          </w:p>
        </w:tc>
      </w:tr>
      <w:tr w:rsidR="002E0A24" w:rsidRPr="00D92E20" w14:paraId="2F67599B" w14:textId="77777777" w:rsidTr="00257662">
        <w:trPr>
          <w:trHeight w:val="288"/>
        </w:trPr>
        <w:tc>
          <w:tcPr>
            <w:tcW w:w="1271" w:type="dxa"/>
            <w:tcBorders>
              <w:top w:val="nil"/>
              <w:left w:val="nil"/>
              <w:bottom w:val="nil"/>
              <w:right w:val="single" w:sz="4" w:space="0" w:color="auto"/>
            </w:tcBorders>
            <w:shd w:val="clear" w:color="auto" w:fill="auto"/>
            <w:vAlign w:val="center"/>
            <w:hideMark/>
          </w:tcPr>
          <w:p w14:paraId="11702FF2" w14:textId="77777777" w:rsidR="0038133B" w:rsidRPr="00D92E20" w:rsidRDefault="0038133B" w:rsidP="0038133B">
            <w:pPr>
              <w:spacing w:after="0" w:line="240" w:lineRule="auto"/>
              <w:ind w:firstLineChars="100" w:firstLine="160"/>
              <w:rPr>
                <w:rFonts w:cs="Arial"/>
                <w:color w:val="000000"/>
                <w:sz w:val="16"/>
                <w:szCs w:val="16"/>
              </w:rPr>
            </w:pPr>
            <w:r w:rsidRPr="00D92E20">
              <w:rPr>
                <w:rFonts w:cs="Arial"/>
                <w:color w:val="000000"/>
                <w:sz w:val="16"/>
                <w:szCs w:val="16"/>
              </w:rPr>
              <w:t>50–59 let</w:t>
            </w:r>
          </w:p>
        </w:tc>
        <w:tc>
          <w:tcPr>
            <w:tcW w:w="907" w:type="dxa"/>
            <w:tcBorders>
              <w:top w:val="nil"/>
              <w:left w:val="nil"/>
              <w:bottom w:val="nil"/>
              <w:right w:val="nil"/>
            </w:tcBorders>
            <w:shd w:val="clear" w:color="auto" w:fill="auto"/>
            <w:vAlign w:val="center"/>
            <w:hideMark/>
          </w:tcPr>
          <w:p w14:paraId="17EC10FC" w14:textId="7588D32E" w:rsidR="0038133B" w:rsidRPr="00D92E20" w:rsidRDefault="0038133B" w:rsidP="0038133B">
            <w:pPr>
              <w:spacing w:after="0" w:line="240" w:lineRule="auto"/>
              <w:jc w:val="right"/>
              <w:rPr>
                <w:rFonts w:cs="Arial"/>
                <w:color w:val="000000"/>
                <w:sz w:val="16"/>
                <w:szCs w:val="16"/>
              </w:rPr>
            </w:pPr>
            <w:r>
              <w:rPr>
                <w:rFonts w:cs="Arial"/>
                <w:sz w:val="16"/>
                <w:szCs w:val="16"/>
              </w:rPr>
              <w:t>353,5</w:t>
            </w:r>
          </w:p>
        </w:tc>
        <w:tc>
          <w:tcPr>
            <w:tcW w:w="907" w:type="dxa"/>
            <w:tcBorders>
              <w:top w:val="nil"/>
              <w:left w:val="nil"/>
              <w:bottom w:val="nil"/>
              <w:right w:val="nil"/>
            </w:tcBorders>
            <w:shd w:val="clear" w:color="auto" w:fill="auto"/>
            <w:vAlign w:val="center"/>
            <w:hideMark/>
          </w:tcPr>
          <w:p w14:paraId="5654649E" w14:textId="1BAD81D4" w:rsidR="0038133B" w:rsidRPr="00D92E20" w:rsidRDefault="0038133B" w:rsidP="0038133B">
            <w:pPr>
              <w:spacing w:after="0" w:line="240" w:lineRule="auto"/>
              <w:jc w:val="right"/>
              <w:rPr>
                <w:rFonts w:cs="Arial"/>
                <w:color w:val="000000"/>
                <w:sz w:val="16"/>
                <w:szCs w:val="16"/>
              </w:rPr>
            </w:pPr>
            <w:r>
              <w:rPr>
                <w:rFonts w:cs="Arial"/>
                <w:sz w:val="16"/>
                <w:szCs w:val="16"/>
              </w:rPr>
              <w:t>156,0</w:t>
            </w:r>
          </w:p>
        </w:tc>
        <w:tc>
          <w:tcPr>
            <w:tcW w:w="907" w:type="dxa"/>
            <w:tcBorders>
              <w:top w:val="nil"/>
              <w:left w:val="nil"/>
              <w:bottom w:val="nil"/>
              <w:right w:val="single" w:sz="4" w:space="0" w:color="auto"/>
            </w:tcBorders>
            <w:shd w:val="clear" w:color="auto" w:fill="auto"/>
            <w:vAlign w:val="center"/>
            <w:hideMark/>
          </w:tcPr>
          <w:p w14:paraId="7EA4EFC4" w14:textId="2B377EC7" w:rsidR="0038133B" w:rsidRPr="00D92E20" w:rsidRDefault="0038133B" w:rsidP="0038133B">
            <w:pPr>
              <w:spacing w:after="0" w:line="240" w:lineRule="auto"/>
              <w:jc w:val="right"/>
              <w:rPr>
                <w:rFonts w:cs="Arial"/>
                <w:color w:val="000000"/>
                <w:sz w:val="16"/>
                <w:szCs w:val="16"/>
              </w:rPr>
            </w:pPr>
            <w:r>
              <w:rPr>
                <w:rFonts w:cs="Arial"/>
                <w:sz w:val="16"/>
                <w:szCs w:val="16"/>
              </w:rPr>
              <w:t>197,5</w:t>
            </w:r>
          </w:p>
        </w:tc>
        <w:tc>
          <w:tcPr>
            <w:tcW w:w="1021" w:type="dxa"/>
            <w:tcBorders>
              <w:top w:val="nil"/>
              <w:left w:val="single" w:sz="4" w:space="0" w:color="auto"/>
              <w:bottom w:val="nil"/>
              <w:right w:val="nil"/>
            </w:tcBorders>
            <w:shd w:val="clear" w:color="000000" w:fill="FFFFFF"/>
            <w:vAlign w:val="center"/>
          </w:tcPr>
          <w:p w14:paraId="085A64F7" w14:textId="3C627C49" w:rsidR="0038133B" w:rsidRDefault="0038133B" w:rsidP="00257662">
            <w:pPr>
              <w:spacing w:after="0" w:line="240" w:lineRule="auto"/>
              <w:jc w:val="right"/>
              <w:rPr>
                <w:rFonts w:cs="Arial"/>
                <w:sz w:val="16"/>
                <w:szCs w:val="16"/>
              </w:rPr>
            </w:pPr>
            <w:r>
              <w:rPr>
                <w:rFonts w:cs="Arial"/>
                <w:sz w:val="16"/>
                <w:szCs w:val="16"/>
              </w:rPr>
              <w:t>16 095,2</w:t>
            </w:r>
          </w:p>
        </w:tc>
        <w:tc>
          <w:tcPr>
            <w:tcW w:w="1020" w:type="dxa"/>
            <w:tcBorders>
              <w:top w:val="nil"/>
              <w:left w:val="nil"/>
              <w:bottom w:val="nil"/>
              <w:right w:val="nil"/>
            </w:tcBorders>
            <w:shd w:val="clear" w:color="000000" w:fill="FFFFFF"/>
            <w:vAlign w:val="center"/>
          </w:tcPr>
          <w:p w14:paraId="35CDAC53" w14:textId="2946E2A6" w:rsidR="0038133B" w:rsidRDefault="0038133B" w:rsidP="00257662">
            <w:pPr>
              <w:spacing w:after="0" w:line="240" w:lineRule="auto"/>
              <w:jc w:val="right"/>
              <w:rPr>
                <w:rFonts w:cs="Arial"/>
                <w:sz w:val="16"/>
                <w:szCs w:val="16"/>
              </w:rPr>
            </w:pPr>
            <w:r>
              <w:rPr>
                <w:rFonts w:cs="Arial"/>
                <w:sz w:val="16"/>
                <w:szCs w:val="16"/>
              </w:rPr>
              <w:t>7 021,7</w:t>
            </w:r>
          </w:p>
        </w:tc>
        <w:tc>
          <w:tcPr>
            <w:tcW w:w="1021" w:type="dxa"/>
            <w:tcBorders>
              <w:top w:val="nil"/>
              <w:left w:val="nil"/>
              <w:bottom w:val="nil"/>
              <w:right w:val="single" w:sz="4" w:space="0" w:color="auto"/>
            </w:tcBorders>
            <w:shd w:val="clear" w:color="000000" w:fill="FFFFFF"/>
            <w:vAlign w:val="center"/>
          </w:tcPr>
          <w:p w14:paraId="0CC95EAE" w14:textId="1F71C3E3" w:rsidR="0038133B" w:rsidRDefault="0038133B" w:rsidP="00257662">
            <w:pPr>
              <w:spacing w:after="0" w:line="240" w:lineRule="auto"/>
              <w:jc w:val="right"/>
              <w:rPr>
                <w:rFonts w:cs="Arial"/>
                <w:sz w:val="16"/>
                <w:szCs w:val="16"/>
              </w:rPr>
            </w:pPr>
            <w:r>
              <w:rPr>
                <w:rFonts w:cs="Arial"/>
                <w:sz w:val="16"/>
                <w:szCs w:val="16"/>
              </w:rPr>
              <w:t>9 073,5</w:t>
            </w:r>
          </w:p>
        </w:tc>
        <w:tc>
          <w:tcPr>
            <w:tcW w:w="907" w:type="dxa"/>
            <w:tcBorders>
              <w:top w:val="nil"/>
              <w:left w:val="single" w:sz="4" w:space="0" w:color="auto"/>
              <w:bottom w:val="nil"/>
              <w:right w:val="nil"/>
            </w:tcBorders>
            <w:shd w:val="clear" w:color="auto" w:fill="auto"/>
            <w:vAlign w:val="center"/>
            <w:hideMark/>
          </w:tcPr>
          <w:p w14:paraId="188F2166" w14:textId="08A3BE54" w:rsidR="0038133B" w:rsidRPr="00D92E20" w:rsidRDefault="0038133B" w:rsidP="00257662">
            <w:pPr>
              <w:spacing w:after="0" w:line="240" w:lineRule="auto"/>
              <w:jc w:val="right"/>
              <w:rPr>
                <w:rFonts w:cs="Arial"/>
                <w:color w:val="000000"/>
                <w:sz w:val="16"/>
                <w:szCs w:val="16"/>
              </w:rPr>
            </w:pPr>
            <w:r>
              <w:rPr>
                <w:rFonts w:cs="Arial"/>
                <w:sz w:val="16"/>
                <w:szCs w:val="16"/>
              </w:rPr>
              <w:t>45,5</w:t>
            </w:r>
          </w:p>
        </w:tc>
        <w:tc>
          <w:tcPr>
            <w:tcW w:w="907" w:type="dxa"/>
            <w:tcBorders>
              <w:top w:val="nil"/>
              <w:left w:val="nil"/>
              <w:bottom w:val="nil"/>
              <w:right w:val="nil"/>
            </w:tcBorders>
            <w:shd w:val="clear" w:color="auto" w:fill="auto"/>
            <w:vAlign w:val="center"/>
            <w:hideMark/>
          </w:tcPr>
          <w:p w14:paraId="46010ECF" w14:textId="3574C286" w:rsidR="0038133B" w:rsidRPr="00D92E20" w:rsidRDefault="0038133B" w:rsidP="00257662">
            <w:pPr>
              <w:spacing w:after="0" w:line="240" w:lineRule="auto"/>
              <w:jc w:val="right"/>
              <w:rPr>
                <w:rFonts w:cs="Arial"/>
                <w:color w:val="000000"/>
                <w:sz w:val="16"/>
                <w:szCs w:val="16"/>
              </w:rPr>
            </w:pPr>
            <w:r>
              <w:rPr>
                <w:rFonts w:cs="Arial"/>
                <w:sz w:val="16"/>
                <w:szCs w:val="16"/>
              </w:rPr>
              <w:t>45,0</w:t>
            </w:r>
          </w:p>
        </w:tc>
        <w:tc>
          <w:tcPr>
            <w:tcW w:w="908" w:type="dxa"/>
            <w:tcBorders>
              <w:top w:val="nil"/>
              <w:left w:val="nil"/>
              <w:bottom w:val="nil"/>
              <w:right w:val="nil"/>
            </w:tcBorders>
            <w:shd w:val="clear" w:color="auto" w:fill="auto"/>
            <w:vAlign w:val="center"/>
            <w:hideMark/>
          </w:tcPr>
          <w:p w14:paraId="31A2035A" w14:textId="409FA707" w:rsidR="0038133B" w:rsidRPr="00D92E20" w:rsidRDefault="0038133B" w:rsidP="00257662">
            <w:pPr>
              <w:spacing w:after="0" w:line="240" w:lineRule="auto"/>
              <w:jc w:val="right"/>
              <w:rPr>
                <w:rFonts w:cs="Arial"/>
                <w:color w:val="000000"/>
                <w:sz w:val="16"/>
                <w:szCs w:val="16"/>
              </w:rPr>
            </w:pPr>
            <w:r>
              <w:rPr>
                <w:rFonts w:cs="Arial"/>
                <w:sz w:val="16"/>
                <w:szCs w:val="16"/>
              </w:rPr>
              <w:t>45,9</w:t>
            </w:r>
          </w:p>
        </w:tc>
      </w:tr>
      <w:tr w:rsidR="002E0A24" w:rsidRPr="00D92E20" w14:paraId="5D9C795C" w14:textId="77777777" w:rsidTr="00257662">
        <w:trPr>
          <w:trHeight w:val="288"/>
        </w:trPr>
        <w:tc>
          <w:tcPr>
            <w:tcW w:w="1271" w:type="dxa"/>
            <w:tcBorders>
              <w:top w:val="nil"/>
              <w:left w:val="nil"/>
              <w:bottom w:val="nil"/>
              <w:right w:val="single" w:sz="4" w:space="0" w:color="auto"/>
            </w:tcBorders>
            <w:shd w:val="clear" w:color="auto" w:fill="auto"/>
            <w:vAlign w:val="center"/>
            <w:hideMark/>
          </w:tcPr>
          <w:p w14:paraId="2AE554D8" w14:textId="77777777" w:rsidR="0038133B" w:rsidRPr="00D92E20" w:rsidRDefault="0038133B" w:rsidP="0038133B">
            <w:pPr>
              <w:spacing w:after="0" w:line="240" w:lineRule="auto"/>
              <w:ind w:firstLineChars="100" w:firstLine="160"/>
              <w:rPr>
                <w:rFonts w:cs="Arial"/>
                <w:color w:val="000000"/>
                <w:sz w:val="16"/>
                <w:szCs w:val="16"/>
              </w:rPr>
            </w:pPr>
            <w:r w:rsidRPr="00D92E20">
              <w:rPr>
                <w:rFonts w:cs="Arial"/>
                <w:color w:val="000000"/>
                <w:sz w:val="16"/>
                <w:szCs w:val="16"/>
              </w:rPr>
              <w:t>60 a více let</w:t>
            </w:r>
          </w:p>
        </w:tc>
        <w:tc>
          <w:tcPr>
            <w:tcW w:w="907" w:type="dxa"/>
            <w:tcBorders>
              <w:top w:val="nil"/>
              <w:left w:val="nil"/>
              <w:bottom w:val="nil"/>
              <w:right w:val="nil"/>
            </w:tcBorders>
            <w:shd w:val="clear" w:color="auto" w:fill="auto"/>
            <w:vAlign w:val="center"/>
            <w:hideMark/>
          </w:tcPr>
          <w:p w14:paraId="3AF4AB86" w14:textId="344B5B36" w:rsidR="0038133B" w:rsidRPr="00D92E20" w:rsidRDefault="0038133B" w:rsidP="0038133B">
            <w:pPr>
              <w:spacing w:after="0" w:line="240" w:lineRule="auto"/>
              <w:jc w:val="right"/>
              <w:rPr>
                <w:rFonts w:cs="Arial"/>
                <w:color w:val="000000"/>
                <w:sz w:val="16"/>
                <w:szCs w:val="16"/>
              </w:rPr>
            </w:pPr>
            <w:r>
              <w:rPr>
                <w:rFonts w:cs="Arial"/>
                <w:sz w:val="16"/>
                <w:szCs w:val="16"/>
              </w:rPr>
              <w:t>105,5</w:t>
            </w:r>
          </w:p>
        </w:tc>
        <w:tc>
          <w:tcPr>
            <w:tcW w:w="907" w:type="dxa"/>
            <w:tcBorders>
              <w:top w:val="nil"/>
              <w:left w:val="nil"/>
              <w:bottom w:val="nil"/>
              <w:right w:val="nil"/>
            </w:tcBorders>
            <w:shd w:val="clear" w:color="auto" w:fill="auto"/>
            <w:vAlign w:val="center"/>
            <w:hideMark/>
          </w:tcPr>
          <w:p w14:paraId="57651157" w14:textId="213018D4" w:rsidR="0038133B" w:rsidRPr="00D92E20" w:rsidRDefault="0038133B" w:rsidP="0038133B">
            <w:pPr>
              <w:spacing w:after="0" w:line="240" w:lineRule="auto"/>
              <w:jc w:val="right"/>
              <w:rPr>
                <w:rFonts w:cs="Arial"/>
                <w:color w:val="000000"/>
                <w:sz w:val="16"/>
                <w:szCs w:val="16"/>
              </w:rPr>
            </w:pPr>
            <w:r>
              <w:rPr>
                <w:rFonts w:cs="Arial"/>
                <w:sz w:val="16"/>
                <w:szCs w:val="16"/>
              </w:rPr>
              <w:t>61,8</w:t>
            </w:r>
          </w:p>
        </w:tc>
        <w:tc>
          <w:tcPr>
            <w:tcW w:w="907" w:type="dxa"/>
            <w:tcBorders>
              <w:top w:val="nil"/>
              <w:left w:val="nil"/>
              <w:bottom w:val="nil"/>
              <w:right w:val="single" w:sz="4" w:space="0" w:color="auto"/>
            </w:tcBorders>
            <w:shd w:val="clear" w:color="auto" w:fill="auto"/>
            <w:vAlign w:val="center"/>
            <w:hideMark/>
          </w:tcPr>
          <w:p w14:paraId="5B571264" w14:textId="0F2465D5" w:rsidR="0038133B" w:rsidRPr="00D92E20" w:rsidRDefault="0038133B" w:rsidP="0038133B">
            <w:pPr>
              <w:spacing w:after="0" w:line="240" w:lineRule="auto"/>
              <w:jc w:val="right"/>
              <w:rPr>
                <w:rFonts w:cs="Arial"/>
                <w:color w:val="000000"/>
                <w:sz w:val="16"/>
                <w:szCs w:val="16"/>
              </w:rPr>
            </w:pPr>
            <w:r>
              <w:rPr>
                <w:rFonts w:cs="Arial"/>
                <w:sz w:val="16"/>
                <w:szCs w:val="16"/>
              </w:rPr>
              <w:t>43,6</w:t>
            </w:r>
          </w:p>
        </w:tc>
        <w:tc>
          <w:tcPr>
            <w:tcW w:w="1021" w:type="dxa"/>
            <w:tcBorders>
              <w:top w:val="nil"/>
              <w:left w:val="single" w:sz="4" w:space="0" w:color="auto"/>
              <w:bottom w:val="nil"/>
              <w:right w:val="nil"/>
            </w:tcBorders>
            <w:shd w:val="clear" w:color="000000" w:fill="FFFFFF"/>
            <w:vAlign w:val="center"/>
          </w:tcPr>
          <w:p w14:paraId="76DEBC8C" w14:textId="6A749D2D" w:rsidR="0038133B" w:rsidRDefault="0038133B" w:rsidP="00257662">
            <w:pPr>
              <w:spacing w:after="0" w:line="240" w:lineRule="auto"/>
              <w:jc w:val="right"/>
              <w:rPr>
                <w:rFonts w:cs="Arial"/>
                <w:sz w:val="16"/>
                <w:szCs w:val="16"/>
              </w:rPr>
            </w:pPr>
            <w:r>
              <w:rPr>
                <w:rFonts w:cs="Arial"/>
                <w:sz w:val="16"/>
                <w:szCs w:val="16"/>
              </w:rPr>
              <w:t>6 107,1</w:t>
            </w:r>
          </w:p>
        </w:tc>
        <w:tc>
          <w:tcPr>
            <w:tcW w:w="1020" w:type="dxa"/>
            <w:tcBorders>
              <w:top w:val="nil"/>
              <w:left w:val="nil"/>
              <w:bottom w:val="nil"/>
              <w:right w:val="nil"/>
            </w:tcBorders>
            <w:shd w:val="clear" w:color="000000" w:fill="FFFFFF"/>
            <w:vAlign w:val="center"/>
          </w:tcPr>
          <w:p w14:paraId="47A48FAF" w14:textId="16BEACA7" w:rsidR="0038133B" w:rsidRDefault="0038133B" w:rsidP="00257662">
            <w:pPr>
              <w:spacing w:after="0" w:line="240" w:lineRule="auto"/>
              <w:jc w:val="right"/>
              <w:rPr>
                <w:rFonts w:cs="Arial"/>
                <w:sz w:val="16"/>
                <w:szCs w:val="16"/>
              </w:rPr>
            </w:pPr>
            <w:r>
              <w:rPr>
                <w:rFonts w:cs="Arial"/>
                <w:sz w:val="16"/>
                <w:szCs w:val="16"/>
              </w:rPr>
              <w:t>3 782,3</w:t>
            </w:r>
          </w:p>
        </w:tc>
        <w:tc>
          <w:tcPr>
            <w:tcW w:w="1021" w:type="dxa"/>
            <w:tcBorders>
              <w:top w:val="nil"/>
              <w:left w:val="nil"/>
              <w:bottom w:val="nil"/>
              <w:right w:val="single" w:sz="4" w:space="0" w:color="auto"/>
            </w:tcBorders>
            <w:shd w:val="clear" w:color="000000" w:fill="FFFFFF"/>
            <w:vAlign w:val="center"/>
          </w:tcPr>
          <w:p w14:paraId="125DF3E0" w14:textId="2BF24C53" w:rsidR="0038133B" w:rsidRDefault="0038133B" w:rsidP="00257662">
            <w:pPr>
              <w:spacing w:after="0" w:line="240" w:lineRule="auto"/>
              <w:jc w:val="right"/>
              <w:rPr>
                <w:rFonts w:cs="Arial"/>
                <w:sz w:val="16"/>
                <w:szCs w:val="16"/>
              </w:rPr>
            </w:pPr>
            <w:r>
              <w:rPr>
                <w:rFonts w:cs="Arial"/>
                <w:sz w:val="16"/>
                <w:szCs w:val="16"/>
              </w:rPr>
              <w:t>2 324,7</w:t>
            </w:r>
          </w:p>
        </w:tc>
        <w:tc>
          <w:tcPr>
            <w:tcW w:w="907" w:type="dxa"/>
            <w:tcBorders>
              <w:top w:val="nil"/>
              <w:left w:val="single" w:sz="4" w:space="0" w:color="auto"/>
              <w:bottom w:val="nil"/>
              <w:right w:val="nil"/>
            </w:tcBorders>
            <w:shd w:val="clear" w:color="auto" w:fill="auto"/>
            <w:vAlign w:val="center"/>
            <w:hideMark/>
          </w:tcPr>
          <w:p w14:paraId="366973B9" w14:textId="2441FB99" w:rsidR="0038133B" w:rsidRPr="00D92E20" w:rsidRDefault="0038133B" w:rsidP="00257662">
            <w:pPr>
              <w:spacing w:after="0" w:line="240" w:lineRule="auto"/>
              <w:jc w:val="right"/>
              <w:rPr>
                <w:rFonts w:cs="Arial"/>
                <w:color w:val="000000"/>
                <w:sz w:val="16"/>
                <w:szCs w:val="16"/>
              </w:rPr>
            </w:pPr>
            <w:r>
              <w:rPr>
                <w:rFonts w:cs="Arial"/>
                <w:sz w:val="16"/>
                <w:szCs w:val="16"/>
              </w:rPr>
              <w:t>57,9</w:t>
            </w:r>
          </w:p>
        </w:tc>
        <w:tc>
          <w:tcPr>
            <w:tcW w:w="907" w:type="dxa"/>
            <w:tcBorders>
              <w:top w:val="nil"/>
              <w:left w:val="nil"/>
              <w:bottom w:val="nil"/>
              <w:right w:val="nil"/>
            </w:tcBorders>
            <w:shd w:val="clear" w:color="auto" w:fill="auto"/>
            <w:vAlign w:val="center"/>
            <w:hideMark/>
          </w:tcPr>
          <w:p w14:paraId="0689618B" w14:textId="0D90AA97" w:rsidR="0038133B" w:rsidRPr="00D92E20" w:rsidRDefault="0038133B" w:rsidP="00257662">
            <w:pPr>
              <w:spacing w:after="0" w:line="240" w:lineRule="auto"/>
              <w:jc w:val="right"/>
              <w:rPr>
                <w:rFonts w:cs="Arial"/>
                <w:color w:val="000000"/>
                <w:sz w:val="16"/>
                <w:szCs w:val="16"/>
              </w:rPr>
            </w:pPr>
            <w:r>
              <w:rPr>
                <w:rFonts w:cs="Arial"/>
                <w:sz w:val="16"/>
                <w:szCs w:val="16"/>
              </w:rPr>
              <w:t>61,2</w:t>
            </w:r>
          </w:p>
        </w:tc>
        <w:tc>
          <w:tcPr>
            <w:tcW w:w="908" w:type="dxa"/>
            <w:tcBorders>
              <w:top w:val="nil"/>
              <w:left w:val="nil"/>
              <w:bottom w:val="nil"/>
              <w:right w:val="nil"/>
            </w:tcBorders>
            <w:shd w:val="clear" w:color="auto" w:fill="auto"/>
            <w:vAlign w:val="center"/>
            <w:hideMark/>
          </w:tcPr>
          <w:p w14:paraId="5F6FC319" w14:textId="02306D84" w:rsidR="0038133B" w:rsidRPr="00D92E20" w:rsidRDefault="0038133B" w:rsidP="00257662">
            <w:pPr>
              <w:spacing w:after="0" w:line="240" w:lineRule="auto"/>
              <w:jc w:val="right"/>
              <w:rPr>
                <w:rFonts w:cs="Arial"/>
                <w:color w:val="000000"/>
                <w:sz w:val="16"/>
                <w:szCs w:val="16"/>
              </w:rPr>
            </w:pPr>
            <w:r>
              <w:rPr>
                <w:rFonts w:cs="Arial"/>
                <w:sz w:val="16"/>
                <w:szCs w:val="16"/>
              </w:rPr>
              <w:t>53,3</w:t>
            </w:r>
          </w:p>
        </w:tc>
      </w:tr>
    </w:tbl>
    <w:p w14:paraId="56E8B21C" w14:textId="77777777" w:rsidR="00B9122C" w:rsidRPr="00D92E20" w:rsidRDefault="00B9122C" w:rsidP="00B9122C">
      <w:pPr>
        <w:spacing w:before="120"/>
        <w:rPr>
          <w:sz w:val="16"/>
        </w:rPr>
      </w:pPr>
      <w:r w:rsidRPr="00D92E20">
        <w:rPr>
          <w:sz w:val="16"/>
        </w:rPr>
        <w:t>Zdroj: ČSSZ</w:t>
      </w:r>
    </w:p>
    <w:p w14:paraId="3805C765" w14:textId="16070CBD" w:rsidR="00B9122C" w:rsidRPr="00D92E20" w:rsidRDefault="00B9122C" w:rsidP="00000A90">
      <w:pPr>
        <w:spacing w:before="120" w:after="120"/>
        <w:jc w:val="both"/>
      </w:pPr>
      <w:r w:rsidRPr="00D92E20">
        <w:t>Doba, po kterou</w:t>
      </w:r>
      <w:r w:rsidR="0088375E">
        <w:t xml:space="preserve"> průměrná</w:t>
      </w:r>
      <w:r w:rsidRPr="00D92E20">
        <w:t xml:space="preserve"> pracovní neschopnost trvala, rostla </w:t>
      </w:r>
      <w:r w:rsidRPr="00D92E20">
        <w:rPr>
          <w:b/>
        </w:rPr>
        <w:t>s věkem</w:t>
      </w:r>
      <w:r w:rsidRPr="00D92E20">
        <w:t xml:space="preserve"> (viz tab. 3.</w:t>
      </w:r>
      <w:r w:rsidR="00391FBE" w:rsidRPr="00D92E20">
        <w:t>2</w:t>
      </w:r>
      <w:r w:rsidRPr="00D92E20">
        <w:t xml:space="preserve">), a to od </w:t>
      </w:r>
      <w:r w:rsidR="008703A0">
        <w:t>13,5</w:t>
      </w:r>
      <w:r w:rsidRPr="00D92E20">
        <w:t xml:space="preserve"> dne ve</w:t>
      </w:r>
      <w:r w:rsidR="00CD63E8">
        <w:t> </w:t>
      </w:r>
      <w:r w:rsidRPr="00D92E20">
        <w:t xml:space="preserve">věkové skupině osob mladších 20 let až po </w:t>
      </w:r>
      <w:r w:rsidR="008703A0">
        <w:t>43 dnů</w:t>
      </w:r>
      <w:r w:rsidRPr="00D92E20">
        <w:t xml:space="preserve"> ve věkové skupině 60letých a starších. To je způsobeno zejména vyšším zastoupením krátkodobých případů pracovní neschopnosti pro nemoci dýchací soustavy v mladším věku</w:t>
      </w:r>
      <w:r w:rsidR="00B23CF8">
        <w:t>,</w:t>
      </w:r>
      <w:r w:rsidRPr="00D92E20">
        <w:t xml:space="preserve"> a naopak nárůstem dlouhodobých případů pracovní neschopnosti pro nádorová onemocnění a nemoci oběhové soustavy se zvyšujícím se věkem.</w:t>
      </w:r>
    </w:p>
    <w:p w14:paraId="50BF44C2" w14:textId="56004D3B" w:rsidR="002C05CC" w:rsidRPr="002203FD" w:rsidRDefault="002C05CC" w:rsidP="00000A90">
      <w:pPr>
        <w:spacing w:before="120" w:after="120"/>
        <w:jc w:val="both"/>
      </w:pPr>
      <w:r w:rsidRPr="002203FD">
        <w:t xml:space="preserve">Pracovní neschopnost plyne z různých příčin a statistiky ČSSZ nabízí přehled ukončených případů </w:t>
      </w:r>
      <w:r w:rsidRPr="002203FD">
        <w:rPr>
          <w:b/>
        </w:rPr>
        <w:t>podle diagnóz</w:t>
      </w:r>
      <w:r w:rsidRPr="002203FD">
        <w:t xml:space="preserve">. </w:t>
      </w:r>
      <w:r w:rsidR="00586EBB" w:rsidRPr="002203FD">
        <w:t xml:space="preserve">Pokud pomineme kategorii </w:t>
      </w:r>
      <w:r w:rsidR="00586EBB" w:rsidRPr="002203FD">
        <w:rPr>
          <w:b/>
        </w:rPr>
        <w:t>ostatní nemoci</w:t>
      </w:r>
      <w:r w:rsidR="00586EBB" w:rsidRPr="002203FD">
        <w:t>, kterou oproti předchozím rokům navyšují zejm</w:t>
      </w:r>
      <w:r w:rsidR="00957C6D">
        <w:t>éna</w:t>
      </w:r>
      <w:r w:rsidR="00586EBB" w:rsidRPr="002203FD">
        <w:t xml:space="preserve"> neschopenky pro případ karantény</w:t>
      </w:r>
      <w:r w:rsidR="00877802">
        <w:t xml:space="preserve"> spojené s covidem</w:t>
      </w:r>
      <w:r w:rsidR="00586EBB" w:rsidRPr="002203FD">
        <w:t>, n</w:t>
      </w:r>
      <w:r w:rsidRPr="002203FD">
        <w:t xml:space="preserve">ejčastějším důvodem jsou dlouhodobě </w:t>
      </w:r>
      <w:r w:rsidRPr="002203FD">
        <w:rPr>
          <w:b/>
        </w:rPr>
        <w:t>nemoci dýchací soustavy</w:t>
      </w:r>
      <w:r w:rsidRPr="002203FD">
        <w:t>, které v</w:t>
      </w:r>
      <w:r w:rsidR="00586EBB" w:rsidRPr="002203FD">
        <w:t> 1. pol. 202</w:t>
      </w:r>
      <w:r w:rsidR="008703A0">
        <w:t>2</w:t>
      </w:r>
      <w:r w:rsidRPr="002203FD">
        <w:t xml:space="preserve"> způsobily </w:t>
      </w:r>
      <w:r w:rsidR="008703A0">
        <w:t>pětinu</w:t>
      </w:r>
      <w:r w:rsidRPr="002203FD">
        <w:t xml:space="preserve"> všech případů</w:t>
      </w:r>
      <w:r w:rsidR="00586EBB" w:rsidRPr="002203FD">
        <w:t xml:space="preserve"> pracovní neschopností</w:t>
      </w:r>
      <w:r w:rsidRPr="002203FD">
        <w:t>. Z </w:t>
      </w:r>
      <w:r w:rsidR="0095348F" w:rsidRPr="002203FD">
        <w:t xml:space="preserve">této skupiny </w:t>
      </w:r>
      <w:r w:rsidRPr="002203FD">
        <w:t xml:space="preserve">nemocí jsou neschopenky vystavovány </w:t>
      </w:r>
      <w:r w:rsidR="00957C6D">
        <w:t>především</w:t>
      </w:r>
      <w:r w:rsidRPr="002203FD">
        <w:t xml:space="preserve"> kvůli akutní</w:t>
      </w:r>
      <w:r w:rsidR="00C7753B" w:rsidRPr="002203FD">
        <w:t>m infekcím dýchacích cest či chřipkám</w:t>
      </w:r>
      <w:r w:rsidRPr="002203FD">
        <w:t>. Na</w:t>
      </w:r>
      <w:r w:rsidR="00CD63E8">
        <w:t> </w:t>
      </w:r>
      <w:r w:rsidRPr="002203FD">
        <w:t xml:space="preserve">druhou stranu, onemocnění dýchací soustavy tvořila pouze </w:t>
      </w:r>
      <w:r w:rsidR="008703A0">
        <w:t>12</w:t>
      </w:r>
      <w:r w:rsidRPr="002203FD">
        <w:t xml:space="preserve"> % (</w:t>
      </w:r>
      <w:r w:rsidR="008703A0">
        <w:t>6</w:t>
      </w:r>
      <w:r w:rsidRPr="002203FD">
        <w:t xml:space="preserve"> mil. dnů) z ce</w:t>
      </w:r>
      <w:r w:rsidR="00C7753B" w:rsidRPr="002203FD">
        <w:t xml:space="preserve">lkového počtu prostonaných dnů. To </w:t>
      </w:r>
      <w:r w:rsidR="00795664">
        <w:t>znamená</w:t>
      </w:r>
      <w:r w:rsidR="00C7753B" w:rsidRPr="002203FD">
        <w:t xml:space="preserve"> </w:t>
      </w:r>
      <w:r w:rsidRPr="002203FD">
        <w:t>v průměru nejkratší dobu pracovní neschopnosti ze všech skupin diagnóz, a</w:t>
      </w:r>
      <w:r w:rsidR="00CD63E8">
        <w:t> </w:t>
      </w:r>
      <w:r w:rsidRPr="002203FD">
        <w:t xml:space="preserve">sice </w:t>
      </w:r>
      <w:r w:rsidR="008703A0">
        <w:t>13,2</w:t>
      </w:r>
      <w:r w:rsidRPr="002203FD">
        <w:t xml:space="preserve"> dne na 1</w:t>
      </w:r>
      <w:r w:rsidR="00957C6D">
        <w:t> </w:t>
      </w:r>
      <w:r w:rsidRPr="002203FD">
        <w:t>případ.</w:t>
      </w:r>
    </w:p>
    <w:p w14:paraId="7E090F30" w14:textId="7F62EE05" w:rsidR="00867A29" w:rsidRPr="00867A29" w:rsidRDefault="002203FD" w:rsidP="00867A29">
      <w:pPr>
        <w:spacing w:before="120" w:after="120"/>
        <w:jc w:val="both"/>
      </w:pPr>
      <w:r w:rsidRPr="00867A29">
        <w:t>Již zmíněná kategorie</w:t>
      </w:r>
      <w:r w:rsidR="002C05CC" w:rsidRPr="00867A29">
        <w:t xml:space="preserve"> </w:t>
      </w:r>
      <w:r w:rsidR="002C05CC" w:rsidRPr="00867A29">
        <w:rPr>
          <w:b/>
        </w:rPr>
        <w:t>ostatní nemoci</w:t>
      </w:r>
      <w:r w:rsidRPr="00867A29">
        <w:t xml:space="preserve"> zaujímala v 1. pol. 202</w:t>
      </w:r>
      <w:r w:rsidR="008703A0">
        <w:t>2</w:t>
      </w:r>
      <w:r w:rsidRPr="00867A29">
        <w:t xml:space="preserve"> polovinu všech pracovních neschopností</w:t>
      </w:r>
      <w:r w:rsidR="002C05CC" w:rsidRPr="00867A29">
        <w:t xml:space="preserve">. </w:t>
      </w:r>
      <w:r w:rsidR="00867A29" w:rsidRPr="00867A29">
        <w:t xml:space="preserve">Dá se předpokládat, že jsou zde </w:t>
      </w:r>
      <w:r w:rsidR="0088375E">
        <w:t xml:space="preserve">kromě karantén </w:t>
      </w:r>
      <w:r w:rsidR="00867A29" w:rsidRPr="00867A29">
        <w:t xml:space="preserve">zahrnuty i některé případy osob, u kterých </w:t>
      </w:r>
      <w:r w:rsidR="0088375E">
        <w:t xml:space="preserve">v průběhu karantény vypuklo </w:t>
      </w:r>
      <w:r w:rsidR="00867A29" w:rsidRPr="00867A29">
        <w:t>samotné onemocnění</w:t>
      </w:r>
      <w:r w:rsidR="00D04AA1">
        <w:t xml:space="preserve"> s vážnějšími příznaky</w:t>
      </w:r>
      <w:r w:rsidR="00867A29" w:rsidRPr="00867A29">
        <w:t xml:space="preserve">. Přesnější zachycení pandemie z těchto dat </w:t>
      </w:r>
      <w:r w:rsidR="00957C6D">
        <w:t xml:space="preserve">ovšem </w:t>
      </w:r>
      <w:r w:rsidR="00867A29" w:rsidRPr="00867A29">
        <w:t>není možné.</w:t>
      </w:r>
      <w:r w:rsidR="00D04AA1">
        <w:t xml:space="preserve"> </w:t>
      </w:r>
      <w:r w:rsidR="0088375E">
        <w:t xml:space="preserve">V </w:t>
      </w:r>
      <w:r w:rsidR="003C38FC">
        <w:t xml:space="preserve">1. pololetích v letech </w:t>
      </w:r>
      <w:r w:rsidR="0088375E">
        <w:t>20</w:t>
      </w:r>
      <w:r w:rsidR="00877802">
        <w:t>15 až 2019, tedy před epidemií c</w:t>
      </w:r>
      <w:r w:rsidR="0088375E">
        <w:t xml:space="preserve">ovid, se zastoupení ostatních nemocí jako příčiny pracovní neschopnosti pohybovalo mezi </w:t>
      </w:r>
      <w:r w:rsidR="00D72727">
        <w:t>7</w:t>
      </w:r>
      <w:r w:rsidR="0088375E">
        <w:t xml:space="preserve"> a </w:t>
      </w:r>
      <w:r w:rsidR="003C38FC">
        <w:t>9</w:t>
      </w:r>
      <w:r w:rsidR="0088375E">
        <w:t xml:space="preserve"> %.</w:t>
      </w:r>
    </w:p>
    <w:p w14:paraId="0A1DD0B4" w14:textId="187D8EFA" w:rsidR="002C05CC" w:rsidRPr="00921C1C" w:rsidRDefault="00867A29" w:rsidP="00000A90">
      <w:pPr>
        <w:spacing w:before="120" w:after="120"/>
        <w:jc w:val="both"/>
      </w:pPr>
      <w:r w:rsidRPr="00921C1C">
        <w:rPr>
          <w:b/>
        </w:rPr>
        <w:t>N</w:t>
      </w:r>
      <w:r w:rsidR="002C05CC" w:rsidRPr="00921C1C">
        <w:rPr>
          <w:b/>
        </w:rPr>
        <w:t>emoc</w:t>
      </w:r>
      <w:r w:rsidRPr="00921C1C">
        <w:rPr>
          <w:b/>
        </w:rPr>
        <w:t>i</w:t>
      </w:r>
      <w:r w:rsidR="002C05CC" w:rsidRPr="00921C1C">
        <w:rPr>
          <w:b/>
        </w:rPr>
        <w:t xml:space="preserve"> pohybové soustavy</w:t>
      </w:r>
      <w:r w:rsidRPr="00921C1C">
        <w:rPr>
          <w:b/>
        </w:rPr>
        <w:t xml:space="preserve"> </w:t>
      </w:r>
      <w:r w:rsidR="00226A0F">
        <w:t>způsobily</w:t>
      </w:r>
      <w:r w:rsidRPr="00921C1C">
        <w:t xml:space="preserve"> </w:t>
      </w:r>
      <w:r w:rsidR="008703A0">
        <w:t xml:space="preserve">desetinu </w:t>
      </w:r>
      <w:r w:rsidRPr="00921C1C">
        <w:t>pracovních neschopností</w:t>
      </w:r>
      <w:r w:rsidR="00391FBE" w:rsidRPr="00921C1C">
        <w:t>.</w:t>
      </w:r>
      <w:r w:rsidR="00391FBE" w:rsidRPr="00921C1C">
        <w:rPr>
          <w:b/>
        </w:rPr>
        <w:t xml:space="preserve"> </w:t>
      </w:r>
      <w:r w:rsidR="002C05CC" w:rsidRPr="00921C1C">
        <w:t>Tyto nemoci se vyznačují poměrně dlouhou délkou trvání, v průměru déle než 2 kalendářní měsíce (</w:t>
      </w:r>
      <w:r w:rsidR="008703A0">
        <w:t>66,4</w:t>
      </w:r>
      <w:r w:rsidR="002C05CC" w:rsidRPr="00921C1C">
        <w:t xml:space="preserve"> dne) na 1 případ. </w:t>
      </w:r>
      <w:r w:rsidR="00D72727">
        <w:t>Počet</w:t>
      </w:r>
      <w:r w:rsidR="002C05CC" w:rsidRPr="00921C1C">
        <w:t xml:space="preserve"> prostonaných dnů </w:t>
      </w:r>
      <w:r w:rsidR="00D72727">
        <w:t>této</w:t>
      </w:r>
      <w:r w:rsidR="002C05CC" w:rsidRPr="00921C1C">
        <w:t xml:space="preserve"> kategorie </w:t>
      </w:r>
      <w:r w:rsidR="00877802">
        <w:t xml:space="preserve">činil </w:t>
      </w:r>
      <w:r w:rsidR="008703A0">
        <w:t>13 783</w:t>
      </w:r>
      <w:r w:rsidR="00877802">
        <w:t xml:space="preserve"> tis.</w:t>
      </w:r>
      <w:r w:rsidR="00D72727">
        <w:t xml:space="preserve"> a tvoří </w:t>
      </w:r>
      <w:r w:rsidR="002C05CC" w:rsidRPr="00921C1C">
        <w:t>dlouhodobě nejvyšší podíl</w:t>
      </w:r>
      <w:r w:rsidR="00D72727">
        <w:t xml:space="preserve"> ze všech skupin diagnóz</w:t>
      </w:r>
      <w:r w:rsidR="00E34258">
        <w:t>. Z nemocí pohybové soustavy</w:t>
      </w:r>
      <w:r w:rsidR="002C05CC" w:rsidRPr="00921C1C">
        <w:t xml:space="preserve"> </w:t>
      </w:r>
      <w:r w:rsidR="00E34258">
        <w:t xml:space="preserve">je </w:t>
      </w:r>
      <w:r w:rsidR="002C05CC" w:rsidRPr="00921C1C">
        <w:t xml:space="preserve">pracovní neschopnost nejčastěji </w:t>
      </w:r>
      <w:r w:rsidR="00E34258">
        <w:t xml:space="preserve">způsobena </w:t>
      </w:r>
      <w:r w:rsidR="00650B10">
        <w:t>nemoc</w:t>
      </w:r>
      <w:r w:rsidR="00E34258">
        <w:t>emi</w:t>
      </w:r>
      <w:r w:rsidR="002C05CC" w:rsidRPr="00921C1C">
        <w:t xml:space="preserve"> páteře.</w:t>
      </w:r>
    </w:p>
    <w:p w14:paraId="02064C15" w14:textId="38F6702F" w:rsidR="00000A90" w:rsidRPr="00921C1C" w:rsidRDefault="00391FBE" w:rsidP="000B190B">
      <w:pPr>
        <w:spacing w:before="120" w:after="120"/>
        <w:jc w:val="both"/>
        <w:rPr>
          <w:b/>
        </w:rPr>
      </w:pPr>
      <w:r w:rsidRPr="00921C1C">
        <w:t xml:space="preserve">Další častou příčinu pracovní neschopnosti představovaly </w:t>
      </w:r>
      <w:r w:rsidR="002C05CC" w:rsidRPr="00921C1C">
        <w:rPr>
          <w:b/>
        </w:rPr>
        <w:t>úrazy a otravy</w:t>
      </w:r>
      <w:r w:rsidR="002C05CC" w:rsidRPr="00921C1C">
        <w:t xml:space="preserve">. </w:t>
      </w:r>
      <w:r w:rsidRPr="00921C1C">
        <w:t xml:space="preserve">Na všech neschopenkách se podílely </w:t>
      </w:r>
      <w:r w:rsidR="008703A0">
        <w:t>5</w:t>
      </w:r>
      <w:r w:rsidRPr="00921C1C">
        <w:t xml:space="preserve"> %. </w:t>
      </w:r>
      <w:r w:rsidR="002C05CC" w:rsidRPr="00921C1C">
        <w:t xml:space="preserve">Průměrná délka trvání pracovní neschopnosti byla v tomto případě </w:t>
      </w:r>
      <w:r w:rsidR="00921C1C" w:rsidRPr="00921C1C">
        <w:t>5</w:t>
      </w:r>
      <w:r w:rsidR="008703A0">
        <w:t>3,2</w:t>
      </w:r>
      <w:r w:rsidR="002C05CC" w:rsidRPr="00921C1C">
        <w:t xml:space="preserve"> dne a celkový počet prostonaných dnů činil </w:t>
      </w:r>
      <w:r w:rsidR="00921C1C" w:rsidRPr="00921C1C">
        <w:t>5,</w:t>
      </w:r>
      <w:r w:rsidR="008703A0">
        <w:t>5</w:t>
      </w:r>
      <w:r w:rsidR="002C05CC" w:rsidRPr="00921C1C">
        <w:t xml:space="preserve"> mil.</w:t>
      </w:r>
    </w:p>
    <w:p w14:paraId="3C9E5C4E" w14:textId="47C24F90" w:rsidR="005A63A4" w:rsidRPr="00921C1C" w:rsidRDefault="005A63A4" w:rsidP="005A63A4">
      <w:pPr>
        <w:spacing w:before="120" w:after="120"/>
        <w:jc w:val="both"/>
      </w:pPr>
      <w:r w:rsidRPr="00921C1C">
        <w:lastRenderedPageBreak/>
        <w:t xml:space="preserve">Nejdelší </w:t>
      </w:r>
      <w:r w:rsidRPr="00921C1C">
        <w:rPr>
          <w:b/>
        </w:rPr>
        <w:t>průměrná délka</w:t>
      </w:r>
      <w:r w:rsidRPr="00921C1C">
        <w:t xml:space="preserve"> trvání pracovní neschopnosti byla v</w:t>
      </w:r>
      <w:r w:rsidR="00921C1C" w:rsidRPr="00921C1C">
        <w:t> 1. pol. 202</w:t>
      </w:r>
      <w:r w:rsidR="008703A0">
        <w:t>2</w:t>
      </w:r>
      <w:r w:rsidRPr="00921C1C">
        <w:t xml:space="preserve"> evidována </w:t>
      </w:r>
      <w:r w:rsidR="00F163D5">
        <w:t xml:space="preserve">u </w:t>
      </w:r>
      <w:r w:rsidR="008703A0">
        <w:t xml:space="preserve">tuberkulózy, a sice 206,6 dne. </w:t>
      </w:r>
      <w:r w:rsidR="0095348F">
        <w:t xml:space="preserve">Případů tuberkulózy bylo </w:t>
      </w:r>
      <w:r w:rsidR="00E34258">
        <w:t>zaznamenáno</w:t>
      </w:r>
      <w:r w:rsidR="00711A3B">
        <w:t xml:space="preserve"> 47, z</w:t>
      </w:r>
      <w:r w:rsidR="008703A0">
        <w:t> častějších onemocnění se však</w:t>
      </w:r>
      <w:r w:rsidR="00736595">
        <w:t xml:space="preserve"> v průměru nejdelší neschopnost týkala</w:t>
      </w:r>
      <w:r w:rsidR="008703A0">
        <w:t xml:space="preserve"> zhoubn</w:t>
      </w:r>
      <w:r w:rsidR="00736595">
        <w:t>ých novotvarů</w:t>
      </w:r>
      <w:r w:rsidR="00921C1C" w:rsidRPr="00921C1C">
        <w:t xml:space="preserve"> (17</w:t>
      </w:r>
      <w:r w:rsidR="00736595">
        <w:t>1</w:t>
      </w:r>
      <w:r w:rsidR="00921C1C" w:rsidRPr="00921C1C">
        <w:t>,</w:t>
      </w:r>
      <w:r w:rsidR="00736595">
        <w:t>4</w:t>
      </w:r>
      <w:r w:rsidR="00921C1C" w:rsidRPr="00921C1C">
        <w:t xml:space="preserve"> dne). Neschopenka u této </w:t>
      </w:r>
      <w:r w:rsidRPr="00921C1C">
        <w:t xml:space="preserve">skupiny nemocí </w:t>
      </w:r>
      <w:r w:rsidR="00921C1C" w:rsidRPr="00921C1C">
        <w:t xml:space="preserve">trvala </w:t>
      </w:r>
      <w:r w:rsidR="00F45A64">
        <w:t>164 dnů</w:t>
      </w:r>
      <w:r w:rsidR="00921C1C" w:rsidRPr="00921C1C">
        <w:t xml:space="preserve"> u</w:t>
      </w:r>
      <w:r w:rsidR="003E64F4">
        <w:t> </w:t>
      </w:r>
      <w:r w:rsidR="00921C1C" w:rsidRPr="00921C1C">
        <w:t>mužů, zatímco u žen 1</w:t>
      </w:r>
      <w:r w:rsidR="00736595">
        <w:t>78 dn</w:t>
      </w:r>
      <w:r w:rsidR="00F45A64">
        <w:t>ů</w:t>
      </w:r>
      <w:r w:rsidRPr="00921C1C">
        <w:t xml:space="preserve">. </w:t>
      </w:r>
      <w:r w:rsidR="00736595">
        <w:t>K</w:t>
      </w:r>
      <w:r w:rsidR="00B527E8" w:rsidRPr="00921C1C">
        <w:t xml:space="preserve"> hranici 100 dnů </w:t>
      </w:r>
      <w:r w:rsidR="008E7461">
        <w:t xml:space="preserve">pracovní neschopnosti </w:t>
      </w:r>
      <w:r w:rsidR="00B527E8" w:rsidRPr="00921C1C">
        <w:t xml:space="preserve">se </w:t>
      </w:r>
      <w:r w:rsidR="00736595">
        <w:t>blížily</w:t>
      </w:r>
      <w:r w:rsidR="00B527E8" w:rsidRPr="00921C1C">
        <w:t xml:space="preserve"> i n</w:t>
      </w:r>
      <w:r w:rsidRPr="00921C1C">
        <w:t>emoci spojené s těhotenstvím, mateřstvím a šestinedělím</w:t>
      </w:r>
      <w:r w:rsidR="00711A3B">
        <w:t xml:space="preserve"> a nadprůměrně dlouho (86 dnů) trvaly rovněž neschopenky vydané kvůli duševní nemoci.</w:t>
      </w:r>
    </w:p>
    <w:p w14:paraId="35382427" w14:textId="6C9B9EB2" w:rsidR="00B527E8" w:rsidRPr="00736595" w:rsidRDefault="005A63A4" w:rsidP="005A63A4">
      <w:pPr>
        <w:spacing w:before="120" w:after="120"/>
        <w:jc w:val="both"/>
      </w:pPr>
      <w:r w:rsidRPr="00736595">
        <w:t xml:space="preserve">Z hlediska </w:t>
      </w:r>
      <w:r w:rsidRPr="00736595">
        <w:rPr>
          <w:b/>
        </w:rPr>
        <w:t>pohlaví</w:t>
      </w:r>
      <w:r w:rsidRPr="00736595">
        <w:t xml:space="preserve"> je výskyt pracovní neschopnosti četnější u žen, v</w:t>
      </w:r>
      <w:r w:rsidR="00921C1C" w:rsidRPr="00736595">
        <w:t> 1. pol. 202</w:t>
      </w:r>
      <w:r w:rsidR="00736595" w:rsidRPr="00736595">
        <w:t>2</w:t>
      </w:r>
      <w:r w:rsidRPr="00736595">
        <w:t xml:space="preserve"> ženy </w:t>
      </w:r>
      <w:r w:rsidR="00B527E8" w:rsidRPr="00736595">
        <w:t>zaznamenaly</w:t>
      </w:r>
      <w:r w:rsidRPr="00736595">
        <w:t xml:space="preserve"> </w:t>
      </w:r>
      <w:r w:rsidR="00736595" w:rsidRPr="00736595">
        <w:t>1 123</w:t>
      </w:r>
      <w:r w:rsidRPr="00736595">
        <w:t xml:space="preserve"> tis. </w:t>
      </w:r>
      <w:r w:rsidR="00B527E8" w:rsidRPr="00736595">
        <w:t xml:space="preserve">ukončených </w:t>
      </w:r>
      <w:r w:rsidRPr="00736595">
        <w:t xml:space="preserve">případů pracovní neschopnosti, muži </w:t>
      </w:r>
      <w:r w:rsidR="008E7461">
        <w:t>960</w:t>
      </w:r>
      <w:r w:rsidR="008E7461" w:rsidRPr="00736595">
        <w:t xml:space="preserve"> </w:t>
      </w:r>
      <w:r w:rsidRPr="00736595">
        <w:t>tis. neschopenek. Pracovní neschopnost u žen také trvala v průměru o </w:t>
      </w:r>
      <w:r w:rsidR="00736595" w:rsidRPr="00736595">
        <w:t>1 d</w:t>
      </w:r>
      <w:r w:rsidRPr="00736595">
        <w:t>e</w:t>
      </w:r>
      <w:r w:rsidR="00736595" w:rsidRPr="00736595">
        <w:t>n</w:t>
      </w:r>
      <w:r w:rsidRPr="00736595">
        <w:t xml:space="preserve"> déle než u mužů. Tento rozdíl </w:t>
      </w:r>
      <w:r w:rsidR="00736595" w:rsidRPr="00736595">
        <w:t xml:space="preserve">se meziročně snížil z 5 dnů. </w:t>
      </w:r>
    </w:p>
    <w:p w14:paraId="2247ED56" w14:textId="64ACC7E8" w:rsidR="005A63A4" w:rsidRPr="00D92E20" w:rsidRDefault="005A63A4" w:rsidP="005A63A4">
      <w:pPr>
        <w:spacing w:before="120" w:after="120"/>
        <w:jc w:val="both"/>
      </w:pPr>
      <w:r w:rsidRPr="00736595">
        <w:t xml:space="preserve">Výraznější rozdíl v pracovní neschopnosti podle pohlaví se objevuje u nemocí močové a pohlavní soustavy, kdy </w:t>
      </w:r>
      <w:r w:rsidR="00B527E8" w:rsidRPr="00736595">
        <w:t xml:space="preserve">je </w:t>
      </w:r>
      <w:r w:rsidRPr="00736595">
        <w:t xml:space="preserve">počet ukončených případů </w:t>
      </w:r>
      <w:r w:rsidR="00D72727" w:rsidRPr="00736595">
        <w:t xml:space="preserve">u </w:t>
      </w:r>
      <w:r w:rsidRPr="00736595">
        <w:t>mužů oproti ženám 3,</w:t>
      </w:r>
      <w:r w:rsidR="00736595" w:rsidRPr="00736595">
        <w:t>4</w:t>
      </w:r>
      <w:r w:rsidRPr="00736595">
        <w:t>krát nižší. Duševní onemocnění vedoucí k pracovní neschopnosti byly v</w:t>
      </w:r>
      <w:r w:rsidR="00736595" w:rsidRPr="00736595">
        <w:t> 1. pol. 2022</w:t>
      </w:r>
      <w:r w:rsidRPr="00736595">
        <w:t xml:space="preserve"> téměř dvakrát častější u žen. Muži jsou naopak náchylnější na nemoci oběhové, trávicí či pohybové soustavy. Mnohem častěji jsou v pracovní neschopnosti také z důvodu úrazu či otravy.</w:t>
      </w:r>
    </w:p>
    <w:p w14:paraId="06D60AA5" w14:textId="3B28AEDF" w:rsidR="00B12C5F" w:rsidRPr="00D72727" w:rsidRDefault="000B190B" w:rsidP="000B190B">
      <w:pPr>
        <w:pStyle w:val="Seznam"/>
        <w:spacing w:after="0"/>
        <w:jc w:val="both"/>
        <w:rPr>
          <w:b/>
          <w:spacing w:val="-2"/>
        </w:rPr>
      </w:pPr>
      <w:r w:rsidRPr="00D72727">
        <w:rPr>
          <w:b/>
          <w:spacing w:val="-2"/>
        </w:rPr>
        <w:t>Tab. 3.3: Ukončené případy dočasné pracovní neschopnosti podle skupin</w:t>
      </w:r>
      <w:r w:rsidR="00736595">
        <w:rPr>
          <w:b/>
          <w:spacing w:val="-2"/>
        </w:rPr>
        <w:t xml:space="preserve"> diagnóz a pohlaví, 1. pol. 2022</w:t>
      </w:r>
    </w:p>
    <w:tbl>
      <w:tblPr>
        <w:tblW w:w="9637" w:type="dxa"/>
        <w:tblCellMar>
          <w:left w:w="70" w:type="dxa"/>
          <w:right w:w="70" w:type="dxa"/>
        </w:tblCellMar>
        <w:tblLook w:val="04A0" w:firstRow="1" w:lastRow="0" w:firstColumn="1" w:lastColumn="0" w:noHBand="0" w:noVBand="1"/>
      </w:tblPr>
      <w:tblGrid>
        <w:gridCol w:w="4195"/>
        <w:gridCol w:w="907"/>
        <w:gridCol w:w="907"/>
        <w:gridCol w:w="907"/>
        <w:gridCol w:w="907"/>
        <w:gridCol w:w="907"/>
        <w:gridCol w:w="907"/>
      </w:tblGrid>
      <w:tr w:rsidR="00E371CF" w:rsidRPr="00D92E20" w14:paraId="5B4F9C4F" w14:textId="77777777" w:rsidTr="00E371CF">
        <w:trPr>
          <w:trHeight w:val="525"/>
        </w:trPr>
        <w:tc>
          <w:tcPr>
            <w:tcW w:w="4195" w:type="dxa"/>
            <w:vMerge w:val="restart"/>
            <w:tcBorders>
              <w:top w:val="single" w:sz="4" w:space="0" w:color="auto"/>
              <w:left w:val="nil"/>
              <w:bottom w:val="single" w:sz="4" w:space="0" w:color="000000"/>
              <w:right w:val="single" w:sz="4" w:space="0" w:color="auto"/>
            </w:tcBorders>
            <w:shd w:val="clear" w:color="000000" w:fill="F5DADD"/>
            <w:vAlign w:val="center"/>
            <w:hideMark/>
          </w:tcPr>
          <w:p w14:paraId="5C63078C" w14:textId="77777777" w:rsidR="00EC21A5" w:rsidRPr="00D92E20" w:rsidRDefault="0070383F" w:rsidP="00EC21A5">
            <w:pPr>
              <w:spacing w:after="0" w:line="240" w:lineRule="auto"/>
              <w:jc w:val="center"/>
              <w:rPr>
                <w:rFonts w:cs="Arial"/>
                <w:color w:val="000000"/>
                <w:sz w:val="16"/>
                <w:szCs w:val="16"/>
              </w:rPr>
            </w:pPr>
            <w:r w:rsidRPr="00D92E20">
              <w:rPr>
                <w:rFonts w:cs="Arial"/>
                <w:color w:val="000000"/>
                <w:sz w:val="16"/>
                <w:szCs w:val="16"/>
              </w:rPr>
              <w:t>Skupiny diagnóz</w:t>
            </w:r>
          </w:p>
          <w:p w14:paraId="5E257B1F" w14:textId="77777777" w:rsidR="0070383F" w:rsidRPr="00D92E20" w:rsidRDefault="0070383F" w:rsidP="00EC21A5">
            <w:pPr>
              <w:spacing w:after="0" w:line="240" w:lineRule="auto"/>
              <w:jc w:val="center"/>
              <w:rPr>
                <w:rFonts w:cs="Arial"/>
                <w:color w:val="000000"/>
                <w:sz w:val="16"/>
                <w:szCs w:val="16"/>
              </w:rPr>
            </w:pPr>
            <w:r w:rsidRPr="00D92E20">
              <w:rPr>
                <w:rFonts w:cs="Arial"/>
                <w:color w:val="000000"/>
                <w:sz w:val="16"/>
                <w:szCs w:val="16"/>
              </w:rPr>
              <w:t>(kapitoly podle MKN-10)</w:t>
            </w:r>
          </w:p>
        </w:tc>
        <w:tc>
          <w:tcPr>
            <w:tcW w:w="2721" w:type="dxa"/>
            <w:gridSpan w:val="3"/>
            <w:tcBorders>
              <w:top w:val="single" w:sz="4" w:space="0" w:color="auto"/>
              <w:left w:val="nil"/>
              <w:bottom w:val="single" w:sz="4" w:space="0" w:color="auto"/>
              <w:right w:val="single" w:sz="4" w:space="0" w:color="000000"/>
            </w:tcBorders>
            <w:shd w:val="clear" w:color="000000" w:fill="F2DBDB"/>
            <w:vAlign w:val="center"/>
            <w:hideMark/>
          </w:tcPr>
          <w:p w14:paraId="5EF1385D" w14:textId="76A7B614" w:rsidR="0070383F" w:rsidRPr="00D92E20" w:rsidRDefault="009F67D0" w:rsidP="00D72727">
            <w:pPr>
              <w:spacing w:after="0" w:line="240" w:lineRule="auto"/>
              <w:jc w:val="center"/>
              <w:rPr>
                <w:rFonts w:cs="Arial"/>
                <w:color w:val="000000"/>
                <w:sz w:val="16"/>
                <w:szCs w:val="16"/>
              </w:rPr>
            </w:pPr>
            <w:r w:rsidRPr="00D92E20">
              <w:rPr>
                <w:rFonts w:cs="Arial"/>
                <w:color w:val="000000"/>
                <w:sz w:val="16"/>
                <w:szCs w:val="16"/>
              </w:rPr>
              <w:t xml:space="preserve">Počet </w:t>
            </w:r>
            <w:r w:rsidR="0070383F" w:rsidRPr="00D92E20">
              <w:rPr>
                <w:rFonts w:cs="Arial"/>
                <w:color w:val="000000"/>
                <w:sz w:val="16"/>
                <w:szCs w:val="16"/>
              </w:rPr>
              <w:t>případ</w:t>
            </w:r>
            <w:r w:rsidRPr="00D92E20">
              <w:rPr>
                <w:rFonts w:cs="Arial"/>
                <w:color w:val="000000"/>
                <w:sz w:val="16"/>
                <w:szCs w:val="16"/>
              </w:rPr>
              <w:t>ů</w:t>
            </w:r>
            <w:r w:rsidR="0070383F" w:rsidRPr="00D92E20">
              <w:rPr>
                <w:rFonts w:cs="Arial"/>
                <w:color w:val="000000"/>
                <w:sz w:val="16"/>
                <w:szCs w:val="16"/>
              </w:rPr>
              <w:t xml:space="preserve"> DPN</w:t>
            </w:r>
            <w:r w:rsidRPr="00D92E20">
              <w:rPr>
                <w:rFonts w:cs="Arial"/>
                <w:color w:val="000000"/>
                <w:sz w:val="16"/>
                <w:szCs w:val="16"/>
              </w:rPr>
              <w:t xml:space="preserve"> (tis.)</w:t>
            </w:r>
          </w:p>
        </w:tc>
        <w:tc>
          <w:tcPr>
            <w:tcW w:w="2721" w:type="dxa"/>
            <w:gridSpan w:val="3"/>
            <w:tcBorders>
              <w:top w:val="single" w:sz="4" w:space="0" w:color="auto"/>
              <w:left w:val="nil"/>
              <w:bottom w:val="single" w:sz="4" w:space="0" w:color="auto"/>
              <w:right w:val="nil"/>
            </w:tcBorders>
            <w:shd w:val="clear" w:color="000000" w:fill="F2DBDB"/>
            <w:vAlign w:val="center"/>
            <w:hideMark/>
          </w:tcPr>
          <w:p w14:paraId="670C3B66" w14:textId="6BF6617B" w:rsidR="0070383F" w:rsidRPr="00D92E20" w:rsidRDefault="0070383F" w:rsidP="009F67D0">
            <w:pPr>
              <w:spacing w:after="0" w:line="240" w:lineRule="auto"/>
              <w:jc w:val="center"/>
              <w:rPr>
                <w:rFonts w:cs="Arial"/>
                <w:color w:val="000000"/>
                <w:sz w:val="16"/>
                <w:szCs w:val="16"/>
              </w:rPr>
            </w:pPr>
            <w:r w:rsidRPr="00D92E20">
              <w:rPr>
                <w:rFonts w:cs="Arial"/>
                <w:color w:val="000000"/>
                <w:sz w:val="16"/>
                <w:szCs w:val="16"/>
              </w:rPr>
              <w:t>Průměrná délka trvání případu DPN ve dnech</w:t>
            </w:r>
          </w:p>
        </w:tc>
      </w:tr>
      <w:tr w:rsidR="00E371CF" w:rsidRPr="00D92E20" w14:paraId="47A6171E" w14:textId="77777777" w:rsidTr="00E371CF">
        <w:trPr>
          <w:trHeight w:val="300"/>
        </w:trPr>
        <w:tc>
          <w:tcPr>
            <w:tcW w:w="4195" w:type="dxa"/>
            <w:vMerge/>
            <w:tcBorders>
              <w:top w:val="single" w:sz="4" w:space="0" w:color="auto"/>
              <w:left w:val="nil"/>
              <w:bottom w:val="single" w:sz="4" w:space="0" w:color="000000"/>
              <w:right w:val="single" w:sz="4" w:space="0" w:color="auto"/>
            </w:tcBorders>
            <w:vAlign w:val="center"/>
            <w:hideMark/>
          </w:tcPr>
          <w:p w14:paraId="182C5DE4" w14:textId="77777777" w:rsidR="00E371CF" w:rsidRPr="00D92E20" w:rsidRDefault="00E371CF" w:rsidP="00EC21A5">
            <w:pPr>
              <w:spacing w:after="0" w:line="240" w:lineRule="auto"/>
              <w:rPr>
                <w:rFonts w:cs="Arial"/>
                <w:color w:val="000000"/>
                <w:sz w:val="16"/>
                <w:szCs w:val="16"/>
              </w:rPr>
            </w:pPr>
          </w:p>
        </w:tc>
        <w:tc>
          <w:tcPr>
            <w:tcW w:w="907" w:type="dxa"/>
            <w:vMerge w:val="restart"/>
            <w:tcBorders>
              <w:top w:val="nil"/>
              <w:left w:val="single" w:sz="4" w:space="0" w:color="auto"/>
              <w:bottom w:val="single" w:sz="4" w:space="0" w:color="000000"/>
              <w:right w:val="nil"/>
            </w:tcBorders>
            <w:shd w:val="clear" w:color="000000" w:fill="F2DBDB"/>
            <w:vAlign w:val="center"/>
            <w:hideMark/>
          </w:tcPr>
          <w:p w14:paraId="791AA979" w14:textId="77777777" w:rsidR="00E371CF" w:rsidRPr="00D92E20" w:rsidRDefault="00E371CF" w:rsidP="0070383F">
            <w:pPr>
              <w:spacing w:after="0" w:line="240" w:lineRule="auto"/>
              <w:jc w:val="center"/>
              <w:rPr>
                <w:rFonts w:cs="Arial"/>
                <w:b/>
                <w:bCs/>
                <w:color w:val="000000"/>
                <w:sz w:val="16"/>
                <w:szCs w:val="16"/>
              </w:rPr>
            </w:pPr>
            <w:r w:rsidRPr="00D92E20">
              <w:rPr>
                <w:rFonts w:cs="Arial"/>
                <w:b/>
                <w:bCs/>
                <w:color w:val="000000"/>
                <w:sz w:val="16"/>
                <w:szCs w:val="16"/>
              </w:rPr>
              <w:t>Celkem</w:t>
            </w:r>
          </w:p>
        </w:tc>
        <w:tc>
          <w:tcPr>
            <w:tcW w:w="1814"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0EE48943" w14:textId="77777777" w:rsidR="00E371CF" w:rsidRPr="00D92E20" w:rsidRDefault="00E371CF" w:rsidP="0070383F">
            <w:pPr>
              <w:spacing w:after="0" w:line="240" w:lineRule="auto"/>
              <w:jc w:val="center"/>
              <w:rPr>
                <w:rFonts w:cs="Arial"/>
                <w:color w:val="000000"/>
                <w:sz w:val="16"/>
                <w:szCs w:val="16"/>
              </w:rPr>
            </w:pPr>
            <w:r w:rsidRPr="00D92E20">
              <w:rPr>
                <w:rFonts w:cs="Arial"/>
                <w:color w:val="000000"/>
                <w:sz w:val="16"/>
                <w:szCs w:val="16"/>
              </w:rPr>
              <w:t>podle pohlaví</w:t>
            </w:r>
          </w:p>
        </w:tc>
        <w:tc>
          <w:tcPr>
            <w:tcW w:w="907" w:type="dxa"/>
            <w:vMerge w:val="restart"/>
            <w:tcBorders>
              <w:top w:val="nil"/>
              <w:left w:val="single" w:sz="4" w:space="0" w:color="auto"/>
              <w:right w:val="nil"/>
            </w:tcBorders>
            <w:shd w:val="clear" w:color="000000" w:fill="F2DBDB"/>
            <w:vAlign w:val="center"/>
            <w:hideMark/>
          </w:tcPr>
          <w:p w14:paraId="70727E04" w14:textId="77777777" w:rsidR="00E371CF" w:rsidRPr="00D92E20" w:rsidRDefault="00E371CF" w:rsidP="0070383F">
            <w:pPr>
              <w:spacing w:after="0" w:line="240" w:lineRule="auto"/>
              <w:jc w:val="center"/>
              <w:rPr>
                <w:rFonts w:cs="Arial"/>
                <w:b/>
                <w:bCs/>
                <w:color w:val="000000"/>
                <w:sz w:val="16"/>
                <w:szCs w:val="16"/>
              </w:rPr>
            </w:pPr>
            <w:r w:rsidRPr="00D92E20">
              <w:rPr>
                <w:rFonts w:cs="Arial"/>
                <w:b/>
                <w:bCs/>
                <w:color w:val="000000"/>
                <w:sz w:val="16"/>
                <w:szCs w:val="16"/>
              </w:rPr>
              <w:t>Celkem</w:t>
            </w:r>
          </w:p>
        </w:tc>
        <w:tc>
          <w:tcPr>
            <w:tcW w:w="1814" w:type="dxa"/>
            <w:gridSpan w:val="2"/>
            <w:tcBorders>
              <w:top w:val="single" w:sz="4" w:space="0" w:color="auto"/>
              <w:left w:val="single" w:sz="4" w:space="0" w:color="auto"/>
              <w:bottom w:val="single" w:sz="4" w:space="0" w:color="auto"/>
            </w:tcBorders>
            <w:shd w:val="clear" w:color="000000" w:fill="F2DBDB"/>
            <w:vAlign w:val="center"/>
            <w:hideMark/>
          </w:tcPr>
          <w:p w14:paraId="735965DF" w14:textId="77777777" w:rsidR="00E371CF" w:rsidRPr="00D92E20" w:rsidRDefault="00E371CF" w:rsidP="0070383F">
            <w:pPr>
              <w:spacing w:after="0" w:line="240" w:lineRule="auto"/>
              <w:jc w:val="center"/>
              <w:rPr>
                <w:rFonts w:cs="Arial"/>
                <w:color w:val="000000"/>
                <w:sz w:val="16"/>
                <w:szCs w:val="16"/>
              </w:rPr>
            </w:pPr>
            <w:r w:rsidRPr="00D92E20">
              <w:rPr>
                <w:rFonts w:cs="Arial"/>
                <w:color w:val="000000"/>
                <w:sz w:val="16"/>
                <w:szCs w:val="16"/>
              </w:rPr>
              <w:t>podle pohlaví</w:t>
            </w:r>
          </w:p>
        </w:tc>
      </w:tr>
      <w:tr w:rsidR="00E371CF" w:rsidRPr="00D92E20" w14:paraId="5E18F793" w14:textId="77777777" w:rsidTr="00E371CF">
        <w:trPr>
          <w:trHeight w:val="300"/>
        </w:trPr>
        <w:tc>
          <w:tcPr>
            <w:tcW w:w="4195" w:type="dxa"/>
            <w:vMerge/>
            <w:tcBorders>
              <w:top w:val="single" w:sz="4" w:space="0" w:color="auto"/>
              <w:left w:val="nil"/>
              <w:bottom w:val="single" w:sz="4" w:space="0" w:color="000000"/>
              <w:right w:val="single" w:sz="4" w:space="0" w:color="auto"/>
            </w:tcBorders>
            <w:vAlign w:val="center"/>
            <w:hideMark/>
          </w:tcPr>
          <w:p w14:paraId="49D1C485" w14:textId="77777777" w:rsidR="00E371CF" w:rsidRPr="00D92E20" w:rsidRDefault="00E371CF" w:rsidP="00EC21A5">
            <w:pPr>
              <w:spacing w:after="0" w:line="240" w:lineRule="auto"/>
              <w:rPr>
                <w:rFonts w:cs="Arial"/>
                <w:color w:val="000000"/>
                <w:sz w:val="16"/>
                <w:szCs w:val="16"/>
              </w:rPr>
            </w:pPr>
          </w:p>
        </w:tc>
        <w:tc>
          <w:tcPr>
            <w:tcW w:w="907" w:type="dxa"/>
            <w:vMerge/>
            <w:tcBorders>
              <w:top w:val="nil"/>
              <w:left w:val="single" w:sz="4" w:space="0" w:color="auto"/>
              <w:bottom w:val="single" w:sz="4" w:space="0" w:color="000000"/>
              <w:right w:val="nil"/>
            </w:tcBorders>
            <w:vAlign w:val="center"/>
            <w:hideMark/>
          </w:tcPr>
          <w:p w14:paraId="0F6D0E5E" w14:textId="77777777" w:rsidR="00E371CF" w:rsidRPr="00D92E20" w:rsidRDefault="00E371CF" w:rsidP="0070383F">
            <w:pPr>
              <w:spacing w:after="0" w:line="240" w:lineRule="auto"/>
              <w:rPr>
                <w:rFonts w:cs="Arial"/>
                <w:b/>
                <w:bCs/>
                <w:color w:val="000000"/>
                <w:sz w:val="16"/>
                <w:szCs w:val="16"/>
              </w:rPr>
            </w:pPr>
          </w:p>
        </w:tc>
        <w:tc>
          <w:tcPr>
            <w:tcW w:w="907" w:type="dxa"/>
            <w:tcBorders>
              <w:top w:val="nil"/>
              <w:left w:val="single" w:sz="4" w:space="0" w:color="auto"/>
              <w:bottom w:val="single" w:sz="4" w:space="0" w:color="auto"/>
              <w:right w:val="single" w:sz="4" w:space="0" w:color="auto"/>
            </w:tcBorders>
            <w:shd w:val="clear" w:color="000000" w:fill="F2DBDB"/>
            <w:vAlign w:val="center"/>
            <w:hideMark/>
          </w:tcPr>
          <w:p w14:paraId="65CCDCC6" w14:textId="77777777" w:rsidR="00E371CF" w:rsidRPr="00D92E20" w:rsidRDefault="00E371CF" w:rsidP="0070383F">
            <w:pPr>
              <w:spacing w:after="0" w:line="240" w:lineRule="auto"/>
              <w:jc w:val="center"/>
              <w:rPr>
                <w:rFonts w:cs="Arial"/>
                <w:color w:val="000000"/>
                <w:sz w:val="16"/>
                <w:szCs w:val="16"/>
              </w:rPr>
            </w:pPr>
            <w:r w:rsidRPr="00D92E20">
              <w:rPr>
                <w:rFonts w:cs="Arial"/>
                <w:color w:val="000000"/>
                <w:sz w:val="16"/>
                <w:szCs w:val="16"/>
              </w:rPr>
              <w:t>muži</w:t>
            </w:r>
          </w:p>
        </w:tc>
        <w:tc>
          <w:tcPr>
            <w:tcW w:w="907" w:type="dxa"/>
            <w:tcBorders>
              <w:top w:val="nil"/>
              <w:left w:val="nil"/>
              <w:bottom w:val="single" w:sz="4" w:space="0" w:color="auto"/>
              <w:right w:val="single" w:sz="4" w:space="0" w:color="auto"/>
            </w:tcBorders>
            <w:shd w:val="clear" w:color="000000" w:fill="F2DBDB"/>
            <w:vAlign w:val="center"/>
            <w:hideMark/>
          </w:tcPr>
          <w:p w14:paraId="7F3E93B5" w14:textId="77777777" w:rsidR="00E371CF" w:rsidRPr="00D92E20" w:rsidRDefault="00E371CF" w:rsidP="0070383F">
            <w:pPr>
              <w:spacing w:after="0" w:line="240" w:lineRule="auto"/>
              <w:jc w:val="center"/>
              <w:rPr>
                <w:rFonts w:cs="Arial"/>
                <w:color w:val="000000"/>
                <w:sz w:val="16"/>
                <w:szCs w:val="16"/>
              </w:rPr>
            </w:pPr>
            <w:r w:rsidRPr="00D92E20">
              <w:rPr>
                <w:rFonts w:cs="Arial"/>
                <w:color w:val="000000"/>
                <w:sz w:val="16"/>
                <w:szCs w:val="16"/>
              </w:rPr>
              <w:t>ženy</w:t>
            </w:r>
          </w:p>
        </w:tc>
        <w:tc>
          <w:tcPr>
            <w:tcW w:w="907" w:type="dxa"/>
            <w:vMerge/>
            <w:tcBorders>
              <w:left w:val="single" w:sz="4" w:space="0" w:color="auto"/>
              <w:bottom w:val="single" w:sz="4" w:space="0" w:color="000000"/>
              <w:right w:val="nil"/>
            </w:tcBorders>
            <w:vAlign w:val="center"/>
            <w:hideMark/>
          </w:tcPr>
          <w:p w14:paraId="1EB589A8" w14:textId="77777777" w:rsidR="00E371CF" w:rsidRPr="00D92E20" w:rsidRDefault="00E371CF" w:rsidP="0070383F">
            <w:pPr>
              <w:spacing w:after="0" w:line="240" w:lineRule="auto"/>
              <w:rPr>
                <w:rFonts w:cs="Arial"/>
                <w:b/>
                <w:bCs/>
                <w:color w:val="000000"/>
                <w:sz w:val="16"/>
                <w:szCs w:val="16"/>
              </w:rPr>
            </w:pPr>
          </w:p>
        </w:tc>
        <w:tc>
          <w:tcPr>
            <w:tcW w:w="907" w:type="dxa"/>
            <w:tcBorders>
              <w:top w:val="nil"/>
              <w:left w:val="single" w:sz="4" w:space="0" w:color="auto"/>
              <w:bottom w:val="single" w:sz="4" w:space="0" w:color="auto"/>
              <w:right w:val="single" w:sz="4" w:space="0" w:color="auto"/>
            </w:tcBorders>
            <w:shd w:val="clear" w:color="000000" w:fill="F2DBDB"/>
            <w:vAlign w:val="center"/>
            <w:hideMark/>
          </w:tcPr>
          <w:p w14:paraId="356EB219" w14:textId="77777777" w:rsidR="00E371CF" w:rsidRPr="00D92E20" w:rsidRDefault="00E371CF" w:rsidP="0070383F">
            <w:pPr>
              <w:spacing w:after="0" w:line="240" w:lineRule="auto"/>
              <w:jc w:val="center"/>
              <w:rPr>
                <w:rFonts w:cs="Arial"/>
                <w:color w:val="000000"/>
                <w:sz w:val="16"/>
                <w:szCs w:val="16"/>
              </w:rPr>
            </w:pPr>
            <w:r w:rsidRPr="00D92E20">
              <w:rPr>
                <w:rFonts w:cs="Arial"/>
                <w:color w:val="000000"/>
                <w:sz w:val="16"/>
                <w:szCs w:val="16"/>
              </w:rPr>
              <w:t>muži</w:t>
            </w:r>
          </w:p>
        </w:tc>
        <w:tc>
          <w:tcPr>
            <w:tcW w:w="907" w:type="dxa"/>
            <w:tcBorders>
              <w:top w:val="nil"/>
              <w:left w:val="nil"/>
              <w:bottom w:val="single" w:sz="4" w:space="0" w:color="auto"/>
              <w:right w:val="nil"/>
            </w:tcBorders>
            <w:shd w:val="clear" w:color="000000" w:fill="F2DBDB"/>
            <w:vAlign w:val="center"/>
            <w:hideMark/>
          </w:tcPr>
          <w:p w14:paraId="72B3282B" w14:textId="77777777" w:rsidR="00E371CF" w:rsidRPr="00D92E20" w:rsidRDefault="00E371CF" w:rsidP="0070383F">
            <w:pPr>
              <w:spacing w:after="0" w:line="240" w:lineRule="auto"/>
              <w:jc w:val="center"/>
              <w:rPr>
                <w:rFonts w:cs="Arial"/>
                <w:color w:val="000000"/>
                <w:sz w:val="16"/>
                <w:szCs w:val="16"/>
              </w:rPr>
            </w:pPr>
            <w:r w:rsidRPr="00D92E20">
              <w:rPr>
                <w:rFonts w:cs="Arial"/>
                <w:color w:val="000000"/>
                <w:sz w:val="16"/>
                <w:szCs w:val="16"/>
              </w:rPr>
              <w:t>ženy</w:t>
            </w:r>
          </w:p>
        </w:tc>
      </w:tr>
      <w:tr w:rsidR="00736595" w:rsidRPr="00D92E20" w14:paraId="0611A931" w14:textId="77777777" w:rsidTr="00E371CF">
        <w:trPr>
          <w:trHeight w:val="300"/>
        </w:trPr>
        <w:tc>
          <w:tcPr>
            <w:tcW w:w="4195" w:type="dxa"/>
            <w:tcBorders>
              <w:top w:val="nil"/>
              <w:left w:val="nil"/>
              <w:bottom w:val="nil"/>
              <w:right w:val="nil"/>
            </w:tcBorders>
            <w:shd w:val="clear" w:color="auto" w:fill="auto"/>
            <w:noWrap/>
            <w:vAlign w:val="center"/>
            <w:hideMark/>
          </w:tcPr>
          <w:p w14:paraId="7EDEA946" w14:textId="254B5D1A" w:rsidR="00736595" w:rsidRPr="00D92E20" w:rsidRDefault="00736595" w:rsidP="00736595">
            <w:pPr>
              <w:spacing w:after="0" w:line="240" w:lineRule="auto"/>
              <w:rPr>
                <w:rFonts w:cs="Arial"/>
                <w:b/>
                <w:bCs/>
                <w:color w:val="000000"/>
                <w:sz w:val="16"/>
                <w:szCs w:val="16"/>
              </w:rPr>
            </w:pPr>
            <w:r>
              <w:rPr>
                <w:rFonts w:cs="Arial"/>
                <w:b/>
                <w:bCs/>
                <w:sz w:val="16"/>
                <w:szCs w:val="16"/>
              </w:rPr>
              <w:t>Celkem</w:t>
            </w:r>
          </w:p>
        </w:tc>
        <w:tc>
          <w:tcPr>
            <w:tcW w:w="907" w:type="dxa"/>
            <w:tcBorders>
              <w:top w:val="nil"/>
              <w:left w:val="single" w:sz="4" w:space="0" w:color="auto"/>
              <w:bottom w:val="nil"/>
              <w:right w:val="nil"/>
            </w:tcBorders>
            <w:shd w:val="clear" w:color="auto" w:fill="auto"/>
            <w:noWrap/>
            <w:vAlign w:val="center"/>
            <w:hideMark/>
          </w:tcPr>
          <w:p w14:paraId="3F10F1B1" w14:textId="2B8A1AB7" w:rsidR="00736595" w:rsidRPr="00D92E20" w:rsidRDefault="00736595" w:rsidP="00736595">
            <w:pPr>
              <w:spacing w:after="0" w:line="240" w:lineRule="auto"/>
              <w:jc w:val="right"/>
              <w:rPr>
                <w:rFonts w:cs="Arial"/>
                <w:b/>
                <w:bCs/>
                <w:color w:val="000000"/>
                <w:sz w:val="16"/>
                <w:szCs w:val="16"/>
              </w:rPr>
            </w:pPr>
            <w:r>
              <w:rPr>
                <w:rFonts w:cs="Arial"/>
                <w:b/>
                <w:bCs/>
                <w:color w:val="000000"/>
                <w:sz w:val="16"/>
                <w:szCs w:val="16"/>
              </w:rPr>
              <w:t>2 082,3</w:t>
            </w:r>
          </w:p>
        </w:tc>
        <w:tc>
          <w:tcPr>
            <w:tcW w:w="907" w:type="dxa"/>
            <w:tcBorders>
              <w:top w:val="nil"/>
              <w:left w:val="nil"/>
              <w:bottom w:val="nil"/>
              <w:right w:val="nil"/>
            </w:tcBorders>
            <w:shd w:val="clear" w:color="auto" w:fill="auto"/>
            <w:noWrap/>
            <w:vAlign w:val="center"/>
            <w:hideMark/>
          </w:tcPr>
          <w:p w14:paraId="0814F888" w14:textId="7D7156F3" w:rsidR="00736595" w:rsidRPr="00D92E20" w:rsidRDefault="00736595" w:rsidP="00736595">
            <w:pPr>
              <w:spacing w:after="0" w:line="240" w:lineRule="auto"/>
              <w:jc w:val="right"/>
              <w:rPr>
                <w:rFonts w:cs="Arial"/>
                <w:b/>
                <w:bCs/>
                <w:color w:val="000000"/>
                <w:sz w:val="16"/>
                <w:szCs w:val="16"/>
              </w:rPr>
            </w:pPr>
            <w:r>
              <w:rPr>
                <w:rFonts w:cs="Arial"/>
                <w:b/>
                <w:bCs/>
                <w:color w:val="000000"/>
                <w:sz w:val="16"/>
                <w:szCs w:val="16"/>
              </w:rPr>
              <w:t>959,6</w:t>
            </w:r>
          </w:p>
        </w:tc>
        <w:tc>
          <w:tcPr>
            <w:tcW w:w="907" w:type="dxa"/>
            <w:tcBorders>
              <w:top w:val="nil"/>
              <w:left w:val="nil"/>
              <w:bottom w:val="nil"/>
              <w:right w:val="single" w:sz="4" w:space="0" w:color="auto"/>
            </w:tcBorders>
            <w:shd w:val="clear" w:color="auto" w:fill="auto"/>
            <w:noWrap/>
            <w:vAlign w:val="center"/>
            <w:hideMark/>
          </w:tcPr>
          <w:p w14:paraId="278F3C18" w14:textId="25A84FAD" w:rsidR="00736595" w:rsidRPr="00D92E20" w:rsidRDefault="00736595" w:rsidP="00736595">
            <w:pPr>
              <w:spacing w:after="0" w:line="240" w:lineRule="auto"/>
              <w:jc w:val="right"/>
              <w:rPr>
                <w:rFonts w:cs="Arial"/>
                <w:b/>
                <w:bCs/>
                <w:color w:val="000000"/>
                <w:sz w:val="16"/>
                <w:szCs w:val="16"/>
              </w:rPr>
            </w:pPr>
            <w:r>
              <w:rPr>
                <w:rFonts w:cs="Arial"/>
                <w:b/>
                <w:bCs/>
                <w:color w:val="000000"/>
                <w:sz w:val="16"/>
                <w:szCs w:val="16"/>
              </w:rPr>
              <w:t>1 122,8</w:t>
            </w:r>
          </w:p>
        </w:tc>
        <w:tc>
          <w:tcPr>
            <w:tcW w:w="907" w:type="dxa"/>
            <w:tcBorders>
              <w:top w:val="nil"/>
              <w:left w:val="nil"/>
              <w:bottom w:val="nil"/>
              <w:right w:val="nil"/>
            </w:tcBorders>
            <w:shd w:val="clear" w:color="auto" w:fill="auto"/>
            <w:noWrap/>
            <w:vAlign w:val="center"/>
            <w:hideMark/>
          </w:tcPr>
          <w:p w14:paraId="3D013185" w14:textId="796B8AEC" w:rsidR="00736595" w:rsidRPr="00D92E20" w:rsidRDefault="00736595" w:rsidP="00736595">
            <w:pPr>
              <w:spacing w:after="0" w:line="240" w:lineRule="auto"/>
              <w:jc w:val="right"/>
              <w:rPr>
                <w:rFonts w:cs="Arial"/>
                <w:b/>
                <w:bCs/>
                <w:color w:val="000000"/>
                <w:sz w:val="16"/>
                <w:szCs w:val="16"/>
              </w:rPr>
            </w:pPr>
            <w:r>
              <w:rPr>
                <w:rFonts w:cs="Arial"/>
                <w:b/>
                <w:bCs/>
                <w:color w:val="000000"/>
                <w:sz w:val="16"/>
                <w:szCs w:val="16"/>
              </w:rPr>
              <w:t>24,8</w:t>
            </w:r>
          </w:p>
        </w:tc>
        <w:tc>
          <w:tcPr>
            <w:tcW w:w="907" w:type="dxa"/>
            <w:tcBorders>
              <w:top w:val="nil"/>
              <w:left w:val="nil"/>
              <w:bottom w:val="nil"/>
              <w:right w:val="nil"/>
            </w:tcBorders>
            <w:shd w:val="clear" w:color="auto" w:fill="auto"/>
            <w:noWrap/>
            <w:vAlign w:val="center"/>
            <w:hideMark/>
          </w:tcPr>
          <w:p w14:paraId="71D59C1F" w14:textId="57EAE27D" w:rsidR="00736595" w:rsidRPr="00D92E20" w:rsidRDefault="00736595" w:rsidP="00736595">
            <w:pPr>
              <w:spacing w:after="0" w:line="240" w:lineRule="auto"/>
              <w:jc w:val="right"/>
              <w:rPr>
                <w:rFonts w:cs="Arial"/>
                <w:b/>
                <w:bCs/>
                <w:color w:val="000000"/>
                <w:sz w:val="16"/>
                <w:szCs w:val="16"/>
              </w:rPr>
            </w:pPr>
            <w:r>
              <w:rPr>
                <w:rFonts w:cs="Arial"/>
                <w:b/>
                <w:bCs/>
                <w:color w:val="000000"/>
                <w:sz w:val="16"/>
                <w:szCs w:val="16"/>
              </w:rPr>
              <w:t>24,3</w:t>
            </w:r>
          </w:p>
        </w:tc>
        <w:tc>
          <w:tcPr>
            <w:tcW w:w="907" w:type="dxa"/>
            <w:tcBorders>
              <w:top w:val="nil"/>
              <w:left w:val="nil"/>
              <w:bottom w:val="nil"/>
              <w:right w:val="nil"/>
            </w:tcBorders>
            <w:shd w:val="clear" w:color="auto" w:fill="auto"/>
            <w:noWrap/>
            <w:vAlign w:val="center"/>
            <w:hideMark/>
          </w:tcPr>
          <w:p w14:paraId="2AD3452D" w14:textId="387967CE" w:rsidR="00736595" w:rsidRPr="00D92E20" w:rsidRDefault="00736595" w:rsidP="00736595">
            <w:pPr>
              <w:spacing w:after="0" w:line="240" w:lineRule="auto"/>
              <w:jc w:val="right"/>
              <w:rPr>
                <w:rFonts w:cs="Arial"/>
                <w:b/>
                <w:bCs/>
                <w:color w:val="000000"/>
                <w:sz w:val="16"/>
                <w:szCs w:val="16"/>
              </w:rPr>
            </w:pPr>
            <w:r>
              <w:rPr>
                <w:rFonts w:cs="Arial"/>
                <w:b/>
                <w:bCs/>
                <w:color w:val="000000"/>
                <w:sz w:val="16"/>
                <w:szCs w:val="16"/>
              </w:rPr>
              <w:t>25,1</w:t>
            </w:r>
          </w:p>
        </w:tc>
      </w:tr>
      <w:tr w:rsidR="00736595" w:rsidRPr="00D92E20" w14:paraId="7E435868" w14:textId="77777777" w:rsidTr="00E371CF">
        <w:trPr>
          <w:trHeight w:val="300"/>
        </w:trPr>
        <w:tc>
          <w:tcPr>
            <w:tcW w:w="4195" w:type="dxa"/>
            <w:tcBorders>
              <w:top w:val="nil"/>
              <w:left w:val="nil"/>
              <w:bottom w:val="nil"/>
              <w:right w:val="nil"/>
            </w:tcBorders>
            <w:shd w:val="clear" w:color="auto" w:fill="auto"/>
            <w:noWrap/>
            <w:vAlign w:val="center"/>
            <w:hideMark/>
          </w:tcPr>
          <w:p w14:paraId="6E94681B" w14:textId="3C24BBE9" w:rsidR="00736595" w:rsidRPr="00D92E20" w:rsidRDefault="00736595" w:rsidP="00736595">
            <w:pPr>
              <w:spacing w:after="0" w:line="240" w:lineRule="auto"/>
              <w:ind w:firstLineChars="100" w:firstLine="160"/>
              <w:rPr>
                <w:rFonts w:cs="Arial"/>
                <w:color w:val="000000"/>
                <w:sz w:val="16"/>
                <w:szCs w:val="16"/>
              </w:rPr>
            </w:pPr>
            <w:r>
              <w:rPr>
                <w:rFonts w:cs="Arial"/>
                <w:sz w:val="16"/>
                <w:szCs w:val="16"/>
              </w:rPr>
              <w:t xml:space="preserve">   Tuberkulóza</w:t>
            </w:r>
          </w:p>
        </w:tc>
        <w:tc>
          <w:tcPr>
            <w:tcW w:w="907" w:type="dxa"/>
            <w:tcBorders>
              <w:top w:val="nil"/>
              <w:left w:val="single" w:sz="4" w:space="0" w:color="auto"/>
              <w:bottom w:val="nil"/>
              <w:right w:val="nil"/>
            </w:tcBorders>
            <w:shd w:val="clear" w:color="auto" w:fill="auto"/>
            <w:noWrap/>
            <w:vAlign w:val="center"/>
            <w:hideMark/>
          </w:tcPr>
          <w:p w14:paraId="4E6AD390" w14:textId="46F7E991" w:rsidR="00736595" w:rsidRPr="00D92E20" w:rsidRDefault="00736595" w:rsidP="00736595">
            <w:pPr>
              <w:spacing w:after="0" w:line="240" w:lineRule="auto"/>
              <w:jc w:val="right"/>
              <w:rPr>
                <w:rFonts w:cs="Arial"/>
                <w:color w:val="000000"/>
                <w:sz w:val="16"/>
                <w:szCs w:val="16"/>
              </w:rPr>
            </w:pPr>
            <w:r>
              <w:rPr>
                <w:rFonts w:cs="Arial"/>
                <w:color w:val="000000"/>
                <w:sz w:val="16"/>
                <w:szCs w:val="16"/>
              </w:rPr>
              <w:t>0,0</w:t>
            </w:r>
          </w:p>
        </w:tc>
        <w:tc>
          <w:tcPr>
            <w:tcW w:w="907" w:type="dxa"/>
            <w:tcBorders>
              <w:top w:val="nil"/>
              <w:left w:val="nil"/>
              <w:bottom w:val="nil"/>
              <w:right w:val="nil"/>
            </w:tcBorders>
            <w:shd w:val="clear" w:color="auto" w:fill="auto"/>
            <w:noWrap/>
            <w:vAlign w:val="center"/>
            <w:hideMark/>
          </w:tcPr>
          <w:p w14:paraId="7343099C" w14:textId="2D3F868D" w:rsidR="00736595" w:rsidRPr="00D92E20" w:rsidRDefault="00736595" w:rsidP="00736595">
            <w:pPr>
              <w:spacing w:after="0" w:line="240" w:lineRule="auto"/>
              <w:jc w:val="right"/>
              <w:rPr>
                <w:rFonts w:cs="Arial"/>
                <w:color w:val="000000"/>
                <w:sz w:val="16"/>
                <w:szCs w:val="16"/>
              </w:rPr>
            </w:pPr>
            <w:r>
              <w:rPr>
                <w:rFonts w:cs="Arial"/>
                <w:color w:val="000000"/>
                <w:sz w:val="16"/>
                <w:szCs w:val="16"/>
              </w:rPr>
              <w:t>0,0</w:t>
            </w:r>
          </w:p>
        </w:tc>
        <w:tc>
          <w:tcPr>
            <w:tcW w:w="907" w:type="dxa"/>
            <w:tcBorders>
              <w:top w:val="nil"/>
              <w:left w:val="nil"/>
              <w:bottom w:val="nil"/>
              <w:right w:val="single" w:sz="4" w:space="0" w:color="auto"/>
            </w:tcBorders>
            <w:shd w:val="clear" w:color="auto" w:fill="auto"/>
            <w:noWrap/>
            <w:vAlign w:val="center"/>
            <w:hideMark/>
          </w:tcPr>
          <w:p w14:paraId="6DD49EC1" w14:textId="67AB85AA" w:rsidR="00736595" w:rsidRPr="00D92E20" w:rsidRDefault="00736595" w:rsidP="00736595">
            <w:pPr>
              <w:spacing w:after="0" w:line="240" w:lineRule="auto"/>
              <w:jc w:val="right"/>
              <w:rPr>
                <w:rFonts w:cs="Arial"/>
                <w:color w:val="000000"/>
                <w:sz w:val="16"/>
                <w:szCs w:val="16"/>
              </w:rPr>
            </w:pPr>
            <w:r>
              <w:rPr>
                <w:rFonts w:cs="Arial"/>
                <w:color w:val="000000"/>
                <w:sz w:val="16"/>
                <w:szCs w:val="16"/>
              </w:rPr>
              <w:t>0,0</w:t>
            </w:r>
          </w:p>
        </w:tc>
        <w:tc>
          <w:tcPr>
            <w:tcW w:w="907" w:type="dxa"/>
            <w:tcBorders>
              <w:top w:val="nil"/>
              <w:left w:val="nil"/>
              <w:bottom w:val="nil"/>
              <w:right w:val="nil"/>
            </w:tcBorders>
            <w:shd w:val="clear" w:color="auto" w:fill="auto"/>
            <w:noWrap/>
            <w:vAlign w:val="center"/>
            <w:hideMark/>
          </w:tcPr>
          <w:p w14:paraId="10DB4056" w14:textId="6DCAAA62" w:rsidR="00736595" w:rsidRPr="00D92E20" w:rsidRDefault="00736595" w:rsidP="00736595">
            <w:pPr>
              <w:spacing w:after="0" w:line="240" w:lineRule="auto"/>
              <w:jc w:val="right"/>
              <w:rPr>
                <w:rFonts w:cs="Arial"/>
                <w:color w:val="000000"/>
                <w:sz w:val="16"/>
                <w:szCs w:val="16"/>
              </w:rPr>
            </w:pPr>
            <w:r>
              <w:rPr>
                <w:rFonts w:cs="Arial"/>
                <w:color w:val="000000"/>
                <w:sz w:val="16"/>
                <w:szCs w:val="16"/>
              </w:rPr>
              <w:t>206,6</w:t>
            </w:r>
          </w:p>
        </w:tc>
        <w:tc>
          <w:tcPr>
            <w:tcW w:w="907" w:type="dxa"/>
            <w:tcBorders>
              <w:top w:val="nil"/>
              <w:left w:val="nil"/>
              <w:bottom w:val="nil"/>
              <w:right w:val="nil"/>
            </w:tcBorders>
            <w:shd w:val="clear" w:color="auto" w:fill="auto"/>
            <w:noWrap/>
            <w:vAlign w:val="center"/>
            <w:hideMark/>
          </w:tcPr>
          <w:p w14:paraId="463FDE36" w14:textId="3A14FABD" w:rsidR="00736595" w:rsidRPr="00D92E20" w:rsidRDefault="00736595" w:rsidP="00736595">
            <w:pPr>
              <w:spacing w:after="0" w:line="240" w:lineRule="auto"/>
              <w:jc w:val="right"/>
              <w:rPr>
                <w:rFonts w:cs="Arial"/>
                <w:color w:val="000000"/>
                <w:sz w:val="16"/>
                <w:szCs w:val="16"/>
              </w:rPr>
            </w:pPr>
            <w:r>
              <w:rPr>
                <w:rFonts w:cs="Arial"/>
                <w:color w:val="000000"/>
                <w:sz w:val="16"/>
                <w:szCs w:val="16"/>
              </w:rPr>
              <w:t>198,2</w:t>
            </w:r>
          </w:p>
        </w:tc>
        <w:tc>
          <w:tcPr>
            <w:tcW w:w="907" w:type="dxa"/>
            <w:tcBorders>
              <w:top w:val="nil"/>
              <w:left w:val="nil"/>
              <w:bottom w:val="nil"/>
              <w:right w:val="nil"/>
            </w:tcBorders>
            <w:shd w:val="clear" w:color="auto" w:fill="auto"/>
            <w:noWrap/>
            <w:vAlign w:val="center"/>
            <w:hideMark/>
          </w:tcPr>
          <w:p w14:paraId="1B3C9596" w14:textId="318AB2FA" w:rsidR="00736595" w:rsidRPr="00D92E20" w:rsidRDefault="00736595" w:rsidP="00736595">
            <w:pPr>
              <w:spacing w:after="0" w:line="240" w:lineRule="auto"/>
              <w:jc w:val="right"/>
              <w:rPr>
                <w:rFonts w:cs="Arial"/>
                <w:color w:val="000000"/>
                <w:sz w:val="16"/>
                <w:szCs w:val="16"/>
              </w:rPr>
            </w:pPr>
            <w:r>
              <w:rPr>
                <w:rFonts w:cs="Arial"/>
                <w:color w:val="000000"/>
                <w:sz w:val="16"/>
                <w:szCs w:val="16"/>
              </w:rPr>
              <w:t>218,9</w:t>
            </w:r>
          </w:p>
        </w:tc>
      </w:tr>
      <w:tr w:rsidR="00736595" w:rsidRPr="00D92E20" w14:paraId="63580BE6" w14:textId="77777777" w:rsidTr="00E371CF">
        <w:trPr>
          <w:trHeight w:val="300"/>
        </w:trPr>
        <w:tc>
          <w:tcPr>
            <w:tcW w:w="4195" w:type="dxa"/>
            <w:tcBorders>
              <w:top w:val="nil"/>
              <w:left w:val="nil"/>
              <w:bottom w:val="nil"/>
              <w:right w:val="nil"/>
            </w:tcBorders>
            <w:shd w:val="clear" w:color="auto" w:fill="auto"/>
            <w:noWrap/>
            <w:vAlign w:val="center"/>
            <w:hideMark/>
          </w:tcPr>
          <w:p w14:paraId="78A38178" w14:textId="338568CC" w:rsidR="00736595" w:rsidRPr="00D92E20" w:rsidRDefault="00736595" w:rsidP="00736595">
            <w:pPr>
              <w:spacing w:after="0" w:line="240" w:lineRule="auto"/>
              <w:ind w:firstLineChars="100" w:firstLine="160"/>
              <w:rPr>
                <w:rFonts w:cs="Arial"/>
                <w:color w:val="000000"/>
                <w:sz w:val="16"/>
                <w:szCs w:val="16"/>
              </w:rPr>
            </w:pPr>
            <w:r>
              <w:rPr>
                <w:rFonts w:cs="Arial"/>
                <w:sz w:val="16"/>
                <w:szCs w:val="16"/>
              </w:rPr>
              <w:t xml:space="preserve">   Zhoubné novotvary</w:t>
            </w:r>
          </w:p>
        </w:tc>
        <w:tc>
          <w:tcPr>
            <w:tcW w:w="907" w:type="dxa"/>
            <w:tcBorders>
              <w:top w:val="nil"/>
              <w:left w:val="single" w:sz="4" w:space="0" w:color="auto"/>
              <w:bottom w:val="nil"/>
              <w:right w:val="nil"/>
            </w:tcBorders>
            <w:shd w:val="clear" w:color="auto" w:fill="auto"/>
            <w:noWrap/>
            <w:vAlign w:val="center"/>
            <w:hideMark/>
          </w:tcPr>
          <w:p w14:paraId="33AAC3D1" w14:textId="0B723008" w:rsidR="00736595" w:rsidRPr="00D92E20" w:rsidRDefault="00736595" w:rsidP="00736595">
            <w:pPr>
              <w:spacing w:after="0" w:line="240" w:lineRule="auto"/>
              <w:jc w:val="right"/>
              <w:rPr>
                <w:rFonts w:cs="Arial"/>
                <w:color w:val="000000"/>
                <w:sz w:val="16"/>
                <w:szCs w:val="16"/>
              </w:rPr>
            </w:pPr>
            <w:r>
              <w:rPr>
                <w:rFonts w:cs="Arial"/>
                <w:color w:val="000000"/>
                <w:sz w:val="16"/>
                <w:szCs w:val="16"/>
              </w:rPr>
              <w:t>8,1</w:t>
            </w:r>
          </w:p>
        </w:tc>
        <w:tc>
          <w:tcPr>
            <w:tcW w:w="907" w:type="dxa"/>
            <w:tcBorders>
              <w:top w:val="nil"/>
              <w:left w:val="nil"/>
              <w:bottom w:val="nil"/>
              <w:right w:val="nil"/>
            </w:tcBorders>
            <w:shd w:val="clear" w:color="auto" w:fill="auto"/>
            <w:noWrap/>
            <w:vAlign w:val="center"/>
            <w:hideMark/>
          </w:tcPr>
          <w:p w14:paraId="39270011" w14:textId="17C8B1C5" w:rsidR="00736595" w:rsidRPr="00D92E20" w:rsidRDefault="00736595" w:rsidP="00736595">
            <w:pPr>
              <w:spacing w:after="0" w:line="240" w:lineRule="auto"/>
              <w:jc w:val="right"/>
              <w:rPr>
                <w:rFonts w:cs="Arial"/>
                <w:color w:val="000000"/>
                <w:sz w:val="16"/>
                <w:szCs w:val="16"/>
              </w:rPr>
            </w:pPr>
            <w:r>
              <w:rPr>
                <w:rFonts w:cs="Arial"/>
                <w:color w:val="000000"/>
                <w:sz w:val="16"/>
                <w:szCs w:val="16"/>
              </w:rPr>
              <w:t>3,7</w:t>
            </w:r>
          </w:p>
        </w:tc>
        <w:tc>
          <w:tcPr>
            <w:tcW w:w="907" w:type="dxa"/>
            <w:tcBorders>
              <w:top w:val="nil"/>
              <w:left w:val="nil"/>
              <w:bottom w:val="nil"/>
              <w:right w:val="single" w:sz="4" w:space="0" w:color="auto"/>
            </w:tcBorders>
            <w:shd w:val="clear" w:color="auto" w:fill="auto"/>
            <w:noWrap/>
            <w:vAlign w:val="center"/>
            <w:hideMark/>
          </w:tcPr>
          <w:p w14:paraId="283A6F88" w14:textId="261DAE85" w:rsidR="00736595" w:rsidRPr="00D92E20" w:rsidRDefault="00736595" w:rsidP="00736595">
            <w:pPr>
              <w:spacing w:after="0" w:line="240" w:lineRule="auto"/>
              <w:jc w:val="right"/>
              <w:rPr>
                <w:rFonts w:cs="Arial"/>
                <w:color w:val="000000"/>
                <w:sz w:val="16"/>
                <w:szCs w:val="16"/>
              </w:rPr>
            </w:pPr>
            <w:r>
              <w:rPr>
                <w:rFonts w:cs="Arial"/>
                <w:color w:val="000000"/>
                <w:sz w:val="16"/>
                <w:szCs w:val="16"/>
              </w:rPr>
              <w:t>4,4</w:t>
            </w:r>
          </w:p>
        </w:tc>
        <w:tc>
          <w:tcPr>
            <w:tcW w:w="907" w:type="dxa"/>
            <w:tcBorders>
              <w:top w:val="nil"/>
              <w:left w:val="nil"/>
              <w:bottom w:val="nil"/>
              <w:right w:val="nil"/>
            </w:tcBorders>
            <w:shd w:val="clear" w:color="auto" w:fill="auto"/>
            <w:noWrap/>
            <w:vAlign w:val="center"/>
            <w:hideMark/>
          </w:tcPr>
          <w:p w14:paraId="64D588B3" w14:textId="7B0D861B" w:rsidR="00736595" w:rsidRPr="00D92E20" w:rsidRDefault="00736595" w:rsidP="00736595">
            <w:pPr>
              <w:spacing w:after="0" w:line="240" w:lineRule="auto"/>
              <w:jc w:val="right"/>
              <w:rPr>
                <w:rFonts w:cs="Arial"/>
                <w:color w:val="000000"/>
                <w:sz w:val="16"/>
                <w:szCs w:val="16"/>
              </w:rPr>
            </w:pPr>
            <w:r>
              <w:rPr>
                <w:rFonts w:cs="Arial"/>
                <w:color w:val="000000"/>
                <w:sz w:val="16"/>
                <w:szCs w:val="16"/>
              </w:rPr>
              <w:t>171,4</w:t>
            </w:r>
          </w:p>
        </w:tc>
        <w:tc>
          <w:tcPr>
            <w:tcW w:w="907" w:type="dxa"/>
            <w:tcBorders>
              <w:top w:val="nil"/>
              <w:left w:val="nil"/>
              <w:bottom w:val="nil"/>
              <w:right w:val="nil"/>
            </w:tcBorders>
            <w:shd w:val="clear" w:color="auto" w:fill="auto"/>
            <w:noWrap/>
            <w:vAlign w:val="center"/>
            <w:hideMark/>
          </w:tcPr>
          <w:p w14:paraId="6EEA2220" w14:textId="0CBAE998" w:rsidR="00736595" w:rsidRPr="00D92E20" w:rsidRDefault="00736595" w:rsidP="00736595">
            <w:pPr>
              <w:spacing w:after="0" w:line="240" w:lineRule="auto"/>
              <w:jc w:val="right"/>
              <w:rPr>
                <w:rFonts w:cs="Arial"/>
                <w:color w:val="000000"/>
                <w:sz w:val="16"/>
                <w:szCs w:val="16"/>
              </w:rPr>
            </w:pPr>
            <w:r>
              <w:rPr>
                <w:rFonts w:cs="Arial"/>
                <w:color w:val="000000"/>
                <w:sz w:val="16"/>
                <w:szCs w:val="16"/>
              </w:rPr>
              <w:t>163,7</w:t>
            </w:r>
          </w:p>
        </w:tc>
        <w:tc>
          <w:tcPr>
            <w:tcW w:w="907" w:type="dxa"/>
            <w:tcBorders>
              <w:top w:val="nil"/>
              <w:left w:val="nil"/>
              <w:bottom w:val="nil"/>
              <w:right w:val="nil"/>
            </w:tcBorders>
            <w:shd w:val="clear" w:color="auto" w:fill="auto"/>
            <w:noWrap/>
            <w:vAlign w:val="center"/>
            <w:hideMark/>
          </w:tcPr>
          <w:p w14:paraId="272C236E" w14:textId="10934E54" w:rsidR="00736595" w:rsidRPr="00D92E20" w:rsidRDefault="00736595" w:rsidP="00736595">
            <w:pPr>
              <w:spacing w:after="0" w:line="240" w:lineRule="auto"/>
              <w:jc w:val="right"/>
              <w:rPr>
                <w:rFonts w:cs="Arial"/>
                <w:color w:val="000000"/>
                <w:sz w:val="16"/>
                <w:szCs w:val="16"/>
              </w:rPr>
            </w:pPr>
            <w:r>
              <w:rPr>
                <w:rFonts w:cs="Arial"/>
                <w:color w:val="000000"/>
                <w:sz w:val="16"/>
                <w:szCs w:val="16"/>
              </w:rPr>
              <w:t>177,9</w:t>
            </w:r>
          </w:p>
        </w:tc>
      </w:tr>
      <w:tr w:rsidR="00736595" w:rsidRPr="00D92E20" w14:paraId="552203C6" w14:textId="77777777" w:rsidTr="00E371CF">
        <w:trPr>
          <w:trHeight w:val="300"/>
        </w:trPr>
        <w:tc>
          <w:tcPr>
            <w:tcW w:w="4195" w:type="dxa"/>
            <w:tcBorders>
              <w:top w:val="nil"/>
              <w:left w:val="nil"/>
              <w:bottom w:val="nil"/>
              <w:right w:val="nil"/>
            </w:tcBorders>
            <w:shd w:val="clear" w:color="auto" w:fill="auto"/>
            <w:noWrap/>
            <w:vAlign w:val="center"/>
            <w:hideMark/>
          </w:tcPr>
          <w:p w14:paraId="43CD67B2" w14:textId="512588F3" w:rsidR="00736595" w:rsidRPr="00D92E20" w:rsidRDefault="00736595" w:rsidP="00736595">
            <w:pPr>
              <w:spacing w:after="0" w:line="240" w:lineRule="auto"/>
              <w:ind w:firstLineChars="100" w:firstLine="160"/>
              <w:rPr>
                <w:rFonts w:cs="Arial"/>
                <w:color w:val="000000"/>
                <w:sz w:val="16"/>
                <w:szCs w:val="16"/>
              </w:rPr>
            </w:pPr>
            <w:r>
              <w:rPr>
                <w:rFonts w:cs="Arial"/>
                <w:sz w:val="16"/>
                <w:szCs w:val="16"/>
              </w:rPr>
              <w:t xml:space="preserve">   Nemoci duševní</w:t>
            </w:r>
          </w:p>
        </w:tc>
        <w:tc>
          <w:tcPr>
            <w:tcW w:w="907" w:type="dxa"/>
            <w:tcBorders>
              <w:top w:val="nil"/>
              <w:left w:val="single" w:sz="4" w:space="0" w:color="auto"/>
              <w:bottom w:val="nil"/>
              <w:right w:val="nil"/>
            </w:tcBorders>
            <w:shd w:val="clear" w:color="auto" w:fill="auto"/>
            <w:noWrap/>
            <w:vAlign w:val="center"/>
            <w:hideMark/>
          </w:tcPr>
          <w:p w14:paraId="3A0FFC25" w14:textId="2B9BD7C1" w:rsidR="00736595" w:rsidRPr="00D92E20" w:rsidRDefault="00736595" w:rsidP="00736595">
            <w:pPr>
              <w:spacing w:after="0" w:line="240" w:lineRule="auto"/>
              <w:jc w:val="right"/>
              <w:rPr>
                <w:rFonts w:cs="Arial"/>
                <w:color w:val="000000"/>
                <w:sz w:val="16"/>
                <w:szCs w:val="16"/>
              </w:rPr>
            </w:pPr>
            <w:r>
              <w:rPr>
                <w:rFonts w:cs="Arial"/>
                <w:color w:val="000000"/>
                <w:sz w:val="16"/>
                <w:szCs w:val="16"/>
              </w:rPr>
              <w:t>29,1</w:t>
            </w:r>
          </w:p>
        </w:tc>
        <w:tc>
          <w:tcPr>
            <w:tcW w:w="907" w:type="dxa"/>
            <w:tcBorders>
              <w:top w:val="nil"/>
              <w:left w:val="nil"/>
              <w:bottom w:val="nil"/>
              <w:right w:val="nil"/>
            </w:tcBorders>
            <w:shd w:val="clear" w:color="auto" w:fill="auto"/>
            <w:noWrap/>
            <w:vAlign w:val="center"/>
            <w:hideMark/>
          </w:tcPr>
          <w:p w14:paraId="1248E12D" w14:textId="60E0C03E" w:rsidR="00736595" w:rsidRPr="00D92E20" w:rsidRDefault="00736595" w:rsidP="00736595">
            <w:pPr>
              <w:spacing w:after="0" w:line="240" w:lineRule="auto"/>
              <w:jc w:val="right"/>
              <w:rPr>
                <w:rFonts w:cs="Arial"/>
                <w:color w:val="000000"/>
                <w:sz w:val="16"/>
                <w:szCs w:val="16"/>
              </w:rPr>
            </w:pPr>
            <w:r>
              <w:rPr>
                <w:rFonts w:cs="Arial"/>
                <w:color w:val="000000"/>
                <w:sz w:val="16"/>
                <w:szCs w:val="16"/>
              </w:rPr>
              <w:t>10,1</w:t>
            </w:r>
          </w:p>
        </w:tc>
        <w:tc>
          <w:tcPr>
            <w:tcW w:w="907" w:type="dxa"/>
            <w:tcBorders>
              <w:top w:val="nil"/>
              <w:left w:val="nil"/>
              <w:bottom w:val="nil"/>
              <w:right w:val="single" w:sz="4" w:space="0" w:color="auto"/>
            </w:tcBorders>
            <w:shd w:val="clear" w:color="auto" w:fill="auto"/>
            <w:noWrap/>
            <w:vAlign w:val="center"/>
            <w:hideMark/>
          </w:tcPr>
          <w:p w14:paraId="10F324A3" w14:textId="7B41439B" w:rsidR="00736595" w:rsidRPr="00D92E20" w:rsidRDefault="00736595" w:rsidP="00736595">
            <w:pPr>
              <w:spacing w:after="0" w:line="240" w:lineRule="auto"/>
              <w:jc w:val="right"/>
              <w:rPr>
                <w:rFonts w:cs="Arial"/>
                <w:color w:val="000000"/>
                <w:sz w:val="16"/>
                <w:szCs w:val="16"/>
              </w:rPr>
            </w:pPr>
            <w:r>
              <w:rPr>
                <w:rFonts w:cs="Arial"/>
                <w:color w:val="000000"/>
                <w:sz w:val="16"/>
                <w:szCs w:val="16"/>
              </w:rPr>
              <w:t>19,0</w:t>
            </w:r>
          </w:p>
        </w:tc>
        <w:tc>
          <w:tcPr>
            <w:tcW w:w="907" w:type="dxa"/>
            <w:tcBorders>
              <w:top w:val="nil"/>
              <w:left w:val="nil"/>
              <w:bottom w:val="nil"/>
              <w:right w:val="nil"/>
            </w:tcBorders>
            <w:shd w:val="clear" w:color="auto" w:fill="auto"/>
            <w:noWrap/>
            <w:vAlign w:val="center"/>
            <w:hideMark/>
          </w:tcPr>
          <w:p w14:paraId="5AD137E9" w14:textId="4A8B9579" w:rsidR="00736595" w:rsidRPr="00D92E20" w:rsidRDefault="00736595" w:rsidP="00736595">
            <w:pPr>
              <w:spacing w:after="0" w:line="240" w:lineRule="auto"/>
              <w:jc w:val="right"/>
              <w:rPr>
                <w:rFonts w:cs="Arial"/>
                <w:color w:val="000000"/>
                <w:sz w:val="16"/>
                <w:szCs w:val="16"/>
              </w:rPr>
            </w:pPr>
            <w:r>
              <w:rPr>
                <w:rFonts w:cs="Arial"/>
                <w:color w:val="000000"/>
                <w:sz w:val="16"/>
                <w:szCs w:val="16"/>
              </w:rPr>
              <w:t>85,8</w:t>
            </w:r>
          </w:p>
        </w:tc>
        <w:tc>
          <w:tcPr>
            <w:tcW w:w="907" w:type="dxa"/>
            <w:tcBorders>
              <w:top w:val="nil"/>
              <w:left w:val="nil"/>
              <w:bottom w:val="nil"/>
              <w:right w:val="nil"/>
            </w:tcBorders>
            <w:shd w:val="clear" w:color="auto" w:fill="auto"/>
            <w:noWrap/>
            <w:vAlign w:val="center"/>
            <w:hideMark/>
          </w:tcPr>
          <w:p w14:paraId="275AD66A" w14:textId="4F1F2615" w:rsidR="00736595" w:rsidRPr="00D92E20" w:rsidRDefault="00736595" w:rsidP="00736595">
            <w:pPr>
              <w:spacing w:after="0" w:line="240" w:lineRule="auto"/>
              <w:jc w:val="right"/>
              <w:rPr>
                <w:rFonts w:cs="Arial"/>
                <w:color w:val="000000"/>
                <w:sz w:val="16"/>
                <w:szCs w:val="16"/>
              </w:rPr>
            </w:pPr>
            <w:r>
              <w:rPr>
                <w:rFonts w:cs="Arial"/>
                <w:color w:val="000000"/>
                <w:sz w:val="16"/>
                <w:szCs w:val="16"/>
              </w:rPr>
              <w:t>84,4</w:t>
            </w:r>
          </w:p>
        </w:tc>
        <w:tc>
          <w:tcPr>
            <w:tcW w:w="907" w:type="dxa"/>
            <w:tcBorders>
              <w:top w:val="nil"/>
              <w:left w:val="nil"/>
              <w:bottom w:val="nil"/>
              <w:right w:val="nil"/>
            </w:tcBorders>
            <w:shd w:val="clear" w:color="auto" w:fill="auto"/>
            <w:noWrap/>
            <w:vAlign w:val="center"/>
            <w:hideMark/>
          </w:tcPr>
          <w:p w14:paraId="62E06225" w14:textId="47E6AACB" w:rsidR="00736595" w:rsidRPr="00D92E20" w:rsidRDefault="00736595" w:rsidP="00736595">
            <w:pPr>
              <w:spacing w:after="0" w:line="240" w:lineRule="auto"/>
              <w:jc w:val="right"/>
              <w:rPr>
                <w:rFonts w:cs="Arial"/>
                <w:color w:val="000000"/>
                <w:sz w:val="16"/>
                <w:szCs w:val="16"/>
              </w:rPr>
            </w:pPr>
            <w:r>
              <w:rPr>
                <w:rFonts w:cs="Arial"/>
                <w:color w:val="000000"/>
                <w:sz w:val="16"/>
                <w:szCs w:val="16"/>
              </w:rPr>
              <w:t>86,5</w:t>
            </w:r>
          </w:p>
        </w:tc>
      </w:tr>
      <w:tr w:rsidR="00736595" w:rsidRPr="00D92E20" w14:paraId="559EEC93" w14:textId="77777777" w:rsidTr="00E371CF">
        <w:trPr>
          <w:trHeight w:val="300"/>
        </w:trPr>
        <w:tc>
          <w:tcPr>
            <w:tcW w:w="4195" w:type="dxa"/>
            <w:tcBorders>
              <w:top w:val="nil"/>
              <w:left w:val="nil"/>
              <w:bottom w:val="nil"/>
              <w:right w:val="nil"/>
            </w:tcBorders>
            <w:shd w:val="clear" w:color="auto" w:fill="auto"/>
            <w:noWrap/>
            <w:vAlign w:val="center"/>
            <w:hideMark/>
          </w:tcPr>
          <w:p w14:paraId="14F7B712" w14:textId="66407962" w:rsidR="00736595" w:rsidRPr="00D92E20" w:rsidRDefault="00736595" w:rsidP="00736595">
            <w:pPr>
              <w:spacing w:after="0" w:line="240" w:lineRule="auto"/>
              <w:ind w:firstLineChars="100" w:firstLine="160"/>
              <w:rPr>
                <w:rFonts w:cs="Arial"/>
                <w:color w:val="000000"/>
                <w:sz w:val="16"/>
                <w:szCs w:val="16"/>
              </w:rPr>
            </w:pPr>
            <w:r>
              <w:rPr>
                <w:rFonts w:cs="Arial"/>
                <w:sz w:val="16"/>
                <w:szCs w:val="16"/>
              </w:rPr>
              <w:t xml:space="preserve">   Nemoci nervové soustavy</w:t>
            </w:r>
          </w:p>
        </w:tc>
        <w:tc>
          <w:tcPr>
            <w:tcW w:w="907" w:type="dxa"/>
            <w:tcBorders>
              <w:top w:val="nil"/>
              <w:left w:val="single" w:sz="4" w:space="0" w:color="auto"/>
              <w:bottom w:val="nil"/>
              <w:right w:val="nil"/>
            </w:tcBorders>
            <w:shd w:val="clear" w:color="auto" w:fill="auto"/>
            <w:noWrap/>
            <w:vAlign w:val="center"/>
            <w:hideMark/>
          </w:tcPr>
          <w:p w14:paraId="7E36F5D7" w14:textId="7A46E7B7" w:rsidR="00736595" w:rsidRPr="00D92E20" w:rsidRDefault="00736595" w:rsidP="00736595">
            <w:pPr>
              <w:spacing w:after="0" w:line="240" w:lineRule="auto"/>
              <w:jc w:val="right"/>
              <w:rPr>
                <w:rFonts w:cs="Arial"/>
                <w:color w:val="000000"/>
                <w:sz w:val="16"/>
                <w:szCs w:val="16"/>
              </w:rPr>
            </w:pPr>
            <w:r>
              <w:rPr>
                <w:rFonts w:cs="Arial"/>
                <w:color w:val="000000"/>
                <w:sz w:val="16"/>
                <w:szCs w:val="16"/>
              </w:rPr>
              <w:t>18,5</w:t>
            </w:r>
          </w:p>
        </w:tc>
        <w:tc>
          <w:tcPr>
            <w:tcW w:w="907" w:type="dxa"/>
            <w:tcBorders>
              <w:top w:val="nil"/>
              <w:left w:val="nil"/>
              <w:bottom w:val="nil"/>
              <w:right w:val="nil"/>
            </w:tcBorders>
            <w:shd w:val="clear" w:color="auto" w:fill="auto"/>
            <w:noWrap/>
            <w:vAlign w:val="center"/>
            <w:hideMark/>
          </w:tcPr>
          <w:p w14:paraId="1D82442D" w14:textId="2A993765" w:rsidR="00736595" w:rsidRPr="00D92E20" w:rsidRDefault="00736595" w:rsidP="00736595">
            <w:pPr>
              <w:spacing w:after="0" w:line="240" w:lineRule="auto"/>
              <w:jc w:val="right"/>
              <w:rPr>
                <w:rFonts w:cs="Arial"/>
                <w:color w:val="000000"/>
                <w:sz w:val="16"/>
                <w:szCs w:val="16"/>
              </w:rPr>
            </w:pPr>
            <w:r>
              <w:rPr>
                <w:rFonts w:cs="Arial"/>
                <w:color w:val="000000"/>
                <w:sz w:val="16"/>
                <w:szCs w:val="16"/>
              </w:rPr>
              <w:t>7,4</w:t>
            </w:r>
          </w:p>
        </w:tc>
        <w:tc>
          <w:tcPr>
            <w:tcW w:w="907" w:type="dxa"/>
            <w:tcBorders>
              <w:top w:val="nil"/>
              <w:left w:val="nil"/>
              <w:bottom w:val="nil"/>
              <w:right w:val="single" w:sz="4" w:space="0" w:color="auto"/>
            </w:tcBorders>
            <w:shd w:val="clear" w:color="auto" w:fill="auto"/>
            <w:noWrap/>
            <w:vAlign w:val="center"/>
            <w:hideMark/>
          </w:tcPr>
          <w:p w14:paraId="297E2A9F" w14:textId="30DDB925" w:rsidR="00736595" w:rsidRPr="00D92E20" w:rsidRDefault="00736595" w:rsidP="00736595">
            <w:pPr>
              <w:spacing w:after="0" w:line="240" w:lineRule="auto"/>
              <w:jc w:val="right"/>
              <w:rPr>
                <w:rFonts w:cs="Arial"/>
                <w:color w:val="000000"/>
                <w:sz w:val="16"/>
                <w:szCs w:val="16"/>
              </w:rPr>
            </w:pPr>
            <w:r>
              <w:rPr>
                <w:rFonts w:cs="Arial"/>
                <w:color w:val="000000"/>
                <w:sz w:val="16"/>
                <w:szCs w:val="16"/>
              </w:rPr>
              <w:t>11,0</w:t>
            </w:r>
          </w:p>
        </w:tc>
        <w:tc>
          <w:tcPr>
            <w:tcW w:w="907" w:type="dxa"/>
            <w:tcBorders>
              <w:top w:val="nil"/>
              <w:left w:val="nil"/>
              <w:bottom w:val="nil"/>
              <w:right w:val="nil"/>
            </w:tcBorders>
            <w:shd w:val="clear" w:color="auto" w:fill="auto"/>
            <w:noWrap/>
            <w:vAlign w:val="center"/>
            <w:hideMark/>
          </w:tcPr>
          <w:p w14:paraId="6835D90C" w14:textId="410DFDBC" w:rsidR="00736595" w:rsidRPr="00D92E20" w:rsidRDefault="00736595" w:rsidP="00736595">
            <w:pPr>
              <w:spacing w:after="0" w:line="240" w:lineRule="auto"/>
              <w:jc w:val="right"/>
              <w:rPr>
                <w:rFonts w:cs="Arial"/>
                <w:color w:val="000000"/>
                <w:sz w:val="16"/>
                <w:szCs w:val="16"/>
              </w:rPr>
            </w:pPr>
            <w:r>
              <w:rPr>
                <w:rFonts w:cs="Arial"/>
                <w:color w:val="000000"/>
                <w:sz w:val="16"/>
                <w:szCs w:val="16"/>
              </w:rPr>
              <w:t>73,1</w:t>
            </w:r>
          </w:p>
        </w:tc>
        <w:tc>
          <w:tcPr>
            <w:tcW w:w="907" w:type="dxa"/>
            <w:tcBorders>
              <w:top w:val="nil"/>
              <w:left w:val="nil"/>
              <w:bottom w:val="nil"/>
              <w:right w:val="nil"/>
            </w:tcBorders>
            <w:shd w:val="clear" w:color="auto" w:fill="auto"/>
            <w:noWrap/>
            <w:vAlign w:val="center"/>
            <w:hideMark/>
          </w:tcPr>
          <w:p w14:paraId="74D47F8B" w14:textId="3BC9F611" w:rsidR="00736595" w:rsidRPr="00D92E20" w:rsidRDefault="00736595" w:rsidP="00736595">
            <w:pPr>
              <w:spacing w:after="0" w:line="240" w:lineRule="auto"/>
              <w:jc w:val="right"/>
              <w:rPr>
                <w:rFonts w:cs="Arial"/>
                <w:color w:val="000000"/>
                <w:sz w:val="16"/>
                <w:szCs w:val="16"/>
              </w:rPr>
            </w:pPr>
            <w:r>
              <w:rPr>
                <w:rFonts w:cs="Arial"/>
                <w:color w:val="000000"/>
                <w:sz w:val="16"/>
                <w:szCs w:val="16"/>
              </w:rPr>
              <w:t>79,7</w:t>
            </w:r>
          </w:p>
        </w:tc>
        <w:tc>
          <w:tcPr>
            <w:tcW w:w="907" w:type="dxa"/>
            <w:tcBorders>
              <w:top w:val="nil"/>
              <w:left w:val="nil"/>
              <w:bottom w:val="nil"/>
              <w:right w:val="nil"/>
            </w:tcBorders>
            <w:shd w:val="clear" w:color="auto" w:fill="auto"/>
            <w:noWrap/>
            <w:vAlign w:val="center"/>
            <w:hideMark/>
          </w:tcPr>
          <w:p w14:paraId="172DDDB3" w14:textId="4E89842B" w:rsidR="00736595" w:rsidRPr="00D92E20" w:rsidRDefault="00736595" w:rsidP="00736595">
            <w:pPr>
              <w:spacing w:after="0" w:line="240" w:lineRule="auto"/>
              <w:jc w:val="right"/>
              <w:rPr>
                <w:rFonts w:cs="Arial"/>
                <w:color w:val="000000"/>
                <w:sz w:val="16"/>
                <w:szCs w:val="16"/>
              </w:rPr>
            </w:pPr>
            <w:r>
              <w:rPr>
                <w:rFonts w:cs="Arial"/>
                <w:color w:val="000000"/>
                <w:sz w:val="16"/>
                <w:szCs w:val="16"/>
              </w:rPr>
              <w:t>68,7</w:t>
            </w:r>
          </w:p>
        </w:tc>
      </w:tr>
      <w:tr w:rsidR="00736595" w:rsidRPr="00D92E20" w14:paraId="75A5661C" w14:textId="77777777" w:rsidTr="00E371CF">
        <w:trPr>
          <w:trHeight w:val="300"/>
        </w:trPr>
        <w:tc>
          <w:tcPr>
            <w:tcW w:w="4195" w:type="dxa"/>
            <w:tcBorders>
              <w:top w:val="nil"/>
              <w:left w:val="nil"/>
              <w:bottom w:val="nil"/>
              <w:right w:val="nil"/>
            </w:tcBorders>
            <w:shd w:val="clear" w:color="auto" w:fill="auto"/>
            <w:noWrap/>
            <w:vAlign w:val="center"/>
            <w:hideMark/>
          </w:tcPr>
          <w:p w14:paraId="4CE6A75B" w14:textId="13678083" w:rsidR="00736595" w:rsidRPr="00D92E20" w:rsidRDefault="00736595" w:rsidP="00736595">
            <w:pPr>
              <w:spacing w:after="0" w:line="240" w:lineRule="auto"/>
              <w:ind w:firstLineChars="100" w:firstLine="160"/>
              <w:rPr>
                <w:rFonts w:cs="Arial"/>
                <w:color w:val="000000"/>
                <w:sz w:val="16"/>
                <w:szCs w:val="16"/>
              </w:rPr>
            </w:pPr>
            <w:r>
              <w:rPr>
                <w:rFonts w:cs="Arial"/>
                <w:sz w:val="16"/>
                <w:szCs w:val="16"/>
              </w:rPr>
              <w:t xml:space="preserve">   Nemoci oběhové soustavy</w:t>
            </w:r>
          </w:p>
        </w:tc>
        <w:tc>
          <w:tcPr>
            <w:tcW w:w="907" w:type="dxa"/>
            <w:tcBorders>
              <w:top w:val="nil"/>
              <w:left w:val="single" w:sz="4" w:space="0" w:color="auto"/>
              <w:bottom w:val="nil"/>
              <w:right w:val="nil"/>
            </w:tcBorders>
            <w:shd w:val="clear" w:color="auto" w:fill="auto"/>
            <w:noWrap/>
            <w:vAlign w:val="center"/>
            <w:hideMark/>
          </w:tcPr>
          <w:p w14:paraId="47AF33BC" w14:textId="7BB4F7C4" w:rsidR="00736595" w:rsidRPr="00D92E20" w:rsidRDefault="00736595" w:rsidP="00736595">
            <w:pPr>
              <w:spacing w:after="0" w:line="240" w:lineRule="auto"/>
              <w:jc w:val="right"/>
              <w:rPr>
                <w:rFonts w:cs="Arial"/>
                <w:color w:val="000000"/>
                <w:sz w:val="16"/>
                <w:szCs w:val="16"/>
              </w:rPr>
            </w:pPr>
            <w:r>
              <w:rPr>
                <w:rFonts w:cs="Arial"/>
                <w:color w:val="000000"/>
                <w:sz w:val="16"/>
                <w:szCs w:val="16"/>
              </w:rPr>
              <w:t>28,3</w:t>
            </w:r>
          </w:p>
        </w:tc>
        <w:tc>
          <w:tcPr>
            <w:tcW w:w="907" w:type="dxa"/>
            <w:tcBorders>
              <w:top w:val="nil"/>
              <w:left w:val="nil"/>
              <w:bottom w:val="nil"/>
              <w:right w:val="nil"/>
            </w:tcBorders>
            <w:shd w:val="clear" w:color="auto" w:fill="auto"/>
            <w:noWrap/>
            <w:vAlign w:val="center"/>
            <w:hideMark/>
          </w:tcPr>
          <w:p w14:paraId="27609FCB" w14:textId="49452B5B" w:rsidR="00736595" w:rsidRPr="00D92E20" w:rsidRDefault="00736595" w:rsidP="00736595">
            <w:pPr>
              <w:spacing w:after="0" w:line="240" w:lineRule="auto"/>
              <w:jc w:val="right"/>
              <w:rPr>
                <w:rFonts w:cs="Arial"/>
                <w:color w:val="000000"/>
                <w:sz w:val="16"/>
                <w:szCs w:val="16"/>
              </w:rPr>
            </w:pPr>
            <w:r>
              <w:rPr>
                <w:rFonts w:cs="Arial"/>
                <w:color w:val="000000"/>
                <w:sz w:val="16"/>
                <w:szCs w:val="16"/>
              </w:rPr>
              <w:t>15,7</w:t>
            </w:r>
          </w:p>
        </w:tc>
        <w:tc>
          <w:tcPr>
            <w:tcW w:w="907" w:type="dxa"/>
            <w:tcBorders>
              <w:top w:val="nil"/>
              <w:left w:val="nil"/>
              <w:bottom w:val="nil"/>
              <w:right w:val="single" w:sz="4" w:space="0" w:color="auto"/>
            </w:tcBorders>
            <w:shd w:val="clear" w:color="auto" w:fill="auto"/>
            <w:noWrap/>
            <w:vAlign w:val="center"/>
            <w:hideMark/>
          </w:tcPr>
          <w:p w14:paraId="40DF092F" w14:textId="10DF25BC" w:rsidR="00736595" w:rsidRPr="00D92E20" w:rsidRDefault="00736595" w:rsidP="00736595">
            <w:pPr>
              <w:spacing w:after="0" w:line="240" w:lineRule="auto"/>
              <w:jc w:val="right"/>
              <w:rPr>
                <w:rFonts w:cs="Arial"/>
                <w:color w:val="000000"/>
                <w:sz w:val="16"/>
                <w:szCs w:val="16"/>
              </w:rPr>
            </w:pPr>
            <w:r>
              <w:rPr>
                <w:rFonts w:cs="Arial"/>
                <w:color w:val="000000"/>
                <w:sz w:val="16"/>
                <w:szCs w:val="16"/>
              </w:rPr>
              <w:t>12,6</w:t>
            </w:r>
          </w:p>
        </w:tc>
        <w:tc>
          <w:tcPr>
            <w:tcW w:w="907" w:type="dxa"/>
            <w:tcBorders>
              <w:top w:val="nil"/>
              <w:left w:val="nil"/>
              <w:bottom w:val="nil"/>
              <w:right w:val="nil"/>
            </w:tcBorders>
            <w:shd w:val="clear" w:color="auto" w:fill="auto"/>
            <w:noWrap/>
            <w:vAlign w:val="center"/>
            <w:hideMark/>
          </w:tcPr>
          <w:p w14:paraId="47703321" w14:textId="264023F6" w:rsidR="00736595" w:rsidRPr="00D92E20" w:rsidRDefault="00736595" w:rsidP="00736595">
            <w:pPr>
              <w:spacing w:after="0" w:line="240" w:lineRule="auto"/>
              <w:jc w:val="right"/>
              <w:rPr>
                <w:rFonts w:cs="Arial"/>
                <w:color w:val="000000"/>
                <w:sz w:val="16"/>
                <w:szCs w:val="16"/>
              </w:rPr>
            </w:pPr>
            <w:r>
              <w:rPr>
                <w:rFonts w:cs="Arial"/>
                <w:color w:val="000000"/>
                <w:sz w:val="16"/>
                <w:szCs w:val="16"/>
              </w:rPr>
              <w:t>73,0</w:t>
            </w:r>
          </w:p>
        </w:tc>
        <w:tc>
          <w:tcPr>
            <w:tcW w:w="907" w:type="dxa"/>
            <w:tcBorders>
              <w:top w:val="nil"/>
              <w:left w:val="nil"/>
              <w:bottom w:val="nil"/>
              <w:right w:val="nil"/>
            </w:tcBorders>
            <w:shd w:val="clear" w:color="auto" w:fill="auto"/>
            <w:noWrap/>
            <w:vAlign w:val="center"/>
            <w:hideMark/>
          </w:tcPr>
          <w:p w14:paraId="366657C6" w14:textId="590B60C2" w:rsidR="00736595" w:rsidRPr="00D92E20" w:rsidRDefault="00736595" w:rsidP="00736595">
            <w:pPr>
              <w:spacing w:after="0" w:line="240" w:lineRule="auto"/>
              <w:jc w:val="right"/>
              <w:rPr>
                <w:rFonts w:cs="Arial"/>
                <w:color w:val="000000"/>
                <w:sz w:val="16"/>
                <w:szCs w:val="16"/>
              </w:rPr>
            </w:pPr>
            <w:r>
              <w:rPr>
                <w:rFonts w:cs="Arial"/>
                <w:color w:val="000000"/>
                <w:sz w:val="16"/>
                <w:szCs w:val="16"/>
              </w:rPr>
              <w:t>83,7</w:t>
            </w:r>
          </w:p>
        </w:tc>
        <w:tc>
          <w:tcPr>
            <w:tcW w:w="907" w:type="dxa"/>
            <w:tcBorders>
              <w:top w:val="nil"/>
              <w:left w:val="nil"/>
              <w:bottom w:val="nil"/>
              <w:right w:val="nil"/>
            </w:tcBorders>
            <w:shd w:val="clear" w:color="auto" w:fill="auto"/>
            <w:noWrap/>
            <w:vAlign w:val="center"/>
            <w:hideMark/>
          </w:tcPr>
          <w:p w14:paraId="0F421828" w14:textId="22974C2F" w:rsidR="00736595" w:rsidRPr="00D92E20" w:rsidRDefault="00736595" w:rsidP="00736595">
            <w:pPr>
              <w:spacing w:after="0" w:line="240" w:lineRule="auto"/>
              <w:jc w:val="right"/>
              <w:rPr>
                <w:rFonts w:cs="Arial"/>
                <w:color w:val="000000"/>
                <w:sz w:val="16"/>
                <w:szCs w:val="16"/>
              </w:rPr>
            </w:pPr>
            <w:r>
              <w:rPr>
                <w:rFonts w:cs="Arial"/>
                <w:color w:val="000000"/>
                <w:sz w:val="16"/>
                <w:szCs w:val="16"/>
              </w:rPr>
              <w:t>59,7</w:t>
            </w:r>
          </w:p>
        </w:tc>
      </w:tr>
      <w:tr w:rsidR="00736595" w:rsidRPr="00D92E20" w14:paraId="1880F282" w14:textId="77777777" w:rsidTr="00E371CF">
        <w:trPr>
          <w:trHeight w:val="300"/>
        </w:trPr>
        <w:tc>
          <w:tcPr>
            <w:tcW w:w="4195" w:type="dxa"/>
            <w:tcBorders>
              <w:top w:val="nil"/>
              <w:left w:val="nil"/>
              <w:bottom w:val="nil"/>
              <w:right w:val="nil"/>
            </w:tcBorders>
            <w:shd w:val="clear" w:color="auto" w:fill="auto"/>
            <w:noWrap/>
            <w:vAlign w:val="center"/>
            <w:hideMark/>
          </w:tcPr>
          <w:p w14:paraId="654B271F" w14:textId="7FD9A244" w:rsidR="00736595" w:rsidRPr="00D92E20" w:rsidRDefault="00736595" w:rsidP="00736595">
            <w:pPr>
              <w:spacing w:after="0" w:line="240" w:lineRule="auto"/>
              <w:ind w:firstLineChars="200" w:firstLine="320"/>
              <w:rPr>
                <w:rFonts w:cs="Arial"/>
                <w:color w:val="000000"/>
                <w:sz w:val="16"/>
                <w:szCs w:val="16"/>
              </w:rPr>
            </w:pPr>
            <w:r>
              <w:rPr>
                <w:rFonts w:cs="Arial"/>
                <w:sz w:val="16"/>
                <w:szCs w:val="16"/>
              </w:rPr>
              <w:t xml:space="preserve">      – hypertenze</w:t>
            </w:r>
          </w:p>
        </w:tc>
        <w:tc>
          <w:tcPr>
            <w:tcW w:w="907" w:type="dxa"/>
            <w:tcBorders>
              <w:top w:val="nil"/>
              <w:left w:val="single" w:sz="4" w:space="0" w:color="auto"/>
              <w:bottom w:val="nil"/>
              <w:right w:val="nil"/>
            </w:tcBorders>
            <w:shd w:val="clear" w:color="auto" w:fill="auto"/>
            <w:noWrap/>
            <w:vAlign w:val="center"/>
            <w:hideMark/>
          </w:tcPr>
          <w:p w14:paraId="0F28C048" w14:textId="749E68E2" w:rsidR="00736595" w:rsidRPr="00D92E20" w:rsidRDefault="00736595" w:rsidP="00736595">
            <w:pPr>
              <w:spacing w:after="0" w:line="240" w:lineRule="auto"/>
              <w:jc w:val="right"/>
              <w:rPr>
                <w:rFonts w:cs="Arial"/>
                <w:color w:val="000000"/>
                <w:sz w:val="16"/>
                <w:szCs w:val="16"/>
              </w:rPr>
            </w:pPr>
            <w:r>
              <w:rPr>
                <w:rFonts w:cs="Arial"/>
                <w:color w:val="000000"/>
                <w:sz w:val="16"/>
                <w:szCs w:val="16"/>
              </w:rPr>
              <w:t>8,4</w:t>
            </w:r>
          </w:p>
        </w:tc>
        <w:tc>
          <w:tcPr>
            <w:tcW w:w="907" w:type="dxa"/>
            <w:tcBorders>
              <w:top w:val="nil"/>
              <w:left w:val="nil"/>
              <w:bottom w:val="nil"/>
              <w:right w:val="nil"/>
            </w:tcBorders>
            <w:shd w:val="clear" w:color="auto" w:fill="auto"/>
            <w:noWrap/>
            <w:vAlign w:val="center"/>
            <w:hideMark/>
          </w:tcPr>
          <w:p w14:paraId="296552D7" w14:textId="0C0F8684" w:rsidR="00736595" w:rsidRPr="00D92E20" w:rsidRDefault="00736595" w:rsidP="00736595">
            <w:pPr>
              <w:spacing w:after="0" w:line="240" w:lineRule="auto"/>
              <w:jc w:val="right"/>
              <w:rPr>
                <w:rFonts w:cs="Arial"/>
                <w:color w:val="000000"/>
                <w:sz w:val="16"/>
                <w:szCs w:val="16"/>
              </w:rPr>
            </w:pPr>
            <w:r>
              <w:rPr>
                <w:rFonts w:cs="Arial"/>
                <w:color w:val="000000"/>
                <w:sz w:val="16"/>
                <w:szCs w:val="16"/>
              </w:rPr>
              <w:t>4,4</w:t>
            </w:r>
          </w:p>
        </w:tc>
        <w:tc>
          <w:tcPr>
            <w:tcW w:w="907" w:type="dxa"/>
            <w:tcBorders>
              <w:top w:val="nil"/>
              <w:left w:val="nil"/>
              <w:bottom w:val="nil"/>
              <w:right w:val="single" w:sz="4" w:space="0" w:color="auto"/>
            </w:tcBorders>
            <w:shd w:val="clear" w:color="auto" w:fill="auto"/>
            <w:noWrap/>
            <w:vAlign w:val="center"/>
            <w:hideMark/>
          </w:tcPr>
          <w:p w14:paraId="2F27BCED" w14:textId="3191E3E4" w:rsidR="00736595" w:rsidRPr="00D92E20" w:rsidRDefault="00736595" w:rsidP="00736595">
            <w:pPr>
              <w:spacing w:after="0" w:line="240" w:lineRule="auto"/>
              <w:jc w:val="right"/>
              <w:rPr>
                <w:rFonts w:cs="Arial"/>
                <w:color w:val="000000"/>
                <w:sz w:val="16"/>
                <w:szCs w:val="16"/>
              </w:rPr>
            </w:pPr>
            <w:r>
              <w:rPr>
                <w:rFonts w:cs="Arial"/>
                <w:color w:val="000000"/>
                <w:sz w:val="16"/>
                <w:szCs w:val="16"/>
              </w:rPr>
              <w:t>4,0</w:t>
            </w:r>
          </w:p>
        </w:tc>
        <w:tc>
          <w:tcPr>
            <w:tcW w:w="907" w:type="dxa"/>
            <w:tcBorders>
              <w:top w:val="nil"/>
              <w:left w:val="nil"/>
              <w:bottom w:val="nil"/>
              <w:right w:val="nil"/>
            </w:tcBorders>
            <w:shd w:val="clear" w:color="auto" w:fill="auto"/>
            <w:noWrap/>
            <w:vAlign w:val="center"/>
            <w:hideMark/>
          </w:tcPr>
          <w:p w14:paraId="22879A21" w14:textId="7179B1DC" w:rsidR="00736595" w:rsidRPr="00D92E20" w:rsidRDefault="00736595" w:rsidP="00736595">
            <w:pPr>
              <w:spacing w:after="0" w:line="240" w:lineRule="auto"/>
              <w:jc w:val="right"/>
              <w:rPr>
                <w:rFonts w:cs="Arial"/>
                <w:color w:val="000000"/>
                <w:sz w:val="16"/>
                <w:szCs w:val="16"/>
              </w:rPr>
            </w:pPr>
            <w:r>
              <w:rPr>
                <w:rFonts w:cs="Arial"/>
                <w:color w:val="000000"/>
                <w:sz w:val="16"/>
                <w:szCs w:val="16"/>
              </w:rPr>
              <w:t>48,1</w:t>
            </w:r>
          </w:p>
        </w:tc>
        <w:tc>
          <w:tcPr>
            <w:tcW w:w="907" w:type="dxa"/>
            <w:tcBorders>
              <w:top w:val="nil"/>
              <w:left w:val="nil"/>
              <w:bottom w:val="nil"/>
              <w:right w:val="nil"/>
            </w:tcBorders>
            <w:shd w:val="clear" w:color="auto" w:fill="auto"/>
            <w:noWrap/>
            <w:vAlign w:val="center"/>
            <w:hideMark/>
          </w:tcPr>
          <w:p w14:paraId="4730A926" w14:textId="4DC4E340" w:rsidR="00736595" w:rsidRPr="00D92E20" w:rsidRDefault="00736595" w:rsidP="00736595">
            <w:pPr>
              <w:spacing w:after="0" w:line="240" w:lineRule="auto"/>
              <w:jc w:val="right"/>
              <w:rPr>
                <w:rFonts w:cs="Arial"/>
                <w:color w:val="000000"/>
                <w:sz w:val="16"/>
                <w:szCs w:val="16"/>
              </w:rPr>
            </w:pPr>
            <w:r>
              <w:rPr>
                <w:rFonts w:cs="Arial"/>
                <w:color w:val="000000"/>
                <w:sz w:val="16"/>
                <w:szCs w:val="16"/>
              </w:rPr>
              <w:t>51,5</w:t>
            </w:r>
          </w:p>
        </w:tc>
        <w:tc>
          <w:tcPr>
            <w:tcW w:w="907" w:type="dxa"/>
            <w:tcBorders>
              <w:top w:val="nil"/>
              <w:left w:val="nil"/>
              <w:bottom w:val="nil"/>
              <w:right w:val="nil"/>
            </w:tcBorders>
            <w:shd w:val="clear" w:color="auto" w:fill="auto"/>
            <w:noWrap/>
            <w:vAlign w:val="center"/>
            <w:hideMark/>
          </w:tcPr>
          <w:p w14:paraId="30D5E362" w14:textId="0EC5F08F" w:rsidR="00736595" w:rsidRPr="00D92E20" w:rsidRDefault="00736595" w:rsidP="00736595">
            <w:pPr>
              <w:spacing w:after="0" w:line="240" w:lineRule="auto"/>
              <w:jc w:val="right"/>
              <w:rPr>
                <w:rFonts w:cs="Arial"/>
                <w:color w:val="000000"/>
                <w:sz w:val="16"/>
                <w:szCs w:val="16"/>
              </w:rPr>
            </w:pPr>
            <w:r>
              <w:rPr>
                <w:rFonts w:cs="Arial"/>
                <w:color w:val="000000"/>
                <w:sz w:val="16"/>
                <w:szCs w:val="16"/>
              </w:rPr>
              <w:t>44,4</w:t>
            </w:r>
          </w:p>
        </w:tc>
      </w:tr>
      <w:tr w:rsidR="00736595" w:rsidRPr="00D92E20" w14:paraId="52556D18" w14:textId="77777777" w:rsidTr="00E371CF">
        <w:trPr>
          <w:trHeight w:val="300"/>
        </w:trPr>
        <w:tc>
          <w:tcPr>
            <w:tcW w:w="4195" w:type="dxa"/>
            <w:tcBorders>
              <w:top w:val="nil"/>
              <w:left w:val="nil"/>
              <w:bottom w:val="nil"/>
              <w:right w:val="nil"/>
            </w:tcBorders>
            <w:shd w:val="clear" w:color="auto" w:fill="auto"/>
            <w:noWrap/>
            <w:vAlign w:val="center"/>
            <w:hideMark/>
          </w:tcPr>
          <w:p w14:paraId="25E418C7" w14:textId="043ACFDD" w:rsidR="00736595" w:rsidRPr="00D92E20" w:rsidRDefault="00736595" w:rsidP="00736595">
            <w:pPr>
              <w:spacing w:after="0" w:line="240" w:lineRule="auto"/>
              <w:ind w:firstLineChars="200" w:firstLine="320"/>
              <w:rPr>
                <w:rFonts w:cs="Arial"/>
                <w:color w:val="000000"/>
                <w:sz w:val="16"/>
                <w:szCs w:val="16"/>
              </w:rPr>
            </w:pPr>
            <w:r>
              <w:rPr>
                <w:rFonts w:cs="Arial"/>
                <w:sz w:val="16"/>
                <w:szCs w:val="16"/>
              </w:rPr>
              <w:t xml:space="preserve">      – ischemická choroba srdeční</w:t>
            </w:r>
          </w:p>
        </w:tc>
        <w:tc>
          <w:tcPr>
            <w:tcW w:w="907" w:type="dxa"/>
            <w:tcBorders>
              <w:top w:val="nil"/>
              <w:left w:val="single" w:sz="4" w:space="0" w:color="auto"/>
              <w:bottom w:val="nil"/>
              <w:right w:val="nil"/>
            </w:tcBorders>
            <w:shd w:val="clear" w:color="auto" w:fill="auto"/>
            <w:noWrap/>
            <w:vAlign w:val="center"/>
            <w:hideMark/>
          </w:tcPr>
          <w:p w14:paraId="3A9762EF" w14:textId="518FC4F4" w:rsidR="00736595" w:rsidRPr="00D92E20" w:rsidRDefault="00736595" w:rsidP="00736595">
            <w:pPr>
              <w:spacing w:after="0" w:line="240" w:lineRule="auto"/>
              <w:jc w:val="right"/>
              <w:rPr>
                <w:rFonts w:cs="Arial"/>
                <w:color w:val="000000"/>
                <w:sz w:val="16"/>
                <w:szCs w:val="16"/>
              </w:rPr>
            </w:pPr>
            <w:r>
              <w:rPr>
                <w:rFonts w:cs="Arial"/>
                <w:color w:val="000000"/>
                <w:sz w:val="16"/>
                <w:szCs w:val="16"/>
              </w:rPr>
              <w:t>3,3</w:t>
            </w:r>
          </w:p>
        </w:tc>
        <w:tc>
          <w:tcPr>
            <w:tcW w:w="907" w:type="dxa"/>
            <w:tcBorders>
              <w:top w:val="nil"/>
              <w:left w:val="nil"/>
              <w:bottom w:val="nil"/>
              <w:right w:val="nil"/>
            </w:tcBorders>
            <w:shd w:val="clear" w:color="auto" w:fill="auto"/>
            <w:noWrap/>
            <w:vAlign w:val="center"/>
            <w:hideMark/>
          </w:tcPr>
          <w:p w14:paraId="5CBB4017" w14:textId="3A809093" w:rsidR="00736595" w:rsidRPr="00D92E20" w:rsidRDefault="00736595" w:rsidP="00736595">
            <w:pPr>
              <w:spacing w:after="0" w:line="240" w:lineRule="auto"/>
              <w:jc w:val="right"/>
              <w:rPr>
                <w:rFonts w:cs="Arial"/>
                <w:color w:val="000000"/>
                <w:sz w:val="16"/>
                <w:szCs w:val="16"/>
              </w:rPr>
            </w:pPr>
            <w:r>
              <w:rPr>
                <w:rFonts w:cs="Arial"/>
                <w:color w:val="000000"/>
                <w:sz w:val="16"/>
                <w:szCs w:val="16"/>
              </w:rPr>
              <w:t>2,6</w:t>
            </w:r>
          </w:p>
        </w:tc>
        <w:tc>
          <w:tcPr>
            <w:tcW w:w="907" w:type="dxa"/>
            <w:tcBorders>
              <w:top w:val="nil"/>
              <w:left w:val="nil"/>
              <w:bottom w:val="nil"/>
              <w:right w:val="single" w:sz="4" w:space="0" w:color="auto"/>
            </w:tcBorders>
            <w:shd w:val="clear" w:color="auto" w:fill="auto"/>
            <w:noWrap/>
            <w:vAlign w:val="center"/>
            <w:hideMark/>
          </w:tcPr>
          <w:p w14:paraId="1696A752" w14:textId="6A63ABFB" w:rsidR="00736595" w:rsidRPr="00D92E20" w:rsidRDefault="00736595" w:rsidP="00736595">
            <w:pPr>
              <w:spacing w:after="0" w:line="240" w:lineRule="auto"/>
              <w:jc w:val="right"/>
              <w:rPr>
                <w:rFonts w:cs="Arial"/>
                <w:color w:val="000000"/>
                <w:sz w:val="16"/>
                <w:szCs w:val="16"/>
              </w:rPr>
            </w:pPr>
            <w:r>
              <w:rPr>
                <w:rFonts w:cs="Arial"/>
                <w:color w:val="000000"/>
                <w:sz w:val="16"/>
                <w:szCs w:val="16"/>
              </w:rPr>
              <w:t>0,7</w:t>
            </w:r>
          </w:p>
        </w:tc>
        <w:tc>
          <w:tcPr>
            <w:tcW w:w="907" w:type="dxa"/>
            <w:tcBorders>
              <w:top w:val="nil"/>
              <w:left w:val="nil"/>
              <w:bottom w:val="nil"/>
              <w:right w:val="nil"/>
            </w:tcBorders>
            <w:shd w:val="clear" w:color="auto" w:fill="auto"/>
            <w:noWrap/>
            <w:vAlign w:val="center"/>
            <w:hideMark/>
          </w:tcPr>
          <w:p w14:paraId="2C9DBD05" w14:textId="31A63B24" w:rsidR="00736595" w:rsidRPr="00D92E20" w:rsidRDefault="00736595" w:rsidP="00736595">
            <w:pPr>
              <w:spacing w:after="0" w:line="240" w:lineRule="auto"/>
              <w:jc w:val="right"/>
              <w:rPr>
                <w:rFonts w:cs="Arial"/>
                <w:color w:val="000000"/>
                <w:sz w:val="16"/>
                <w:szCs w:val="16"/>
              </w:rPr>
            </w:pPr>
            <w:r>
              <w:rPr>
                <w:rFonts w:cs="Arial"/>
                <w:color w:val="000000"/>
                <w:sz w:val="16"/>
                <w:szCs w:val="16"/>
              </w:rPr>
              <w:t>112,1</w:t>
            </w:r>
          </w:p>
        </w:tc>
        <w:tc>
          <w:tcPr>
            <w:tcW w:w="907" w:type="dxa"/>
            <w:tcBorders>
              <w:top w:val="nil"/>
              <w:left w:val="nil"/>
              <w:bottom w:val="nil"/>
              <w:right w:val="nil"/>
            </w:tcBorders>
            <w:shd w:val="clear" w:color="auto" w:fill="auto"/>
            <w:noWrap/>
            <w:vAlign w:val="center"/>
            <w:hideMark/>
          </w:tcPr>
          <w:p w14:paraId="3A69468D" w14:textId="5B9A15C6" w:rsidR="00736595" w:rsidRPr="00D92E20" w:rsidRDefault="00736595" w:rsidP="00736595">
            <w:pPr>
              <w:spacing w:after="0" w:line="240" w:lineRule="auto"/>
              <w:jc w:val="right"/>
              <w:rPr>
                <w:rFonts w:cs="Arial"/>
                <w:color w:val="000000"/>
                <w:sz w:val="16"/>
                <w:szCs w:val="16"/>
              </w:rPr>
            </w:pPr>
            <w:r>
              <w:rPr>
                <w:rFonts w:cs="Arial"/>
                <w:color w:val="000000"/>
                <w:sz w:val="16"/>
                <w:szCs w:val="16"/>
              </w:rPr>
              <w:t>117,1</w:t>
            </w:r>
          </w:p>
        </w:tc>
        <w:tc>
          <w:tcPr>
            <w:tcW w:w="907" w:type="dxa"/>
            <w:tcBorders>
              <w:top w:val="nil"/>
              <w:left w:val="nil"/>
              <w:bottom w:val="nil"/>
              <w:right w:val="nil"/>
            </w:tcBorders>
            <w:shd w:val="clear" w:color="auto" w:fill="auto"/>
            <w:noWrap/>
            <w:vAlign w:val="center"/>
            <w:hideMark/>
          </w:tcPr>
          <w:p w14:paraId="73C471FA" w14:textId="2196E816" w:rsidR="00736595" w:rsidRPr="00D92E20" w:rsidRDefault="00736595" w:rsidP="00736595">
            <w:pPr>
              <w:spacing w:after="0" w:line="240" w:lineRule="auto"/>
              <w:jc w:val="right"/>
              <w:rPr>
                <w:rFonts w:cs="Arial"/>
                <w:color w:val="000000"/>
                <w:sz w:val="16"/>
                <w:szCs w:val="16"/>
              </w:rPr>
            </w:pPr>
            <w:r>
              <w:rPr>
                <w:rFonts w:cs="Arial"/>
                <w:color w:val="000000"/>
                <w:sz w:val="16"/>
                <w:szCs w:val="16"/>
              </w:rPr>
              <w:t>93,9</w:t>
            </w:r>
          </w:p>
        </w:tc>
      </w:tr>
      <w:tr w:rsidR="00736595" w:rsidRPr="00D92E20" w14:paraId="0C808624" w14:textId="77777777" w:rsidTr="00E371CF">
        <w:trPr>
          <w:trHeight w:val="300"/>
        </w:trPr>
        <w:tc>
          <w:tcPr>
            <w:tcW w:w="4195" w:type="dxa"/>
            <w:tcBorders>
              <w:top w:val="nil"/>
              <w:left w:val="nil"/>
              <w:bottom w:val="nil"/>
              <w:right w:val="nil"/>
            </w:tcBorders>
            <w:shd w:val="clear" w:color="auto" w:fill="auto"/>
            <w:noWrap/>
            <w:vAlign w:val="center"/>
            <w:hideMark/>
          </w:tcPr>
          <w:p w14:paraId="32471380" w14:textId="06279503" w:rsidR="00736595" w:rsidRPr="00D92E20" w:rsidRDefault="00736595" w:rsidP="00736595">
            <w:pPr>
              <w:spacing w:after="0" w:line="240" w:lineRule="auto"/>
              <w:ind w:firstLineChars="200" w:firstLine="320"/>
              <w:rPr>
                <w:rFonts w:cs="Arial"/>
                <w:color w:val="000000"/>
                <w:sz w:val="16"/>
                <w:szCs w:val="16"/>
              </w:rPr>
            </w:pPr>
            <w:r>
              <w:rPr>
                <w:rFonts w:cs="Arial"/>
                <w:sz w:val="16"/>
                <w:szCs w:val="16"/>
              </w:rPr>
              <w:t xml:space="preserve">      – cévní nemoci mozku</w:t>
            </w:r>
          </w:p>
        </w:tc>
        <w:tc>
          <w:tcPr>
            <w:tcW w:w="907" w:type="dxa"/>
            <w:tcBorders>
              <w:top w:val="nil"/>
              <w:left w:val="single" w:sz="4" w:space="0" w:color="auto"/>
              <w:bottom w:val="nil"/>
              <w:right w:val="nil"/>
            </w:tcBorders>
            <w:shd w:val="clear" w:color="auto" w:fill="auto"/>
            <w:noWrap/>
            <w:vAlign w:val="center"/>
            <w:hideMark/>
          </w:tcPr>
          <w:p w14:paraId="6BC3F0E9" w14:textId="329200FD" w:rsidR="00736595" w:rsidRPr="00D92E20" w:rsidRDefault="00736595" w:rsidP="00736595">
            <w:pPr>
              <w:spacing w:after="0" w:line="240" w:lineRule="auto"/>
              <w:jc w:val="right"/>
              <w:rPr>
                <w:rFonts w:cs="Arial"/>
                <w:color w:val="000000"/>
                <w:sz w:val="16"/>
                <w:szCs w:val="16"/>
              </w:rPr>
            </w:pPr>
            <w:r>
              <w:rPr>
                <w:rFonts w:cs="Arial"/>
                <w:color w:val="000000"/>
                <w:sz w:val="16"/>
                <w:szCs w:val="16"/>
              </w:rPr>
              <w:t>1,7</w:t>
            </w:r>
          </w:p>
        </w:tc>
        <w:tc>
          <w:tcPr>
            <w:tcW w:w="907" w:type="dxa"/>
            <w:tcBorders>
              <w:top w:val="nil"/>
              <w:left w:val="nil"/>
              <w:bottom w:val="nil"/>
              <w:right w:val="nil"/>
            </w:tcBorders>
            <w:shd w:val="clear" w:color="auto" w:fill="auto"/>
            <w:noWrap/>
            <w:vAlign w:val="center"/>
            <w:hideMark/>
          </w:tcPr>
          <w:p w14:paraId="56FE0B8F" w14:textId="022EC572" w:rsidR="00736595" w:rsidRPr="00D92E20" w:rsidRDefault="00736595" w:rsidP="00736595">
            <w:pPr>
              <w:spacing w:after="0" w:line="240" w:lineRule="auto"/>
              <w:jc w:val="right"/>
              <w:rPr>
                <w:rFonts w:cs="Arial"/>
                <w:color w:val="000000"/>
                <w:sz w:val="16"/>
                <w:szCs w:val="16"/>
              </w:rPr>
            </w:pPr>
            <w:r>
              <w:rPr>
                <w:rFonts w:cs="Arial"/>
                <w:color w:val="000000"/>
                <w:sz w:val="16"/>
                <w:szCs w:val="16"/>
              </w:rPr>
              <w:t>1,1</w:t>
            </w:r>
          </w:p>
        </w:tc>
        <w:tc>
          <w:tcPr>
            <w:tcW w:w="907" w:type="dxa"/>
            <w:tcBorders>
              <w:top w:val="nil"/>
              <w:left w:val="nil"/>
              <w:bottom w:val="nil"/>
              <w:right w:val="single" w:sz="4" w:space="0" w:color="auto"/>
            </w:tcBorders>
            <w:shd w:val="clear" w:color="auto" w:fill="auto"/>
            <w:noWrap/>
            <w:vAlign w:val="center"/>
            <w:hideMark/>
          </w:tcPr>
          <w:p w14:paraId="6B0E62F5" w14:textId="1A7B4A43" w:rsidR="00736595" w:rsidRPr="00D92E20" w:rsidRDefault="00736595" w:rsidP="00736595">
            <w:pPr>
              <w:spacing w:after="0" w:line="240" w:lineRule="auto"/>
              <w:jc w:val="right"/>
              <w:rPr>
                <w:rFonts w:cs="Arial"/>
                <w:color w:val="000000"/>
                <w:sz w:val="16"/>
                <w:szCs w:val="16"/>
              </w:rPr>
            </w:pPr>
            <w:r>
              <w:rPr>
                <w:rFonts w:cs="Arial"/>
                <w:color w:val="000000"/>
                <w:sz w:val="16"/>
                <w:szCs w:val="16"/>
              </w:rPr>
              <w:t>0,6</w:t>
            </w:r>
          </w:p>
        </w:tc>
        <w:tc>
          <w:tcPr>
            <w:tcW w:w="907" w:type="dxa"/>
            <w:tcBorders>
              <w:top w:val="nil"/>
              <w:left w:val="nil"/>
              <w:bottom w:val="nil"/>
              <w:right w:val="nil"/>
            </w:tcBorders>
            <w:shd w:val="clear" w:color="auto" w:fill="auto"/>
            <w:noWrap/>
            <w:vAlign w:val="center"/>
            <w:hideMark/>
          </w:tcPr>
          <w:p w14:paraId="21F7546E" w14:textId="5C3620B4" w:rsidR="00736595" w:rsidRPr="00D92E20" w:rsidRDefault="00736595" w:rsidP="00736595">
            <w:pPr>
              <w:spacing w:after="0" w:line="240" w:lineRule="auto"/>
              <w:jc w:val="right"/>
              <w:rPr>
                <w:rFonts w:cs="Arial"/>
                <w:color w:val="000000"/>
                <w:sz w:val="16"/>
                <w:szCs w:val="16"/>
              </w:rPr>
            </w:pPr>
            <w:r>
              <w:rPr>
                <w:rFonts w:cs="Arial"/>
                <w:color w:val="000000"/>
                <w:sz w:val="16"/>
                <w:szCs w:val="16"/>
              </w:rPr>
              <w:t>153,5</w:t>
            </w:r>
          </w:p>
        </w:tc>
        <w:tc>
          <w:tcPr>
            <w:tcW w:w="907" w:type="dxa"/>
            <w:tcBorders>
              <w:top w:val="nil"/>
              <w:left w:val="nil"/>
              <w:bottom w:val="nil"/>
              <w:right w:val="nil"/>
            </w:tcBorders>
            <w:shd w:val="clear" w:color="auto" w:fill="auto"/>
            <w:noWrap/>
            <w:vAlign w:val="center"/>
            <w:hideMark/>
          </w:tcPr>
          <w:p w14:paraId="286ECA84" w14:textId="20F26E18" w:rsidR="00736595" w:rsidRPr="00D92E20" w:rsidRDefault="00736595" w:rsidP="00736595">
            <w:pPr>
              <w:spacing w:after="0" w:line="240" w:lineRule="auto"/>
              <w:jc w:val="right"/>
              <w:rPr>
                <w:rFonts w:cs="Arial"/>
                <w:color w:val="000000"/>
                <w:sz w:val="16"/>
                <w:szCs w:val="16"/>
              </w:rPr>
            </w:pPr>
            <w:r>
              <w:rPr>
                <w:rFonts w:cs="Arial"/>
                <w:color w:val="000000"/>
                <w:sz w:val="16"/>
                <w:szCs w:val="16"/>
              </w:rPr>
              <w:t>158,6</w:t>
            </w:r>
          </w:p>
        </w:tc>
        <w:tc>
          <w:tcPr>
            <w:tcW w:w="907" w:type="dxa"/>
            <w:tcBorders>
              <w:top w:val="nil"/>
              <w:left w:val="nil"/>
              <w:bottom w:val="nil"/>
              <w:right w:val="nil"/>
            </w:tcBorders>
            <w:shd w:val="clear" w:color="auto" w:fill="auto"/>
            <w:noWrap/>
            <w:vAlign w:val="center"/>
            <w:hideMark/>
          </w:tcPr>
          <w:p w14:paraId="3D5BF987" w14:textId="4B11F914" w:rsidR="00736595" w:rsidRPr="00D92E20" w:rsidRDefault="00736595" w:rsidP="00736595">
            <w:pPr>
              <w:spacing w:after="0" w:line="240" w:lineRule="auto"/>
              <w:jc w:val="right"/>
              <w:rPr>
                <w:rFonts w:cs="Arial"/>
                <w:color w:val="000000"/>
                <w:sz w:val="16"/>
                <w:szCs w:val="16"/>
              </w:rPr>
            </w:pPr>
            <w:r>
              <w:rPr>
                <w:rFonts w:cs="Arial"/>
                <w:color w:val="000000"/>
                <w:sz w:val="16"/>
                <w:szCs w:val="16"/>
              </w:rPr>
              <w:t>144,3</w:t>
            </w:r>
          </w:p>
        </w:tc>
      </w:tr>
      <w:tr w:rsidR="00736595" w:rsidRPr="00D92E20" w14:paraId="4AA549AA" w14:textId="77777777" w:rsidTr="00E371CF">
        <w:trPr>
          <w:trHeight w:val="300"/>
        </w:trPr>
        <w:tc>
          <w:tcPr>
            <w:tcW w:w="4195" w:type="dxa"/>
            <w:tcBorders>
              <w:top w:val="nil"/>
              <w:left w:val="nil"/>
              <w:bottom w:val="nil"/>
              <w:right w:val="nil"/>
            </w:tcBorders>
            <w:shd w:val="clear" w:color="auto" w:fill="auto"/>
            <w:noWrap/>
            <w:vAlign w:val="center"/>
            <w:hideMark/>
          </w:tcPr>
          <w:p w14:paraId="39A6BB3E" w14:textId="09278A1A" w:rsidR="00736595" w:rsidRPr="00D92E20" w:rsidRDefault="00736595" w:rsidP="00736595">
            <w:pPr>
              <w:spacing w:after="0" w:line="240" w:lineRule="auto"/>
              <w:ind w:firstLineChars="200" w:firstLine="320"/>
              <w:rPr>
                <w:rFonts w:cs="Arial"/>
                <w:color w:val="000000"/>
                <w:sz w:val="16"/>
                <w:szCs w:val="16"/>
              </w:rPr>
            </w:pPr>
            <w:r>
              <w:rPr>
                <w:rFonts w:cs="Arial"/>
                <w:sz w:val="16"/>
                <w:szCs w:val="16"/>
              </w:rPr>
              <w:t xml:space="preserve">      – jiné nemoci oběhové soustavy</w:t>
            </w:r>
          </w:p>
        </w:tc>
        <w:tc>
          <w:tcPr>
            <w:tcW w:w="907" w:type="dxa"/>
            <w:tcBorders>
              <w:top w:val="nil"/>
              <w:left w:val="single" w:sz="4" w:space="0" w:color="auto"/>
              <w:bottom w:val="nil"/>
              <w:right w:val="nil"/>
            </w:tcBorders>
            <w:shd w:val="clear" w:color="auto" w:fill="auto"/>
            <w:noWrap/>
            <w:vAlign w:val="center"/>
            <w:hideMark/>
          </w:tcPr>
          <w:p w14:paraId="4C69FAC9" w14:textId="49CBB305" w:rsidR="00736595" w:rsidRPr="00D92E20" w:rsidRDefault="00736595" w:rsidP="00736595">
            <w:pPr>
              <w:spacing w:after="0" w:line="240" w:lineRule="auto"/>
              <w:jc w:val="right"/>
              <w:rPr>
                <w:rFonts w:cs="Arial"/>
                <w:color w:val="000000"/>
                <w:sz w:val="16"/>
                <w:szCs w:val="16"/>
              </w:rPr>
            </w:pPr>
            <w:r>
              <w:rPr>
                <w:rFonts w:cs="Arial"/>
                <w:color w:val="000000"/>
                <w:sz w:val="16"/>
                <w:szCs w:val="16"/>
              </w:rPr>
              <w:t>14,8</w:t>
            </w:r>
          </w:p>
        </w:tc>
        <w:tc>
          <w:tcPr>
            <w:tcW w:w="907" w:type="dxa"/>
            <w:tcBorders>
              <w:top w:val="nil"/>
              <w:left w:val="nil"/>
              <w:bottom w:val="nil"/>
              <w:right w:val="nil"/>
            </w:tcBorders>
            <w:shd w:val="clear" w:color="auto" w:fill="auto"/>
            <w:noWrap/>
            <w:vAlign w:val="center"/>
            <w:hideMark/>
          </w:tcPr>
          <w:p w14:paraId="18C6D2E1" w14:textId="55087D05" w:rsidR="00736595" w:rsidRPr="00D92E20" w:rsidRDefault="00736595" w:rsidP="00736595">
            <w:pPr>
              <w:spacing w:after="0" w:line="240" w:lineRule="auto"/>
              <w:jc w:val="right"/>
              <w:rPr>
                <w:rFonts w:cs="Arial"/>
                <w:color w:val="000000"/>
                <w:sz w:val="16"/>
                <w:szCs w:val="16"/>
              </w:rPr>
            </w:pPr>
            <w:r>
              <w:rPr>
                <w:rFonts w:cs="Arial"/>
                <w:color w:val="000000"/>
                <w:sz w:val="16"/>
                <w:szCs w:val="16"/>
              </w:rPr>
              <w:t>7,5</w:t>
            </w:r>
          </w:p>
        </w:tc>
        <w:tc>
          <w:tcPr>
            <w:tcW w:w="907" w:type="dxa"/>
            <w:tcBorders>
              <w:top w:val="nil"/>
              <w:left w:val="nil"/>
              <w:bottom w:val="nil"/>
              <w:right w:val="single" w:sz="4" w:space="0" w:color="auto"/>
            </w:tcBorders>
            <w:shd w:val="clear" w:color="auto" w:fill="auto"/>
            <w:noWrap/>
            <w:vAlign w:val="center"/>
            <w:hideMark/>
          </w:tcPr>
          <w:p w14:paraId="1E94BDC2" w14:textId="4226B184" w:rsidR="00736595" w:rsidRPr="00D92E20" w:rsidRDefault="00736595" w:rsidP="00736595">
            <w:pPr>
              <w:spacing w:after="0" w:line="240" w:lineRule="auto"/>
              <w:jc w:val="right"/>
              <w:rPr>
                <w:rFonts w:cs="Arial"/>
                <w:color w:val="000000"/>
                <w:sz w:val="16"/>
                <w:szCs w:val="16"/>
              </w:rPr>
            </w:pPr>
            <w:r>
              <w:rPr>
                <w:rFonts w:cs="Arial"/>
                <w:color w:val="000000"/>
                <w:sz w:val="16"/>
                <w:szCs w:val="16"/>
              </w:rPr>
              <w:t>7,3</w:t>
            </w:r>
          </w:p>
        </w:tc>
        <w:tc>
          <w:tcPr>
            <w:tcW w:w="907" w:type="dxa"/>
            <w:tcBorders>
              <w:top w:val="nil"/>
              <w:left w:val="nil"/>
              <w:bottom w:val="nil"/>
              <w:right w:val="nil"/>
            </w:tcBorders>
            <w:shd w:val="clear" w:color="auto" w:fill="auto"/>
            <w:noWrap/>
            <w:vAlign w:val="center"/>
            <w:hideMark/>
          </w:tcPr>
          <w:p w14:paraId="4B4081E9" w14:textId="60807651" w:rsidR="00736595" w:rsidRPr="00D92E20" w:rsidRDefault="00736595" w:rsidP="00736595">
            <w:pPr>
              <w:spacing w:after="0" w:line="240" w:lineRule="auto"/>
              <w:jc w:val="right"/>
              <w:rPr>
                <w:rFonts w:cs="Arial"/>
                <w:color w:val="000000"/>
                <w:sz w:val="16"/>
                <w:szCs w:val="16"/>
              </w:rPr>
            </w:pPr>
            <w:r>
              <w:rPr>
                <w:rFonts w:cs="Arial"/>
                <w:color w:val="000000"/>
                <w:sz w:val="16"/>
                <w:szCs w:val="16"/>
              </w:rPr>
              <w:t>69,1</w:t>
            </w:r>
          </w:p>
        </w:tc>
        <w:tc>
          <w:tcPr>
            <w:tcW w:w="907" w:type="dxa"/>
            <w:tcBorders>
              <w:top w:val="nil"/>
              <w:left w:val="nil"/>
              <w:bottom w:val="nil"/>
              <w:right w:val="nil"/>
            </w:tcBorders>
            <w:shd w:val="clear" w:color="auto" w:fill="auto"/>
            <w:noWrap/>
            <w:vAlign w:val="center"/>
            <w:hideMark/>
          </w:tcPr>
          <w:p w14:paraId="04C49799" w14:textId="5367FB30" w:rsidR="00736595" w:rsidRPr="00D92E20" w:rsidRDefault="00736595" w:rsidP="00736595">
            <w:pPr>
              <w:spacing w:after="0" w:line="240" w:lineRule="auto"/>
              <w:jc w:val="right"/>
              <w:rPr>
                <w:rFonts w:cs="Arial"/>
                <w:color w:val="000000"/>
                <w:sz w:val="16"/>
                <w:szCs w:val="16"/>
              </w:rPr>
            </w:pPr>
            <w:r>
              <w:rPr>
                <w:rFonts w:cs="Arial"/>
                <w:color w:val="000000"/>
                <w:sz w:val="16"/>
                <w:szCs w:val="16"/>
              </w:rPr>
              <w:t>80,0</w:t>
            </w:r>
          </w:p>
        </w:tc>
        <w:tc>
          <w:tcPr>
            <w:tcW w:w="907" w:type="dxa"/>
            <w:tcBorders>
              <w:top w:val="nil"/>
              <w:left w:val="nil"/>
              <w:bottom w:val="nil"/>
              <w:right w:val="nil"/>
            </w:tcBorders>
            <w:shd w:val="clear" w:color="auto" w:fill="auto"/>
            <w:noWrap/>
            <w:vAlign w:val="center"/>
            <w:hideMark/>
          </w:tcPr>
          <w:p w14:paraId="04F874CB" w14:textId="70D4E8E2" w:rsidR="00736595" w:rsidRPr="00D92E20" w:rsidRDefault="00736595" w:rsidP="00736595">
            <w:pPr>
              <w:spacing w:after="0" w:line="240" w:lineRule="auto"/>
              <w:jc w:val="right"/>
              <w:rPr>
                <w:rFonts w:cs="Arial"/>
                <w:color w:val="000000"/>
                <w:sz w:val="16"/>
                <w:szCs w:val="16"/>
              </w:rPr>
            </w:pPr>
            <w:r>
              <w:rPr>
                <w:rFonts w:cs="Arial"/>
                <w:color w:val="000000"/>
                <w:sz w:val="16"/>
                <w:szCs w:val="16"/>
              </w:rPr>
              <w:t>57,8</w:t>
            </w:r>
          </w:p>
        </w:tc>
      </w:tr>
      <w:tr w:rsidR="00736595" w:rsidRPr="00D92E20" w14:paraId="45B85609" w14:textId="77777777" w:rsidTr="00E371CF">
        <w:trPr>
          <w:trHeight w:val="300"/>
        </w:trPr>
        <w:tc>
          <w:tcPr>
            <w:tcW w:w="4195" w:type="dxa"/>
            <w:tcBorders>
              <w:top w:val="nil"/>
              <w:left w:val="nil"/>
              <w:bottom w:val="nil"/>
              <w:right w:val="nil"/>
            </w:tcBorders>
            <w:shd w:val="clear" w:color="auto" w:fill="auto"/>
            <w:noWrap/>
            <w:vAlign w:val="center"/>
            <w:hideMark/>
          </w:tcPr>
          <w:p w14:paraId="4207E842" w14:textId="5A7A5A92" w:rsidR="00736595" w:rsidRPr="00D92E20" w:rsidRDefault="00736595" w:rsidP="00736595">
            <w:pPr>
              <w:spacing w:after="0" w:line="240" w:lineRule="auto"/>
              <w:ind w:firstLineChars="100" w:firstLine="160"/>
              <w:rPr>
                <w:rFonts w:cs="Arial"/>
                <w:color w:val="000000"/>
                <w:sz w:val="16"/>
                <w:szCs w:val="16"/>
              </w:rPr>
            </w:pPr>
            <w:r>
              <w:rPr>
                <w:rFonts w:cs="Arial"/>
                <w:sz w:val="16"/>
                <w:szCs w:val="16"/>
              </w:rPr>
              <w:t xml:space="preserve">   Nemoci dýchací soustavy</w:t>
            </w:r>
          </w:p>
        </w:tc>
        <w:tc>
          <w:tcPr>
            <w:tcW w:w="907" w:type="dxa"/>
            <w:tcBorders>
              <w:top w:val="nil"/>
              <w:left w:val="single" w:sz="4" w:space="0" w:color="auto"/>
              <w:bottom w:val="nil"/>
              <w:right w:val="nil"/>
            </w:tcBorders>
            <w:shd w:val="clear" w:color="auto" w:fill="auto"/>
            <w:noWrap/>
            <w:vAlign w:val="center"/>
            <w:hideMark/>
          </w:tcPr>
          <w:p w14:paraId="4465FC3A" w14:textId="4F7F64E8" w:rsidR="00736595" w:rsidRPr="00D92E20" w:rsidRDefault="00736595" w:rsidP="00736595">
            <w:pPr>
              <w:spacing w:after="0" w:line="240" w:lineRule="auto"/>
              <w:jc w:val="right"/>
              <w:rPr>
                <w:rFonts w:cs="Arial"/>
                <w:color w:val="000000"/>
                <w:sz w:val="16"/>
                <w:szCs w:val="16"/>
              </w:rPr>
            </w:pPr>
            <w:r>
              <w:rPr>
                <w:rFonts w:cs="Arial"/>
                <w:color w:val="000000"/>
                <w:sz w:val="16"/>
                <w:szCs w:val="16"/>
              </w:rPr>
              <w:t>460,5</w:t>
            </w:r>
          </w:p>
        </w:tc>
        <w:tc>
          <w:tcPr>
            <w:tcW w:w="907" w:type="dxa"/>
            <w:tcBorders>
              <w:top w:val="nil"/>
              <w:left w:val="nil"/>
              <w:bottom w:val="nil"/>
              <w:right w:val="nil"/>
            </w:tcBorders>
            <w:shd w:val="clear" w:color="auto" w:fill="auto"/>
            <w:noWrap/>
            <w:vAlign w:val="center"/>
            <w:hideMark/>
          </w:tcPr>
          <w:p w14:paraId="178A0527" w14:textId="20B4008C" w:rsidR="00736595" w:rsidRPr="00D92E20" w:rsidRDefault="00736595" w:rsidP="00736595">
            <w:pPr>
              <w:spacing w:after="0" w:line="240" w:lineRule="auto"/>
              <w:jc w:val="right"/>
              <w:rPr>
                <w:rFonts w:cs="Arial"/>
                <w:color w:val="000000"/>
                <w:sz w:val="16"/>
                <w:szCs w:val="16"/>
              </w:rPr>
            </w:pPr>
            <w:r>
              <w:rPr>
                <w:rFonts w:cs="Arial"/>
                <w:color w:val="000000"/>
                <w:sz w:val="16"/>
                <w:szCs w:val="16"/>
              </w:rPr>
              <w:t>200,8</w:t>
            </w:r>
          </w:p>
        </w:tc>
        <w:tc>
          <w:tcPr>
            <w:tcW w:w="907" w:type="dxa"/>
            <w:tcBorders>
              <w:top w:val="nil"/>
              <w:left w:val="nil"/>
              <w:bottom w:val="nil"/>
              <w:right w:val="single" w:sz="4" w:space="0" w:color="auto"/>
            </w:tcBorders>
            <w:shd w:val="clear" w:color="auto" w:fill="auto"/>
            <w:noWrap/>
            <w:vAlign w:val="center"/>
            <w:hideMark/>
          </w:tcPr>
          <w:p w14:paraId="24F478F8" w14:textId="0B521ED1" w:rsidR="00736595" w:rsidRPr="00D92E20" w:rsidRDefault="00736595" w:rsidP="00736595">
            <w:pPr>
              <w:spacing w:after="0" w:line="240" w:lineRule="auto"/>
              <w:jc w:val="right"/>
              <w:rPr>
                <w:rFonts w:cs="Arial"/>
                <w:color w:val="000000"/>
                <w:sz w:val="16"/>
                <w:szCs w:val="16"/>
              </w:rPr>
            </w:pPr>
            <w:r>
              <w:rPr>
                <w:rFonts w:cs="Arial"/>
                <w:color w:val="000000"/>
                <w:sz w:val="16"/>
                <w:szCs w:val="16"/>
              </w:rPr>
              <w:t>259,6</w:t>
            </w:r>
          </w:p>
        </w:tc>
        <w:tc>
          <w:tcPr>
            <w:tcW w:w="907" w:type="dxa"/>
            <w:tcBorders>
              <w:top w:val="nil"/>
              <w:left w:val="nil"/>
              <w:bottom w:val="nil"/>
              <w:right w:val="nil"/>
            </w:tcBorders>
            <w:shd w:val="clear" w:color="auto" w:fill="auto"/>
            <w:noWrap/>
            <w:vAlign w:val="center"/>
            <w:hideMark/>
          </w:tcPr>
          <w:p w14:paraId="51D186BA" w14:textId="6A85A86C" w:rsidR="00736595" w:rsidRPr="00D92E20" w:rsidRDefault="00736595" w:rsidP="00736595">
            <w:pPr>
              <w:spacing w:after="0" w:line="240" w:lineRule="auto"/>
              <w:jc w:val="right"/>
              <w:rPr>
                <w:rFonts w:cs="Arial"/>
                <w:color w:val="000000"/>
                <w:sz w:val="16"/>
                <w:szCs w:val="16"/>
              </w:rPr>
            </w:pPr>
            <w:r>
              <w:rPr>
                <w:rFonts w:cs="Arial"/>
                <w:color w:val="000000"/>
                <w:sz w:val="16"/>
                <w:szCs w:val="16"/>
              </w:rPr>
              <w:t>13,2</w:t>
            </w:r>
          </w:p>
        </w:tc>
        <w:tc>
          <w:tcPr>
            <w:tcW w:w="907" w:type="dxa"/>
            <w:tcBorders>
              <w:top w:val="nil"/>
              <w:left w:val="nil"/>
              <w:bottom w:val="nil"/>
              <w:right w:val="nil"/>
            </w:tcBorders>
            <w:shd w:val="clear" w:color="auto" w:fill="auto"/>
            <w:noWrap/>
            <w:vAlign w:val="center"/>
            <w:hideMark/>
          </w:tcPr>
          <w:p w14:paraId="6E2A7618" w14:textId="6DD0A1B7" w:rsidR="00736595" w:rsidRPr="00D92E20" w:rsidRDefault="00736595" w:rsidP="00736595">
            <w:pPr>
              <w:spacing w:after="0" w:line="240" w:lineRule="auto"/>
              <w:jc w:val="right"/>
              <w:rPr>
                <w:rFonts w:cs="Arial"/>
                <w:color w:val="000000"/>
                <w:sz w:val="16"/>
                <w:szCs w:val="16"/>
              </w:rPr>
            </w:pPr>
            <w:r>
              <w:rPr>
                <w:rFonts w:cs="Arial"/>
                <w:color w:val="000000"/>
                <w:sz w:val="16"/>
                <w:szCs w:val="16"/>
              </w:rPr>
              <w:t>13,3</w:t>
            </w:r>
          </w:p>
        </w:tc>
        <w:tc>
          <w:tcPr>
            <w:tcW w:w="907" w:type="dxa"/>
            <w:tcBorders>
              <w:top w:val="nil"/>
              <w:left w:val="nil"/>
              <w:bottom w:val="nil"/>
              <w:right w:val="nil"/>
            </w:tcBorders>
            <w:shd w:val="clear" w:color="auto" w:fill="auto"/>
            <w:noWrap/>
            <w:vAlign w:val="center"/>
            <w:hideMark/>
          </w:tcPr>
          <w:p w14:paraId="6E015F77" w14:textId="56955B63" w:rsidR="00736595" w:rsidRPr="00D92E20" w:rsidRDefault="00736595" w:rsidP="00736595">
            <w:pPr>
              <w:spacing w:after="0" w:line="240" w:lineRule="auto"/>
              <w:jc w:val="right"/>
              <w:rPr>
                <w:rFonts w:cs="Arial"/>
                <w:color w:val="000000"/>
                <w:sz w:val="16"/>
                <w:szCs w:val="16"/>
              </w:rPr>
            </w:pPr>
            <w:r>
              <w:rPr>
                <w:rFonts w:cs="Arial"/>
                <w:color w:val="000000"/>
                <w:sz w:val="16"/>
                <w:szCs w:val="16"/>
              </w:rPr>
              <w:t>13,0</w:t>
            </w:r>
          </w:p>
        </w:tc>
      </w:tr>
      <w:tr w:rsidR="00736595" w:rsidRPr="00D92E20" w14:paraId="40A1FDA0" w14:textId="77777777" w:rsidTr="00E371CF">
        <w:trPr>
          <w:trHeight w:val="300"/>
        </w:trPr>
        <w:tc>
          <w:tcPr>
            <w:tcW w:w="4195" w:type="dxa"/>
            <w:tcBorders>
              <w:top w:val="nil"/>
              <w:left w:val="nil"/>
              <w:bottom w:val="nil"/>
              <w:right w:val="nil"/>
            </w:tcBorders>
            <w:shd w:val="clear" w:color="auto" w:fill="auto"/>
            <w:noWrap/>
            <w:vAlign w:val="center"/>
            <w:hideMark/>
          </w:tcPr>
          <w:p w14:paraId="4BC97036" w14:textId="69CA913D" w:rsidR="00736595" w:rsidRPr="00D92E20" w:rsidRDefault="00736595" w:rsidP="00736595">
            <w:pPr>
              <w:spacing w:after="0" w:line="240" w:lineRule="auto"/>
              <w:ind w:firstLineChars="200" w:firstLine="320"/>
              <w:rPr>
                <w:rFonts w:cs="Arial"/>
                <w:color w:val="000000"/>
                <w:sz w:val="16"/>
                <w:szCs w:val="16"/>
              </w:rPr>
            </w:pPr>
            <w:r>
              <w:rPr>
                <w:rFonts w:cs="Arial"/>
                <w:sz w:val="16"/>
                <w:szCs w:val="16"/>
              </w:rPr>
              <w:t xml:space="preserve">      – akutní infekce dýchacích cest</w:t>
            </w:r>
          </w:p>
        </w:tc>
        <w:tc>
          <w:tcPr>
            <w:tcW w:w="907" w:type="dxa"/>
            <w:tcBorders>
              <w:top w:val="nil"/>
              <w:left w:val="single" w:sz="4" w:space="0" w:color="auto"/>
              <w:bottom w:val="nil"/>
              <w:right w:val="nil"/>
            </w:tcBorders>
            <w:shd w:val="clear" w:color="auto" w:fill="auto"/>
            <w:noWrap/>
            <w:vAlign w:val="center"/>
            <w:hideMark/>
          </w:tcPr>
          <w:p w14:paraId="09E29266" w14:textId="37709670" w:rsidR="00736595" w:rsidRPr="00D92E20" w:rsidRDefault="00736595" w:rsidP="00736595">
            <w:pPr>
              <w:spacing w:after="0" w:line="240" w:lineRule="auto"/>
              <w:jc w:val="right"/>
              <w:rPr>
                <w:rFonts w:cs="Arial"/>
                <w:color w:val="000000"/>
                <w:sz w:val="16"/>
                <w:szCs w:val="16"/>
              </w:rPr>
            </w:pPr>
            <w:r>
              <w:rPr>
                <w:rFonts w:cs="Arial"/>
                <w:color w:val="000000"/>
                <w:sz w:val="16"/>
                <w:szCs w:val="16"/>
              </w:rPr>
              <w:t>415,1</w:t>
            </w:r>
          </w:p>
        </w:tc>
        <w:tc>
          <w:tcPr>
            <w:tcW w:w="907" w:type="dxa"/>
            <w:tcBorders>
              <w:top w:val="nil"/>
              <w:left w:val="nil"/>
              <w:bottom w:val="nil"/>
              <w:right w:val="nil"/>
            </w:tcBorders>
            <w:shd w:val="clear" w:color="auto" w:fill="auto"/>
            <w:noWrap/>
            <w:vAlign w:val="center"/>
            <w:hideMark/>
          </w:tcPr>
          <w:p w14:paraId="5417112B" w14:textId="675497E8" w:rsidR="00736595" w:rsidRPr="00D92E20" w:rsidRDefault="00736595" w:rsidP="00736595">
            <w:pPr>
              <w:spacing w:after="0" w:line="240" w:lineRule="auto"/>
              <w:jc w:val="right"/>
              <w:rPr>
                <w:rFonts w:cs="Arial"/>
                <w:color w:val="000000"/>
                <w:sz w:val="16"/>
                <w:szCs w:val="16"/>
              </w:rPr>
            </w:pPr>
            <w:r>
              <w:rPr>
                <w:rFonts w:cs="Arial"/>
                <w:color w:val="000000"/>
                <w:sz w:val="16"/>
                <w:szCs w:val="16"/>
              </w:rPr>
              <w:t>178,8</w:t>
            </w:r>
          </w:p>
        </w:tc>
        <w:tc>
          <w:tcPr>
            <w:tcW w:w="907" w:type="dxa"/>
            <w:tcBorders>
              <w:top w:val="nil"/>
              <w:left w:val="nil"/>
              <w:bottom w:val="nil"/>
              <w:right w:val="single" w:sz="4" w:space="0" w:color="auto"/>
            </w:tcBorders>
            <w:shd w:val="clear" w:color="auto" w:fill="auto"/>
            <w:noWrap/>
            <w:vAlign w:val="center"/>
            <w:hideMark/>
          </w:tcPr>
          <w:p w14:paraId="13FA8EB8" w14:textId="4FB3B283" w:rsidR="00736595" w:rsidRPr="00D92E20" w:rsidRDefault="00736595" w:rsidP="00736595">
            <w:pPr>
              <w:spacing w:after="0" w:line="240" w:lineRule="auto"/>
              <w:jc w:val="right"/>
              <w:rPr>
                <w:rFonts w:cs="Arial"/>
                <w:color w:val="000000"/>
                <w:sz w:val="16"/>
                <w:szCs w:val="16"/>
              </w:rPr>
            </w:pPr>
            <w:r>
              <w:rPr>
                <w:rFonts w:cs="Arial"/>
                <w:color w:val="000000"/>
                <w:sz w:val="16"/>
                <w:szCs w:val="16"/>
              </w:rPr>
              <w:t>236,2</w:t>
            </w:r>
          </w:p>
        </w:tc>
        <w:tc>
          <w:tcPr>
            <w:tcW w:w="907" w:type="dxa"/>
            <w:tcBorders>
              <w:top w:val="nil"/>
              <w:left w:val="nil"/>
              <w:bottom w:val="nil"/>
              <w:right w:val="nil"/>
            </w:tcBorders>
            <w:shd w:val="clear" w:color="auto" w:fill="auto"/>
            <w:noWrap/>
            <w:vAlign w:val="center"/>
            <w:hideMark/>
          </w:tcPr>
          <w:p w14:paraId="0E41D222" w14:textId="565BEB3C" w:rsidR="00736595" w:rsidRPr="00D92E20" w:rsidRDefault="00736595" w:rsidP="00736595">
            <w:pPr>
              <w:spacing w:after="0" w:line="240" w:lineRule="auto"/>
              <w:jc w:val="right"/>
              <w:rPr>
                <w:rFonts w:cs="Arial"/>
                <w:color w:val="000000"/>
                <w:sz w:val="16"/>
                <w:szCs w:val="16"/>
              </w:rPr>
            </w:pPr>
            <w:r>
              <w:rPr>
                <w:rFonts w:cs="Arial"/>
                <w:color w:val="000000"/>
                <w:sz w:val="16"/>
                <w:szCs w:val="16"/>
              </w:rPr>
              <w:t>12,1</w:t>
            </w:r>
          </w:p>
        </w:tc>
        <w:tc>
          <w:tcPr>
            <w:tcW w:w="907" w:type="dxa"/>
            <w:tcBorders>
              <w:top w:val="nil"/>
              <w:left w:val="nil"/>
              <w:bottom w:val="nil"/>
              <w:right w:val="nil"/>
            </w:tcBorders>
            <w:shd w:val="clear" w:color="auto" w:fill="auto"/>
            <w:noWrap/>
            <w:vAlign w:val="center"/>
            <w:hideMark/>
          </w:tcPr>
          <w:p w14:paraId="0E27190D" w14:textId="2EF0E52A" w:rsidR="00736595" w:rsidRPr="00D92E20" w:rsidRDefault="00736595" w:rsidP="00736595">
            <w:pPr>
              <w:spacing w:after="0" w:line="240" w:lineRule="auto"/>
              <w:jc w:val="right"/>
              <w:rPr>
                <w:rFonts w:cs="Arial"/>
                <w:color w:val="000000"/>
                <w:sz w:val="16"/>
                <w:szCs w:val="16"/>
              </w:rPr>
            </w:pPr>
            <w:r>
              <w:rPr>
                <w:rFonts w:cs="Arial"/>
                <w:color w:val="000000"/>
                <w:sz w:val="16"/>
                <w:szCs w:val="16"/>
              </w:rPr>
              <w:t>11,9</w:t>
            </w:r>
          </w:p>
        </w:tc>
        <w:tc>
          <w:tcPr>
            <w:tcW w:w="907" w:type="dxa"/>
            <w:tcBorders>
              <w:top w:val="nil"/>
              <w:left w:val="nil"/>
              <w:bottom w:val="nil"/>
              <w:right w:val="nil"/>
            </w:tcBorders>
            <w:shd w:val="clear" w:color="auto" w:fill="auto"/>
            <w:noWrap/>
            <w:vAlign w:val="center"/>
            <w:hideMark/>
          </w:tcPr>
          <w:p w14:paraId="0CF8D221" w14:textId="56EE97CE" w:rsidR="00736595" w:rsidRPr="00D92E20" w:rsidRDefault="00736595" w:rsidP="00736595">
            <w:pPr>
              <w:spacing w:after="0" w:line="240" w:lineRule="auto"/>
              <w:jc w:val="right"/>
              <w:rPr>
                <w:rFonts w:cs="Arial"/>
                <w:color w:val="000000"/>
                <w:sz w:val="16"/>
                <w:szCs w:val="16"/>
              </w:rPr>
            </w:pPr>
            <w:r>
              <w:rPr>
                <w:rFonts w:cs="Arial"/>
                <w:color w:val="000000"/>
                <w:sz w:val="16"/>
                <w:szCs w:val="16"/>
              </w:rPr>
              <w:t>12,2</w:t>
            </w:r>
          </w:p>
        </w:tc>
      </w:tr>
      <w:tr w:rsidR="00736595" w:rsidRPr="00D92E20" w14:paraId="5BE36E0D" w14:textId="77777777" w:rsidTr="00E371CF">
        <w:trPr>
          <w:trHeight w:val="300"/>
        </w:trPr>
        <w:tc>
          <w:tcPr>
            <w:tcW w:w="4195" w:type="dxa"/>
            <w:tcBorders>
              <w:top w:val="nil"/>
              <w:left w:val="nil"/>
              <w:bottom w:val="nil"/>
              <w:right w:val="nil"/>
            </w:tcBorders>
            <w:shd w:val="clear" w:color="auto" w:fill="auto"/>
            <w:noWrap/>
            <w:vAlign w:val="center"/>
            <w:hideMark/>
          </w:tcPr>
          <w:p w14:paraId="218BC176" w14:textId="62843C28" w:rsidR="00736595" w:rsidRPr="00D92E20" w:rsidRDefault="00736595" w:rsidP="00736595">
            <w:pPr>
              <w:spacing w:after="0" w:line="240" w:lineRule="auto"/>
              <w:ind w:firstLineChars="200" w:firstLine="320"/>
              <w:rPr>
                <w:rFonts w:cs="Arial"/>
                <w:color w:val="000000"/>
                <w:sz w:val="16"/>
                <w:szCs w:val="16"/>
              </w:rPr>
            </w:pPr>
            <w:r>
              <w:rPr>
                <w:rFonts w:cs="Arial"/>
                <w:sz w:val="16"/>
                <w:szCs w:val="16"/>
              </w:rPr>
              <w:t xml:space="preserve">      – chřipka</w:t>
            </w:r>
          </w:p>
        </w:tc>
        <w:tc>
          <w:tcPr>
            <w:tcW w:w="907" w:type="dxa"/>
            <w:tcBorders>
              <w:top w:val="nil"/>
              <w:left w:val="single" w:sz="4" w:space="0" w:color="auto"/>
              <w:bottom w:val="nil"/>
              <w:right w:val="nil"/>
            </w:tcBorders>
            <w:shd w:val="clear" w:color="auto" w:fill="auto"/>
            <w:noWrap/>
            <w:vAlign w:val="center"/>
            <w:hideMark/>
          </w:tcPr>
          <w:p w14:paraId="098999A5" w14:textId="0A1383E6" w:rsidR="00736595" w:rsidRPr="00D92E20" w:rsidRDefault="00736595" w:rsidP="00736595">
            <w:pPr>
              <w:spacing w:after="0" w:line="240" w:lineRule="auto"/>
              <w:jc w:val="right"/>
              <w:rPr>
                <w:rFonts w:cs="Arial"/>
                <w:color w:val="000000"/>
                <w:sz w:val="16"/>
                <w:szCs w:val="16"/>
              </w:rPr>
            </w:pPr>
            <w:r>
              <w:rPr>
                <w:rFonts w:cs="Arial"/>
                <w:color w:val="000000"/>
                <w:sz w:val="16"/>
                <w:szCs w:val="16"/>
              </w:rPr>
              <w:t>34,1</w:t>
            </w:r>
          </w:p>
        </w:tc>
        <w:tc>
          <w:tcPr>
            <w:tcW w:w="907" w:type="dxa"/>
            <w:tcBorders>
              <w:top w:val="nil"/>
              <w:left w:val="nil"/>
              <w:bottom w:val="nil"/>
              <w:right w:val="nil"/>
            </w:tcBorders>
            <w:shd w:val="clear" w:color="auto" w:fill="auto"/>
            <w:noWrap/>
            <w:vAlign w:val="center"/>
            <w:hideMark/>
          </w:tcPr>
          <w:p w14:paraId="7ED8173E" w14:textId="09F1BAB4" w:rsidR="00736595" w:rsidRPr="00D92E20" w:rsidRDefault="00736595" w:rsidP="00736595">
            <w:pPr>
              <w:spacing w:after="0" w:line="240" w:lineRule="auto"/>
              <w:jc w:val="right"/>
              <w:rPr>
                <w:rFonts w:cs="Arial"/>
                <w:color w:val="000000"/>
                <w:sz w:val="16"/>
                <w:szCs w:val="16"/>
              </w:rPr>
            </w:pPr>
            <w:r>
              <w:rPr>
                <w:rFonts w:cs="Arial"/>
                <w:color w:val="000000"/>
                <w:sz w:val="16"/>
                <w:szCs w:val="16"/>
              </w:rPr>
              <w:t>16,5</w:t>
            </w:r>
          </w:p>
        </w:tc>
        <w:tc>
          <w:tcPr>
            <w:tcW w:w="907" w:type="dxa"/>
            <w:tcBorders>
              <w:top w:val="nil"/>
              <w:left w:val="nil"/>
              <w:bottom w:val="nil"/>
              <w:right w:val="single" w:sz="4" w:space="0" w:color="auto"/>
            </w:tcBorders>
            <w:shd w:val="clear" w:color="auto" w:fill="auto"/>
            <w:noWrap/>
            <w:vAlign w:val="center"/>
            <w:hideMark/>
          </w:tcPr>
          <w:p w14:paraId="4300B097" w14:textId="65E3ABD6" w:rsidR="00736595" w:rsidRPr="00D92E20" w:rsidRDefault="00736595" w:rsidP="00736595">
            <w:pPr>
              <w:spacing w:after="0" w:line="240" w:lineRule="auto"/>
              <w:jc w:val="right"/>
              <w:rPr>
                <w:rFonts w:cs="Arial"/>
                <w:color w:val="000000"/>
                <w:sz w:val="16"/>
                <w:szCs w:val="16"/>
              </w:rPr>
            </w:pPr>
            <w:r>
              <w:rPr>
                <w:rFonts w:cs="Arial"/>
                <w:color w:val="000000"/>
                <w:sz w:val="16"/>
                <w:szCs w:val="16"/>
              </w:rPr>
              <w:t>17,6</w:t>
            </w:r>
          </w:p>
        </w:tc>
        <w:tc>
          <w:tcPr>
            <w:tcW w:w="907" w:type="dxa"/>
            <w:tcBorders>
              <w:top w:val="nil"/>
              <w:left w:val="nil"/>
              <w:bottom w:val="nil"/>
              <w:right w:val="nil"/>
            </w:tcBorders>
            <w:shd w:val="clear" w:color="auto" w:fill="auto"/>
            <w:noWrap/>
            <w:vAlign w:val="center"/>
            <w:hideMark/>
          </w:tcPr>
          <w:p w14:paraId="0C836F7E" w14:textId="54644D9A" w:rsidR="00736595" w:rsidRPr="00D92E20" w:rsidRDefault="00736595" w:rsidP="00736595">
            <w:pPr>
              <w:spacing w:after="0" w:line="240" w:lineRule="auto"/>
              <w:jc w:val="right"/>
              <w:rPr>
                <w:rFonts w:cs="Arial"/>
                <w:color w:val="000000"/>
                <w:sz w:val="16"/>
                <w:szCs w:val="16"/>
              </w:rPr>
            </w:pPr>
            <w:r>
              <w:rPr>
                <w:rFonts w:cs="Arial"/>
                <w:color w:val="000000"/>
                <w:sz w:val="16"/>
                <w:szCs w:val="16"/>
              </w:rPr>
              <w:t>16,6</w:t>
            </w:r>
          </w:p>
        </w:tc>
        <w:tc>
          <w:tcPr>
            <w:tcW w:w="907" w:type="dxa"/>
            <w:tcBorders>
              <w:top w:val="nil"/>
              <w:left w:val="nil"/>
              <w:bottom w:val="nil"/>
              <w:right w:val="nil"/>
            </w:tcBorders>
            <w:shd w:val="clear" w:color="auto" w:fill="auto"/>
            <w:noWrap/>
            <w:vAlign w:val="center"/>
            <w:hideMark/>
          </w:tcPr>
          <w:p w14:paraId="2958F810" w14:textId="12B9D3C2" w:rsidR="00736595" w:rsidRPr="00D92E20" w:rsidRDefault="00736595" w:rsidP="00736595">
            <w:pPr>
              <w:spacing w:after="0" w:line="240" w:lineRule="auto"/>
              <w:jc w:val="right"/>
              <w:rPr>
                <w:rFonts w:cs="Arial"/>
                <w:color w:val="000000"/>
                <w:sz w:val="16"/>
                <w:szCs w:val="16"/>
              </w:rPr>
            </w:pPr>
            <w:r>
              <w:rPr>
                <w:rFonts w:cs="Arial"/>
                <w:color w:val="000000"/>
                <w:sz w:val="16"/>
                <w:szCs w:val="16"/>
              </w:rPr>
              <w:t>17,6</w:t>
            </w:r>
          </w:p>
        </w:tc>
        <w:tc>
          <w:tcPr>
            <w:tcW w:w="907" w:type="dxa"/>
            <w:tcBorders>
              <w:top w:val="nil"/>
              <w:left w:val="nil"/>
              <w:bottom w:val="nil"/>
              <w:right w:val="nil"/>
            </w:tcBorders>
            <w:shd w:val="clear" w:color="auto" w:fill="auto"/>
            <w:noWrap/>
            <w:vAlign w:val="center"/>
            <w:hideMark/>
          </w:tcPr>
          <w:p w14:paraId="553135A2" w14:textId="0026C8D9" w:rsidR="00736595" w:rsidRPr="00D92E20" w:rsidRDefault="00736595" w:rsidP="00736595">
            <w:pPr>
              <w:spacing w:after="0" w:line="240" w:lineRule="auto"/>
              <w:jc w:val="right"/>
              <w:rPr>
                <w:rFonts w:cs="Arial"/>
                <w:color w:val="000000"/>
                <w:sz w:val="16"/>
                <w:szCs w:val="16"/>
              </w:rPr>
            </w:pPr>
            <w:r>
              <w:rPr>
                <w:rFonts w:cs="Arial"/>
                <w:color w:val="000000"/>
                <w:sz w:val="16"/>
                <w:szCs w:val="16"/>
              </w:rPr>
              <w:t>15,7</w:t>
            </w:r>
          </w:p>
        </w:tc>
      </w:tr>
      <w:tr w:rsidR="00736595" w:rsidRPr="00D92E20" w14:paraId="67B8BE53" w14:textId="77777777" w:rsidTr="00E371CF">
        <w:trPr>
          <w:trHeight w:val="300"/>
        </w:trPr>
        <w:tc>
          <w:tcPr>
            <w:tcW w:w="4195" w:type="dxa"/>
            <w:tcBorders>
              <w:top w:val="nil"/>
              <w:left w:val="nil"/>
              <w:bottom w:val="nil"/>
              <w:right w:val="nil"/>
            </w:tcBorders>
            <w:shd w:val="clear" w:color="auto" w:fill="auto"/>
            <w:noWrap/>
            <w:vAlign w:val="center"/>
            <w:hideMark/>
          </w:tcPr>
          <w:p w14:paraId="45ED2DCE" w14:textId="0C4B182B" w:rsidR="00736595" w:rsidRPr="00D92E20" w:rsidRDefault="00736595" w:rsidP="00736595">
            <w:pPr>
              <w:spacing w:after="0" w:line="240" w:lineRule="auto"/>
              <w:ind w:firstLineChars="200" w:firstLine="320"/>
              <w:rPr>
                <w:rFonts w:cs="Arial"/>
                <w:color w:val="000000"/>
                <w:sz w:val="16"/>
                <w:szCs w:val="16"/>
              </w:rPr>
            </w:pPr>
            <w:r>
              <w:rPr>
                <w:rFonts w:cs="Arial"/>
                <w:sz w:val="16"/>
                <w:szCs w:val="16"/>
              </w:rPr>
              <w:t xml:space="preserve">      – chronické nemoci dolních dýchacích cest</w:t>
            </w:r>
          </w:p>
        </w:tc>
        <w:tc>
          <w:tcPr>
            <w:tcW w:w="907" w:type="dxa"/>
            <w:tcBorders>
              <w:top w:val="nil"/>
              <w:left w:val="single" w:sz="4" w:space="0" w:color="auto"/>
              <w:bottom w:val="nil"/>
              <w:right w:val="nil"/>
            </w:tcBorders>
            <w:shd w:val="clear" w:color="auto" w:fill="auto"/>
            <w:noWrap/>
            <w:vAlign w:val="center"/>
            <w:hideMark/>
          </w:tcPr>
          <w:p w14:paraId="37031D84" w14:textId="29D6FE07" w:rsidR="00736595" w:rsidRPr="00D92E20" w:rsidRDefault="00736595" w:rsidP="00736595">
            <w:pPr>
              <w:spacing w:after="0" w:line="240" w:lineRule="auto"/>
              <w:jc w:val="right"/>
              <w:rPr>
                <w:rFonts w:cs="Arial"/>
                <w:color w:val="000000"/>
                <w:sz w:val="16"/>
                <w:szCs w:val="16"/>
              </w:rPr>
            </w:pPr>
            <w:r>
              <w:rPr>
                <w:rFonts w:cs="Arial"/>
                <w:color w:val="000000"/>
                <w:sz w:val="16"/>
                <w:szCs w:val="16"/>
              </w:rPr>
              <w:t>6,0</w:t>
            </w:r>
          </w:p>
        </w:tc>
        <w:tc>
          <w:tcPr>
            <w:tcW w:w="907" w:type="dxa"/>
            <w:tcBorders>
              <w:top w:val="nil"/>
              <w:left w:val="nil"/>
              <w:bottom w:val="nil"/>
              <w:right w:val="nil"/>
            </w:tcBorders>
            <w:shd w:val="clear" w:color="auto" w:fill="auto"/>
            <w:noWrap/>
            <w:vAlign w:val="center"/>
            <w:hideMark/>
          </w:tcPr>
          <w:p w14:paraId="0D901717" w14:textId="134C4C89" w:rsidR="00736595" w:rsidRPr="00D92E20" w:rsidRDefault="00736595" w:rsidP="00736595">
            <w:pPr>
              <w:spacing w:after="0" w:line="240" w:lineRule="auto"/>
              <w:jc w:val="right"/>
              <w:rPr>
                <w:rFonts w:cs="Arial"/>
                <w:color w:val="000000"/>
                <w:sz w:val="16"/>
                <w:szCs w:val="16"/>
              </w:rPr>
            </w:pPr>
            <w:r>
              <w:rPr>
                <w:rFonts w:cs="Arial"/>
                <w:color w:val="000000"/>
                <w:sz w:val="16"/>
                <w:szCs w:val="16"/>
              </w:rPr>
              <w:t>2,7</w:t>
            </w:r>
          </w:p>
        </w:tc>
        <w:tc>
          <w:tcPr>
            <w:tcW w:w="907" w:type="dxa"/>
            <w:tcBorders>
              <w:top w:val="nil"/>
              <w:left w:val="nil"/>
              <w:bottom w:val="nil"/>
              <w:right w:val="single" w:sz="4" w:space="0" w:color="auto"/>
            </w:tcBorders>
            <w:shd w:val="clear" w:color="auto" w:fill="auto"/>
            <w:noWrap/>
            <w:vAlign w:val="center"/>
            <w:hideMark/>
          </w:tcPr>
          <w:p w14:paraId="6BD2816E" w14:textId="17BFB197" w:rsidR="00736595" w:rsidRPr="00D92E20" w:rsidRDefault="00736595" w:rsidP="00736595">
            <w:pPr>
              <w:spacing w:after="0" w:line="240" w:lineRule="auto"/>
              <w:jc w:val="right"/>
              <w:rPr>
                <w:rFonts w:cs="Arial"/>
                <w:color w:val="000000"/>
                <w:sz w:val="16"/>
                <w:szCs w:val="16"/>
              </w:rPr>
            </w:pPr>
            <w:r>
              <w:rPr>
                <w:rFonts w:cs="Arial"/>
                <w:color w:val="000000"/>
                <w:sz w:val="16"/>
                <w:szCs w:val="16"/>
              </w:rPr>
              <w:t>3,2</w:t>
            </w:r>
          </w:p>
        </w:tc>
        <w:tc>
          <w:tcPr>
            <w:tcW w:w="907" w:type="dxa"/>
            <w:tcBorders>
              <w:top w:val="nil"/>
              <w:left w:val="nil"/>
              <w:bottom w:val="nil"/>
              <w:right w:val="nil"/>
            </w:tcBorders>
            <w:shd w:val="clear" w:color="auto" w:fill="auto"/>
            <w:noWrap/>
            <w:vAlign w:val="center"/>
            <w:hideMark/>
          </w:tcPr>
          <w:p w14:paraId="05BC3C05" w14:textId="7247EC83" w:rsidR="00736595" w:rsidRPr="00D92E20" w:rsidRDefault="00736595" w:rsidP="00736595">
            <w:pPr>
              <w:spacing w:after="0" w:line="240" w:lineRule="auto"/>
              <w:jc w:val="right"/>
              <w:rPr>
                <w:rFonts w:cs="Arial"/>
                <w:color w:val="000000"/>
                <w:sz w:val="16"/>
                <w:szCs w:val="16"/>
              </w:rPr>
            </w:pPr>
            <w:r>
              <w:rPr>
                <w:rFonts w:cs="Arial"/>
                <w:color w:val="000000"/>
                <w:sz w:val="16"/>
                <w:szCs w:val="16"/>
              </w:rPr>
              <w:t>51,1</w:t>
            </w:r>
          </w:p>
        </w:tc>
        <w:tc>
          <w:tcPr>
            <w:tcW w:w="907" w:type="dxa"/>
            <w:tcBorders>
              <w:top w:val="nil"/>
              <w:left w:val="nil"/>
              <w:bottom w:val="nil"/>
              <w:right w:val="nil"/>
            </w:tcBorders>
            <w:shd w:val="clear" w:color="auto" w:fill="auto"/>
            <w:noWrap/>
            <w:vAlign w:val="center"/>
            <w:hideMark/>
          </w:tcPr>
          <w:p w14:paraId="21574464" w14:textId="3110FB00" w:rsidR="00736595" w:rsidRPr="00D92E20" w:rsidRDefault="00736595" w:rsidP="00736595">
            <w:pPr>
              <w:spacing w:after="0" w:line="240" w:lineRule="auto"/>
              <w:jc w:val="right"/>
              <w:rPr>
                <w:rFonts w:cs="Arial"/>
                <w:color w:val="000000"/>
                <w:sz w:val="16"/>
                <w:szCs w:val="16"/>
              </w:rPr>
            </w:pPr>
            <w:r>
              <w:rPr>
                <w:rFonts w:cs="Arial"/>
                <w:color w:val="000000"/>
                <w:sz w:val="16"/>
                <w:szCs w:val="16"/>
              </w:rPr>
              <w:t>54,4</w:t>
            </w:r>
          </w:p>
        </w:tc>
        <w:tc>
          <w:tcPr>
            <w:tcW w:w="907" w:type="dxa"/>
            <w:tcBorders>
              <w:top w:val="nil"/>
              <w:left w:val="nil"/>
              <w:bottom w:val="nil"/>
              <w:right w:val="nil"/>
            </w:tcBorders>
            <w:shd w:val="clear" w:color="auto" w:fill="auto"/>
            <w:noWrap/>
            <w:vAlign w:val="center"/>
            <w:hideMark/>
          </w:tcPr>
          <w:p w14:paraId="2BE76920" w14:textId="2A72E022" w:rsidR="00736595" w:rsidRPr="00D92E20" w:rsidRDefault="00736595" w:rsidP="00736595">
            <w:pPr>
              <w:spacing w:after="0" w:line="240" w:lineRule="auto"/>
              <w:jc w:val="right"/>
              <w:rPr>
                <w:rFonts w:cs="Arial"/>
                <w:color w:val="000000"/>
                <w:sz w:val="16"/>
                <w:szCs w:val="16"/>
              </w:rPr>
            </w:pPr>
            <w:r>
              <w:rPr>
                <w:rFonts w:cs="Arial"/>
                <w:color w:val="000000"/>
                <w:sz w:val="16"/>
                <w:szCs w:val="16"/>
              </w:rPr>
              <w:t>48,4</w:t>
            </w:r>
          </w:p>
        </w:tc>
      </w:tr>
      <w:tr w:rsidR="00736595" w:rsidRPr="00D92E20" w14:paraId="75AC1603" w14:textId="77777777" w:rsidTr="00E371CF">
        <w:trPr>
          <w:trHeight w:val="300"/>
        </w:trPr>
        <w:tc>
          <w:tcPr>
            <w:tcW w:w="4195" w:type="dxa"/>
            <w:tcBorders>
              <w:top w:val="nil"/>
              <w:left w:val="nil"/>
              <w:bottom w:val="nil"/>
              <w:right w:val="nil"/>
            </w:tcBorders>
            <w:shd w:val="clear" w:color="auto" w:fill="auto"/>
            <w:noWrap/>
            <w:vAlign w:val="center"/>
            <w:hideMark/>
          </w:tcPr>
          <w:p w14:paraId="356A5DDB" w14:textId="2A643D25" w:rsidR="00736595" w:rsidRPr="00D92E20" w:rsidRDefault="00736595" w:rsidP="00736595">
            <w:pPr>
              <w:spacing w:after="0" w:line="240" w:lineRule="auto"/>
              <w:ind w:firstLineChars="200" w:firstLine="320"/>
              <w:rPr>
                <w:rFonts w:cs="Arial"/>
                <w:color w:val="000000"/>
                <w:sz w:val="16"/>
                <w:szCs w:val="16"/>
              </w:rPr>
            </w:pPr>
            <w:r>
              <w:rPr>
                <w:rFonts w:cs="Arial"/>
                <w:sz w:val="16"/>
                <w:szCs w:val="16"/>
              </w:rPr>
              <w:t xml:space="preserve">      – jiné nemoci dýchacích cest</w:t>
            </w:r>
          </w:p>
        </w:tc>
        <w:tc>
          <w:tcPr>
            <w:tcW w:w="907" w:type="dxa"/>
            <w:tcBorders>
              <w:top w:val="nil"/>
              <w:left w:val="single" w:sz="4" w:space="0" w:color="auto"/>
              <w:bottom w:val="nil"/>
              <w:right w:val="nil"/>
            </w:tcBorders>
            <w:shd w:val="clear" w:color="auto" w:fill="auto"/>
            <w:noWrap/>
            <w:vAlign w:val="center"/>
            <w:hideMark/>
          </w:tcPr>
          <w:p w14:paraId="4C9F5D05" w14:textId="5D987929" w:rsidR="00736595" w:rsidRPr="00D92E20" w:rsidRDefault="00736595" w:rsidP="00736595">
            <w:pPr>
              <w:spacing w:after="0" w:line="240" w:lineRule="auto"/>
              <w:jc w:val="right"/>
              <w:rPr>
                <w:rFonts w:cs="Arial"/>
                <w:color w:val="000000"/>
                <w:sz w:val="16"/>
                <w:szCs w:val="16"/>
              </w:rPr>
            </w:pPr>
            <w:r>
              <w:rPr>
                <w:rFonts w:cs="Arial"/>
                <w:color w:val="000000"/>
                <w:sz w:val="16"/>
                <w:szCs w:val="16"/>
              </w:rPr>
              <w:t>5,4</w:t>
            </w:r>
          </w:p>
        </w:tc>
        <w:tc>
          <w:tcPr>
            <w:tcW w:w="907" w:type="dxa"/>
            <w:tcBorders>
              <w:top w:val="nil"/>
              <w:left w:val="nil"/>
              <w:bottom w:val="nil"/>
              <w:right w:val="nil"/>
            </w:tcBorders>
            <w:shd w:val="clear" w:color="auto" w:fill="auto"/>
            <w:noWrap/>
            <w:vAlign w:val="center"/>
            <w:hideMark/>
          </w:tcPr>
          <w:p w14:paraId="18C06714" w14:textId="1BEB55A3" w:rsidR="00736595" w:rsidRPr="00D92E20" w:rsidRDefault="00736595" w:rsidP="00736595">
            <w:pPr>
              <w:spacing w:after="0" w:line="240" w:lineRule="auto"/>
              <w:jc w:val="right"/>
              <w:rPr>
                <w:rFonts w:cs="Arial"/>
                <w:color w:val="000000"/>
                <w:sz w:val="16"/>
                <w:szCs w:val="16"/>
              </w:rPr>
            </w:pPr>
            <w:r>
              <w:rPr>
                <w:rFonts w:cs="Arial"/>
                <w:color w:val="000000"/>
                <w:sz w:val="16"/>
                <w:szCs w:val="16"/>
              </w:rPr>
              <w:t>2,8</w:t>
            </w:r>
          </w:p>
        </w:tc>
        <w:tc>
          <w:tcPr>
            <w:tcW w:w="907" w:type="dxa"/>
            <w:tcBorders>
              <w:top w:val="nil"/>
              <w:left w:val="nil"/>
              <w:bottom w:val="nil"/>
              <w:right w:val="single" w:sz="4" w:space="0" w:color="auto"/>
            </w:tcBorders>
            <w:shd w:val="clear" w:color="auto" w:fill="auto"/>
            <w:noWrap/>
            <w:vAlign w:val="center"/>
            <w:hideMark/>
          </w:tcPr>
          <w:p w14:paraId="283F3113" w14:textId="12C7887D" w:rsidR="00736595" w:rsidRPr="00D92E20" w:rsidRDefault="00736595" w:rsidP="00736595">
            <w:pPr>
              <w:spacing w:after="0" w:line="240" w:lineRule="auto"/>
              <w:jc w:val="right"/>
              <w:rPr>
                <w:rFonts w:cs="Arial"/>
                <w:color w:val="000000"/>
                <w:sz w:val="16"/>
                <w:szCs w:val="16"/>
              </w:rPr>
            </w:pPr>
            <w:r>
              <w:rPr>
                <w:rFonts w:cs="Arial"/>
                <w:color w:val="000000"/>
                <w:sz w:val="16"/>
                <w:szCs w:val="16"/>
              </w:rPr>
              <w:t>2,6</w:t>
            </w:r>
          </w:p>
        </w:tc>
        <w:tc>
          <w:tcPr>
            <w:tcW w:w="907" w:type="dxa"/>
            <w:tcBorders>
              <w:top w:val="nil"/>
              <w:left w:val="nil"/>
              <w:bottom w:val="nil"/>
              <w:right w:val="nil"/>
            </w:tcBorders>
            <w:shd w:val="clear" w:color="auto" w:fill="auto"/>
            <w:noWrap/>
            <w:vAlign w:val="center"/>
            <w:hideMark/>
          </w:tcPr>
          <w:p w14:paraId="1B4A7255" w14:textId="263351D0" w:rsidR="00736595" w:rsidRPr="00D92E20" w:rsidRDefault="00736595" w:rsidP="00736595">
            <w:pPr>
              <w:spacing w:after="0" w:line="240" w:lineRule="auto"/>
              <w:jc w:val="right"/>
              <w:rPr>
                <w:rFonts w:cs="Arial"/>
                <w:color w:val="000000"/>
                <w:sz w:val="16"/>
                <w:szCs w:val="16"/>
              </w:rPr>
            </w:pPr>
            <w:r>
              <w:rPr>
                <w:rFonts w:cs="Arial"/>
                <w:color w:val="000000"/>
                <w:sz w:val="16"/>
                <w:szCs w:val="16"/>
              </w:rPr>
              <w:t>31,8</w:t>
            </w:r>
          </w:p>
        </w:tc>
        <w:tc>
          <w:tcPr>
            <w:tcW w:w="907" w:type="dxa"/>
            <w:tcBorders>
              <w:top w:val="nil"/>
              <w:left w:val="nil"/>
              <w:bottom w:val="nil"/>
              <w:right w:val="nil"/>
            </w:tcBorders>
            <w:shd w:val="clear" w:color="auto" w:fill="auto"/>
            <w:noWrap/>
            <w:vAlign w:val="center"/>
            <w:hideMark/>
          </w:tcPr>
          <w:p w14:paraId="1210E4D9" w14:textId="4D8069AF" w:rsidR="00736595" w:rsidRPr="00D92E20" w:rsidRDefault="00736595" w:rsidP="00736595">
            <w:pPr>
              <w:spacing w:after="0" w:line="240" w:lineRule="auto"/>
              <w:jc w:val="right"/>
              <w:rPr>
                <w:rFonts w:cs="Arial"/>
                <w:color w:val="000000"/>
                <w:sz w:val="16"/>
                <w:szCs w:val="16"/>
              </w:rPr>
            </w:pPr>
            <w:r>
              <w:rPr>
                <w:rFonts w:cs="Arial"/>
                <w:color w:val="000000"/>
                <w:sz w:val="16"/>
                <w:szCs w:val="16"/>
              </w:rPr>
              <w:t>35,9</w:t>
            </w:r>
          </w:p>
        </w:tc>
        <w:tc>
          <w:tcPr>
            <w:tcW w:w="907" w:type="dxa"/>
            <w:tcBorders>
              <w:top w:val="nil"/>
              <w:left w:val="nil"/>
              <w:bottom w:val="nil"/>
              <w:right w:val="nil"/>
            </w:tcBorders>
            <w:shd w:val="clear" w:color="auto" w:fill="auto"/>
            <w:noWrap/>
            <w:vAlign w:val="center"/>
            <w:hideMark/>
          </w:tcPr>
          <w:p w14:paraId="2D2814A0" w14:textId="435B4D79" w:rsidR="00736595" w:rsidRPr="00D92E20" w:rsidRDefault="00736595" w:rsidP="00736595">
            <w:pPr>
              <w:spacing w:after="0" w:line="240" w:lineRule="auto"/>
              <w:jc w:val="right"/>
              <w:rPr>
                <w:rFonts w:cs="Arial"/>
                <w:color w:val="000000"/>
                <w:sz w:val="16"/>
                <w:szCs w:val="16"/>
              </w:rPr>
            </w:pPr>
            <w:r>
              <w:rPr>
                <w:rFonts w:cs="Arial"/>
                <w:color w:val="000000"/>
                <w:sz w:val="16"/>
                <w:szCs w:val="16"/>
              </w:rPr>
              <w:t>27,4</w:t>
            </w:r>
          </w:p>
        </w:tc>
      </w:tr>
      <w:tr w:rsidR="00736595" w:rsidRPr="00D92E20" w14:paraId="67EDE805" w14:textId="77777777" w:rsidTr="00E371CF">
        <w:trPr>
          <w:trHeight w:val="300"/>
        </w:trPr>
        <w:tc>
          <w:tcPr>
            <w:tcW w:w="4195" w:type="dxa"/>
            <w:tcBorders>
              <w:top w:val="nil"/>
              <w:left w:val="nil"/>
              <w:bottom w:val="nil"/>
              <w:right w:val="nil"/>
            </w:tcBorders>
            <w:shd w:val="clear" w:color="auto" w:fill="auto"/>
            <w:noWrap/>
            <w:vAlign w:val="center"/>
            <w:hideMark/>
          </w:tcPr>
          <w:p w14:paraId="65D573C3" w14:textId="64F323F7" w:rsidR="00736595" w:rsidRPr="00D92E20" w:rsidRDefault="00736595" w:rsidP="00736595">
            <w:pPr>
              <w:spacing w:after="0" w:line="240" w:lineRule="auto"/>
              <w:ind w:firstLineChars="100" w:firstLine="160"/>
              <w:rPr>
                <w:rFonts w:cs="Arial"/>
                <w:color w:val="000000"/>
                <w:sz w:val="16"/>
                <w:szCs w:val="16"/>
              </w:rPr>
            </w:pPr>
            <w:r>
              <w:rPr>
                <w:rFonts w:cs="Arial"/>
                <w:sz w:val="16"/>
                <w:szCs w:val="16"/>
              </w:rPr>
              <w:t xml:space="preserve">   Nemoci trávicí soustavy</w:t>
            </w:r>
          </w:p>
        </w:tc>
        <w:tc>
          <w:tcPr>
            <w:tcW w:w="907" w:type="dxa"/>
            <w:tcBorders>
              <w:top w:val="nil"/>
              <w:left w:val="single" w:sz="4" w:space="0" w:color="auto"/>
              <w:bottom w:val="nil"/>
              <w:right w:val="nil"/>
            </w:tcBorders>
            <w:shd w:val="clear" w:color="auto" w:fill="auto"/>
            <w:noWrap/>
            <w:vAlign w:val="center"/>
            <w:hideMark/>
          </w:tcPr>
          <w:p w14:paraId="48C6F7A6" w14:textId="4C9303A4" w:rsidR="00736595" w:rsidRPr="00D92E20" w:rsidRDefault="00736595" w:rsidP="00736595">
            <w:pPr>
              <w:spacing w:after="0" w:line="240" w:lineRule="auto"/>
              <w:jc w:val="right"/>
              <w:rPr>
                <w:rFonts w:cs="Arial"/>
                <w:color w:val="000000"/>
                <w:sz w:val="16"/>
                <w:szCs w:val="16"/>
              </w:rPr>
            </w:pPr>
            <w:r>
              <w:rPr>
                <w:rFonts w:cs="Arial"/>
                <w:color w:val="000000"/>
                <w:sz w:val="16"/>
                <w:szCs w:val="16"/>
              </w:rPr>
              <w:t>85,8</w:t>
            </w:r>
          </w:p>
        </w:tc>
        <w:tc>
          <w:tcPr>
            <w:tcW w:w="907" w:type="dxa"/>
            <w:tcBorders>
              <w:top w:val="nil"/>
              <w:left w:val="nil"/>
              <w:bottom w:val="nil"/>
              <w:right w:val="nil"/>
            </w:tcBorders>
            <w:shd w:val="clear" w:color="auto" w:fill="auto"/>
            <w:noWrap/>
            <w:vAlign w:val="center"/>
            <w:hideMark/>
          </w:tcPr>
          <w:p w14:paraId="14178628" w14:textId="6EB26A12" w:rsidR="00736595" w:rsidRPr="00D92E20" w:rsidRDefault="00736595" w:rsidP="00736595">
            <w:pPr>
              <w:spacing w:after="0" w:line="240" w:lineRule="auto"/>
              <w:jc w:val="right"/>
              <w:rPr>
                <w:rFonts w:cs="Arial"/>
                <w:color w:val="000000"/>
                <w:sz w:val="16"/>
                <w:szCs w:val="16"/>
              </w:rPr>
            </w:pPr>
            <w:r>
              <w:rPr>
                <w:rFonts w:cs="Arial"/>
                <w:color w:val="000000"/>
                <w:sz w:val="16"/>
                <w:szCs w:val="16"/>
              </w:rPr>
              <w:t>44,1</w:t>
            </w:r>
          </w:p>
        </w:tc>
        <w:tc>
          <w:tcPr>
            <w:tcW w:w="907" w:type="dxa"/>
            <w:tcBorders>
              <w:top w:val="nil"/>
              <w:left w:val="nil"/>
              <w:bottom w:val="nil"/>
              <w:right w:val="single" w:sz="4" w:space="0" w:color="auto"/>
            </w:tcBorders>
            <w:shd w:val="clear" w:color="auto" w:fill="auto"/>
            <w:noWrap/>
            <w:vAlign w:val="center"/>
            <w:hideMark/>
          </w:tcPr>
          <w:p w14:paraId="658260C1" w14:textId="7ADFC2F1" w:rsidR="00736595" w:rsidRPr="00D92E20" w:rsidRDefault="00736595" w:rsidP="00736595">
            <w:pPr>
              <w:spacing w:after="0" w:line="240" w:lineRule="auto"/>
              <w:jc w:val="right"/>
              <w:rPr>
                <w:rFonts w:cs="Arial"/>
                <w:color w:val="000000"/>
                <w:sz w:val="16"/>
                <w:szCs w:val="16"/>
              </w:rPr>
            </w:pPr>
            <w:r>
              <w:rPr>
                <w:rFonts w:cs="Arial"/>
                <w:color w:val="000000"/>
                <w:sz w:val="16"/>
                <w:szCs w:val="16"/>
              </w:rPr>
              <w:t>41,8</w:t>
            </w:r>
          </w:p>
        </w:tc>
        <w:tc>
          <w:tcPr>
            <w:tcW w:w="907" w:type="dxa"/>
            <w:tcBorders>
              <w:top w:val="nil"/>
              <w:left w:val="nil"/>
              <w:bottom w:val="nil"/>
              <w:right w:val="nil"/>
            </w:tcBorders>
            <w:shd w:val="clear" w:color="auto" w:fill="auto"/>
            <w:noWrap/>
            <w:vAlign w:val="center"/>
            <w:hideMark/>
          </w:tcPr>
          <w:p w14:paraId="55C6BD1B" w14:textId="2FCE3DB9" w:rsidR="00736595" w:rsidRPr="00D92E20" w:rsidRDefault="00736595" w:rsidP="00736595">
            <w:pPr>
              <w:spacing w:after="0" w:line="240" w:lineRule="auto"/>
              <w:jc w:val="right"/>
              <w:rPr>
                <w:rFonts w:cs="Arial"/>
                <w:color w:val="000000"/>
                <w:sz w:val="16"/>
                <w:szCs w:val="16"/>
              </w:rPr>
            </w:pPr>
            <w:r>
              <w:rPr>
                <w:rFonts w:cs="Arial"/>
                <w:color w:val="000000"/>
                <w:sz w:val="16"/>
                <w:szCs w:val="16"/>
              </w:rPr>
              <w:t>24,5</w:t>
            </w:r>
          </w:p>
        </w:tc>
        <w:tc>
          <w:tcPr>
            <w:tcW w:w="907" w:type="dxa"/>
            <w:tcBorders>
              <w:top w:val="nil"/>
              <w:left w:val="nil"/>
              <w:bottom w:val="nil"/>
              <w:right w:val="nil"/>
            </w:tcBorders>
            <w:shd w:val="clear" w:color="auto" w:fill="auto"/>
            <w:noWrap/>
            <w:vAlign w:val="center"/>
            <w:hideMark/>
          </w:tcPr>
          <w:p w14:paraId="44518B5A" w14:textId="49B81685" w:rsidR="00736595" w:rsidRPr="00D92E20" w:rsidRDefault="00736595" w:rsidP="00736595">
            <w:pPr>
              <w:spacing w:after="0" w:line="240" w:lineRule="auto"/>
              <w:jc w:val="right"/>
              <w:rPr>
                <w:rFonts w:cs="Arial"/>
                <w:color w:val="000000"/>
                <w:sz w:val="16"/>
                <w:szCs w:val="16"/>
              </w:rPr>
            </w:pPr>
            <w:r>
              <w:rPr>
                <w:rFonts w:cs="Arial"/>
                <w:color w:val="000000"/>
                <w:sz w:val="16"/>
                <w:szCs w:val="16"/>
              </w:rPr>
              <w:t>25,8</w:t>
            </w:r>
          </w:p>
        </w:tc>
        <w:tc>
          <w:tcPr>
            <w:tcW w:w="907" w:type="dxa"/>
            <w:tcBorders>
              <w:top w:val="nil"/>
              <w:left w:val="nil"/>
              <w:bottom w:val="nil"/>
              <w:right w:val="nil"/>
            </w:tcBorders>
            <w:shd w:val="clear" w:color="auto" w:fill="auto"/>
            <w:noWrap/>
            <w:vAlign w:val="center"/>
            <w:hideMark/>
          </w:tcPr>
          <w:p w14:paraId="075BCDAC" w14:textId="071C8216" w:rsidR="00736595" w:rsidRPr="00D92E20" w:rsidRDefault="00736595" w:rsidP="00736595">
            <w:pPr>
              <w:spacing w:after="0" w:line="240" w:lineRule="auto"/>
              <w:jc w:val="right"/>
              <w:rPr>
                <w:rFonts w:cs="Arial"/>
                <w:color w:val="000000"/>
                <w:sz w:val="16"/>
                <w:szCs w:val="16"/>
              </w:rPr>
            </w:pPr>
            <w:r>
              <w:rPr>
                <w:rFonts w:cs="Arial"/>
                <w:color w:val="000000"/>
                <w:sz w:val="16"/>
                <w:szCs w:val="16"/>
              </w:rPr>
              <w:t>23,1</w:t>
            </w:r>
          </w:p>
        </w:tc>
      </w:tr>
      <w:tr w:rsidR="00736595" w:rsidRPr="00D92E20" w14:paraId="6C3B12A6" w14:textId="77777777" w:rsidTr="00E371CF">
        <w:trPr>
          <w:trHeight w:val="300"/>
        </w:trPr>
        <w:tc>
          <w:tcPr>
            <w:tcW w:w="4195" w:type="dxa"/>
            <w:tcBorders>
              <w:top w:val="nil"/>
              <w:left w:val="nil"/>
              <w:bottom w:val="nil"/>
              <w:right w:val="nil"/>
            </w:tcBorders>
            <w:shd w:val="clear" w:color="auto" w:fill="auto"/>
            <w:noWrap/>
            <w:vAlign w:val="center"/>
            <w:hideMark/>
          </w:tcPr>
          <w:p w14:paraId="2CEAEBEC" w14:textId="6D8100C9" w:rsidR="00736595" w:rsidRPr="00D92E20" w:rsidRDefault="00736595" w:rsidP="00736595">
            <w:pPr>
              <w:spacing w:after="0" w:line="240" w:lineRule="auto"/>
              <w:ind w:firstLineChars="100" w:firstLine="160"/>
              <w:rPr>
                <w:rFonts w:cs="Arial"/>
                <w:color w:val="000000"/>
                <w:sz w:val="16"/>
                <w:szCs w:val="16"/>
              </w:rPr>
            </w:pPr>
            <w:r>
              <w:rPr>
                <w:rFonts w:cs="Arial"/>
                <w:sz w:val="16"/>
                <w:szCs w:val="16"/>
              </w:rPr>
              <w:t xml:space="preserve">   Nemoci kůže</w:t>
            </w:r>
          </w:p>
        </w:tc>
        <w:tc>
          <w:tcPr>
            <w:tcW w:w="907" w:type="dxa"/>
            <w:tcBorders>
              <w:top w:val="nil"/>
              <w:left w:val="single" w:sz="4" w:space="0" w:color="auto"/>
              <w:bottom w:val="nil"/>
              <w:right w:val="nil"/>
            </w:tcBorders>
            <w:shd w:val="clear" w:color="auto" w:fill="auto"/>
            <w:noWrap/>
            <w:vAlign w:val="center"/>
            <w:hideMark/>
          </w:tcPr>
          <w:p w14:paraId="4B6989FC" w14:textId="705AF44C" w:rsidR="00736595" w:rsidRPr="00D92E20" w:rsidRDefault="00736595" w:rsidP="00736595">
            <w:pPr>
              <w:spacing w:after="0" w:line="240" w:lineRule="auto"/>
              <w:jc w:val="right"/>
              <w:rPr>
                <w:rFonts w:cs="Arial"/>
                <w:color w:val="000000"/>
                <w:sz w:val="16"/>
                <w:szCs w:val="16"/>
              </w:rPr>
            </w:pPr>
            <w:r>
              <w:rPr>
                <w:rFonts w:cs="Arial"/>
                <w:color w:val="000000"/>
                <w:sz w:val="16"/>
                <w:szCs w:val="16"/>
              </w:rPr>
              <w:t>16,2</w:t>
            </w:r>
          </w:p>
        </w:tc>
        <w:tc>
          <w:tcPr>
            <w:tcW w:w="907" w:type="dxa"/>
            <w:tcBorders>
              <w:top w:val="nil"/>
              <w:left w:val="nil"/>
              <w:bottom w:val="nil"/>
              <w:right w:val="nil"/>
            </w:tcBorders>
            <w:shd w:val="clear" w:color="auto" w:fill="auto"/>
            <w:noWrap/>
            <w:vAlign w:val="center"/>
            <w:hideMark/>
          </w:tcPr>
          <w:p w14:paraId="2ADF6CCD" w14:textId="77C6B0A8" w:rsidR="00736595" w:rsidRPr="00D92E20" w:rsidRDefault="00736595" w:rsidP="00736595">
            <w:pPr>
              <w:spacing w:after="0" w:line="240" w:lineRule="auto"/>
              <w:jc w:val="right"/>
              <w:rPr>
                <w:rFonts w:cs="Arial"/>
                <w:color w:val="000000"/>
                <w:sz w:val="16"/>
                <w:szCs w:val="16"/>
              </w:rPr>
            </w:pPr>
            <w:r>
              <w:rPr>
                <w:rFonts w:cs="Arial"/>
                <w:color w:val="000000"/>
                <w:sz w:val="16"/>
                <w:szCs w:val="16"/>
              </w:rPr>
              <w:t>9,3</w:t>
            </w:r>
          </w:p>
        </w:tc>
        <w:tc>
          <w:tcPr>
            <w:tcW w:w="907" w:type="dxa"/>
            <w:tcBorders>
              <w:top w:val="nil"/>
              <w:left w:val="nil"/>
              <w:bottom w:val="nil"/>
              <w:right w:val="single" w:sz="4" w:space="0" w:color="auto"/>
            </w:tcBorders>
            <w:shd w:val="clear" w:color="auto" w:fill="auto"/>
            <w:noWrap/>
            <w:vAlign w:val="center"/>
            <w:hideMark/>
          </w:tcPr>
          <w:p w14:paraId="585DCFA9" w14:textId="2BC66D3D" w:rsidR="00736595" w:rsidRPr="00D92E20" w:rsidRDefault="00736595" w:rsidP="00736595">
            <w:pPr>
              <w:spacing w:after="0" w:line="240" w:lineRule="auto"/>
              <w:jc w:val="right"/>
              <w:rPr>
                <w:rFonts w:cs="Arial"/>
                <w:color w:val="000000"/>
                <w:sz w:val="16"/>
                <w:szCs w:val="16"/>
              </w:rPr>
            </w:pPr>
            <w:r>
              <w:rPr>
                <w:rFonts w:cs="Arial"/>
                <w:color w:val="000000"/>
                <w:sz w:val="16"/>
                <w:szCs w:val="16"/>
              </w:rPr>
              <w:t>6,8</w:t>
            </w:r>
          </w:p>
        </w:tc>
        <w:tc>
          <w:tcPr>
            <w:tcW w:w="907" w:type="dxa"/>
            <w:tcBorders>
              <w:top w:val="nil"/>
              <w:left w:val="nil"/>
              <w:bottom w:val="nil"/>
              <w:right w:val="nil"/>
            </w:tcBorders>
            <w:shd w:val="clear" w:color="auto" w:fill="auto"/>
            <w:noWrap/>
            <w:vAlign w:val="center"/>
            <w:hideMark/>
          </w:tcPr>
          <w:p w14:paraId="21F46269" w14:textId="6250F738" w:rsidR="00736595" w:rsidRPr="00D92E20" w:rsidRDefault="00736595" w:rsidP="00736595">
            <w:pPr>
              <w:spacing w:after="0" w:line="240" w:lineRule="auto"/>
              <w:jc w:val="right"/>
              <w:rPr>
                <w:rFonts w:cs="Arial"/>
                <w:color w:val="000000"/>
                <w:sz w:val="16"/>
                <w:szCs w:val="16"/>
              </w:rPr>
            </w:pPr>
            <w:r>
              <w:rPr>
                <w:rFonts w:cs="Arial"/>
                <w:color w:val="000000"/>
                <w:sz w:val="16"/>
                <w:szCs w:val="16"/>
              </w:rPr>
              <w:t>31,3</w:t>
            </w:r>
          </w:p>
        </w:tc>
        <w:tc>
          <w:tcPr>
            <w:tcW w:w="907" w:type="dxa"/>
            <w:tcBorders>
              <w:top w:val="nil"/>
              <w:left w:val="nil"/>
              <w:bottom w:val="nil"/>
              <w:right w:val="nil"/>
            </w:tcBorders>
            <w:shd w:val="clear" w:color="auto" w:fill="auto"/>
            <w:noWrap/>
            <w:vAlign w:val="center"/>
            <w:hideMark/>
          </w:tcPr>
          <w:p w14:paraId="37700BB8" w14:textId="5BD4FBC2" w:rsidR="00736595" w:rsidRPr="00D92E20" w:rsidRDefault="00736595" w:rsidP="00736595">
            <w:pPr>
              <w:spacing w:after="0" w:line="240" w:lineRule="auto"/>
              <w:jc w:val="right"/>
              <w:rPr>
                <w:rFonts w:cs="Arial"/>
                <w:color w:val="000000"/>
                <w:sz w:val="16"/>
                <w:szCs w:val="16"/>
              </w:rPr>
            </w:pPr>
            <w:r>
              <w:rPr>
                <w:rFonts w:cs="Arial"/>
                <w:color w:val="000000"/>
                <w:sz w:val="16"/>
                <w:szCs w:val="16"/>
              </w:rPr>
              <w:t>32,0</w:t>
            </w:r>
          </w:p>
        </w:tc>
        <w:tc>
          <w:tcPr>
            <w:tcW w:w="907" w:type="dxa"/>
            <w:tcBorders>
              <w:top w:val="nil"/>
              <w:left w:val="nil"/>
              <w:bottom w:val="nil"/>
              <w:right w:val="nil"/>
            </w:tcBorders>
            <w:shd w:val="clear" w:color="auto" w:fill="auto"/>
            <w:noWrap/>
            <w:vAlign w:val="center"/>
            <w:hideMark/>
          </w:tcPr>
          <w:p w14:paraId="607E66D0" w14:textId="531113FD" w:rsidR="00736595" w:rsidRPr="00D92E20" w:rsidRDefault="00736595" w:rsidP="00736595">
            <w:pPr>
              <w:spacing w:after="0" w:line="240" w:lineRule="auto"/>
              <w:jc w:val="right"/>
              <w:rPr>
                <w:rFonts w:cs="Arial"/>
                <w:color w:val="000000"/>
                <w:sz w:val="16"/>
                <w:szCs w:val="16"/>
              </w:rPr>
            </w:pPr>
            <w:r>
              <w:rPr>
                <w:rFonts w:cs="Arial"/>
                <w:color w:val="000000"/>
                <w:sz w:val="16"/>
                <w:szCs w:val="16"/>
              </w:rPr>
              <w:t>30,4</w:t>
            </w:r>
          </w:p>
        </w:tc>
      </w:tr>
      <w:tr w:rsidR="00736595" w:rsidRPr="00D92E20" w14:paraId="1BC1C619" w14:textId="77777777" w:rsidTr="00E371CF">
        <w:trPr>
          <w:trHeight w:val="300"/>
        </w:trPr>
        <w:tc>
          <w:tcPr>
            <w:tcW w:w="4195" w:type="dxa"/>
            <w:tcBorders>
              <w:top w:val="nil"/>
              <w:left w:val="nil"/>
              <w:bottom w:val="nil"/>
              <w:right w:val="nil"/>
            </w:tcBorders>
            <w:shd w:val="clear" w:color="auto" w:fill="auto"/>
            <w:noWrap/>
            <w:vAlign w:val="center"/>
            <w:hideMark/>
          </w:tcPr>
          <w:p w14:paraId="31476962" w14:textId="59523478" w:rsidR="00736595" w:rsidRPr="00D92E20" w:rsidRDefault="00736595" w:rsidP="00736595">
            <w:pPr>
              <w:spacing w:after="0" w:line="240" w:lineRule="auto"/>
              <w:ind w:firstLineChars="100" w:firstLine="160"/>
              <w:rPr>
                <w:rFonts w:cs="Arial"/>
                <w:color w:val="000000"/>
                <w:sz w:val="16"/>
                <w:szCs w:val="16"/>
              </w:rPr>
            </w:pPr>
            <w:r>
              <w:rPr>
                <w:rFonts w:cs="Arial"/>
                <w:sz w:val="16"/>
                <w:szCs w:val="16"/>
              </w:rPr>
              <w:t xml:space="preserve">   Nemoci pohybové soustavy</w:t>
            </w:r>
          </w:p>
        </w:tc>
        <w:tc>
          <w:tcPr>
            <w:tcW w:w="907" w:type="dxa"/>
            <w:tcBorders>
              <w:top w:val="nil"/>
              <w:left w:val="single" w:sz="4" w:space="0" w:color="auto"/>
              <w:bottom w:val="nil"/>
              <w:right w:val="nil"/>
            </w:tcBorders>
            <w:shd w:val="clear" w:color="auto" w:fill="auto"/>
            <w:noWrap/>
            <w:vAlign w:val="center"/>
            <w:hideMark/>
          </w:tcPr>
          <w:p w14:paraId="1BA2B0D7" w14:textId="0623979D" w:rsidR="00736595" w:rsidRPr="00D92E20" w:rsidRDefault="00736595" w:rsidP="00736595">
            <w:pPr>
              <w:spacing w:after="0" w:line="240" w:lineRule="auto"/>
              <w:jc w:val="right"/>
              <w:rPr>
                <w:rFonts w:cs="Arial"/>
                <w:color w:val="000000"/>
                <w:sz w:val="16"/>
                <w:szCs w:val="16"/>
              </w:rPr>
            </w:pPr>
            <w:r>
              <w:rPr>
                <w:rFonts w:cs="Arial"/>
                <w:color w:val="000000"/>
                <w:sz w:val="16"/>
                <w:szCs w:val="16"/>
              </w:rPr>
              <w:t>207,5</w:t>
            </w:r>
          </w:p>
        </w:tc>
        <w:tc>
          <w:tcPr>
            <w:tcW w:w="907" w:type="dxa"/>
            <w:tcBorders>
              <w:top w:val="nil"/>
              <w:left w:val="nil"/>
              <w:bottom w:val="nil"/>
              <w:right w:val="nil"/>
            </w:tcBorders>
            <w:shd w:val="clear" w:color="auto" w:fill="auto"/>
            <w:noWrap/>
            <w:vAlign w:val="center"/>
            <w:hideMark/>
          </w:tcPr>
          <w:p w14:paraId="4B66F295" w14:textId="1C1AF431" w:rsidR="00736595" w:rsidRPr="00D92E20" w:rsidRDefault="00736595" w:rsidP="00736595">
            <w:pPr>
              <w:spacing w:after="0" w:line="240" w:lineRule="auto"/>
              <w:jc w:val="right"/>
              <w:rPr>
                <w:rFonts w:cs="Arial"/>
                <w:color w:val="000000"/>
                <w:sz w:val="16"/>
                <w:szCs w:val="16"/>
              </w:rPr>
            </w:pPr>
            <w:r>
              <w:rPr>
                <w:rFonts w:cs="Arial"/>
                <w:color w:val="000000"/>
                <w:sz w:val="16"/>
                <w:szCs w:val="16"/>
              </w:rPr>
              <w:t>105,6</w:t>
            </w:r>
          </w:p>
        </w:tc>
        <w:tc>
          <w:tcPr>
            <w:tcW w:w="907" w:type="dxa"/>
            <w:tcBorders>
              <w:top w:val="nil"/>
              <w:left w:val="nil"/>
              <w:bottom w:val="nil"/>
              <w:right w:val="single" w:sz="4" w:space="0" w:color="auto"/>
            </w:tcBorders>
            <w:shd w:val="clear" w:color="auto" w:fill="auto"/>
            <w:noWrap/>
            <w:vAlign w:val="center"/>
            <w:hideMark/>
          </w:tcPr>
          <w:p w14:paraId="47752D19" w14:textId="704EB171" w:rsidR="00736595" w:rsidRPr="00D92E20" w:rsidRDefault="00736595" w:rsidP="00736595">
            <w:pPr>
              <w:spacing w:after="0" w:line="240" w:lineRule="auto"/>
              <w:jc w:val="right"/>
              <w:rPr>
                <w:rFonts w:cs="Arial"/>
                <w:color w:val="000000"/>
                <w:sz w:val="16"/>
                <w:szCs w:val="16"/>
              </w:rPr>
            </w:pPr>
            <w:r>
              <w:rPr>
                <w:rFonts w:cs="Arial"/>
                <w:color w:val="000000"/>
                <w:sz w:val="16"/>
                <w:szCs w:val="16"/>
              </w:rPr>
              <w:t>102,0</w:t>
            </w:r>
          </w:p>
        </w:tc>
        <w:tc>
          <w:tcPr>
            <w:tcW w:w="907" w:type="dxa"/>
            <w:tcBorders>
              <w:top w:val="nil"/>
              <w:left w:val="nil"/>
              <w:bottom w:val="nil"/>
              <w:right w:val="nil"/>
            </w:tcBorders>
            <w:shd w:val="clear" w:color="auto" w:fill="auto"/>
            <w:noWrap/>
            <w:vAlign w:val="center"/>
            <w:hideMark/>
          </w:tcPr>
          <w:p w14:paraId="754FF24B" w14:textId="3B22E428" w:rsidR="00736595" w:rsidRPr="00D92E20" w:rsidRDefault="00736595" w:rsidP="00736595">
            <w:pPr>
              <w:spacing w:after="0" w:line="240" w:lineRule="auto"/>
              <w:jc w:val="right"/>
              <w:rPr>
                <w:rFonts w:cs="Arial"/>
                <w:color w:val="000000"/>
                <w:sz w:val="16"/>
                <w:szCs w:val="16"/>
              </w:rPr>
            </w:pPr>
            <w:r>
              <w:rPr>
                <w:rFonts w:cs="Arial"/>
                <w:color w:val="000000"/>
                <w:sz w:val="16"/>
                <w:szCs w:val="16"/>
              </w:rPr>
              <w:t>66,4</w:t>
            </w:r>
          </w:p>
        </w:tc>
        <w:tc>
          <w:tcPr>
            <w:tcW w:w="907" w:type="dxa"/>
            <w:tcBorders>
              <w:top w:val="nil"/>
              <w:left w:val="nil"/>
              <w:bottom w:val="nil"/>
              <w:right w:val="nil"/>
            </w:tcBorders>
            <w:shd w:val="clear" w:color="auto" w:fill="auto"/>
            <w:noWrap/>
            <w:vAlign w:val="center"/>
            <w:hideMark/>
          </w:tcPr>
          <w:p w14:paraId="170F1BC3" w14:textId="06B74CFA" w:rsidR="00736595" w:rsidRPr="00D92E20" w:rsidRDefault="00736595" w:rsidP="00736595">
            <w:pPr>
              <w:spacing w:after="0" w:line="240" w:lineRule="auto"/>
              <w:jc w:val="right"/>
              <w:rPr>
                <w:rFonts w:cs="Arial"/>
                <w:color w:val="000000"/>
                <w:sz w:val="16"/>
                <w:szCs w:val="16"/>
              </w:rPr>
            </w:pPr>
            <w:r>
              <w:rPr>
                <w:rFonts w:cs="Arial"/>
                <w:color w:val="000000"/>
                <w:sz w:val="16"/>
                <w:szCs w:val="16"/>
              </w:rPr>
              <w:t>62,2</w:t>
            </w:r>
          </w:p>
        </w:tc>
        <w:tc>
          <w:tcPr>
            <w:tcW w:w="907" w:type="dxa"/>
            <w:tcBorders>
              <w:top w:val="nil"/>
              <w:left w:val="nil"/>
              <w:bottom w:val="nil"/>
              <w:right w:val="nil"/>
            </w:tcBorders>
            <w:shd w:val="clear" w:color="auto" w:fill="auto"/>
            <w:noWrap/>
            <w:vAlign w:val="center"/>
            <w:hideMark/>
          </w:tcPr>
          <w:p w14:paraId="39A8CCB3" w14:textId="3AEA8AE9" w:rsidR="00736595" w:rsidRPr="00D92E20" w:rsidRDefault="00736595" w:rsidP="00736595">
            <w:pPr>
              <w:spacing w:after="0" w:line="240" w:lineRule="auto"/>
              <w:jc w:val="right"/>
              <w:rPr>
                <w:rFonts w:cs="Arial"/>
                <w:color w:val="000000"/>
                <w:sz w:val="16"/>
                <w:szCs w:val="16"/>
              </w:rPr>
            </w:pPr>
            <w:r>
              <w:rPr>
                <w:rFonts w:cs="Arial"/>
                <w:color w:val="000000"/>
                <w:sz w:val="16"/>
                <w:szCs w:val="16"/>
              </w:rPr>
              <w:t>70,8</w:t>
            </w:r>
          </w:p>
        </w:tc>
      </w:tr>
      <w:tr w:rsidR="00736595" w:rsidRPr="00D92E20" w14:paraId="1CC708E5" w14:textId="77777777" w:rsidTr="00E371CF">
        <w:trPr>
          <w:trHeight w:val="300"/>
        </w:trPr>
        <w:tc>
          <w:tcPr>
            <w:tcW w:w="4195" w:type="dxa"/>
            <w:tcBorders>
              <w:top w:val="nil"/>
              <w:left w:val="nil"/>
              <w:bottom w:val="nil"/>
              <w:right w:val="nil"/>
            </w:tcBorders>
            <w:shd w:val="clear" w:color="auto" w:fill="auto"/>
            <w:noWrap/>
            <w:vAlign w:val="center"/>
            <w:hideMark/>
          </w:tcPr>
          <w:p w14:paraId="73D9631A" w14:textId="63DBFC49" w:rsidR="00736595" w:rsidRPr="00D92E20" w:rsidRDefault="00736595" w:rsidP="00736595">
            <w:pPr>
              <w:spacing w:after="0" w:line="240" w:lineRule="auto"/>
              <w:ind w:firstLineChars="200" w:firstLine="320"/>
              <w:rPr>
                <w:rFonts w:cs="Arial"/>
                <w:color w:val="000000"/>
                <w:sz w:val="16"/>
                <w:szCs w:val="16"/>
              </w:rPr>
            </w:pPr>
            <w:r>
              <w:rPr>
                <w:rFonts w:cs="Arial"/>
                <w:sz w:val="16"/>
                <w:szCs w:val="16"/>
              </w:rPr>
              <w:t xml:space="preserve">      – nemoci páteře</w:t>
            </w:r>
          </w:p>
        </w:tc>
        <w:tc>
          <w:tcPr>
            <w:tcW w:w="907" w:type="dxa"/>
            <w:tcBorders>
              <w:top w:val="nil"/>
              <w:left w:val="single" w:sz="4" w:space="0" w:color="auto"/>
              <w:bottom w:val="nil"/>
              <w:right w:val="nil"/>
            </w:tcBorders>
            <w:shd w:val="clear" w:color="auto" w:fill="auto"/>
            <w:noWrap/>
            <w:vAlign w:val="center"/>
            <w:hideMark/>
          </w:tcPr>
          <w:p w14:paraId="75BBDB39" w14:textId="7479FF1E" w:rsidR="00736595" w:rsidRPr="00D92E20" w:rsidRDefault="00736595" w:rsidP="00736595">
            <w:pPr>
              <w:spacing w:after="0" w:line="240" w:lineRule="auto"/>
              <w:jc w:val="right"/>
              <w:rPr>
                <w:rFonts w:cs="Arial"/>
                <w:color w:val="000000"/>
                <w:sz w:val="16"/>
                <w:szCs w:val="16"/>
              </w:rPr>
            </w:pPr>
            <w:r>
              <w:rPr>
                <w:rFonts w:cs="Arial"/>
                <w:color w:val="000000"/>
                <w:sz w:val="16"/>
                <w:szCs w:val="16"/>
              </w:rPr>
              <w:t>136,9</w:t>
            </w:r>
          </w:p>
        </w:tc>
        <w:tc>
          <w:tcPr>
            <w:tcW w:w="907" w:type="dxa"/>
            <w:tcBorders>
              <w:top w:val="nil"/>
              <w:left w:val="nil"/>
              <w:bottom w:val="nil"/>
              <w:right w:val="nil"/>
            </w:tcBorders>
            <w:shd w:val="clear" w:color="auto" w:fill="auto"/>
            <w:noWrap/>
            <w:vAlign w:val="center"/>
            <w:hideMark/>
          </w:tcPr>
          <w:p w14:paraId="42D6006F" w14:textId="4F99EDE2" w:rsidR="00736595" w:rsidRPr="00D92E20" w:rsidRDefault="00736595" w:rsidP="00736595">
            <w:pPr>
              <w:spacing w:after="0" w:line="240" w:lineRule="auto"/>
              <w:jc w:val="right"/>
              <w:rPr>
                <w:rFonts w:cs="Arial"/>
                <w:color w:val="000000"/>
                <w:sz w:val="16"/>
                <w:szCs w:val="16"/>
              </w:rPr>
            </w:pPr>
            <w:r>
              <w:rPr>
                <w:rFonts w:cs="Arial"/>
                <w:color w:val="000000"/>
                <w:sz w:val="16"/>
                <w:szCs w:val="16"/>
              </w:rPr>
              <w:t>69,3</w:t>
            </w:r>
          </w:p>
        </w:tc>
        <w:tc>
          <w:tcPr>
            <w:tcW w:w="907" w:type="dxa"/>
            <w:tcBorders>
              <w:top w:val="nil"/>
              <w:left w:val="nil"/>
              <w:bottom w:val="nil"/>
              <w:right w:val="single" w:sz="4" w:space="0" w:color="auto"/>
            </w:tcBorders>
            <w:shd w:val="clear" w:color="auto" w:fill="auto"/>
            <w:noWrap/>
            <w:vAlign w:val="center"/>
            <w:hideMark/>
          </w:tcPr>
          <w:p w14:paraId="26DB7D5D" w14:textId="62E50B2D" w:rsidR="00736595" w:rsidRPr="00D92E20" w:rsidRDefault="00736595" w:rsidP="00736595">
            <w:pPr>
              <w:spacing w:after="0" w:line="240" w:lineRule="auto"/>
              <w:jc w:val="right"/>
              <w:rPr>
                <w:rFonts w:cs="Arial"/>
                <w:color w:val="000000"/>
                <w:sz w:val="16"/>
                <w:szCs w:val="16"/>
              </w:rPr>
            </w:pPr>
            <w:r>
              <w:rPr>
                <w:rFonts w:cs="Arial"/>
                <w:color w:val="000000"/>
                <w:sz w:val="16"/>
                <w:szCs w:val="16"/>
              </w:rPr>
              <w:t>67,6</w:t>
            </w:r>
          </w:p>
        </w:tc>
        <w:tc>
          <w:tcPr>
            <w:tcW w:w="907" w:type="dxa"/>
            <w:tcBorders>
              <w:top w:val="nil"/>
              <w:left w:val="nil"/>
              <w:bottom w:val="nil"/>
              <w:right w:val="nil"/>
            </w:tcBorders>
            <w:shd w:val="clear" w:color="auto" w:fill="auto"/>
            <w:noWrap/>
            <w:vAlign w:val="center"/>
            <w:hideMark/>
          </w:tcPr>
          <w:p w14:paraId="4D6526DC" w14:textId="4FA827BC" w:rsidR="00736595" w:rsidRPr="00D92E20" w:rsidRDefault="00736595" w:rsidP="00736595">
            <w:pPr>
              <w:spacing w:after="0" w:line="240" w:lineRule="auto"/>
              <w:jc w:val="right"/>
              <w:rPr>
                <w:rFonts w:cs="Arial"/>
                <w:color w:val="000000"/>
                <w:sz w:val="16"/>
                <w:szCs w:val="16"/>
              </w:rPr>
            </w:pPr>
            <w:r>
              <w:rPr>
                <w:rFonts w:cs="Arial"/>
                <w:color w:val="000000"/>
                <w:sz w:val="16"/>
                <w:szCs w:val="16"/>
              </w:rPr>
              <w:t>61,9</w:t>
            </w:r>
          </w:p>
        </w:tc>
        <w:tc>
          <w:tcPr>
            <w:tcW w:w="907" w:type="dxa"/>
            <w:tcBorders>
              <w:top w:val="nil"/>
              <w:left w:val="nil"/>
              <w:bottom w:val="nil"/>
              <w:right w:val="nil"/>
            </w:tcBorders>
            <w:shd w:val="clear" w:color="auto" w:fill="auto"/>
            <w:noWrap/>
            <w:vAlign w:val="center"/>
            <w:hideMark/>
          </w:tcPr>
          <w:p w14:paraId="3C90AA1A" w14:textId="5B01E29D" w:rsidR="00736595" w:rsidRPr="00D92E20" w:rsidRDefault="00736595" w:rsidP="00736595">
            <w:pPr>
              <w:spacing w:after="0" w:line="240" w:lineRule="auto"/>
              <w:jc w:val="right"/>
              <w:rPr>
                <w:rFonts w:cs="Arial"/>
                <w:color w:val="000000"/>
                <w:sz w:val="16"/>
                <w:szCs w:val="16"/>
              </w:rPr>
            </w:pPr>
            <w:r>
              <w:rPr>
                <w:rFonts w:cs="Arial"/>
                <w:color w:val="000000"/>
                <w:sz w:val="16"/>
                <w:szCs w:val="16"/>
              </w:rPr>
              <w:t>57,6</w:t>
            </w:r>
          </w:p>
        </w:tc>
        <w:tc>
          <w:tcPr>
            <w:tcW w:w="907" w:type="dxa"/>
            <w:tcBorders>
              <w:top w:val="nil"/>
              <w:left w:val="nil"/>
              <w:bottom w:val="nil"/>
              <w:right w:val="nil"/>
            </w:tcBorders>
            <w:shd w:val="clear" w:color="auto" w:fill="auto"/>
            <w:noWrap/>
            <w:vAlign w:val="center"/>
            <w:hideMark/>
          </w:tcPr>
          <w:p w14:paraId="14DA7BAB" w14:textId="584C6EB8" w:rsidR="00736595" w:rsidRPr="00D92E20" w:rsidRDefault="00736595" w:rsidP="00736595">
            <w:pPr>
              <w:spacing w:after="0" w:line="240" w:lineRule="auto"/>
              <w:jc w:val="right"/>
              <w:rPr>
                <w:rFonts w:cs="Arial"/>
                <w:color w:val="000000"/>
                <w:sz w:val="16"/>
                <w:szCs w:val="16"/>
              </w:rPr>
            </w:pPr>
            <w:r>
              <w:rPr>
                <w:rFonts w:cs="Arial"/>
                <w:color w:val="000000"/>
                <w:sz w:val="16"/>
                <w:szCs w:val="16"/>
              </w:rPr>
              <w:t>66,3</w:t>
            </w:r>
          </w:p>
        </w:tc>
      </w:tr>
      <w:tr w:rsidR="00736595" w:rsidRPr="00D92E20" w14:paraId="5E10E5AA" w14:textId="77777777" w:rsidTr="00E371CF">
        <w:trPr>
          <w:trHeight w:val="300"/>
        </w:trPr>
        <w:tc>
          <w:tcPr>
            <w:tcW w:w="4195" w:type="dxa"/>
            <w:tcBorders>
              <w:top w:val="nil"/>
              <w:left w:val="nil"/>
              <w:bottom w:val="nil"/>
              <w:right w:val="nil"/>
            </w:tcBorders>
            <w:shd w:val="clear" w:color="auto" w:fill="auto"/>
            <w:noWrap/>
            <w:vAlign w:val="center"/>
            <w:hideMark/>
          </w:tcPr>
          <w:p w14:paraId="1AACEE65" w14:textId="5927D27B" w:rsidR="00736595" w:rsidRPr="00D92E20" w:rsidRDefault="00736595" w:rsidP="00736595">
            <w:pPr>
              <w:spacing w:after="0" w:line="240" w:lineRule="auto"/>
              <w:ind w:firstLineChars="200" w:firstLine="320"/>
              <w:rPr>
                <w:rFonts w:cs="Arial"/>
                <w:color w:val="000000"/>
                <w:sz w:val="16"/>
                <w:szCs w:val="16"/>
              </w:rPr>
            </w:pPr>
            <w:r>
              <w:rPr>
                <w:rFonts w:cs="Arial"/>
                <w:sz w:val="16"/>
                <w:szCs w:val="16"/>
              </w:rPr>
              <w:t xml:space="preserve">      – jiné nemoci pohybové soustavy</w:t>
            </w:r>
          </w:p>
        </w:tc>
        <w:tc>
          <w:tcPr>
            <w:tcW w:w="907" w:type="dxa"/>
            <w:tcBorders>
              <w:top w:val="nil"/>
              <w:left w:val="single" w:sz="4" w:space="0" w:color="auto"/>
              <w:bottom w:val="nil"/>
              <w:right w:val="nil"/>
            </w:tcBorders>
            <w:shd w:val="clear" w:color="auto" w:fill="auto"/>
            <w:noWrap/>
            <w:vAlign w:val="center"/>
            <w:hideMark/>
          </w:tcPr>
          <w:p w14:paraId="77424AD1" w14:textId="4E838950" w:rsidR="00736595" w:rsidRPr="00D92E20" w:rsidRDefault="00736595" w:rsidP="00736595">
            <w:pPr>
              <w:spacing w:after="0" w:line="240" w:lineRule="auto"/>
              <w:jc w:val="right"/>
              <w:rPr>
                <w:rFonts w:cs="Arial"/>
                <w:color w:val="000000"/>
                <w:sz w:val="16"/>
                <w:szCs w:val="16"/>
              </w:rPr>
            </w:pPr>
            <w:r>
              <w:rPr>
                <w:rFonts w:cs="Arial"/>
                <w:color w:val="000000"/>
                <w:sz w:val="16"/>
                <w:szCs w:val="16"/>
              </w:rPr>
              <w:t>70,6</w:t>
            </w:r>
          </w:p>
        </w:tc>
        <w:tc>
          <w:tcPr>
            <w:tcW w:w="907" w:type="dxa"/>
            <w:tcBorders>
              <w:top w:val="nil"/>
              <w:left w:val="nil"/>
              <w:bottom w:val="nil"/>
              <w:right w:val="nil"/>
            </w:tcBorders>
            <w:shd w:val="clear" w:color="auto" w:fill="auto"/>
            <w:noWrap/>
            <w:vAlign w:val="center"/>
            <w:hideMark/>
          </w:tcPr>
          <w:p w14:paraId="453D219F" w14:textId="1A288CD1" w:rsidR="00736595" w:rsidRPr="00D92E20" w:rsidRDefault="00736595" w:rsidP="00736595">
            <w:pPr>
              <w:spacing w:after="0" w:line="240" w:lineRule="auto"/>
              <w:jc w:val="right"/>
              <w:rPr>
                <w:rFonts w:cs="Arial"/>
                <w:color w:val="000000"/>
                <w:sz w:val="16"/>
                <w:szCs w:val="16"/>
              </w:rPr>
            </w:pPr>
            <w:r>
              <w:rPr>
                <w:rFonts w:cs="Arial"/>
                <w:color w:val="000000"/>
                <w:sz w:val="16"/>
                <w:szCs w:val="16"/>
              </w:rPr>
              <w:t>36,2</w:t>
            </w:r>
          </w:p>
        </w:tc>
        <w:tc>
          <w:tcPr>
            <w:tcW w:w="907" w:type="dxa"/>
            <w:tcBorders>
              <w:top w:val="nil"/>
              <w:left w:val="nil"/>
              <w:bottom w:val="nil"/>
              <w:right w:val="single" w:sz="4" w:space="0" w:color="auto"/>
            </w:tcBorders>
            <w:shd w:val="clear" w:color="auto" w:fill="auto"/>
            <w:noWrap/>
            <w:vAlign w:val="center"/>
            <w:hideMark/>
          </w:tcPr>
          <w:p w14:paraId="553FA79A" w14:textId="74AA48CE" w:rsidR="00736595" w:rsidRPr="00D92E20" w:rsidRDefault="00736595" w:rsidP="00736595">
            <w:pPr>
              <w:spacing w:after="0" w:line="240" w:lineRule="auto"/>
              <w:jc w:val="right"/>
              <w:rPr>
                <w:rFonts w:cs="Arial"/>
                <w:color w:val="000000"/>
                <w:sz w:val="16"/>
                <w:szCs w:val="16"/>
              </w:rPr>
            </w:pPr>
            <w:r>
              <w:rPr>
                <w:rFonts w:cs="Arial"/>
                <w:color w:val="000000"/>
                <w:sz w:val="16"/>
                <w:szCs w:val="16"/>
              </w:rPr>
              <w:t>34,4</w:t>
            </w:r>
          </w:p>
        </w:tc>
        <w:tc>
          <w:tcPr>
            <w:tcW w:w="907" w:type="dxa"/>
            <w:tcBorders>
              <w:top w:val="nil"/>
              <w:left w:val="nil"/>
              <w:bottom w:val="nil"/>
              <w:right w:val="nil"/>
            </w:tcBorders>
            <w:shd w:val="clear" w:color="auto" w:fill="auto"/>
            <w:noWrap/>
            <w:vAlign w:val="center"/>
            <w:hideMark/>
          </w:tcPr>
          <w:p w14:paraId="060DACCB" w14:textId="04662E3B" w:rsidR="00736595" w:rsidRPr="00D92E20" w:rsidRDefault="00736595" w:rsidP="00736595">
            <w:pPr>
              <w:spacing w:after="0" w:line="240" w:lineRule="auto"/>
              <w:jc w:val="right"/>
              <w:rPr>
                <w:rFonts w:cs="Arial"/>
                <w:color w:val="000000"/>
                <w:sz w:val="16"/>
                <w:szCs w:val="16"/>
              </w:rPr>
            </w:pPr>
            <w:r>
              <w:rPr>
                <w:rFonts w:cs="Arial"/>
                <w:color w:val="000000"/>
                <w:sz w:val="16"/>
                <w:szCs w:val="16"/>
              </w:rPr>
              <w:t>75,2</w:t>
            </w:r>
          </w:p>
        </w:tc>
        <w:tc>
          <w:tcPr>
            <w:tcW w:w="907" w:type="dxa"/>
            <w:tcBorders>
              <w:top w:val="nil"/>
              <w:left w:val="nil"/>
              <w:bottom w:val="nil"/>
              <w:right w:val="nil"/>
            </w:tcBorders>
            <w:shd w:val="clear" w:color="auto" w:fill="auto"/>
            <w:noWrap/>
            <w:vAlign w:val="center"/>
            <w:hideMark/>
          </w:tcPr>
          <w:p w14:paraId="55AAA629" w14:textId="5AA65CB4" w:rsidR="00736595" w:rsidRPr="00D92E20" w:rsidRDefault="00736595" w:rsidP="00736595">
            <w:pPr>
              <w:spacing w:after="0" w:line="240" w:lineRule="auto"/>
              <w:jc w:val="right"/>
              <w:rPr>
                <w:rFonts w:cs="Arial"/>
                <w:color w:val="000000"/>
                <w:sz w:val="16"/>
                <w:szCs w:val="16"/>
              </w:rPr>
            </w:pPr>
            <w:r>
              <w:rPr>
                <w:rFonts w:cs="Arial"/>
                <w:color w:val="000000"/>
                <w:sz w:val="16"/>
                <w:szCs w:val="16"/>
              </w:rPr>
              <w:t>71,0</w:t>
            </w:r>
          </w:p>
        </w:tc>
        <w:tc>
          <w:tcPr>
            <w:tcW w:w="907" w:type="dxa"/>
            <w:tcBorders>
              <w:top w:val="nil"/>
              <w:left w:val="nil"/>
              <w:bottom w:val="nil"/>
              <w:right w:val="nil"/>
            </w:tcBorders>
            <w:shd w:val="clear" w:color="auto" w:fill="auto"/>
            <w:noWrap/>
            <w:vAlign w:val="center"/>
            <w:hideMark/>
          </w:tcPr>
          <w:p w14:paraId="0EB55880" w14:textId="0632978C" w:rsidR="00736595" w:rsidRPr="00D92E20" w:rsidRDefault="00736595" w:rsidP="00736595">
            <w:pPr>
              <w:spacing w:after="0" w:line="240" w:lineRule="auto"/>
              <w:jc w:val="right"/>
              <w:rPr>
                <w:rFonts w:cs="Arial"/>
                <w:color w:val="000000"/>
                <w:sz w:val="16"/>
                <w:szCs w:val="16"/>
              </w:rPr>
            </w:pPr>
            <w:r>
              <w:rPr>
                <w:rFonts w:cs="Arial"/>
                <w:color w:val="000000"/>
                <w:sz w:val="16"/>
                <w:szCs w:val="16"/>
              </w:rPr>
              <w:t>79,6</w:t>
            </w:r>
          </w:p>
        </w:tc>
      </w:tr>
      <w:tr w:rsidR="00736595" w:rsidRPr="00D92E20" w14:paraId="3514D31D" w14:textId="77777777" w:rsidTr="00E371CF">
        <w:trPr>
          <w:trHeight w:val="300"/>
        </w:trPr>
        <w:tc>
          <w:tcPr>
            <w:tcW w:w="4195" w:type="dxa"/>
            <w:tcBorders>
              <w:top w:val="nil"/>
              <w:left w:val="nil"/>
              <w:bottom w:val="nil"/>
              <w:right w:val="nil"/>
            </w:tcBorders>
            <w:shd w:val="clear" w:color="auto" w:fill="auto"/>
            <w:noWrap/>
            <w:vAlign w:val="center"/>
            <w:hideMark/>
          </w:tcPr>
          <w:p w14:paraId="49478951" w14:textId="19DA3F33" w:rsidR="00736595" w:rsidRPr="00D92E20" w:rsidRDefault="00736595" w:rsidP="00736595">
            <w:pPr>
              <w:spacing w:after="0" w:line="240" w:lineRule="auto"/>
              <w:ind w:firstLineChars="100" w:firstLine="160"/>
              <w:rPr>
                <w:rFonts w:cs="Arial"/>
                <w:color w:val="000000"/>
                <w:sz w:val="16"/>
                <w:szCs w:val="16"/>
              </w:rPr>
            </w:pPr>
            <w:r>
              <w:rPr>
                <w:rFonts w:cs="Arial"/>
                <w:sz w:val="16"/>
                <w:szCs w:val="16"/>
              </w:rPr>
              <w:t xml:space="preserve">   Nemoci močové a pohlavní soustavy</w:t>
            </w:r>
          </w:p>
        </w:tc>
        <w:tc>
          <w:tcPr>
            <w:tcW w:w="907" w:type="dxa"/>
            <w:tcBorders>
              <w:top w:val="nil"/>
              <w:left w:val="single" w:sz="4" w:space="0" w:color="auto"/>
              <w:bottom w:val="nil"/>
              <w:right w:val="nil"/>
            </w:tcBorders>
            <w:shd w:val="clear" w:color="auto" w:fill="auto"/>
            <w:noWrap/>
            <w:vAlign w:val="center"/>
            <w:hideMark/>
          </w:tcPr>
          <w:p w14:paraId="586BCB1B" w14:textId="55D65FFE" w:rsidR="00736595" w:rsidRPr="00D92E20" w:rsidRDefault="00736595" w:rsidP="00736595">
            <w:pPr>
              <w:spacing w:after="0" w:line="240" w:lineRule="auto"/>
              <w:jc w:val="right"/>
              <w:rPr>
                <w:rFonts w:cs="Arial"/>
                <w:color w:val="000000"/>
                <w:sz w:val="16"/>
                <w:szCs w:val="16"/>
              </w:rPr>
            </w:pPr>
            <w:r>
              <w:rPr>
                <w:rFonts w:cs="Arial"/>
                <w:color w:val="000000"/>
                <w:sz w:val="16"/>
                <w:szCs w:val="16"/>
              </w:rPr>
              <w:t>43,1</w:t>
            </w:r>
          </w:p>
        </w:tc>
        <w:tc>
          <w:tcPr>
            <w:tcW w:w="907" w:type="dxa"/>
            <w:tcBorders>
              <w:top w:val="nil"/>
              <w:left w:val="nil"/>
              <w:bottom w:val="nil"/>
              <w:right w:val="nil"/>
            </w:tcBorders>
            <w:shd w:val="clear" w:color="auto" w:fill="auto"/>
            <w:noWrap/>
            <w:vAlign w:val="center"/>
            <w:hideMark/>
          </w:tcPr>
          <w:p w14:paraId="3A5BAD1D" w14:textId="15F660C1" w:rsidR="00736595" w:rsidRPr="00D92E20" w:rsidRDefault="00736595" w:rsidP="00736595">
            <w:pPr>
              <w:spacing w:after="0" w:line="240" w:lineRule="auto"/>
              <w:jc w:val="right"/>
              <w:rPr>
                <w:rFonts w:cs="Arial"/>
                <w:color w:val="000000"/>
                <w:sz w:val="16"/>
                <w:szCs w:val="16"/>
              </w:rPr>
            </w:pPr>
            <w:r>
              <w:rPr>
                <w:rFonts w:cs="Arial"/>
                <w:color w:val="000000"/>
                <w:sz w:val="16"/>
                <w:szCs w:val="16"/>
              </w:rPr>
              <w:t>9,7</w:t>
            </w:r>
          </w:p>
        </w:tc>
        <w:tc>
          <w:tcPr>
            <w:tcW w:w="907" w:type="dxa"/>
            <w:tcBorders>
              <w:top w:val="nil"/>
              <w:left w:val="nil"/>
              <w:bottom w:val="nil"/>
              <w:right w:val="single" w:sz="4" w:space="0" w:color="auto"/>
            </w:tcBorders>
            <w:shd w:val="clear" w:color="auto" w:fill="auto"/>
            <w:noWrap/>
            <w:vAlign w:val="center"/>
            <w:hideMark/>
          </w:tcPr>
          <w:p w14:paraId="6A0D175C" w14:textId="69DFF904" w:rsidR="00736595" w:rsidRPr="00D92E20" w:rsidRDefault="00736595" w:rsidP="00736595">
            <w:pPr>
              <w:spacing w:after="0" w:line="240" w:lineRule="auto"/>
              <w:jc w:val="right"/>
              <w:rPr>
                <w:rFonts w:cs="Arial"/>
                <w:color w:val="000000"/>
                <w:sz w:val="16"/>
                <w:szCs w:val="16"/>
              </w:rPr>
            </w:pPr>
            <w:r>
              <w:rPr>
                <w:rFonts w:cs="Arial"/>
                <w:color w:val="000000"/>
                <w:sz w:val="16"/>
                <w:szCs w:val="16"/>
              </w:rPr>
              <w:t>33,4</w:t>
            </w:r>
          </w:p>
        </w:tc>
        <w:tc>
          <w:tcPr>
            <w:tcW w:w="907" w:type="dxa"/>
            <w:tcBorders>
              <w:top w:val="nil"/>
              <w:left w:val="nil"/>
              <w:bottom w:val="nil"/>
              <w:right w:val="nil"/>
            </w:tcBorders>
            <w:shd w:val="clear" w:color="auto" w:fill="auto"/>
            <w:noWrap/>
            <w:vAlign w:val="center"/>
            <w:hideMark/>
          </w:tcPr>
          <w:p w14:paraId="13461EDC" w14:textId="35D83C13" w:rsidR="00736595" w:rsidRPr="00D92E20" w:rsidRDefault="00736595" w:rsidP="00736595">
            <w:pPr>
              <w:spacing w:after="0" w:line="240" w:lineRule="auto"/>
              <w:jc w:val="right"/>
              <w:rPr>
                <w:rFonts w:cs="Arial"/>
                <w:color w:val="000000"/>
                <w:sz w:val="16"/>
                <w:szCs w:val="16"/>
              </w:rPr>
            </w:pPr>
            <w:r>
              <w:rPr>
                <w:rFonts w:cs="Arial"/>
                <w:color w:val="000000"/>
                <w:sz w:val="16"/>
                <w:szCs w:val="16"/>
              </w:rPr>
              <w:t>31,1</w:t>
            </w:r>
          </w:p>
        </w:tc>
        <w:tc>
          <w:tcPr>
            <w:tcW w:w="907" w:type="dxa"/>
            <w:tcBorders>
              <w:top w:val="nil"/>
              <w:left w:val="nil"/>
              <w:bottom w:val="nil"/>
              <w:right w:val="nil"/>
            </w:tcBorders>
            <w:shd w:val="clear" w:color="auto" w:fill="auto"/>
            <w:noWrap/>
            <w:vAlign w:val="center"/>
            <w:hideMark/>
          </w:tcPr>
          <w:p w14:paraId="041A89C2" w14:textId="73FFE952" w:rsidR="00736595" w:rsidRPr="00D92E20" w:rsidRDefault="00736595" w:rsidP="00736595">
            <w:pPr>
              <w:spacing w:after="0" w:line="240" w:lineRule="auto"/>
              <w:jc w:val="right"/>
              <w:rPr>
                <w:rFonts w:cs="Arial"/>
                <w:color w:val="000000"/>
                <w:sz w:val="16"/>
                <w:szCs w:val="16"/>
              </w:rPr>
            </w:pPr>
            <w:r>
              <w:rPr>
                <w:rFonts w:cs="Arial"/>
                <w:color w:val="000000"/>
                <w:sz w:val="16"/>
                <w:szCs w:val="16"/>
              </w:rPr>
              <w:t>34,9</w:t>
            </w:r>
          </w:p>
        </w:tc>
        <w:tc>
          <w:tcPr>
            <w:tcW w:w="907" w:type="dxa"/>
            <w:tcBorders>
              <w:top w:val="nil"/>
              <w:left w:val="nil"/>
              <w:bottom w:val="nil"/>
              <w:right w:val="nil"/>
            </w:tcBorders>
            <w:shd w:val="clear" w:color="auto" w:fill="auto"/>
            <w:noWrap/>
            <w:vAlign w:val="center"/>
            <w:hideMark/>
          </w:tcPr>
          <w:p w14:paraId="092394EC" w14:textId="0D650106" w:rsidR="00736595" w:rsidRPr="00D92E20" w:rsidRDefault="00736595" w:rsidP="00736595">
            <w:pPr>
              <w:spacing w:after="0" w:line="240" w:lineRule="auto"/>
              <w:jc w:val="right"/>
              <w:rPr>
                <w:rFonts w:cs="Arial"/>
                <w:color w:val="000000"/>
                <w:sz w:val="16"/>
                <w:szCs w:val="16"/>
              </w:rPr>
            </w:pPr>
            <w:r>
              <w:rPr>
                <w:rFonts w:cs="Arial"/>
                <w:color w:val="000000"/>
                <w:sz w:val="16"/>
                <w:szCs w:val="16"/>
              </w:rPr>
              <w:t>30,0</w:t>
            </w:r>
          </w:p>
        </w:tc>
      </w:tr>
      <w:tr w:rsidR="00736595" w:rsidRPr="00D92E20" w14:paraId="32B14331" w14:textId="77777777" w:rsidTr="00E371CF">
        <w:trPr>
          <w:trHeight w:val="300"/>
        </w:trPr>
        <w:tc>
          <w:tcPr>
            <w:tcW w:w="4195" w:type="dxa"/>
            <w:tcBorders>
              <w:top w:val="nil"/>
              <w:left w:val="nil"/>
              <w:bottom w:val="nil"/>
              <w:right w:val="nil"/>
            </w:tcBorders>
            <w:shd w:val="clear" w:color="auto" w:fill="auto"/>
            <w:noWrap/>
            <w:vAlign w:val="center"/>
            <w:hideMark/>
          </w:tcPr>
          <w:p w14:paraId="7AF3CDE8" w14:textId="212AE9AF" w:rsidR="00736595" w:rsidRPr="00D92E20" w:rsidRDefault="00736595" w:rsidP="00736595">
            <w:pPr>
              <w:spacing w:after="0" w:line="240" w:lineRule="auto"/>
              <w:ind w:firstLineChars="100" w:firstLine="160"/>
              <w:rPr>
                <w:rFonts w:cs="Arial"/>
                <w:color w:val="000000"/>
                <w:sz w:val="16"/>
                <w:szCs w:val="16"/>
              </w:rPr>
            </w:pPr>
            <w:r>
              <w:rPr>
                <w:rFonts w:cs="Arial"/>
                <w:sz w:val="16"/>
                <w:szCs w:val="16"/>
              </w:rPr>
              <w:t xml:space="preserve">   Těhotenství, porod, šestinedělí</w:t>
            </w:r>
          </w:p>
        </w:tc>
        <w:tc>
          <w:tcPr>
            <w:tcW w:w="907" w:type="dxa"/>
            <w:tcBorders>
              <w:top w:val="nil"/>
              <w:left w:val="single" w:sz="4" w:space="0" w:color="auto"/>
              <w:bottom w:val="nil"/>
              <w:right w:val="nil"/>
            </w:tcBorders>
            <w:shd w:val="clear" w:color="auto" w:fill="auto"/>
            <w:noWrap/>
            <w:vAlign w:val="center"/>
            <w:hideMark/>
          </w:tcPr>
          <w:p w14:paraId="762F3D55" w14:textId="477B8C5A" w:rsidR="00736595" w:rsidRPr="00D92E20" w:rsidRDefault="00736595" w:rsidP="00736595">
            <w:pPr>
              <w:spacing w:after="0" w:line="240" w:lineRule="auto"/>
              <w:jc w:val="right"/>
              <w:rPr>
                <w:rFonts w:cs="Arial"/>
                <w:color w:val="000000"/>
                <w:sz w:val="16"/>
                <w:szCs w:val="16"/>
              </w:rPr>
            </w:pPr>
            <w:r>
              <w:rPr>
                <w:rFonts w:cs="Arial"/>
                <w:color w:val="000000"/>
                <w:sz w:val="16"/>
                <w:szCs w:val="16"/>
              </w:rPr>
              <w:t>15,1</w:t>
            </w:r>
          </w:p>
        </w:tc>
        <w:tc>
          <w:tcPr>
            <w:tcW w:w="907" w:type="dxa"/>
            <w:tcBorders>
              <w:top w:val="nil"/>
              <w:left w:val="nil"/>
              <w:bottom w:val="nil"/>
              <w:right w:val="nil"/>
            </w:tcBorders>
            <w:shd w:val="clear" w:color="auto" w:fill="auto"/>
            <w:noWrap/>
            <w:vAlign w:val="center"/>
            <w:hideMark/>
          </w:tcPr>
          <w:p w14:paraId="0D50D00E" w14:textId="26C24438" w:rsidR="00736595" w:rsidRPr="00D92E20" w:rsidRDefault="00736595" w:rsidP="00736595">
            <w:pPr>
              <w:spacing w:after="0" w:line="240" w:lineRule="auto"/>
              <w:jc w:val="right"/>
              <w:rPr>
                <w:rFonts w:ascii="Calibri" w:hAnsi="Calibri" w:cs="Calibri"/>
                <w:color w:val="000000"/>
                <w:sz w:val="16"/>
                <w:szCs w:val="16"/>
              </w:rPr>
            </w:pPr>
            <w:r>
              <w:rPr>
                <w:rFonts w:cs="Arial"/>
                <w:sz w:val="16"/>
                <w:szCs w:val="16"/>
              </w:rPr>
              <w:t>x</w:t>
            </w:r>
          </w:p>
        </w:tc>
        <w:tc>
          <w:tcPr>
            <w:tcW w:w="907" w:type="dxa"/>
            <w:tcBorders>
              <w:top w:val="nil"/>
              <w:left w:val="nil"/>
              <w:bottom w:val="nil"/>
              <w:right w:val="single" w:sz="4" w:space="0" w:color="auto"/>
            </w:tcBorders>
            <w:shd w:val="clear" w:color="auto" w:fill="auto"/>
            <w:noWrap/>
            <w:vAlign w:val="center"/>
            <w:hideMark/>
          </w:tcPr>
          <w:p w14:paraId="704A6B65" w14:textId="2D9E5F10" w:rsidR="00736595" w:rsidRPr="00D92E20" w:rsidRDefault="00736595" w:rsidP="00736595">
            <w:pPr>
              <w:spacing w:after="0" w:line="240" w:lineRule="auto"/>
              <w:jc w:val="right"/>
              <w:rPr>
                <w:rFonts w:cs="Arial"/>
                <w:color w:val="000000"/>
                <w:sz w:val="16"/>
                <w:szCs w:val="16"/>
              </w:rPr>
            </w:pPr>
            <w:r>
              <w:rPr>
                <w:rFonts w:cs="Arial"/>
                <w:color w:val="000000"/>
                <w:sz w:val="16"/>
                <w:szCs w:val="16"/>
              </w:rPr>
              <w:t>15,1</w:t>
            </w:r>
          </w:p>
        </w:tc>
        <w:tc>
          <w:tcPr>
            <w:tcW w:w="907" w:type="dxa"/>
            <w:tcBorders>
              <w:top w:val="nil"/>
              <w:left w:val="nil"/>
              <w:bottom w:val="nil"/>
              <w:right w:val="nil"/>
            </w:tcBorders>
            <w:shd w:val="clear" w:color="auto" w:fill="auto"/>
            <w:noWrap/>
            <w:vAlign w:val="center"/>
            <w:hideMark/>
          </w:tcPr>
          <w:p w14:paraId="7206F860" w14:textId="4CD3C866" w:rsidR="00736595" w:rsidRPr="00D92E20" w:rsidRDefault="00736595" w:rsidP="00736595">
            <w:pPr>
              <w:spacing w:after="0" w:line="240" w:lineRule="auto"/>
              <w:jc w:val="right"/>
              <w:rPr>
                <w:rFonts w:cs="Arial"/>
                <w:color w:val="000000"/>
                <w:sz w:val="16"/>
                <w:szCs w:val="16"/>
              </w:rPr>
            </w:pPr>
            <w:r>
              <w:rPr>
                <w:rFonts w:cs="Arial"/>
                <w:color w:val="000000"/>
                <w:sz w:val="16"/>
                <w:szCs w:val="16"/>
              </w:rPr>
              <w:t>99,8</w:t>
            </w:r>
          </w:p>
        </w:tc>
        <w:tc>
          <w:tcPr>
            <w:tcW w:w="907" w:type="dxa"/>
            <w:tcBorders>
              <w:top w:val="nil"/>
              <w:left w:val="nil"/>
              <w:bottom w:val="nil"/>
              <w:right w:val="nil"/>
            </w:tcBorders>
            <w:shd w:val="clear" w:color="auto" w:fill="auto"/>
            <w:noWrap/>
            <w:vAlign w:val="center"/>
            <w:hideMark/>
          </w:tcPr>
          <w:p w14:paraId="1073704A" w14:textId="05C28C1C" w:rsidR="00736595" w:rsidRPr="00D92E20" w:rsidRDefault="00736595" w:rsidP="00736595">
            <w:pPr>
              <w:spacing w:after="0" w:line="240" w:lineRule="auto"/>
              <w:jc w:val="right"/>
              <w:rPr>
                <w:rFonts w:ascii="Calibri" w:hAnsi="Calibri" w:cs="Calibri"/>
                <w:color w:val="000000"/>
                <w:sz w:val="16"/>
                <w:szCs w:val="16"/>
              </w:rPr>
            </w:pPr>
            <w:r>
              <w:rPr>
                <w:rFonts w:cs="Arial"/>
                <w:sz w:val="16"/>
                <w:szCs w:val="16"/>
              </w:rPr>
              <w:t>x</w:t>
            </w:r>
          </w:p>
        </w:tc>
        <w:tc>
          <w:tcPr>
            <w:tcW w:w="907" w:type="dxa"/>
            <w:tcBorders>
              <w:top w:val="nil"/>
              <w:left w:val="nil"/>
              <w:bottom w:val="nil"/>
              <w:right w:val="nil"/>
            </w:tcBorders>
            <w:shd w:val="clear" w:color="auto" w:fill="auto"/>
            <w:noWrap/>
            <w:vAlign w:val="center"/>
            <w:hideMark/>
          </w:tcPr>
          <w:p w14:paraId="37A792A3" w14:textId="0D6E4E76" w:rsidR="00736595" w:rsidRPr="00D92E20" w:rsidRDefault="00736595" w:rsidP="00736595">
            <w:pPr>
              <w:spacing w:after="0" w:line="240" w:lineRule="auto"/>
              <w:jc w:val="right"/>
              <w:rPr>
                <w:rFonts w:cs="Arial"/>
                <w:color w:val="000000"/>
                <w:sz w:val="16"/>
                <w:szCs w:val="16"/>
              </w:rPr>
            </w:pPr>
            <w:r>
              <w:rPr>
                <w:rFonts w:cs="Arial"/>
                <w:color w:val="000000"/>
                <w:sz w:val="16"/>
                <w:szCs w:val="16"/>
              </w:rPr>
              <w:t>99,8</w:t>
            </w:r>
          </w:p>
        </w:tc>
      </w:tr>
      <w:tr w:rsidR="00736595" w:rsidRPr="00D92E20" w14:paraId="37471E0A" w14:textId="77777777" w:rsidTr="00E371CF">
        <w:trPr>
          <w:trHeight w:val="300"/>
        </w:trPr>
        <w:tc>
          <w:tcPr>
            <w:tcW w:w="4195" w:type="dxa"/>
            <w:tcBorders>
              <w:top w:val="nil"/>
              <w:left w:val="nil"/>
              <w:bottom w:val="nil"/>
              <w:right w:val="nil"/>
            </w:tcBorders>
            <w:shd w:val="clear" w:color="auto" w:fill="auto"/>
            <w:noWrap/>
            <w:vAlign w:val="center"/>
            <w:hideMark/>
          </w:tcPr>
          <w:p w14:paraId="556B8FAF" w14:textId="0B753742" w:rsidR="00736595" w:rsidRPr="00D92E20" w:rsidRDefault="00736595" w:rsidP="00736595">
            <w:pPr>
              <w:spacing w:after="0" w:line="240" w:lineRule="auto"/>
              <w:ind w:firstLineChars="100" w:firstLine="160"/>
              <w:rPr>
                <w:rFonts w:cs="Arial"/>
                <w:color w:val="000000"/>
                <w:sz w:val="16"/>
                <w:szCs w:val="16"/>
              </w:rPr>
            </w:pPr>
            <w:r>
              <w:rPr>
                <w:rFonts w:cs="Arial"/>
                <w:sz w:val="16"/>
                <w:szCs w:val="16"/>
              </w:rPr>
              <w:t xml:space="preserve">   Úrazy, otravy</w:t>
            </w:r>
          </w:p>
        </w:tc>
        <w:tc>
          <w:tcPr>
            <w:tcW w:w="907" w:type="dxa"/>
            <w:tcBorders>
              <w:top w:val="nil"/>
              <w:left w:val="single" w:sz="4" w:space="0" w:color="auto"/>
              <w:bottom w:val="nil"/>
              <w:right w:val="nil"/>
            </w:tcBorders>
            <w:shd w:val="clear" w:color="auto" w:fill="auto"/>
            <w:noWrap/>
            <w:vAlign w:val="center"/>
            <w:hideMark/>
          </w:tcPr>
          <w:p w14:paraId="1A740119" w14:textId="2816F4A8" w:rsidR="00736595" w:rsidRPr="00D92E20" w:rsidRDefault="00736595" w:rsidP="00736595">
            <w:pPr>
              <w:spacing w:after="0" w:line="240" w:lineRule="auto"/>
              <w:jc w:val="right"/>
              <w:rPr>
                <w:rFonts w:cs="Arial"/>
                <w:color w:val="000000"/>
                <w:sz w:val="16"/>
                <w:szCs w:val="16"/>
              </w:rPr>
            </w:pPr>
            <w:r>
              <w:rPr>
                <w:rFonts w:cs="Arial"/>
                <w:color w:val="000000"/>
                <w:sz w:val="16"/>
                <w:szCs w:val="16"/>
              </w:rPr>
              <w:t>103,9</w:t>
            </w:r>
          </w:p>
        </w:tc>
        <w:tc>
          <w:tcPr>
            <w:tcW w:w="907" w:type="dxa"/>
            <w:tcBorders>
              <w:top w:val="nil"/>
              <w:left w:val="nil"/>
              <w:bottom w:val="nil"/>
              <w:right w:val="nil"/>
            </w:tcBorders>
            <w:shd w:val="clear" w:color="auto" w:fill="auto"/>
            <w:noWrap/>
            <w:vAlign w:val="center"/>
            <w:hideMark/>
          </w:tcPr>
          <w:p w14:paraId="6F5ACB5C" w14:textId="10D32F50" w:rsidR="00736595" w:rsidRPr="00D92E20" w:rsidRDefault="00736595" w:rsidP="00736595">
            <w:pPr>
              <w:spacing w:after="0" w:line="240" w:lineRule="auto"/>
              <w:jc w:val="right"/>
              <w:rPr>
                <w:rFonts w:cs="Arial"/>
                <w:color w:val="000000"/>
                <w:sz w:val="16"/>
                <w:szCs w:val="16"/>
              </w:rPr>
            </w:pPr>
            <w:r>
              <w:rPr>
                <w:rFonts w:cs="Arial"/>
                <w:color w:val="000000"/>
                <w:sz w:val="16"/>
                <w:szCs w:val="16"/>
              </w:rPr>
              <w:t>64,6</w:t>
            </w:r>
          </w:p>
        </w:tc>
        <w:tc>
          <w:tcPr>
            <w:tcW w:w="907" w:type="dxa"/>
            <w:tcBorders>
              <w:top w:val="nil"/>
              <w:left w:val="nil"/>
              <w:bottom w:val="nil"/>
              <w:right w:val="single" w:sz="4" w:space="0" w:color="auto"/>
            </w:tcBorders>
            <w:shd w:val="clear" w:color="auto" w:fill="auto"/>
            <w:noWrap/>
            <w:vAlign w:val="center"/>
            <w:hideMark/>
          </w:tcPr>
          <w:p w14:paraId="093879DE" w14:textId="4FE9FDB7" w:rsidR="00736595" w:rsidRPr="00D92E20" w:rsidRDefault="00736595" w:rsidP="00736595">
            <w:pPr>
              <w:spacing w:after="0" w:line="240" w:lineRule="auto"/>
              <w:jc w:val="right"/>
              <w:rPr>
                <w:rFonts w:cs="Arial"/>
                <w:color w:val="000000"/>
                <w:sz w:val="16"/>
                <w:szCs w:val="16"/>
              </w:rPr>
            </w:pPr>
            <w:r>
              <w:rPr>
                <w:rFonts w:cs="Arial"/>
                <w:color w:val="000000"/>
                <w:sz w:val="16"/>
                <w:szCs w:val="16"/>
              </w:rPr>
              <w:t>39,4</w:t>
            </w:r>
          </w:p>
        </w:tc>
        <w:tc>
          <w:tcPr>
            <w:tcW w:w="907" w:type="dxa"/>
            <w:tcBorders>
              <w:top w:val="nil"/>
              <w:left w:val="nil"/>
              <w:bottom w:val="nil"/>
              <w:right w:val="nil"/>
            </w:tcBorders>
            <w:shd w:val="clear" w:color="auto" w:fill="auto"/>
            <w:noWrap/>
            <w:vAlign w:val="center"/>
            <w:hideMark/>
          </w:tcPr>
          <w:p w14:paraId="56A7ED6C" w14:textId="3579A4A2" w:rsidR="00736595" w:rsidRPr="00D92E20" w:rsidRDefault="00736595" w:rsidP="00736595">
            <w:pPr>
              <w:spacing w:after="0" w:line="240" w:lineRule="auto"/>
              <w:jc w:val="right"/>
              <w:rPr>
                <w:rFonts w:cs="Arial"/>
                <w:color w:val="000000"/>
                <w:sz w:val="16"/>
                <w:szCs w:val="16"/>
              </w:rPr>
            </w:pPr>
            <w:r>
              <w:rPr>
                <w:rFonts w:cs="Arial"/>
                <w:color w:val="000000"/>
                <w:sz w:val="16"/>
                <w:szCs w:val="16"/>
              </w:rPr>
              <w:t>53,2</w:t>
            </w:r>
          </w:p>
        </w:tc>
        <w:tc>
          <w:tcPr>
            <w:tcW w:w="907" w:type="dxa"/>
            <w:tcBorders>
              <w:top w:val="nil"/>
              <w:left w:val="nil"/>
              <w:bottom w:val="nil"/>
              <w:right w:val="nil"/>
            </w:tcBorders>
            <w:shd w:val="clear" w:color="auto" w:fill="auto"/>
            <w:noWrap/>
            <w:vAlign w:val="center"/>
            <w:hideMark/>
          </w:tcPr>
          <w:p w14:paraId="034C35C9" w14:textId="1FF7079D" w:rsidR="00736595" w:rsidRPr="00D92E20" w:rsidRDefault="00736595" w:rsidP="00736595">
            <w:pPr>
              <w:spacing w:after="0" w:line="240" w:lineRule="auto"/>
              <w:jc w:val="right"/>
              <w:rPr>
                <w:rFonts w:cs="Arial"/>
                <w:color w:val="000000"/>
                <w:sz w:val="16"/>
                <w:szCs w:val="16"/>
              </w:rPr>
            </w:pPr>
            <w:r>
              <w:rPr>
                <w:rFonts w:cs="Arial"/>
                <w:color w:val="000000"/>
                <w:sz w:val="16"/>
                <w:szCs w:val="16"/>
              </w:rPr>
              <w:t>52,0</w:t>
            </w:r>
          </w:p>
        </w:tc>
        <w:tc>
          <w:tcPr>
            <w:tcW w:w="907" w:type="dxa"/>
            <w:tcBorders>
              <w:top w:val="nil"/>
              <w:left w:val="nil"/>
              <w:bottom w:val="nil"/>
              <w:right w:val="nil"/>
            </w:tcBorders>
            <w:shd w:val="clear" w:color="auto" w:fill="auto"/>
            <w:noWrap/>
            <w:vAlign w:val="center"/>
            <w:hideMark/>
          </w:tcPr>
          <w:p w14:paraId="1DB80290" w14:textId="0DCAD8D0" w:rsidR="00736595" w:rsidRPr="00D92E20" w:rsidRDefault="00736595" w:rsidP="00736595">
            <w:pPr>
              <w:spacing w:after="0" w:line="240" w:lineRule="auto"/>
              <w:jc w:val="right"/>
              <w:rPr>
                <w:rFonts w:cs="Arial"/>
                <w:color w:val="000000"/>
                <w:sz w:val="16"/>
                <w:szCs w:val="16"/>
              </w:rPr>
            </w:pPr>
            <w:r>
              <w:rPr>
                <w:rFonts w:cs="Arial"/>
                <w:color w:val="000000"/>
                <w:sz w:val="16"/>
                <w:szCs w:val="16"/>
              </w:rPr>
              <w:t>55,2</w:t>
            </w:r>
          </w:p>
        </w:tc>
      </w:tr>
      <w:tr w:rsidR="00736595" w:rsidRPr="00D92E20" w14:paraId="18566DD8" w14:textId="77777777" w:rsidTr="00E371CF">
        <w:trPr>
          <w:trHeight w:val="300"/>
        </w:trPr>
        <w:tc>
          <w:tcPr>
            <w:tcW w:w="4195" w:type="dxa"/>
            <w:tcBorders>
              <w:top w:val="nil"/>
              <w:left w:val="nil"/>
              <w:bottom w:val="nil"/>
              <w:right w:val="nil"/>
            </w:tcBorders>
            <w:shd w:val="clear" w:color="auto" w:fill="auto"/>
            <w:noWrap/>
            <w:vAlign w:val="center"/>
            <w:hideMark/>
          </w:tcPr>
          <w:p w14:paraId="3E583A4D" w14:textId="1363B536" w:rsidR="00736595" w:rsidRPr="00D92E20" w:rsidRDefault="00736595" w:rsidP="00736595">
            <w:pPr>
              <w:spacing w:after="0" w:line="240" w:lineRule="auto"/>
              <w:ind w:firstLineChars="100" w:firstLine="160"/>
              <w:rPr>
                <w:rFonts w:cs="Arial"/>
                <w:color w:val="000000"/>
                <w:sz w:val="16"/>
                <w:szCs w:val="16"/>
              </w:rPr>
            </w:pPr>
            <w:r>
              <w:rPr>
                <w:rFonts w:cs="Arial"/>
                <w:sz w:val="16"/>
                <w:szCs w:val="16"/>
              </w:rPr>
              <w:t xml:space="preserve">   Nemoci ostatní</w:t>
            </w:r>
          </w:p>
        </w:tc>
        <w:tc>
          <w:tcPr>
            <w:tcW w:w="907" w:type="dxa"/>
            <w:tcBorders>
              <w:top w:val="nil"/>
              <w:left w:val="single" w:sz="4" w:space="0" w:color="auto"/>
              <w:bottom w:val="nil"/>
              <w:right w:val="nil"/>
            </w:tcBorders>
            <w:shd w:val="clear" w:color="auto" w:fill="auto"/>
            <w:noWrap/>
            <w:vAlign w:val="center"/>
            <w:hideMark/>
          </w:tcPr>
          <w:p w14:paraId="59C17F8D" w14:textId="3A38B34A" w:rsidR="00736595" w:rsidRPr="00D92E20" w:rsidRDefault="00736595" w:rsidP="00736595">
            <w:pPr>
              <w:spacing w:after="0" w:line="240" w:lineRule="auto"/>
              <w:jc w:val="right"/>
              <w:rPr>
                <w:rFonts w:cs="Arial"/>
                <w:color w:val="000000"/>
                <w:sz w:val="16"/>
                <w:szCs w:val="16"/>
              </w:rPr>
            </w:pPr>
            <w:r>
              <w:rPr>
                <w:rFonts w:cs="Arial"/>
                <w:color w:val="000000"/>
                <w:sz w:val="16"/>
                <w:szCs w:val="16"/>
              </w:rPr>
              <w:t>1 066,1</w:t>
            </w:r>
          </w:p>
        </w:tc>
        <w:tc>
          <w:tcPr>
            <w:tcW w:w="907" w:type="dxa"/>
            <w:tcBorders>
              <w:top w:val="nil"/>
              <w:left w:val="nil"/>
              <w:bottom w:val="nil"/>
              <w:right w:val="nil"/>
            </w:tcBorders>
            <w:shd w:val="clear" w:color="auto" w:fill="auto"/>
            <w:noWrap/>
            <w:vAlign w:val="center"/>
            <w:hideMark/>
          </w:tcPr>
          <w:p w14:paraId="6F472D6B" w14:textId="1EEFD3D9" w:rsidR="00736595" w:rsidRPr="00D92E20" w:rsidRDefault="00736595" w:rsidP="00736595">
            <w:pPr>
              <w:spacing w:after="0" w:line="240" w:lineRule="auto"/>
              <w:jc w:val="right"/>
              <w:rPr>
                <w:rFonts w:cs="Arial"/>
                <w:color w:val="000000"/>
                <w:sz w:val="16"/>
                <w:szCs w:val="16"/>
              </w:rPr>
            </w:pPr>
            <w:r>
              <w:rPr>
                <w:rFonts w:cs="Arial"/>
                <w:color w:val="000000"/>
                <w:sz w:val="16"/>
                <w:szCs w:val="16"/>
              </w:rPr>
              <w:t>488,5</w:t>
            </w:r>
          </w:p>
        </w:tc>
        <w:tc>
          <w:tcPr>
            <w:tcW w:w="907" w:type="dxa"/>
            <w:tcBorders>
              <w:top w:val="nil"/>
              <w:left w:val="nil"/>
              <w:bottom w:val="nil"/>
              <w:right w:val="single" w:sz="4" w:space="0" w:color="auto"/>
            </w:tcBorders>
            <w:shd w:val="clear" w:color="auto" w:fill="auto"/>
            <w:noWrap/>
            <w:vAlign w:val="center"/>
            <w:hideMark/>
          </w:tcPr>
          <w:p w14:paraId="18A662FA" w14:textId="7A4DC450" w:rsidR="00736595" w:rsidRPr="00D92E20" w:rsidRDefault="00736595" w:rsidP="00736595">
            <w:pPr>
              <w:spacing w:after="0" w:line="240" w:lineRule="auto"/>
              <w:jc w:val="right"/>
              <w:rPr>
                <w:rFonts w:cs="Arial"/>
                <w:color w:val="000000"/>
                <w:sz w:val="16"/>
                <w:szCs w:val="16"/>
              </w:rPr>
            </w:pPr>
            <w:r>
              <w:rPr>
                <w:rFonts w:cs="Arial"/>
                <w:color w:val="000000"/>
                <w:sz w:val="16"/>
                <w:szCs w:val="16"/>
              </w:rPr>
              <w:t>577,6</w:t>
            </w:r>
          </w:p>
        </w:tc>
        <w:tc>
          <w:tcPr>
            <w:tcW w:w="907" w:type="dxa"/>
            <w:tcBorders>
              <w:top w:val="nil"/>
              <w:left w:val="nil"/>
              <w:bottom w:val="nil"/>
              <w:right w:val="nil"/>
            </w:tcBorders>
            <w:shd w:val="clear" w:color="auto" w:fill="auto"/>
            <w:noWrap/>
            <w:vAlign w:val="center"/>
            <w:hideMark/>
          </w:tcPr>
          <w:p w14:paraId="422FC319" w14:textId="52E0ED74" w:rsidR="00736595" w:rsidRPr="00D92E20" w:rsidRDefault="00736595" w:rsidP="00736595">
            <w:pPr>
              <w:spacing w:after="0" w:line="240" w:lineRule="auto"/>
              <w:jc w:val="right"/>
              <w:rPr>
                <w:rFonts w:cs="Arial"/>
                <w:color w:val="000000"/>
                <w:sz w:val="16"/>
                <w:szCs w:val="16"/>
              </w:rPr>
            </w:pPr>
            <w:r>
              <w:rPr>
                <w:rFonts w:cs="Arial"/>
                <w:color w:val="000000"/>
                <w:sz w:val="16"/>
                <w:szCs w:val="16"/>
              </w:rPr>
              <w:t>12,6</w:t>
            </w:r>
          </w:p>
        </w:tc>
        <w:tc>
          <w:tcPr>
            <w:tcW w:w="907" w:type="dxa"/>
            <w:tcBorders>
              <w:top w:val="nil"/>
              <w:left w:val="nil"/>
              <w:bottom w:val="nil"/>
              <w:right w:val="nil"/>
            </w:tcBorders>
            <w:shd w:val="clear" w:color="auto" w:fill="auto"/>
            <w:noWrap/>
            <w:vAlign w:val="center"/>
            <w:hideMark/>
          </w:tcPr>
          <w:p w14:paraId="3D5C6B5A" w14:textId="670A0CC6" w:rsidR="00736595" w:rsidRPr="00D92E20" w:rsidRDefault="00736595" w:rsidP="00736595">
            <w:pPr>
              <w:spacing w:after="0" w:line="240" w:lineRule="auto"/>
              <w:jc w:val="right"/>
              <w:rPr>
                <w:rFonts w:cs="Arial"/>
                <w:color w:val="000000"/>
                <w:sz w:val="16"/>
                <w:szCs w:val="16"/>
              </w:rPr>
            </w:pPr>
            <w:r>
              <w:rPr>
                <w:rFonts w:cs="Arial"/>
                <w:color w:val="000000"/>
                <w:sz w:val="16"/>
                <w:szCs w:val="16"/>
              </w:rPr>
              <w:t>11,5</w:t>
            </w:r>
          </w:p>
        </w:tc>
        <w:tc>
          <w:tcPr>
            <w:tcW w:w="907" w:type="dxa"/>
            <w:tcBorders>
              <w:top w:val="nil"/>
              <w:left w:val="nil"/>
              <w:bottom w:val="nil"/>
              <w:right w:val="nil"/>
            </w:tcBorders>
            <w:shd w:val="clear" w:color="auto" w:fill="auto"/>
            <w:noWrap/>
            <w:vAlign w:val="center"/>
            <w:hideMark/>
          </w:tcPr>
          <w:p w14:paraId="1D8F2A4C" w14:textId="1480B609" w:rsidR="00736595" w:rsidRPr="00D92E20" w:rsidRDefault="00736595" w:rsidP="00736595">
            <w:pPr>
              <w:spacing w:after="0" w:line="240" w:lineRule="auto"/>
              <w:jc w:val="right"/>
              <w:rPr>
                <w:rFonts w:cs="Arial"/>
                <w:color w:val="000000"/>
                <w:sz w:val="16"/>
                <w:szCs w:val="16"/>
              </w:rPr>
            </w:pPr>
            <w:r>
              <w:rPr>
                <w:rFonts w:cs="Arial"/>
                <w:color w:val="000000"/>
                <w:sz w:val="16"/>
                <w:szCs w:val="16"/>
              </w:rPr>
              <w:t>13,5</w:t>
            </w:r>
          </w:p>
        </w:tc>
      </w:tr>
    </w:tbl>
    <w:p w14:paraId="46C0AED7" w14:textId="54994A80" w:rsidR="005A63A4" w:rsidRPr="00D92E20" w:rsidRDefault="0070383F" w:rsidP="00000A90">
      <w:pPr>
        <w:spacing w:before="120" w:after="120"/>
        <w:rPr>
          <w:sz w:val="16"/>
        </w:rPr>
      </w:pPr>
      <w:r w:rsidRPr="00D92E20">
        <w:rPr>
          <w:sz w:val="16"/>
        </w:rPr>
        <w:t>Zdroj: ČSSZ</w:t>
      </w:r>
    </w:p>
    <w:p w14:paraId="49C60461" w14:textId="77777777" w:rsidR="00D72727" w:rsidRDefault="00D72727">
      <w:pPr>
        <w:spacing w:after="0" w:line="240" w:lineRule="auto"/>
        <w:rPr>
          <w:b/>
          <w:spacing w:val="-4"/>
        </w:rPr>
      </w:pPr>
      <w:r>
        <w:rPr>
          <w:b/>
          <w:spacing w:val="-4"/>
        </w:rPr>
        <w:br w:type="page"/>
      </w:r>
    </w:p>
    <w:p w14:paraId="08108188" w14:textId="28AF0B72" w:rsidR="005A63A4" w:rsidRPr="00D92E20" w:rsidRDefault="005A63A4" w:rsidP="000B190B">
      <w:pPr>
        <w:spacing w:after="0"/>
        <w:jc w:val="both"/>
        <w:rPr>
          <w:sz w:val="16"/>
        </w:rPr>
      </w:pPr>
      <w:r w:rsidRPr="000B190B">
        <w:rPr>
          <w:b/>
          <w:spacing w:val="-4"/>
        </w:rPr>
        <w:lastRenderedPageBreak/>
        <w:t xml:space="preserve">Graf 3.1: Struktura ukončených případů dočasné pracovní neschopnosti podle skupin diagnóz, </w:t>
      </w:r>
      <w:r w:rsidR="00736595">
        <w:rPr>
          <w:b/>
          <w:spacing w:val="-4"/>
        </w:rPr>
        <w:t>1. pol. 2022</w:t>
      </w:r>
      <w:r w:rsidR="000B190B" w:rsidRPr="000B190B">
        <w:rPr>
          <w:b/>
        </w:rPr>
        <w:t xml:space="preserve"> </w:t>
      </w:r>
    </w:p>
    <w:p w14:paraId="2645095E" w14:textId="54501C76" w:rsidR="005A63A4" w:rsidRPr="00D92E20" w:rsidRDefault="00736595" w:rsidP="005A63A4">
      <w:pPr>
        <w:spacing w:before="120" w:after="120"/>
        <w:rPr>
          <w:sz w:val="16"/>
        </w:rPr>
      </w:pPr>
      <w:r>
        <w:rPr>
          <w:noProof/>
        </w:rPr>
        <w:drawing>
          <wp:inline distT="0" distB="0" distL="0" distR="0" wp14:anchorId="2060CE42" wp14:editId="5C30189D">
            <wp:extent cx="6120130" cy="2952750"/>
            <wp:effectExtent l="0" t="0" r="13970" b="0"/>
            <wp:docPr id="20" name="Graf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r w:rsidR="000B190B" w:rsidRPr="00D92E20">
        <w:rPr>
          <w:sz w:val="16"/>
        </w:rPr>
        <w:t xml:space="preserve"> </w:t>
      </w:r>
      <w:r w:rsidR="005A63A4" w:rsidRPr="00D92E20">
        <w:rPr>
          <w:sz w:val="16"/>
        </w:rPr>
        <w:t>Zdroj: ČSSZ</w:t>
      </w:r>
    </w:p>
    <w:p w14:paraId="690050DC" w14:textId="0E685645" w:rsidR="009F0B87" w:rsidRPr="00D92E20" w:rsidRDefault="009F0B87" w:rsidP="00000A90">
      <w:pPr>
        <w:pStyle w:val="Nadpis3"/>
        <w:numPr>
          <w:ilvl w:val="1"/>
          <w:numId w:val="5"/>
        </w:numPr>
        <w:spacing w:after="120"/>
        <w:ind w:left="426" w:hanging="403"/>
      </w:pPr>
      <w:bookmarkStart w:id="40" w:name="_Toc54262804"/>
      <w:bookmarkStart w:id="41" w:name="_Toc117774432"/>
      <w:r w:rsidRPr="00D92E20">
        <w:t xml:space="preserve">Výdaje na </w:t>
      </w:r>
      <w:r w:rsidR="0062225A">
        <w:t xml:space="preserve">dávky </w:t>
      </w:r>
      <w:r w:rsidRPr="00D92E20">
        <w:t>nemocenské</w:t>
      </w:r>
      <w:bookmarkEnd w:id="40"/>
      <w:r w:rsidR="0062225A">
        <w:t>ho pojištění</w:t>
      </w:r>
      <w:bookmarkEnd w:id="41"/>
    </w:p>
    <w:p w14:paraId="4C2AF132" w14:textId="77777777" w:rsidR="009F0B87" w:rsidRPr="00DD0824" w:rsidRDefault="009F0B87" w:rsidP="00000A90">
      <w:pPr>
        <w:spacing w:before="120" w:after="120"/>
        <w:jc w:val="both"/>
      </w:pPr>
      <w:r w:rsidRPr="00DD0824">
        <w:t>Systém nemocenského pojištění je určen pro výdělečně činné osoby, které při ztrátě příjmu v případech tzv. krátkodobých sociálních událostí zabezpečuje peněžitými dávkami nemocenského pojištění.</w:t>
      </w:r>
    </w:p>
    <w:p w14:paraId="2673ECDF" w14:textId="77777777" w:rsidR="009F0B87" w:rsidRPr="00DD0824" w:rsidRDefault="009F0B87" w:rsidP="00000A90">
      <w:pPr>
        <w:spacing w:after="60"/>
        <w:jc w:val="both"/>
      </w:pPr>
      <w:r w:rsidRPr="00DD0824">
        <w:t>Z nemocenského pojištění se poskytuje 6 peněžitých dávek, a to:</w:t>
      </w:r>
    </w:p>
    <w:p w14:paraId="4852FB75" w14:textId="08825E5D" w:rsidR="009F0B87" w:rsidRPr="00DD0824" w:rsidRDefault="00E34258" w:rsidP="00277304">
      <w:pPr>
        <w:pStyle w:val="Odstavecseseznamem"/>
        <w:numPr>
          <w:ilvl w:val="0"/>
          <w:numId w:val="15"/>
        </w:numPr>
        <w:spacing w:after="0"/>
        <w:jc w:val="both"/>
      </w:pPr>
      <w:r>
        <w:t>n</w:t>
      </w:r>
      <w:r w:rsidR="009F0B87" w:rsidRPr="00DD0824">
        <w:t>emocenské,</w:t>
      </w:r>
    </w:p>
    <w:p w14:paraId="3285862E" w14:textId="65AA47F4" w:rsidR="009F0B87" w:rsidRPr="00DD0824" w:rsidRDefault="00E34258" w:rsidP="00277304">
      <w:pPr>
        <w:pStyle w:val="Odstavecseseznamem"/>
        <w:numPr>
          <w:ilvl w:val="0"/>
          <w:numId w:val="15"/>
        </w:numPr>
        <w:spacing w:after="0"/>
        <w:jc w:val="both"/>
      </w:pPr>
      <w:r>
        <w:t>p</w:t>
      </w:r>
      <w:r w:rsidR="009F0B87" w:rsidRPr="00DD0824">
        <w:t>eněžitá pomoc v mateřství,</w:t>
      </w:r>
    </w:p>
    <w:p w14:paraId="477961E9" w14:textId="568152A9" w:rsidR="009F0B87" w:rsidRPr="00DD0824" w:rsidRDefault="00E34258" w:rsidP="00277304">
      <w:pPr>
        <w:pStyle w:val="Odstavecseseznamem"/>
        <w:numPr>
          <w:ilvl w:val="0"/>
          <w:numId w:val="15"/>
        </w:numPr>
        <w:spacing w:after="0"/>
        <w:jc w:val="both"/>
      </w:pPr>
      <w:r>
        <w:t>o</w:t>
      </w:r>
      <w:r w:rsidR="009F0B87" w:rsidRPr="00DD0824">
        <w:t>šetřovné,</w:t>
      </w:r>
    </w:p>
    <w:p w14:paraId="16AE0143" w14:textId="585AFE01" w:rsidR="009F0B87" w:rsidRPr="00DD0824" w:rsidRDefault="00E34258" w:rsidP="00277304">
      <w:pPr>
        <w:pStyle w:val="Odstavecseseznamem"/>
        <w:numPr>
          <w:ilvl w:val="0"/>
          <w:numId w:val="15"/>
        </w:numPr>
        <w:spacing w:after="0"/>
        <w:jc w:val="both"/>
      </w:pPr>
      <w:r>
        <w:t>v</w:t>
      </w:r>
      <w:r w:rsidR="009F0B87" w:rsidRPr="00DD0824">
        <w:t>yrovnávací příspěvek v těhotenství a mateřství,</w:t>
      </w:r>
    </w:p>
    <w:p w14:paraId="2C73241C" w14:textId="64E3110D" w:rsidR="009F0B87" w:rsidRPr="00DD0824" w:rsidRDefault="00E34258" w:rsidP="00277304">
      <w:pPr>
        <w:pStyle w:val="Odstavecseseznamem"/>
        <w:numPr>
          <w:ilvl w:val="0"/>
          <w:numId w:val="15"/>
        </w:numPr>
        <w:spacing w:after="0"/>
        <w:jc w:val="both"/>
      </w:pPr>
      <w:r>
        <w:t>d</w:t>
      </w:r>
      <w:r w:rsidR="009F0B87" w:rsidRPr="00DD0824">
        <w:t>ávka otcovské poporodní péče (tzv. otcovská),</w:t>
      </w:r>
    </w:p>
    <w:p w14:paraId="583D058F" w14:textId="2DA8A897" w:rsidR="009F0B87" w:rsidRPr="00DD0824" w:rsidRDefault="00E34258" w:rsidP="00000A90">
      <w:pPr>
        <w:pStyle w:val="Odstavecseseznamem"/>
        <w:numPr>
          <w:ilvl w:val="0"/>
          <w:numId w:val="15"/>
        </w:numPr>
        <w:spacing w:after="60"/>
        <w:ind w:left="714" w:hanging="357"/>
        <w:contextualSpacing w:val="0"/>
        <w:jc w:val="both"/>
      </w:pPr>
      <w:r>
        <w:t>d</w:t>
      </w:r>
      <w:r w:rsidR="009F0B87" w:rsidRPr="00DD0824">
        <w:t>louhodobé ošetřovné.</w:t>
      </w:r>
    </w:p>
    <w:p w14:paraId="380B326A" w14:textId="1EB7149B" w:rsidR="009F0B87" w:rsidRPr="00DD0824" w:rsidRDefault="009F0B87" w:rsidP="00000A90">
      <w:pPr>
        <w:spacing w:before="120" w:after="120"/>
        <w:jc w:val="both"/>
      </w:pPr>
      <w:r w:rsidRPr="00DD0824">
        <w:t xml:space="preserve">Výše dávek nemocenského pojištění </w:t>
      </w:r>
      <w:r w:rsidRPr="00DD0824">
        <w:rPr>
          <w:b/>
        </w:rPr>
        <w:t>závisí</w:t>
      </w:r>
      <w:r w:rsidRPr="00DD0824">
        <w:t xml:space="preserve"> na dosahovaném </w:t>
      </w:r>
      <w:r w:rsidRPr="00DD0824">
        <w:rPr>
          <w:b/>
        </w:rPr>
        <w:t>výdělku, redukčních hranicích</w:t>
      </w:r>
      <w:r w:rsidRPr="00DD0824">
        <w:t xml:space="preserve"> pro redukci denního vyměřovacího základu, </w:t>
      </w:r>
      <w:r w:rsidRPr="00DD0824">
        <w:rPr>
          <w:b/>
        </w:rPr>
        <w:t xml:space="preserve">redukci mezi </w:t>
      </w:r>
      <w:r w:rsidRPr="00DD0824">
        <w:t xml:space="preserve">jednotlivými redukčními </w:t>
      </w:r>
      <w:r w:rsidRPr="00DD0824">
        <w:rPr>
          <w:b/>
        </w:rPr>
        <w:t>hranicemi</w:t>
      </w:r>
      <w:r w:rsidRPr="00DD0824">
        <w:t xml:space="preserve"> a na </w:t>
      </w:r>
      <w:r w:rsidRPr="00DD0824">
        <w:rPr>
          <w:b/>
        </w:rPr>
        <w:t>procentní sazbě</w:t>
      </w:r>
      <w:r w:rsidRPr="00DD0824">
        <w:t xml:space="preserve"> pro</w:t>
      </w:r>
      <w:r w:rsidR="00CD63E8">
        <w:t> </w:t>
      </w:r>
      <w:r w:rsidRPr="00DD0824">
        <w:t>jednotlivé dávky.</w:t>
      </w:r>
    </w:p>
    <w:p w14:paraId="2099E2D4" w14:textId="77777777" w:rsidR="009F0B87" w:rsidRPr="00DD0824" w:rsidRDefault="009F0B87" w:rsidP="00000A90">
      <w:pPr>
        <w:spacing w:before="120" w:after="120"/>
        <w:jc w:val="both"/>
      </w:pPr>
      <w:r w:rsidRPr="00DD0824">
        <w:t>Všechny dávky nemocenského pojištění vyplácí okresní správa sociálního zabezpečení a hradí se ze státního rozpočtu (z příjmů z pojistného). Dávky nemocenského pojištění se vyplácejí za kalendářní dny.</w:t>
      </w:r>
    </w:p>
    <w:p w14:paraId="4A9F9C15" w14:textId="77777777" w:rsidR="009F0B87" w:rsidRPr="00DD0824" w:rsidRDefault="009F0B87" w:rsidP="00000A90">
      <w:pPr>
        <w:pStyle w:val="Box1"/>
        <w:spacing w:before="120" w:after="120"/>
        <w:ind w:left="0"/>
        <w:contextualSpacing w:val="0"/>
        <w:jc w:val="both"/>
        <w:rPr>
          <w:i/>
        </w:rPr>
      </w:pPr>
      <w:r w:rsidRPr="00DD0824">
        <w:rPr>
          <w:b/>
          <w:i/>
        </w:rPr>
        <w:t xml:space="preserve">Nemocenské </w:t>
      </w:r>
      <w:r w:rsidRPr="00DD0824">
        <w:rPr>
          <w:i/>
        </w:rPr>
        <w:t>– je základní peněžitou dávkou systému nemocenského pojištění. Na nemocenské má nárok pojištěnec, který je uznán ošetřujícím lékařem dočasně práce neschopným, a to od 15. kalendářního dne trvání jeho dočasné pracovní neschopnosti do konce dočasné pracovní neschopnosti, maximálně však 380 kalendářních dnů počítaných od vzniku dočasné pracovní neschopnosti.</w:t>
      </w:r>
    </w:p>
    <w:p w14:paraId="6833ACE4" w14:textId="64F44022" w:rsidR="003B04F2" w:rsidRPr="00277F3A" w:rsidRDefault="009F0B87" w:rsidP="00000A90">
      <w:pPr>
        <w:pStyle w:val="Default"/>
        <w:spacing w:before="120" w:after="120" w:line="288" w:lineRule="auto"/>
        <w:jc w:val="both"/>
        <w:rPr>
          <w:rFonts w:eastAsia="Times New Roman" w:cs="Times New Roman"/>
          <w:color w:val="auto"/>
          <w:sz w:val="20"/>
          <w:highlight w:val="yellow"/>
          <w:lang w:eastAsia="cs-CZ"/>
        </w:rPr>
      </w:pPr>
      <w:r w:rsidRPr="00277F3A">
        <w:rPr>
          <w:rFonts w:eastAsia="Times New Roman" w:cs="Times New Roman"/>
          <w:b/>
          <w:color w:val="auto"/>
          <w:sz w:val="20"/>
          <w:lang w:eastAsia="cs-CZ"/>
        </w:rPr>
        <w:t>Výdaje na dávky nemocenského</w:t>
      </w:r>
      <w:r w:rsidRPr="00277F3A">
        <w:rPr>
          <w:rFonts w:eastAsia="Times New Roman" w:cs="Times New Roman"/>
          <w:color w:val="auto"/>
          <w:sz w:val="20"/>
          <w:lang w:eastAsia="cs-CZ"/>
        </w:rPr>
        <w:t xml:space="preserve"> </w:t>
      </w:r>
      <w:r w:rsidRPr="00277F3A">
        <w:rPr>
          <w:rFonts w:eastAsia="Times New Roman" w:cs="Times New Roman"/>
          <w:b/>
          <w:color w:val="auto"/>
          <w:sz w:val="20"/>
          <w:lang w:eastAsia="cs-CZ"/>
        </w:rPr>
        <w:t>pojištění</w:t>
      </w:r>
      <w:r w:rsidRPr="00277F3A">
        <w:rPr>
          <w:rFonts w:eastAsia="Times New Roman" w:cs="Times New Roman"/>
          <w:color w:val="auto"/>
          <w:sz w:val="20"/>
          <w:lang w:eastAsia="cs-CZ"/>
        </w:rPr>
        <w:t xml:space="preserve"> za </w:t>
      </w:r>
      <w:r w:rsidR="00DD0824" w:rsidRPr="00277F3A">
        <w:rPr>
          <w:rFonts w:eastAsia="Times New Roman" w:cs="Times New Roman"/>
          <w:color w:val="auto"/>
          <w:sz w:val="20"/>
          <w:lang w:eastAsia="cs-CZ"/>
        </w:rPr>
        <w:t>1. pol. 202</w:t>
      </w:r>
      <w:r w:rsidR="00277F3A" w:rsidRPr="00277F3A">
        <w:rPr>
          <w:rFonts w:eastAsia="Times New Roman" w:cs="Times New Roman"/>
          <w:color w:val="auto"/>
          <w:sz w:val="20"/>
          <w:lang w:eastAsia="cs-CZ"/>
        </w:rPr>
        <w:t>2</w:t>
      </w:r>
      <w:r w:rsidRPr="00277F3A">
        <w:rPr>
          <w:rFonts w:eastAsia="Times New Roman" w:cs="Times New Roman"/>
          <w:color w:val="auto"/>
          <w:sz w:val="20"/>
          <w:lang w:eastAsia="cs-CZ"/>
        </w:rPr>
        <w:t xml:space="preserve"> činily </w:t>
      </w:r>
      <w:r w:rsidR="00277F3A" w:rsidRPr="00277F3A">
        <w:rPr>
          <w:rFonts w:eastAsia="Times New Roman" w:cs="Times New Roman"/>
          <w:color w:val="auto"/>
          <w:sz w:val="20"/>
          <w:lang w:eastAsia="cs-CZ"/>
        </w:rPr>
        <w:t>2</w:t>
      </w:r>
      <w:r w:rsidR="00DD0824" w:rsidRPr="00277F3A">
        <w:rPr>
          <w:rFonts w:eastAsia="Times New Roman" w:cs="Times New Roman"/>
          <w:color w:val="auto"/>
          <w:sz w:val="20"/>
          <w:lang w:eastAsia="cs-CZ"/>
        </w:rPr>
        <w:t>5</w:t>
      </w:r>
      <w:r w:rsidR="00277F3A" w:rsidRPr="00277F3A">
        <w:rPr>
          <w:rFonts w:eastAsia="Times New Roman" w:cs="Times New Roman"/>
          <w:color w:val="auto"/>
          <w:sz w:val="20"/>
          <w:lang w:eastAsia="cs-CZ"/>
        </w:rPr>
        <w:t>,4</w:t>
      </w:r>
      <w:r w:rsidRPr="00277F3A">
        <w:rPr>
          <w:rFonts w:eastAsia="Times New Roman" w:cs="Times New Roman"/>
          <w:color w:val="auto"/>
          <w:sz w:val="20"/>
          <w:lang w:eastAsia="cs-CZ"/>
        </w:rPr>
        <w:t xml:space="preserve"> mld. Kč, tedy o </w:t>
      </w:r>
      <w:r w:rsidR="00277F3A" w:rsidRPr="00277F3A">
        <w:rPr>
          <w:rFonts w:eastAsia="Times New Roman" w:cs="Times New Roman"/>
          <w:color w:val="auto"/>
          <w:sz w:val="20"/>
          <w:lang w:eastAsia="cs-CZ"/>
        </w:rPr>
        <w:t>3</w:t>
      </w:r>
      <w:r w:rsidRPr="00277F3A">
        <w:rPr>
          <w:rFonts w:eastAsia="Times New Roman" w:cs="Times New Roman"/>
          <w:color w:val="auto"/>
          <w:sz w:val="20"/>
          <w:lang w:eastAsia="cs-CZ"/>
        </w:rPr>
        <w:t xml:space="preserve"> mld. Kč </w:t>
      </w:r>
      <w:r w:rsidR="00DD0824" w:rsidRPr="00277F3A">
        <w:rPr>
          <w:rFonts w:eastAsia="Times New Roman" w:cs="Times New Roman"/>
          <w:color w:val="auto"/>
          <w:sz w:val="20"/>
          <w:lang w:eastAsia="cs-CZ"/>
        </w:rPr>
        <w:t>méně</w:t>
      </w:r>
      <w:r w:rsidRPr="00277F3A">
        <w:rPr>
          <w:rFonts w:eastAsia="Times New Roman" w:cs="Times New Roman"/>
          <w:color w:val="auto"/>
          <w:sz w:val="20"/>
          <w:lang w:eastAsia="cs-CZ"/>
        </w:rPr>
        <w:t xml:space="preserve"> než </w:t>
      </w:r>
      <w:r w:rsidR="00DD0824" w:rsidRPr="00277F3A">
        <w:rPr>
          <w:rFonts w:eastAsia="Times New Roman" w:cs="Times New Roman"/>
          <w:color w:val="auto"/>
          <w:sz w:val="20"/>
          <w:lang w:eastAsia="cs-CZ"/>
        </w:rPr>
        <w:t xml:space="preserve">za stejné období </w:t>
      </w:r>
      <w:r w:rsidRPr="00277F3A">
        <w:rPr>
          <w:rFonts w:eastAsia="Times New Roman" w:cs="Times New Roman"/>
          <w:color w:val="auto"/>
          <w:sz w:val="20"/>
          <w:lang w:eastAsia="cs-CZ"/>
        </w:rPr>
        <w:t xml:space="preserve">před rokem. </w:t>
      </w:r>
      <w:r w:rsidRPr="00277F3A">
        <w:rPr>
          <w:rFonts w:eastAsia="Times New Roman" w:cs="Times New Roman"/>
          <w:b/>
          <w:color w:val="auto"/>
          <w:sz w:val="20"/>
          <w:lang w:eastAsia="cs-CZ"/>
        </w:rPr>
        <w:t xml:space="preserve">Výdaje </w:t>
      </w:r>
      <w:r w:rsidRPr="00277F3A">
        <w:rPr>
          <w:rFonts w:eastAsia="Times New Roman" w:cs="Times New Roman"/>
          <w:color w:val="auto"/>
          <w:sz w:val="20"/>
          <w:lang w:eastAsia="cs-CZ"/>
        </w:rPr>
        <w:t xml:space="preserve">na objemově </w:t>
      </w:r>
      <w:r w:rsidRPr="00277F3A">
        <w:rPr>
          <w:rFonts w:eastAsia="Times New Roman" w:cs="Times New Roman"/>
          <w:b/>
          <w:color w:val="auto"/>
          <w:sz w:val="20"/>
          <w:lang w:eastAsia="cs-CZ"/>
        </w:rPr>
        <w:t>nejvýznamnější dávku</w:t>
      </w:r>
      <w:r w:rsidRPr="00277F3A">
        <w:rPr>
          <w:rFonts w:eastAsia="Times New Roman" w:cs="Times New Roman"/>
          <w:color w:val="auto"/>
          <w:sz w:val="20"/>
          <w:lang w:eastAsia="cs-CZ"/>
        </w:rPr>
        <w:t xml:space="preserve"> – </w:t>
      </w:r>
      <w:r w:rsidRPr="00277F3A">
        <w:rPr>
          <w:rFonts w:eastAsia="Times New Roman" w:cs="Times New Roman"/>
          <w:b/>
          <w:color w:val="auto"/>
          <w:sz w:val="20"/>
          <w:lang w:eastAsia="cs-CZ"/>
        </w:rPr>
        <w:t>nemocenské</w:t>
      </w:r>
      <w:r w:rsidRPr="00277F3A">
        <w:rPr>
          <w:rFonts w:eastAsia="Times New Roman" w:cs="Times New Roman"/>
          <w:color w:val="auto"/>
          <w:sz w:val="20"/>
          <w:lang w:eastAsia="cs-CZ"/>
        </w:rPr>
        <w:t xml:space="preserve"> – meziročně </w:t>
      </w:r>
      <w:r w:rsidR="00277F3A" w:rsidRPr="00277F3A">
        <w:rPr>
          <w:rFonts w:eastAsia="Times New Roman" w:cs="Times New Roman"/>
          <w:color w:val="auto"/>
          <w:sz w:val="20"/>
          <w:lang w:eastAsia="cs-CZ"/>
        </w:rPr>
        <w:t>poklesly</w:t>
      </w:r>
      <w:r w:rsidRPr="00277F3A">
        <w:rPr>
          <w:rFonts w:eastAsia="Times New Roman" w:cs="Times New Roman"/>
          <w:color w:val="auto"/>
          <w:sz w:val="20"/>
          <w:lang w:eastAsia="cs-CZ"/>
        </w:rPr>
        <w:t xml:space="preserve"> o </w:t>
      </w:r>
      <w:r w:rsidR="00277F3A" w:rsidRPr="00277F3A">
        <w:rPr>
          <w:rFonts w:eastAsia="Times New Roman" w:cs="Times New Roman"/>
          <w:color w:val="auto"/>
          <w:sz w:val="20"/>
          <w:lang w:eastAsia="cs-CZ"/>
        </w:rPr>
        <w:t>735 mil</w:t>
      </w:r>
      <w:r w:rsidRPr="00277F3A">
        <w:rPr>
          <w:rFonts w:eastAsia="Times New Roman" w:cs="Times New Roman"/>
          <w:color w:val="auto"/>
          <w:sz w:val="20"/>
          <w:lang w:eastAsia="cs-CZ"/>
        </w:rPr>
        <w:t>. Kč, tj.</w:t>
      </w:r>
      <w:r w:rsidR="00C02C40" w:rsidRPr="00277F3A">
        <w:rPr>
          <w:rFonts w:eastAsia="Times New Roman" w:cs="Times New Roman"/>
          <w:color w:val="auto"/>
          <w:sz w:val="20"/>
          <w:lang w:eastAsia="cs-CZ"/>
        </w:rPr>
        <w:t> </w:t>
      </w:r>
      <w:r w:rsidRPr="00277F3A">
        <w:rPr>
          <w:rFonts w:eastAsia="Times New Roman" w:cs="Times New Roman"/>
          <w:color w:val="auto"/>
          <w:sz w:val="20"/>
          <w:lang w:eastAsia="cs-CZ"/>
        </w:rPr>
        <w:t>o</w:t>
      </w:r>
      <w:r w:rsidR="00C02C40" w:rsidRPr="00277F3A">
        <w:rPr>
          <w:rFonts w:eastAsia="Times New Roman" w:cs="Times New Roman"/>
          <w:color w:val="auto"/>
          <w:sz w:val="20"/>
          <w:lang w:eastAsia="cs-CZ"/>
        </w:rPr>
        <w:t> </w:t>
      </w:r>
      <w:r w:rsidR="00277F3A" w:rsidRPr="00277F3A">
        <w:rPr>
          <w:rFonts w:eastAsia="Times New Roman" w:cs="Times New Roman"/>
          <w:color w:val="auto"/>
          <w:sz w:val="20"/>
          <w:lang w:eastAsia="cs-CZ"/>
        </w:rPr>
        <w:t>4</w:t>
      </w:r>
      <w:r w:rsidR="00C02C40" w:rsidRPr="00277F3A">
        <w:rPr>
          <w:rFonts w:eastAsia="Times New Roman" w:cs="Times New Roman"/>
          <w:color w:val="auto"/>
          <w:sz w:val="20"/>
          <w:lang w:eastAsia="cs-CZ"/>
        </w:rPr>
        <w:t> </w:t>
      </w:r>
      <w:r w:rsidR="00DD0824" w:rsidRPr="00277F3A">
        <w:rPr>
          <w:rFonts w:eastAsia="Times New Roman" w:cs="Times New Roman"/>
          <w:color w:val="auto"/>
          <w:sz w:val="20"/>
          <w:lang w:eastAsia="cs-CZ"/>
        </w:rPr>
        <w:t>%. Činily</w:t>
      </w:r>
      <w:r w:rsidRPr="00277F3A">
        <w:rPr>
          <w:rFonts w:eastAsia="Times New Roman" w:cs="Times New Roman"/>
          <w:color w:val="auto"/>
          <w:sz w:val="20"/>
          <w:lang w:eastAsia="cs-CZ"/>
        </w:rPr>
        <w:t xml:space="preserve"> </w:t>
      </w:r>
      <w:r w:rsidR="00DD0824" w:rsidRPr="00277F3A">
        <w:rPr>
          <w:rFonts w:eastAsia="Times New Roman" w:cs="Times New Roman"/>
          <w:color w:val="auto"/>
          <w:sz w:val="20"/>
          <w:lang w:eastAsia="cs-CZ"/>
        </w:rPr>
        <w:t>1</w:t>
      </w:r>
      <w:r w:rsidR="00277F3A" w:rsidRPr="00277F3A">
        <w:rPr>
          <w:rFonts w:eastAsia="Times New Roman" w:cs="Times New Roman"/>
          <w:color w:val="auto"/>
          <w:sz w:val="20"/>
          <w:lang w:eastAsia="cs-CZ"/>
        </w:rPr>
        <w:t>7,7</w:t>
      </w:r>
      <w:r w:rsidRPr="00277F3A">
        <w:rPr>
          <w:rFonts w:eastAsia="Times New Roman" w:cs="Times New Roman"/>
          <w:color w:val="auto"/>
          <w:sz w:val="20"/>
          <w:lang w:eastAsia="cs-CZ"/>
        </w:rPr>
        <w:t xml:space="preserve"> mld. Kč. </w:t>
      </w:r>
      <w:r w:rsidR="00FF302A" w:rsidRPr="00A6186A">
        <w:rPr>
          <w:rFonts w:eastAsia="Times New Roman" w:cs="Times New Roman"/>
          <w:color w:val="auto"/>
          <w:sz w:val="20"/>
          <w:lang w:eastAsia="cs-CZ"/>
        </w:rPr>
        <w:t xml:space="preserve">Meziroční </w:t>
      </w:r>
      <w:r w:rsidR="00A6186A" w:rsidRPr="00A6186A">
        <w:rPr>
          <w:rFonts w:eastAsia="Times New Roman" w:cs="Times New Roman"/>
          <w:color w:val="auto"/>
          <w:sz w:val="20"/>
          <w:lang w:eastAsia="cs-CZ"/>
        </w:rPr>
        <w:t>pokles</w:t>
      </w:r>
      <w:r w:rsidR="00FF302A" w:rsidRPr="00A6186A">
        <w:rPr>
          <w:rFonts w:eastAsia="Times New Roman" w:cs="Times New Roman"/>
          <w:color w:val="auto"/>
          <w:sz w:val="20"/>
          <w:lang w:eastAsia="cs-CZ"/>
        </w:rPr>
        <w:t xml:space="preserve"> výdajů na nemocenské byl způsoben</w:t>
      </w:r>
      <w:r w:rsidRPr="00A6186A">
        <w:rPr>
          <w:rFonts w:eastAsia="Times New Roman" w:cs="Times New Roman"/>
          <w:color w:val="auto"/>
          <w:sz w:val="20"/>
          <w:lang w:eastAsia="cs-CZ"/>
        </w:rPr>
        <w:t xml:space="preserve"> zejména </w:t>
      </w:r>
      <w:r w:rsidR="00A6186A" w:rsidRPr="00A6186A">
        <w:rPr>
          <w:rFonts w:eastAsia="Times New Roman" w:cs="Times New Roman"/>
          <w:color w:val="auto"/>
          <w:sz w:val="20"/>
          <w:lang w:eastAsia="cs-CZ"/>
        </w:rPr>
        <w:t>poklesem</w:t>
      </w:r>
      <w:r w:rsidR="00FF302A" w:rsidRPr="00A6186A">
        <w:rPr>
          <w:rFonts w:eastAsia="Times New Roman" w:cs="Times New Roman"/>
          <w:color w:val="auto"/>
          <w:sz w:val="20"/>
          <w:lang w:eastAsia="cs-CZ"/>
        </w:rPr>
        <w:t xml:space="preserve"> počtu</w:t>
      </w:r>
      <w:r w:rsidRPr="00A6186A">
        <w:rPr>
          <w:rFonts w:eastAsia="Times New Roman" w:cs="Times New Roman"/>
          <w:color w:val="auto"/>
          <w:sz w:val="20"/>
          <w:lang w:eastAsia="cs-CZ"/>
        </w:rPr>
        <w:t xml:space="preserve"> proplacených dnů. Výše průměrné denní dávky nemocenského v</w:t>
      </w:r>
      <w:r w:rsidR="005D57CF" w:rsidRPr="00A6186A">
        <w:rPr>
          <w:rFonts w:eastAsia="Times New Roman" w:cs="Times New Roman"/>
          <w:color w:val="auto"/>
          <w:sz w:val="20"/>
          <w:lang w:eastAsia="cs-CZ"/>
        </w:rPr>
        <w:t> 1. pol. 202</w:t>
      </w:r>
      <w:r w:rsidR="00A6186A" w:rsidRPr="00A6186A">
        <w:rPr>
          <w:rFonts w:eastAsia="Times New Roman" w:cs="Times New Roman"/>
          <w:color w:val="auto"/>
          <w:sz w:val="20"/>
          <w:lang w:eastAsia="cs-CZ"/>
        </w:rPr>
        <w:t>2</w:t>
      </w:r>
      <w:r w:rsidRPr="00A6186A">
        <w:rPr>
          <w:rFonts w:eastAsia="Times New Roman" w:cs="Times New Roman"/>
          <w:color w:val="auto"/>
          <w:sz w:val="20"/>
          <w:lang w:eastAsia="cs-CZ"/>
        </w:rPr>
        <w:t xml:space="preserve"> </w:t>
      </w:r>
      <w:r w:rsidR="00A6186A" w:rsidRPr="00A6186A">
        <w:rPr>
          <w:rFonts w:eastAsia="Times New Roman" w:cs="Times New Roman"/>
          <w:color w:val="auto"/>
          <w:sz w:val="20"/>
          <w:lang w:eastAsia="cs-CZ"/>
        </w:rPr>
        <w:t>představovala</w:t>
      </w:r>
      <w:r w:rsidRPr="00A6186A">
        <w:rPr>
          <w:rFonts w:eastAsia="Times New Roman" w:cs="Times New Roman"/>
          <w:color w:val="auto"/>
          <w:sz w:val="20"/>
          <w:lang w:eastAsia="cs-CZ"/>
        </w:rPr>
        <w:t xml:space="preserve"> 5</w:t>
      </w:r>
      <w:r w:rsidR="00A6186A" w:rsidRPr="00A6186A">
        <w:rPr>
          <w:rFonts w:eastAsia="Times New Roman" w:cs="Times New Roman"/>
          <w:color w:val="auto"/>
          <w:sz w:val="20"/>
          <w:lang w:eastAsia="cs-CZ"/>
        </w:rPr>
        <w:t>74</w:t>
      </w:r>
      <w:r w:rsidRPr="00A6186A">
        <w:rPr>
          <w:rFonts w:eastAsia="Times New Roman" w:cs="Times New Roman"/>
          <w:color w:val="auto"/>
          <w:sz w:val="20"/>
          <w:lang w:eastAsia="cs-CZ"/>
        </w:rPr>
        <w:t xml:space="preserve"> Kč. </w:t>
      </w:r>
      <w:r w:rsidR="005D57CF" w:rsidRPr="00A6186A">
        <w:rPr>
          <w:rFonts w:eastAsia="Times New Roman" w:cs="Times New Roman"/>
          <w:color w:val="auto"/>
          <w:sz w:val="20"/>
          <w:lang w:eastAsia="cs-CZ"/>
        </w:rPr>
        <w:t>V 1. pol. 202</w:t>
      </w:r>
      <w:r w:rsidR="00A6186A" w:rsidRPr="00A6186A">
        <w:rPr>
          <w:rFonts w:eastAsia="Times New Roman" w:cs="Times New Roman"/>
          <w:color w:val="auto"/>
          <w:sz w:val="20"/>
          <w:lang w:eastAsia="cs-CZ"/>
        </w:rPr>
        <w:t>1</w:t>
      </w:r>
      <w:r w:rsidRPr="00A6186A">
        <w:rPr>
          <w:rFonts w:eastAsia="Times New Roman" w:cs="Times New Roman"/>
          <w:color w:val="auto"/>
          <w:sz w:val="20"/>
          <w:lang w:eastAsia="cs-CZ"/>
        </w:rPr>
        <w:t xml:space="preserve"> byla průměrná denní dávka nemocenského ve výši </w:t>
      </w:r>
      <w:r w:rsidR="005D57CF" w:rsidRPr="00A6186A">
        <w:rPr>
          <w:rFonts w:eastAsia="Times New Roman" w:cs="Times New Roman"/>
          <w:color w:val="auto"/>
          <w:sz w:val="20"/>
          <w:lang w:eastAsia="cs-CZ"/>
        </w:rPr>
        <w:t>5</w:t>
      </w:r>
      <w:r w:rsidR="00A6186A" w:rsidRPr="00A6186A">
        <w:rPr>
          <w:rFonts w:eastAsia="Times New Roman" w:cs="Times New Roman"/>
          <w:color w:val="auto"/>
          <w:sz w:val="20"/>
          <w:lang w:eastAsia="cs-CZ"/>
        </w:rPr>
        <w:t>40</w:t>
      </w:r>
      <w:r w:rsidRPr="00A6186A">
        <w:rPr>
          <w:rFonts w:eastAsia="Times New Roman" w:cs="Times New Roman"/>
          <w:color w:val="auto"/>
          <w:sz w:val="20"/>
          <w:lang w:eastAsia="cs-CZ"/>
        </w:rPr>
        <w:t xml:space="preserve"> Kč, což je o </w:t>
      </w:r>
      <w:r w:rsidR="00A6186A" w:rsidRPr="00A6186A">
        <w:rPr>
          <w:rFonts w:eastAsia="Times New Roman" w:cs="Times New Roman"/>
          <w:color w:val="auto"/>
          <w:sz w:val="20"/>
          <w:lang w:eastAsia="cs-CZ"/>
        </w:rPr>
        <w:t>6</w:t>
      </w:r>
      <w:r w:rsidRPr="00A6186A">
        <w:rPr>
          <w:rFonts w:eastAsia="Times New Roman" w:cs="Times New Roman"/>
          <w:color w:val="auto"/>
          <w:sz w:val="20"/>
          <w:lang w:eastAsia="cs-CZ"/>
        </w:rPr>
        <w:t xml:space="preserve"> % méně.</w:t>
      </w:r>
      <w:r w:rsidR="008B7D64" w:rsidRPr="00A6186A">
        <w:rPr>
          <w:rFonts w:eastAsia="Times New Roman" w:cs="Times New Roman"/>
          <w:color w:val="auto"/>
          <w:sz w:val="20"/>
          <w:lang w:eastAsia="cs-CZ"/>
        </w:rPr>
        <w:t xml:space="preserve"> Výdaje</w:t>
      </w:r>
      <w:r w:rsidR="00A6186A" w:rsidRPr="00A6186A">
        <w:rPr>
          <w:rFonts w:eastAsia="Times New Roman" w:cs="Times New Roman"/>
          <w:color w:val="auto"/>
          <w:sz w:val="20"/>
          <w:lang w:eastAsia="cs-CZ"/>
        </w:rPr>
        <w:t xml:space="preserve"> </w:t>
      </w:r>
      <w:r w:rsidR="008B7D64" w:rsidRPr="00A6186A">
        <w:rPr>
          <w:rFonts w:eastAsia="Times New Roman" w:cs="Times New Roman"/>
          <w:color w:val="auto"/>
          <w:sz w:val="20"/>
          <w:lang w:eastAsia="cs-CZ"/>
        </w:rPr>
        <w:t xml:space="preserve">na nemocenské v přepočtu na jednoho pojištěnce </w:t>
      </w:r>
      <w:r w:rsidR="00DD0824" w:rsidRPr="00A6186A">
        <w:rPr>
          <w:rFonts w:eastAsia="Times New Roman" w:cs="Times New Roman"/>
          <w:color w:val="auto"/>
          <w:sz w:val="20"/>
          <w:lang w:eastAsia="cs-CZ"/>
        </w:rPr>
        <w:t>v 1. pol. 202</w:t>
      </w:r>
      <w:r w:rsidR="00A6186A" w:rsidRPr="00A6186A">
        <w:rPr>
          <w:rFonts w:eastAsia="Times New Roman" w:cs="Times New Roman"/>
          <w:color w:val="auto"/>
          <w:sz w:val="20"/>
          <w:lang w:eastAsia="cs-CZ"/>
        </w:rPr>
        <w:t>2</w:t>
      </w:r>
      <w:r w:rsidR="008B7D64" w:rsidRPr="00A6186A">
        <w:rPr>
          <w:rFonts w:eastAsia="Times New Roman" w:cs="Times New Roman"/>
          <w:color w:val="auto"/>
          <w:sz w:val="20"/>
          <w:lang w:eastAsia="cs-CZ"/>
        </w:rPr>
        <w:t xml:space="preserve"> </w:t>
      </w:r>
      <w:r w:rsidR="00A6186A" w:rsidRPr="00A6186A">
        <w:rPr>
          <w:rFonts w:eastAsia="Times New Roman" w:cs="Times New Roman"/>
          <w:color w:val="auto"/>
          <w:sz w:val="20"/>
          <w:lang w:eastAsia="cs-CZ"/>
        </w:rPr>
        <w:t>činily</w:t>
      </w:r>
      <w:r w:rsidR="008B7D64" w:rsidRPr="00A6186A">
        <w:rPr>
          <w:rFonts w:eastAsia="Times New Roman" w:cs="Times New Roman"/>
          <w:color w:val="auto"/>
          <w:sz w:val="20"/>
          <w:lang w:eastAsia="cs-CZ"/>
        </w:rPr>
        <w:t xml:space="preserve"> </w:t>
      </w:r>
      <w:r w:rsidR="00A6186A" w:rsidRPr="00A6186A">
        <w:rPr>
          <w:rFonts w:eastAsia="Times New Roman" w:cs="Times New Roman"/>
          <w:color w:val="auto"/>
          <w:sz w:val="20"/>
          <w:lang w:eastAsia="cs-CZ"/>
        </w:rPr>
        <w:t>3 740</w:t>
      </w:r>
      <w:r w:rsidR="008B7D64" w:rsidRPr="00A6186A">
        <w:rPr>
          <w:rFonts w:eastAsia="Times New Roman" w:cs="Times New Roman"/>
          <w:color w:val="auto"/>
          <w:sz w:val="20"/>
          <w:lang w:eastAsia="cs-CZ"/>
        </w:rPr>
        <w:t xml:space="preserve"> Kč.</w:t>
      </w:r>
    </w:p>
    <w:p w14:paraId="399FDF0E" w14:textId="74D54BD0" w:rsidR="00D91258" w:rsidRDefault="00591005" w:rsidP="00000A90">
      <w:pPr>
        <w:spacing w:before="120" w:after="120"/>
        <w:jc w:val="both"/>
      </w:pPr>
      <w:r w:rsidRPr="00277F3A">
        <w:t xml:space="preserve">Je zřejmé, že za enormní nárůst výdajů na dávky nemocenského pojištění mezi prvními pololetími 2019 a 2020, resp. 2021 mohou </w:t>
      </w:r>
      <w:r w:rsidRPr="00277F3A">
        <w:rPr>
          <w:b/>
        </w:rPr>
        <w:t xml:space="preserve">finanční kompenzace </w:t>
      </w:r>
      <w:r w:rsidRPr="00277F3A">
        <w:t xml:space="preserve">vyplacené v souvislosti </w:t>
      </w:r>
      <w:r w:rsidRPr="00277F3A">
        <w:rPr>
          <w:b/>
        </w:rPr>
        <w:t>s</w:t>
      </w:r>
      <w:r w:rsidRPr="00277F3A">
        <w:t> </w:t>
      </w:r>
      <w:r w:rsidRPr="00277F3A">
        <w:rPr>
          <w:b/>
        </w:rPr>
        <w:t>onemocněním</w:t>
      </w:r>
      <w:r w:rsidRPr="00277F3A">
        <w:t xml:space="preserve"> </w:t>
      </w:r>
      <w:r w:rsidRPr="00277F3A">
        <w:rPr>
          <w:b/>
        </w:rPr>
        <w:t>covid-19</w:t>
      </w:r>
      <w:r w:rsidRPr="00277F3A">
        <w:t xml:space="preserve">. Ať už </w:t>
      </w:r>
      <w:r w:rsidRPr="00277F3A">
        <w:lastRenderedPageBreak/>
        <w:t>jde o nemocenské nebo ošetřovné.</w:t>
      </w:r>
      <w:r w:rsidRPr="00591005">
        <w:t xml:space="preserve"> </w:t>
      </w:r>
      <w:r w:rsidR="00277F3A">
        <w:t>Výdaje na ošetřovné v 1. pol. 2022 s hodnotou 1,8 mld. Kč už se blížily výši z 1. pol. 2019, kdy činily 1,0 mld. Kč.</w:t>
      </w:r>
      <w:r w:rsidR="008E7461">
        <w:t xml:space="preserve"> Po letech 2020 a 2021 v 1. pol. 2022 </w:t>
      </w:r>
      <w:r w:rsidR="00E34258">
        <w:t>n</w:t>
      </w:r>
      <w:r w:rsidR="00E34258">
        <w:t>ebyly plošně uzavírány</w:t>
      </w:r>
      <w:r w:rsidR="008E7461">
        <w:t xml:space="preserve"> škol</w:t>
      </w:r>
      <w:r w:rsidR="00E34258">
        <w:t>y</w:t>
      </w:r>
      <w:r w:rsidR="008E7461">
        <w:t xml:space="preserve">. </w:t>
      </w:r>
    </w:p>
    <w:p w14:paraId="217C89D0" w14:textId="304156CC" w:rsidR="003B04F2" w:rsidRPr="008B012A" w:rsidRDefault="00591005" w:rsidP="00000A90">
      <w:pPr>
        <w:spacing w:before="120" w:after="120"/>
        <w:jc w:val="both"/>
      </w:pPr>
      <w:r w:rsidRPr="008B012A">
        <w:t xml:space="preserve">K významnému zvýšení </w:t>
      </w:r>
      <w:r w:rsidR="008B012A" w:rsidRPr="008B012A">
        <w:t>výdajů na dávky nemocenského pojištění</w:t>
      </w:r>
      <w:r w:rsidRPr="008B012A">
        <w:t xml:space="preserve"> došlo </w:t>
      </w:r>
      <w:r w:rsidR="008B012A" w:rsidRPr="008B012A">
        <w:t xml:space="preserve">už </w:t>
      </w:r>
      <w:r w:rsidRPr="008B012A">
        <w:t xml:space="preserve">i v 1. pol. 2018. </w:t>
      </w:r>
      <w:r w:rsidR="003B04F2" w:rsidRPr="008B012A">
        <w:t xml:space="preserve">V roce 2017 </w:t>
      </w:r>
      <w:r w:rsidR="003B04F2" w:rsidRPr="008B012A">
        <w:rPr>
          <w:b/>
        </w:rPr>
        <w:t xml:space="preserve">bylo </w:t>
      </w:r>
      <w:r w:rsidRPr="008B012A">
        <w:t xml:space="preserve">totiž </w:t>
      </w:r>
      <w:r w:rsidR="003B04F2" w:rsidRPr="008B012A">
        <w:rPr>
          <w:b/>
        </w:rPr>
        <w:t>přijato několik významných legislativních opatření</w:t>
      </w:r>
      <w:r w:rsidR="003B04F2" w:rsidRPr="008B012A">
        <w:t xml:space="preserve"> v oblasti nemocenského pojištění, </w:t>
      </w:r>
      <w:r w:rsidR="003B04F2" w:rsidRPr="008B012A">
        <w:rPr>
          <w:b/>
        </w:rPr>
        <w:t>s účinností od roku 2018</w:t>
      </w:r>
      <w:r w:rsidR="003B04F2" w:rsidRPr="008B012A">
        <w:t xml:space="preserve">, která zásadním způsobem ovlivnila jeho finanční bilanci. Jednalo se o </w:t>
      </w:r>
      <w:r w:rsidR="003B04F2" w:rsidRPr="008B012A">
        <w:rPr>
          <w:b/>
        </w:rPr>
        <w:t>zvýšení nemocenského od 31. kalendářního dne DPN</w:t>
      </w:r>
      <w:r w:rsidR="003657FA" w:rsidRPr="008B012A">
        <w:t xml:space="preserve"> </w:t>
      </w:r>
      <w:r w:rsidR="003B04F2" w:rsidRPr="008B012A">
        <w:t>nebo karantény z 60 % na 66 % redukovaného denního vyměřovacího základu a od</w:t>
      </w:r>
      <w:r w:rsidR="003B04F2" w:rsidRPr="008B012A">
        <w:rPr>
          <w:b/>
        </w:rPr>
        <w:t xml:space="preserve"> 61. kalendářního dne DPN</w:t>
      </w:r>
      <w:r w:rsidR="003B04F2" w:rsidRPr="008B012A">
        <w:t xml:space="preserve"> nebo karantény z 60 % na 72 % redukovaného denního vyměřovacího základu </w:t>
      </w:r>
      <w:r w:rsidR="003657FA" w:rsidRPr="008B012A">
        <w:t>s účinností od</w:t>
      </w:r>
      <w:r w:rsidR="00CD63E8" w:rsidRPr="008B012A">
        <w:t> </w:t>
      </w:r>
      <w:r w:rsidR="003657FA" w:rsidRPr="008B012A">
        <w:t>1.</w:t>
      </w:r>
      <w:r w:rsidR="00CD63E8" w:rsidRPr="008B012A">
        <w:t> </w:t>
      </w:r>
      <w:r w:rsidR="003657FA" w:rsidRPr="008B012A">
        <w:t xml:space="preserve">ledna 2018. </w:t>
      </w:r>
      <w:r w:rsidR="00D91258" w:rsidRPr="008B012A">
        <w:t xml:space="preserve">Kromě toho, ovšem s jen nepatrným vlivem na celkovou výši výdajů nemocenského pojištění, </w:t>
      </w:r>
      <w:r w:rsidR="003657FA" w:rsidRPr="008B012A">
        <w:t>byl rozšířen</w:t>
      </w:r>
      <w:r w:rsidR="003B04F2" w:rsidRPr="008B012A">
        <w:t xml:space="preserve"> okru</w:t>
      </w:r>
      <w:r w:rsidR="003657FA" w:rsidRPr="008B012A">
        <w:t>h</w:t>
      </w:r>
      <w:r w:rsidR="003B04F2" w:rsidRPr="008B012A">
        <w:t xml:space="preserve"> dávek poskytovaných z</w:t>
      </w:r>
      <w:r w:rsidR="00C02C40" w:rsidRPr="008B012A">
        <w:t> </w:t>
      </w:r>
      <w:r w:rsidR="003B04F2" w:rsidRPr="008B012A">
        <w:t>nemocenského pojištění o novou dávku otcovské poporodní péče (tzv. „otcovská“) s účinností od 1. února 2018 a dávku dlouhodobého ošetřovného s</w:t>
      </w:r>
      <w:r w:rsidR="008B012A">
        <w:t> </w:t>
      </w:r>
      <w:r w:rsidR="003B04F2" w:rsidRPr="008B012A">
        <w:t>účinností od 1. června 2018.</w:t>
      </w:r>
    </w:p>
    <w:p w14:paraId="41BFA204" w14:textId="6397D236" w:rsidR="003B04F2" w:rsidRPr="008B012A" w:rsidRDefault="00591005" w:rsidP="00000A90">
      <w:pPr>
        <w:spacing w:before="120" w:after="120"/>
        <w:jc w:val="both"/>
      </w:pPr>
      <w:r w:rsidRPr="008B012A">
        <w:t>Pokud půjdeme ještě dále do historie, zjistíme, že k</w:t>
      </w:r>
      <w:r w:rsidR="003B04F2" w:rsidRPr="008B012A">
        <w:t> zásadním změnám v úrovni výdajů na nemocenské došlo v roce 2009 v souvislosti s</w:t>
      </w:r>
      <w:r w:rsidR="00D91258" w:rsidRPr="008B012A">
        <w:t xml:space="preserve"> komplexní </w:t>
      </w:r>
      <w:r w:rsidR="003B04F2" w:rsidRPr="008B012A">
        <w:t>legislativní úpravou nemocenského pojištění. Nový zákon o</w:t>
      </w:r>
      <w:r w:rsidR="00CD63E8" w:rsidRPr="008B012A">
        <w:t> </w:t>
      </w:r>
      <w:r w:rsidR="003B04F2" w:rsidRPr="008B012A">
        <w:t>nemocenském pojištění znatelně snížil výši dávek nemocenského pojištění a zejména stanovil, že po dobu prvních 14 dnů pracovní neschopnosti je zaměstnanec zabezpečen náhradou mzdy nebo platu, kterou mu poskytuje zaměstnavatel (do 1. 7. 2019 s výjimkou prvních 3 pracovních dnů). Poskytování náhrady mzdy nebo platu zaměstnavatelem bylo přijetím úsporných opatření v letech 2011 až 2013 dočasně prodlouženo z prvních 14</w:t>
      </w:r>
      <w:r w:rsidRPr="008B012A">
        <w:t> </w:t>
      </w:r>
      <w:r w:rsidR="003B04F2" w:rsidRPr="008B012A">
        <w:t xml:space="preserve">na 21 dnů pracovní neschopnosti. V důsledku těchto legislativních změn došlo k rapidnímu poklesu </w:t>
      </w:r>
      <w:r w:rsidR="00D91258" w:rsidRPr="008B012A">
        <w:t>pracovní neschopnosti</w:t>
      </w:r>
      <w:r w:rsidR="003B04F2" w:rsidRPr="008B012A">
        <w:t xml:space="preserve">, což rovněž mělo vliv na pokles výdajů na nemocenské. Oproti </w:t>
      </w:r>
      <w:r w:rsidRPr="008B012A">
        <w:t>1. pol. 2012</w:t>
      </w:r>
      <w:r w:rsidR="003B04F2" w:rsidRPr="008B012A">
        <w:t xml:space="preserve"> byly </w:t>
      </w:r>
      <w:r w:rsidR="0062225A" w:rsidRPr="008B012A">
        <w:t xml:space="preserve">tudíž </w:t>
      </w:r>
      <w:r w:rsidR="003B04F2" w:rsidRPr="008B012A">
        <w:t>výdaje na nemocenské v</w:t>
      </w:r>
      <w:r w:rsidRPr="008B012A">
        <w:t> 1. pol. 202</w:t>
      </w:r>
      <w:r w:rsidR="008B012A" w:rsidRPr="008B012A">
        <w:t>2</w:t>
      </w:r>
      <w:r w:rsidR="003B04F2" w:rsidRPr="008B012A">
        <w:t xml:space="preserve"> </w:t>
      </w:r>
      <w:r w:rsidR="0028392B" w:rsidRPr="008B012A">
        <w:t>téměř trojnásobné</w:t>
      </w:r>
      <w:r w:rsidR="003B04F2" w:rsidRPr="008B012A">
        <w:t>.</w:t>
      </w:r>
    </w:p>
    <w:p w14:paraId="65708FAD" w14:textId="2A14CAC9" w:rsidR="00FB50FB" w:rsidRPr="00D92E20" w:rsidRDefault="009F0B87" w:rsidP="00000A90">
      <w:pPr>
        <w:spacing w:after="0"/>
        <w:rPr>
          <w:b/>
        </w:rPr>
      </w:pPr>
      <w:r w:rsidRPr="00D92E20">
        <w:rPr>
          <w:b/>
        </w:rPr>
        <w:t xml:space="preserve">Tab. 4.1: Výdaje na dávky nemocenského pojištění, </w:t>
      </w:r>
      <w:r w:rsidR="009F34CD" w:rsidRPr="0050059C">
        <w:rPr>
          <w:b/>
          <w:spacing w:val="-2"/>
        </w:rPr>
        <w:t>1. pol. 201</w:t>
      </w:r>
      <w:r w:rsidR="009F34CD">
        <w:rPr>
          <w:b/>
          <w:spacing w:val="-2"/>
        </w:rPr>
        <w:t>2</w:t>
      </w:r>
      <w:r w:rsidR="009F34CD" w:rsidRPr="0050059C">
        <w:rPr>
          <w:b/>
          <w:spacing w:val="-2"/>
        </w:rPr>
        <w:t xml:space="preserve"> až 1. pol. 202</w:t>
      </w:r>
      <w:r w:rsidR="009F34CD">
        <w:rPr>
          <w:b/>
          <w:spacing w:val="-2"/>
        </w:rPr>
        <w:t>2</w:t>
      </w:r>
      <w:r w:rsidR="009F34CD" w:rsidRPr="00D92E20">
        <w:rPr>
          <w:b/>
        </w:rPr>
        <w:t xml:space="preserve"> </w:t>
      </w:r>
      <w:r w:rsidRPr="00D92E20">
        <w:rPr>
          <w:b/>
        </w:rPr>
        <w:t>(v mld. Kč)</w:t>
      </w:r>
    </w:p>
    <w:tbl>
      <w:tblPr>
        <w:tblW w:w="9736" w:type="dxa"/>
        <w:tblCellMar>
          <w:left w:w="70" w:type="dxa"/>
          <w:right w:w="70" w:type="dxa"/>
        </w:tblCellMar>
        <w:tblLook w:val="04A0" w:firstRow="1" w:lastRow="0" w:firstColumn="1" w:lastColumn="0" w:noHBand="0" w:noVBand="1"/>
      </w:tblPr>
      <w:tblGrid>
        <w:gridCol w:w="2333"/>
        <w:gridCol w:w="673"/>
        <w:gridCol w:w="673"/>
        <w:gridCol w:w="673"/>
        <w:gridCol w:w="673"/>
        <w:gridCol w:w="673"/>
        <w:gridCol w:w="673"/>
        <w:gridCol w:w="673"/>
        <w:gridCol w:w="673"/>
        <w:gridCol w:w="673"/>
        <w:gridCol w:w="673"/>
        <w:gridCol w:w="673"/>
      </w:tblGrid>
      <w:tr w:rsidR="00277F3A" w:rsidRPr="00D92E20" w14:paraId="1322F35D" w14:textId="77777777" w:rsidTr="009F0B87">
        <w:trPr>
          <w:trHeight w:val="315"/>
        </w:trPr>
        <w:tc>
          <w:tcPr>
            <w:tcW w:w="2333" w:type="dxa"/>
            <w:tcBorders>
              <w:top w:val="single" w:sz="4" w:space="0" w:color="auto"/>
              <w:left w:val="nil"/>
              <w:bottom w:val="single" w:sz="8" w:space="0" w:color="auto"/>
              <w:right w:val="single" w:sz="4" w:space="0" w:color="auto"/>
            </w:tcBorders>
            <w:shd w:val="clear" w:color="000000" w:fill="F5DADD"/>
            <w:vAlign w:val="center"/>
            <w:hideMark/>
          </w:tcPr>
          <w:p w14:paraId="2A44CA79" w14:textId="77777777" w:rsidR="00277F3A" w:rsidRPr="00D92E20" w:rsidRDefault="00277F3A" w:rsidP="00277F3A">
            <w:pPr>
              <w:spacing w:after="0" w:line="240" w:lineRule="auto"/>
              <w:rPr>
                <w:rFonts w:cs="Arial"/>
                <w:sz w:val="16"/>
                <w:szCs w:val="16"/>
              </w:rPr>
            </w:pPr>
            <w:r w:rsidRPr="00D92E20">
              <w:rPr>
                <w:rFonts w:cs="Arial"/>
                <w:sz w:val="16"/>
                <w:szCs w:val="16"/>
              </w:rPr>
              <w:t>Druh dávky</w:t>
            </w:r>
          </w:p>
        </w:tc>
        <w:tc>
          <w:tcPr>
            <w:tcW w:w="673" w:type="dxa"/>
            <w:tcBorders>
              <w:top w:val="single" w:sz="4" w:space="0" w:color="auto"/>
              <w:left w:val="nil"/>
              <w:bottom w:val="single" w:sz="8" w:space="0" w:color="auto"/>
              <w:right w:val="nil"/>
            </w:tcBorders>
            <w:shd w:val="clear" w:color="000000" w:fill="F5DADD"/>
            <w:noWrap/>
            <w:vAlign w:val="center"/>
            <w:hideMark/>
          </w:tcPr>
          <w:p w14:paraId="2C1849A4" w14:textId="1CEAE0B1" w:rsidR="00277F3A" w:rsidRPr="00D92E20" w:rsidRDefault="00277F3A" w:rsidP="00277F3A">
            <w:pPr>
              <w:spacing w:after="0" w:line="240" w:lineRule="auto"/>
              <w:jc w:val="center"/>
              <w:rPr>
                <w:rFonts w:cs="Arial"/>
                <w:sz w:val="16"/>
                <w:szCs w:val="16"/>
              </w:rPr>
            </w:pPr>
            <w:r>
              <w:rPr>
                <w:rFonts w:cs="Arial"/>
                <w:sz w:val="16"/>
                <w:szCs w:val="16"/>
              </w:rPr>
              <w:t xml:space="preserve">1. pol. </w:t>
            </w:r>
            <w:r>
              <w:rPr>
                <w:rFonts w:cs="Arial"/>
                <w:sz w:val="16"/>
                <w:szCs w:val="16"/>
              </w:rPr>
              <w:br/>
              <w:t>2012</w:t>
            </w:r>
          </w:p>
        </w:tc>
        <w:tc>
          <w:tcPr>
            <w:tcW w:w="673" w:type="dxa"/>
            <w:tcBorders>
              <w:top w:val="single" w:sz="4" w:space="0" w:color="auto"/>
              <w:left w:val="nil"/>
              <w:bottom w:val="single" w:sz="8" w:space="0" w:color="auto"/>
              <w:right w:val="nil"/>
            </w:tcBorders>
            <w:shd w:val="clear" w:color="000000" w:fill="F5DADD"/>
            <w:noWrap/>
            <w:vAlign w:val="center"/>
            <w:hideMark/>
          </w:tcPr>
          <w:p w14:paraId="3ACDEF92" w14:textId="08DD9F9F" w:rsidR="00277F3A" w:rsidRPr="00D92E20" w:rsidRDefault="00277F3A" w:rsidP="00277F3A">
            <w:pPr>
              <w:spacing w:after="0" w:line="240" w:lineRule="auto"/>
              <w:jc w:val="center"/>
              <w:rPr>
                <w:rFonts w:cs="Arial"/>
                <w:sz w:val="16"/>
                <w:szCs w:val="16"/>
              </w:rPr>
            </w:pPr>
            <w:r>
              <w:rPr>
                <w:rFonts w:cs="Arial"/>
                <w:sz w:val="16"/>
                <w:szCs w:val="16"/>
              </w:rPr>
              <w:t xml:space="preserve">1. pol. </w:t>
            </w:r>
            <w:r>
              <w:rPr>
                <w:rFonts w:cs="Arial"/>
                <w:sz w:val="16"/>
                <w:szCs w:val="16"/>
              </w:rPr>
              <w:br/>
              <w:t>2013</w:t>
            </w:r>
          </w:p>
        </w:tc>
        <w:tc>
          <w:tcPr>
            <w:tcW w:w="673" w:type="dxa"/>
            <w:tcBorders>
              <w:top w:val="single" w:sz="4" w:space="0" w:color="auto"/>
              <w:left w:val="nil"/>
              <w:bottom w:val="single" w:sz="8" w:space="0" w:color="auto"/>
              <w:right w:val="nil"/>
            </w:tcBorders>
            <w:shd w:val="clear" w:color="000000" w:fill="F5DADD"/>
            <w:noWrap/>
            <w:vAlign w:val="center"/>
            <w:hideMark/>
          </w:tcPr>
          <w:p w14:paraId="096C8976" w14:textId="186DDBF9" w:rsidR="00277F3A" w:rsidRPr="00D92E20" w:rsidRDefault="00277F3A" w:rsidP="00277F3A">
            <w:pPr>
              <w:spacing w:after="0" w:line="240" w:lineRule="auto"/>
              <w:jc w:val="center"/>
              <w:rPr>
                <w:rFonts w:cs="Arial"/>
                <w:sz w:val="16"/>
                <w:szCs w:val="16"/>
              </w:rPr>
            </w:pPr>
            <w:r>
              <w:rPr>
                <w:rFonts w:cs="Arial"/>
                <w:sz w:val="16"/>
                <w:szCs w:val="16"/>
              </w:rPr>
              <w:t xml:space="preserve">1. pol. </w:t>
            </w:r>
            <w:r>
              <w:rPr>
                <w:rFonts w:cs="Arial"/>
                <w:sz w:val="16"/>
                <w:szCs w:val="16"/>
              </w:rPr>
              <w:br/>
              <w:t>2014</w:t>
            </w:r>
          </w:p>
        </w:tc>
        <w:tc>
          <w:tcPr>
            <w:tcW w:w="673" w:type="dxa"/>
            <w:tcBorders>
              <w:top w:val="single" w:sz="4" w:space="0" w:color="auto"/>
              <w:left w:val="nil"/>
              <w:bottom w:val="single" w:sz="8" w:space="0" w:color="auto"/>
              <w:right w:val="nil"/>
            </w:tcBorders>
            <w:shd w:val="clear" w:color="000000" w:fill="F5DADD"/>
            <w:noWrap/>
            <w:vAlign w:val="center"/>
            <w:hideMark/>
          </w:tcPr>
          <w:p w14:paraId="23E22A0B" w14:textId="1930504E" w:rsidR="00277F3A" w:rsidRPr="00D92E20" w:rsidRDefault="00277F3A" w:rsidP="00277F3A">
            <w:pPr>
              <w:spacing w:after="0" w:line="240" w:lineRule="auto"/>
              <w:jc w:val="center"/>
              <w:rPr>
                <w:rFonts w:cs="Arial"/>
                <w:sz w:val="16"/>
                <w:szCs w:val="16"/>
              </w:rPr>
            </w:pPr>
            <w:r>
              <w:rPr>
                <w:rFonts w:cs="Arial"/>
                <w:sz w:val="16"/>
                <w:szCs w:val="16"/>
              </w:rPr>
              <w:t xml:space="preserve">1. pol. </w:t>
            </w:r>
            <w:r>
              <w:rPr>
                <w:rFonts w:cs="Arial"/>
                <w:sz w:val="16"/>
                <w:szCs w:val="16"/>
              </w:rPr>
              <w:br/>
              <w:t>2015</w:t>
            </w:r>
          </w:p>
        </w:tc>
        <w:tc>
          <w:tcPr>
            <w:tcW w:w="673" w:type="dxa"/>
            <w:tcBorders>
              <w:top w:val="single" w:sz="4" w:space="0" w:color="auto"/>
              <w:left w:val="nil"/>
              <w:bottom w:val="single" w:sz="8" w:space="0" w:color="auto"/>
              <w:right w:val="nil"/>
            </w:tcBorders>
            <w:shd w:val="clear" w:color="000000" w:fill="F5DADD"/>
            <w:noWrap/>
            <w:vAlign w:val="center"/>
            <w:hideMark/>
          </w:tcPr>
          <w:p w14:paraId="3673A7FC" w14:textId="37001E79" w:rsidR="00277F3A" w:rsidRPr="00D92E20" w:rsidRDefault="00277F3A" w:rsidP="00277F3A">
            <w:pPr>
              <w:spacing w:after="0" w:line="240" w:lineRule="auto"/>
              <w:jc w:val="center"/>
              <w:rPr>
                <w:rFonts w:cs="Arial"/>
                <w:sz w:val="16"/>
                <w:szCs w:val="16"/>
              </w:rPr>
            </w:pPr>
            <w:r>
              <w:rPr>
                <w:rFonts w:cs="Arial"/>
                <w:sz w:val="16"/>
                <w:szCs w:val="16"/>
              </w:rPr>
              <w:t xml:space="preserve">1. pol. </w:t>
            </w:r>
            <w:r>
              <w:rPr>
                <w:rFonts w:cs="Arial"/>
                <w:sz w:val="16"/>
                <w:szCs w:val="16"/>
              </w:rPr>
              <w:br/>
              <w:t>2016</w:t>
            </w:r>
          </w:p>
        </w:tc>
        <w:tc>
          <w:tcPr>
            <w:tcW w:w="673" w:type="dxa"/>
            <w:tcBorders>
              <w:top w:val="single" w:sz="4" w:space="0" w:color="auto"/>
              <w:left w:val="nil"/>
              <w:bottom w:val="single" w:sz="8" w:space="0" w:color="auto"/>
              <w:right w:val="nil"/>
            </w:tcBorders>
            <w:shd w:val="clear" w:color="000000" w:fill="F5DADD"/>
            <w:noWrap/>
            <w:vAlign w:val="center"/>
            <w:hideMark/>
          </w:tcPr>
          <w:p w14:paraId="0E004D09" w14:textId="33C4399D" w:rsidR="00277F3A" w:rsidRPr="00D92E20" w:rsidRDefault="00277F3A" w:rsidP="00277F3A">
            <w:pPr>
              <w:spacing w:after="0" w:line="240" w:lineRule="auto"/>
              <w:jc w:val="center"/>
              <w:rPr>
                <w:rFonts w:cs="Arial"/>
                <w:sz w:val="16"/>
                <w:szCs w:val="16"/>
              </w:rPr>
            </w:pPr>
            <w:r>
              <w:rPr>
                <w:rFonts w:cs="Arial"/>
                <w:sz w:val="16"/>
                <w:szCs w:val="16"/>
              </w:rPr>
              <w:t xml:space="preserve">1. pol. </w:t>
            </w:r>
            <w:r>
              <w:rPr>
                <w:rFonts w:cs="Arial"/>
                <w:sz w:val="16"/>
                <w:szCs w:val="16"/>
              </w:rPr>
              <w:br/>
              <w:t>2017</w:t>
            </w:r>
          </w:p>
        </w:tc>
        <w:tc>
          <w:tcPr>
            <w:tcW w:w="673" w:type="dxa"/>
            <w:tcBorders>
              <w:top w:val="single" w:sz="4" w:space="0" w:color="auto"/>
              <w:left w:val="nil"/>
              <w:bottom w:val="single" w:sz="8" w:space="0" w:color="auto"/>
              <w:right w:val="nil"/>
            </w:tcBorders>
            <w:shd w:val="clear" w:color="000000" w:fill="F5DADD"/>
            <w:noWrap/>
            <w:vAlign w:val="center"/>
            <w:hideMark/>
          </w:tcPr>
          <w:p w14:paraId="3C98079E" w14:textId="6591DDA7" w:rsidR="00277F3A" w:rsidRPr="00D92E20" w:rsidRDefault="00277F3A" w:rsidP="00277F3A">
            <w:pPr>
              <w:spacing w:after="0" w:line="240" w:lineRule="auto"/>
              <w:jc w:val="center"/>
              <w:rPr>
                <w:rFonts w:cs="Arial"/>
                <w:sz w:val="16"/>
                <w:szCs w:val="16"/>
              </w:rPr>
            </w:pPr>
            <w:r>
              <w:rPr>
                <w:rFonts w:cs="Arial"/>
                <w:sz w:val="16"/>
                <w:szCs w:val="16"/>
              </w:rPr>
              <w:t xml:space="preserve">1. pol. </w:t>
            </w:r>
            <w:r>
              <w:rPr>
                <w:rFonts w:cs="Arial"/>
                <w:sz w:val="16"/>
                <w:szCs w:val="16"/>
              </w:rPr>
              <w:br/>
              <w:t>2018</w:t>
            </w:r>
          </w:p>
        </w:tc>
        <w:tc>
          <w:tcPr>
            <w:tcW w:w="673" w:type="dxa"/>
            <w:tcBorders>
              <w:top w:val="single" w:sz="4" w:space="0" w:color="auto"/>
              <w:left w:val="nil"/>
              <w:bottom w:val="single" w:sz="8" w:space="0" w:color="auto"/>
              <w:right w:val="nil"/>
            </w:tcBorders>
            <w:shd w:val="clear" w:color="000000" w:fill="F5DADD"/>
            <w:noWrap/>
            <w:vAlign w:val="center"/>
            <w:hideMark/>
          </w:tcPr>
          <w:p w14:paraId="2F691ED4" w14:textId="6B4DA0D3" w:rsidR="00277F3A" w:rsidRPr="00D92E20" w:rsidRDefault="00277F3A" w:rsidP="00277F3A">
            <w:pPr>
              <w:spacing w:after="0" w:line="240" w:lineRule="auto"/>
              <w:jc w:val="center"/>
              <w:rPr>
                <w:rFonts w:cs="Arial"/>
                <w:sz w:val="16"/>
                <w:szCs w:val="16"/>
              </w:rPr>
            </w:pPr>
            <w:r>
              <w:rPr>
                <w:rFonts w:cs="Arial"/>
                <w:sz w:val="16"/>
                <w:szCs w:val="16"/>
              </w:rPr>
              <w:t>1. pol. 2019</w:t>
            </w:r>
          </w:p>
        </w:tc>
        <w:tc>
          <w:tcPr>
            <w:tcW w:w="673" w:type="dxa"/>
            <w:tcBorders>
              <w:top w:val="single" w:sz="4" w:space="0" w:color="auto"/>
              <w:left w:val="nil"/>
              <w:bottom w:val="single" w:sz="8" w:space="0" w:color="auto"/>
              <w:right w:val="nil"/>
            </w:tcBorders>
            <w:shd w:val="clear" w:color="000000" w:fill="F5DADD"/>
            <w:noWrap/>
            <w:vAlign w:val="center"/>
            <w:hideMark/>
          </w:tcPr>
          <w:p w14:paraId="6ED06A1A" w14:textId="07CFF5FC" w:rsidR="00277F3A" w:rsidRPr="00D92E20" w:rsidRDefault="00277F3A" w:rsidP="00277F3A">
            <w:pPr>
              <w:spacing w:after="0" w:line="240" w:lineRule="auto"/>
              <w:jc w:val="center"/>
              <w:rPr>
                <w:rFonts w:cs="Arial"/>
                <w:sz w:val="16"/>
                <w:szCs w:val="16"/>
              </w:rPr>
            </w:pPr>
            <w:r>
              <w:rPr>
                <w:rFonts w:cs="Arial"/>
                <w:sz w:val="16"/>
                <w:szCs w:val="16"/>
              </w:rPr>
              <w:t>1. pol. 2020</w:t>
            </w:r>
          </w:p>
        </w:tc>
        <w:tc>
          <w:tcPr>
            <w:tcW w:w="673" w:type="dxa"/>
            <w:tcBorders>
              <w:top w:val="single" w:sz="4" w:space="0" w:color="auto"/>
              <w:left w:val="nil"/>
              <w:bottom w:val="single" w:sz="8" w:space="0" w:color="auto"/>
              <w:right w:val="nil"/>
            </w:tcBorders>
            <w:shd w:val="clear" w:color="000000" w:fill="F5DADD"/>
            <w:noWrap/>
            <w:vAlign w:val="center"/>
            <w:hideMark/>
          </w:tcPr>
          <w:p w14:paraId="4C836566" w14:textId="6D77C3E5" w:rsidR="00277F3A" w:rsidRPr="00D92E20" w:rsidRDefault="00277F3A" w:rsidP="00277F3A">
            <w:pPr>
              <w:spacing w:after="0" w:line="240" w:lineRule="auto"/>
              <w:jc w:val="center"/>
              <w:rPr>
                <w:rFonts w:cs="Arial"/>
                <w:sz w:val="16"/>
                <w:szCs w:val="16"/>
              </w:rPr>
            </w:pPr>
            <w:r>
              <w:rPr>
                <w:rFonts w:cs="Arial"/>
                <w:sz w:val="16"/>
                <w:szCs w:val="16"/>
              </w:rPr>
              <w:t>1. pol. 2021</w:t>
            </w:r>
          </w:p>
        </w:tc>
        <w:tc>
          <w:tcPr>
            <w:tcW w:w="673" w:type="dxa"/>
            <w:tcBorders>
              <w:top w:val="single" w:sz="4" w:space="0" w:color="auto"/>
              <w:left w:val="nil"/>
              <w:bottom w:val="single" w:sz="8" w:space="0" w:color="auto"/>
              <w:right w:val="nil"/>
            </w:tcBorders>
            <w:shd w:val="clear" w:color="000000" w:fill="F5DADD"/>
            <w:noWrap/>
            <w:vAlign w:val="center"/>
            <w:hideMark/>
          </w:tcPr>
          <w:p w14:paraId="67D5E0EE" w14:textId="5A3DB470" w:rsidR="00277F3A" w:rsidRPr="00D92E20" w:rsidRDefault="00277F3A" w:rsidP="00277F3A">
            <w:pPr>
              <w:spacing w:after="0" w:line="240" w:lineRule="auto"/>
              <w:jc w:val="center"/>
              <w:rPr>
                <w:rFonts w:cs="Arial"/>
                <w:sz w:val="16"/>
                <w:szCs w:val="16"/>
              </w:rPr>
            </w:pPr>
            <w:r>
              <w:rPr>
                <w:rFonts w:cs="Arial"/>
                <w:sz w:val="16"/>
                <w:szCs w:val="16"/>
              </w:rPr>
              <w:t>1. pol. 2022</w:t>
            </w:r>
          </w:p>
        </w:tc>
      </w:tr>
      <w:tr w:rsidR="00277F3A" w:rsidRPr="00D92E20" w14:paraId="5663CD02" w14:textId="77777777" w:rsidTr="009F0B87">
        <w:trPr>
          <w:trHeight w:val="300"/>
        </w:trPr>
        <w:tc>
          <w:tcPr>
            <w:tcW w:w="2333" w:type="dxa"/>
            <w:tcBorders>
              <w:top w:val="nil"/>
              <w:left w:val="nil"/>
              <w:bottom w:val="nil"/>
              <w:right w:val="single" w:sz="4" w:space="0" w:color="auto"/>
            </w:tcBorders>
            <w:shd w:val="clear" w:color="auto" w:fill="auto"/>
            <w:vAlign w:val="center"/>
            <w:hideMark/>
          </w:tcPr>
          <w:p w14:paraId="3EDEF5A7" w14:textId="77777777" w:rsidR="00277F3A" w:rsidRPr="00D92E20" w:rsidRDefault="00277F3A" w:rsidP="00277F3A">
            <w:pPr>
              <w:spacing w:after="0" w:line="240" w:lineRule="auto"/>
              <w:rPr>
                <w:rFonts w:cs="Arial"/>
                <w:b/>
                <w:bCs/>
                <w:sz w:val="16"/>
                <w:szCs w:val="16"/>
              </w:rPr>
            </w:pPr>
            <w:r w:rsidRPr="00D92E20">
              <w:rPr>
                <w:rFonts w:cs="Arial"/>
                <w:b/>
                <w:bCs/>
                <w:sz w:val="16"/>
                <w:szCs w:val="16"/>
              </w:rPr>
              <w:t>Celkem</w:t>
            </w:r>
          </w:p>
        </w:tc>
        <w:tc>
          <w:tcPr>
            <w:tcW w:w="673" w:type="dxa"/>
            <w:tcBorders>
              <w:top w:val="nil"/>
              <w:left w:val="nil"/>
              <w:bottom w:val="nil"/>
              <w:right w:val="nil"/>
            </w:tcBorders>
            <w:shd w:val="clear" w:color="auto" w:fill="auto"/>
            <w:noWrap/>
            <w:vAlign w:val="center"/>
            <w:hideMark/>
          </w:tcPr>
          <w:p w14:paraId="0A82CA5C" w14:textId="1091CBD8" w:rsidR="00277F3A" w:rsidRPr="00D92E20" w:rsidRDefault="00277F3A" w:rsidP="00277F3A">
            <w:pPr>
              <w:spacing w:after="0" w:line="240" w:lineRule="auto"/>
              <w:jc w:val="right"/>
              <w:rPr>
                <w:rFonts w:cs="Arial"/>
                <w:b/>
                <w:bCs/>
                <w:sz w:val="16"/>
                <w:szCs w:val="16"/>
              </w:rPr>
            </w:pPr>
            <w:r>
              <w:rPr>
                <w:rFonts w:cs="Arial"/>
                <w:b/>
                <w:bCs/>
                <w:sz w:val="16"/>
                <w:szCs w:val="16"/>
              </w:rPr>
              <w:t>10,13</w:t>
            </w:r>
          </w:p>
        </w:tc>
        <w:tc>
          <w:tcPr>
            <w:tcW w:w="673" w:type="dxa"/>
            <w:tcBorders>
              <w:top w:val="nil"/>
              <w:left w:val="nil"/>
              <w:bottom w:val="nil"/>
              <w:right w:val="nil"/>
            </w:tcBorders>
            <w:shd w:val="clear" w:color="auto" w:fill="auto"/>
            <w:noWrap/>
            <w:vAlign w:val="center"/>
            <w:hideMark/>
          </w:tcPr>
          <w:p w14:paraId="5699D1DC" w14:textId="4913DB8E" w:rsidR="00277F3A" w:rsidRPr="00D92E20" w:rsidRDefault="00277F3A" w:rsidP="00277F3A">
            <w:pPr>
              <w:spacing w:after="0" w:line="240" w:lineRule="auto"/>
              <w:jc w:val="right"/>
              <w:rPr>
                <w:rFonts w:cs="Arial"/>
                <w:b/>
                <w:bCs/>
                <w:sz w:val="16"/>
                <w:szCs w:val="16"/>
              </w:rPr>
            </w:pPr>
            <w:r>
              <w:rPr>
                <w:rFonts w:cs="Arial"/>
                <w:b/>
                <w:bCs/>
                <w:sz w:val="16"/>
                <w:szCs w:val="16"/>
              </w:rPr>
              <w:t>10,50</w:t>
            </w:r>
          </w:p>
        </w:tc>
        <w:tc>
          <w:tcPr>
            <w:tcW w:w="673" w:type="dxa"/>
            <w:tcBorders>
              <w:top w:val="nil"/>
              <w:left w:val="nil"/>
              <w:bottom w:val="nil"/>
              <w:right w:val="nil"/>
            </w:tcBorders>
            <w:shd w:val="clear" w:color="auto" w:fill="auto"/>
            <w:noWrap/>
            <w:vAlign w:val="center"/>
            <w:hideMark/>
          </w:tcPr>
          <w:p w14:paraId="6614C5BA" w14:textId="761F3239" w:rsidR="00277F3A" w:rsidRPr="00D92E20" w:rsidRDefault="00277F3A" w:rsidP="00277F3A">
            <w:pPr>
              <w:spacing w:after="0" w:line="240" w:lineRule="auto"/>
              <w:jc w:val="right"/>
              <w:rPr>
                <w:rFonts w:cs="Arial"/>
                <w:b/>
                <w:bCs/>
                <w:sz w:val="16"/>
                <w:szCs w:val="16"/>
              </w:rPr>
            </w:pPr>
            <w:r>
              <w:rPr>
                <w:rFonts w:cs="Arial"/>
                <w:b/>
                <w:bCs/>
                <w:sz w:val="16"/>
                <w:szCs w:val="16"/>
              </w:rPr>
              <w:t>11,10</w:t>
            </w:r>
          </w:p>
        </w:tc>
        <w:tc>
          <w:tcPr>
            <w:tcW w:w="673" w:type="dxa"/>
            <w:tcBorders>
              <w:top w:val="nil"/>
              <w:left w:val="nil"/>
              <w:bottom w:val="nil"/>
              <w:right w:val="nil"/>
            </w:tcBorders>
            <w:shd w:val="clear" w:color="auto" w:fill="auto"/>
            <w:noWrap/>
            <w:vAlign w:val="center"/>
            <w:hideMark/>
          </w:tcPr>
          <w:p w14:paraId="45F2647C" w14:textId="37BF0DA3" w:rsidR="00277F3A" w:rsidRPr="00D92E20" w:rsidRDefault="00277F3A" w:rsidP="00277F3A">
            <w:pPr>
              <w:spacing w:after="0" w:line="240" w:lineRule="auto"/>
              <w:jc w:val="right"/>
              <w:rPr>
                <w:rFonts w:cs="Arial"/>
                <w:b/>
                <w:bCs/>
                <w:sz w:val="16"/>
                <w:szCs w:val="16"/>
              </w:rPr>
            </w:pPr>
            <w:r>
              <w:rPr>
                <w:rFonts w:cs="Arial"/>
                <w:b/>
                <w:bCs/>
                <w:sz w:val="16"/>
                <w:szCs w:val="16"/>
              </w:rPr>
              <w:t>12,32</w:t>
            </w:r>
          </w:p>
        </w:tc>
        <w:tc>
          <w:tcPr>
            <w:tcW w:w="673" w:type="dxa"/>
            <w:tcBorders>
              <w:top w:val="nil"/>
              <w:left w:val="nil"/>
              <w:bottom w:val="nil"/>
              <w:right w:val="nil"/>
            </w:tcBorders>
            <w:shd w:val="clear" w:color="auto" w:fill="auto"/>
            <w:noWrap/>
            <w:vAlign w:val="center"/>
            <w:hideMark/>
          </w:tcPr>
          <w:p w14:paraId="7F05C2CF" w14:textId="050B8745" w:rsidR="00277F3A" w:rsidRPr="00D92E20" w:rsidRDefault="00277F3A" w:rsidP="00277F3A">
            <w:pPr>
              <w:spacing w:after="0" w:line="240" w:lineRule="auto"/>
              <w:jc w:val="right"/>
              <w:rPr>
                <w:rFonts w:cs="Arial"/>
                <w:b/>
                <w:bCs/>
                <w:sz w:val="16"/>
                <w:szCs w:val="16"/>
              </w:rPr>
            </w:pPr>
            <w:r>
              <w:rPr>
                <w:rFonts w:cs="Arial"/>
                <w:b/>
                <w:bCs/>
                <w:sz w:val="16"/>
                <w:szCs w:val="16"/>
              </w:rPr>
              <w:t>13,46</w:t>
            </w:r>
          </w:p>
        </w:tc>
        <w:tc>
          <w:tcPr>
            <w:tcW w:w="673" w:type="dxa"/>
            <w:tcBorders>
              <w:top w:val="nil"/>
              <w:left w:val="nil"/>
              <w:bottom w:val="nil"/>
              <w:right w:val="nil"/>
            </w:tcBorders>
            <w:shd w:val="clear" w:color="auto" w:fill="auto"/>
            <w:noWrap/>
            <w:vAlign w:val="center"/>
            <w:hideMark/>
          </w:tcPr>
          <w:p w14:paraId="1B0F7045" w14:textId="1035A15A" w:rsidR="00277F3A" w:rsidRPr="00D92E20" w:rsidRDefault="00277F3A" w:rsidP="00277F3A">
            <w:pPr>
              <w:spacing w:after="0" w:line="240" w:lineRule="auto"/>
              <w:jc w:val="right"/>
              <w:rPr>
                <w:rFonts w:cs="Arial"/>
                <w:b/>
                <w:bCs/>
                <w:sz w:val="16"/>
                <w:szCs w:val="16"/>
              </w:rPr>
            </w:pPr>
            <w:r>
              <w:rPr>
                <w:rFonts w:cs="Arial"/>
                <w:b/>
                <w:bCs/>
                <w:sz w:val="16"/>
                <w:szCs w:val="16"/>
              </w:rPr>
              <w:t>14,63</w:t>
            </w:r>
          </w:p>
        </w:tc>
        <w:tc>
          <w:tcPr>
            <w:tcW w:w="673" w:type="dxa"/>
            <w:tcBorders>
              <w:top w:val="nil"/>
              <w:left w:val="nil"/>
              <w:bottom w:val="nil"/>
              <w:right w:val="nil"/>
            </w:tcBorders>
            <w:shd w:val="clear" w:color="auto" w:fill="auto"/>
            <w:noWrap/>
            <w:vAlign w:val="center"/>
            <w:hideMark/>
          </w:tcPr>
          <w:p w14:paraId="3A52BE4A" w14:textId="48925870" w:rsidR="00277F3A" w:rsidRPr="00D92E20" w:rsidRDefault="00277F3A" w:rsidP="00277F3A">
            <w:pPr>
              <w:spacing w:after="0" w:line="240" w:lineRule="auto"/>
              <w:jc w:val="right"/>
              <w:rPr>
                <w:rFonts w:cs="Arial"/>
                <w:b/>
                <w:bCs/>
                <w:sz w:val="16"/>
                <w:szCs w:val="16"/>
              </w:rPr>
            </w:pPr>
            <w:r>
              <w:rPr>
                <w:rFonts w:cs="Arial"/>
                <w:b/>
                <w:bCs/>
                <w:sz w:val="16"/>
                <w:szCs w:val="16"/>
              </w:rPr>
              <w:t>17,18</w:t>
            </w:r>
          </w:p>
        </w:tc>
        <w:tc>
          <w:tcPr>
            <w:tcW w:w="673" w:type="dxa"/>
            <w:tcBorders>
              <w:top w:val="nil"/>
              <w:left w:val="nil"/>
              <w:bottom w:val="nil"/>
              <w:right w:val="nil"/>
            </w:tcBorders>
            <w:shd w:val="clear" w:color="auto" w:fill="auto"/>
            <w:noWrap/>
            <w:vAlign w:val="center"/>
            <w:hideMark/>
          </w:tcPr>
          <w:p w14:paraId="135AF1B4" w14:textId="0BB59D5A" w:rsidR="00277F3A" w:rsidRPr="00D92E20" w:rsidRDefault="00277F3A" w:rsidP="00277F3A">
            <w:pPr>
              <w:spacing w:after="0" w:line="240" w:lineRule="auto"/>
              <w:jc w:val="right"/>
              <w:rPr>
                <w:rFonts w:cs="Arial"/>
                <w:b/>
                <w:bCs/>
                <w:sz w:val="16"/>
                <w:szCs w:val="16"/>
              </w:rPr>
            </w:pPr>
            <w:r>
              <w:rPr>
                <w:rFonts w:cs="Arial"/>
                <w:b/>
                <w:bCs/>
                <w:sz w:val="16"/>
                <w:szCs w:val="16"/>
              </w:rPr>
              <w:t>19,81</w:t>
            </w:r>
          </w:p>
        </w:tc>
        <w:tc>
          <w:tcPr>
            <w:tcW w:w="673" w:type="dxa"/>
            <w:tcBorders>
              <w:top w:val="nil"/>
              <w:left w:val="nil"/>
              <w:bottom w:val="nil"/>
              <w:right w:val="nil"/>
            </w:tcBorders>
            <w:shd w:val="clear" w:color="auto" w:fill="auto"/>
            <w:noWrap/>
            <w:vAlign w:val="center"/>
            <w:hideMark/>
          </w:tcPr>
          <w:p w14:paraId="22F7518C" w14:textId="41CA8C8D" w:rsidR="00277F3A" w:rsidRPr="00D92E20" w:rsidRDefault="00277F3A" w:rsidP="00277F3A">
            <w:pPr>
              <w:spacing w:after="0" w:line="240" w:lineRule="auto"/>
              <w:jc w:val="right"/>
              <w:rPr>
                <w:rFonts w:cs="Arial"/>
                <w:b/>
                <w:bCs/>
                <w:sz w:val="16"/>
                <w:szCs w:val="16"/>
              </w:rPr>
            </w:pPr>
            <w:r>
              <w:rPr>
                <w:rFonts w:cs="Arial"/>
                <w:b/>
                <w:bCs/>
                <w:sz w:val="16"/>
                <w:szCs w:val="16"/>
              </w:rPr>
              <w:t>30,00</w:t>
            </w:r>
          </w:p>
        </w:tc>
        <w:tc>
          <w:tcPr>
            <w:tcW w:w="673" w:type="dxa"/>
            <w:tcBorders>
              <w:top w:val="nil"/>
              <w:left w:val="nil"/>
              <w:bottom w:val="nil"/>
              <w:right w:val="nil"/>
            </w:tcBorders>
            <w:shd w:val="clear" w:color="auto" w:fill="auto"/>
            <w:noWrap/>
            <w:vAlign w:val="center"/>
            <w:hideMark/>
          </w:tcPr>
          <w:p w14:paraId="05002275" w14:textId="26C295D9" w:rsidR="00277F3A" w:rsidRPr="00D92E20" w:rsidRDefault="00277F3A" w:rsidP="00277F3A">
            <w:pPr>
              <w:spacing w:after="0" w:line="240" w:lineRule="auto"/>
              <w:jc w:val="right"/>
              <w:rPr>
                <w:rFonts w:cs="Arial"/>
                <w:b/>
                <w:bCs/>
                <w:sz w:val="16"/>
                <w:szCs w:val="16"/>
              </w:rPr>
            </w:pPr>
            <w:r>
              <w:rPr>
                <w:rFonts w:cs="Arial"/>
                <w:b/>
                <w:bCs/>
                <w:sz w:val="16"/>
                <w:szCs w:val="16"/>
              </w:rPr>
              <w:t>28,50</w:t>
            </w:r>
          </w:p>
        </w:tc>
        <w:tc>
          <w:tcPr>
            <w:tcW w:w="673" w:type="dxa"/>
            <w:tcBorders>
              <w:top w:val="nil"/>
              <w:left w:val="nil"/>
              <w:bottom w:val="nil"/>
              <w:right w:val="nil"/>
            </w:tcBorders>
            <w:shd w:val="clear" w:color="auto" w:fill="auto"/>
            <w:noWrap/>
            <w:vAlign w:val="center"/>
            <w:hideMark/>
          </w:tcPr>
          <w:p w14:paraId="713697A0" w14:textId="771BC9A3" w:rsidR="00277F3A" w:rsidRPr="00D92E20" w:rsidRDefault="00277F3A" w:rsidP="00277F3A">
            <w:pPr>
              <w:spacing w:after="0" w:line="240" w:lineRule="auto"/>
              <w:jc w:val="right"/>
              <w:rPr>
                <w:rFonts w:cs="Arial"/>
                <w:b/>
                <w:bCs/>
                <w:sz w:val="16"/>
                <w:szCs w:val="16"/>
              </w:rPr>
            </w:pPr>
            <w:r>
              <w:rPr>
                <w:rFonts w:cs="Arial"/>
                <w:b/>
                <w:bCs/>
                <w:sz w:val="16"/>
                <w:szCs w:val="16"/>
              </w:rPr>
              <w:t>25,41</w:t>
            </w:r>
          </w:p>
        </w:tc>
      </w:tr>
      <w:tr w:rsidR="00277F3A" w:rsidRPr="00D92E20" w14:paraId="5FE51748" w14:textId="77777777" w:rsidTr="009F0B87">
        <w:trPr>
          <w:trHeight w:val="300"/>
        </w:trPr>
        <w:tc>
          <w:tcPr>
            <w:tcW w:w="2333" w:type="dxa"/>
            <w:tcBorders>
              <w:top w:val="nil"/>
              <w:left w:val="nil"/>
              <w:bottom w:val="nil"/>
              <w:right w:val="single" w:sz="4" w:space="0" w:color="auto"/>
            </w:tcBorders>
            <w:shd w:val="clear" w:color="000000" w:fill="F5DADD"/>
            <w:vAlign w:val="center"/>
            <w:hideMark/>
          </w:tcPr>
          <w:p w14:paraId="4DBCB78B" w14:textId="77777777" w:rsidR="00277F3A" w:rsidRPr="00D92E20" w:rsidRDefault="00277F3A" w:rsidP="00277F3A">
            <w:pPr>
              <w:spacing w:after="0" w:line="240" w:lineRule="auto"/>
              <w:ind w:firstLineChars="100" w:firstLine="160"/>
              <w:rPr>
                <w:rFonts w:cs="Arial"/>
                <w:sz w:val="16"/>
                <w:szCs w:val="16"/>
              </w:rPr>
            </w:pPr>
            <w:r w:rsidRPr="00D92E20">
              <w:rPr>
                <w:rFonts w:cs="Arial"/>
                <w:sz w:val="16"/>
                <w:szCs w:val="16"/>
              </w:rPr>
              <w:t>nemocenské</w:t>
            </w:r>
          </w:p>
        </w:tc>
        <w:tc>
          <w:tcPr>
            <w:tcW w:w="673" w:type="dxa"/>
            <w:tcBorders>
              <w:top w:val="nil"/>
              <w:left w:val="nil"/>
              <w:bottom w:val="nil"/>
              <w:right w:val="nil"/>
            </w:tcBorders>
            <w:shd w:val="clear" w:color="000000" w:fill="F5DADD"/>
            <w:noWrap/>
            <w:vAlign w:val="center"/>
            <w:hideMark/>
          </w:tcPr>
          <w:p w14:paraId="5BDA25F6" w14:textId="05360354" w:rsidR="00277F3A" w:rsidRPr="00D92E20" w:rsidRDefault="00277F3A" w:rsidP="00277F3A">
            <w:pPr>
              <w:spacing w:after="0" w:line="240" w:lineRule="auto"/>
              <w:jc w:val="right"/>
              <w:rPr>
                <w:rFonts w:cs="Arial"/>
                <w:sz w:val="16"/>
                <w:szCs w:val="16"/>
              </w:rPr>
            </w:pPr>
            <w:r>
              <w:rPr>
                <w:rFonts w:cs="Arial"/>
                <w:sz w:val="16"/>
                <w:szCs w:val="16"/>
              </w:rPr>
              <w:t>6,21</w:t>
            </w:r>
          </w:p>
        </w:tc>
        <w:tc>
          <w:tcPr>
            <w:tcW w:w="673" w:type="dxa"/>
            <w:tcBorders>
              <w:top w:val="nil"/>
              <w:left w:val="nil"/>
              <w:bottom w:val="nil"/>
              <w:right w:val="nil"/>
            </w:tcBorders>
            <w:shd w:val="clear" w:color="000000" w:fill="F5DADD"/>
            <w:noWrap/>
            <w:vAlign w:val="center"/>
            <w:hideMark/>
          </w:tcPr>
          <w:p w14:paraId="5AEF3FBB" w14:textId="6964A943" w:rsidR="00277F3A" w:rsidRPr="00D92E20" w:rsidRDefault="00277F3A" w:rsidP="00277F3A">
            <w:pPr>
              <w:spacing w:after="0" w:line="240" w:lineRule="auto"/>
              <w:jc w:val="right"/>
              <w:rPr>
                <w:rFonts w:cs="Arial"/>
                <w:sz w:val="16"/>
                <w:szCs w:val="16"/>
              </w:rPr>
            </w:pPr>
            <w:r>
              <w:rPr>
                <w:rFonts w:cs="Arial"/>
                <w:sz w:val="16"/>
                <w:szCs w:val="16"/>
              </w:rPr>
              <w:t>6,45</w:t>
            </w:r>
          </w:p>
        </w:tc>
        <w:tc>
          <w:tcPr>
            <w:tcW w:w="673" w:type="dxa"/>
            <w:tcBorders>
              <w:top w:val="nil"/>
              <w:left w:val="nil"/>
              <w:bottom w:val="nil"/>
              <w:right w:val="nil"/>
            </w:tcBorders>
            <w:shd w:val="clear" w:color="000000" w:fill="F5DADD"/>
            <w:noWrap/>
            <w:vAlign w:val="center"/>
            <w:hideMark/>
          </w:tcPr>
          <w:p w14:paraId="276CE252" w14:textId="035DCD0E" w:rsidR="00277F3A" w:rsidRPr="00D92E20" w:rsidRDefault="00277F3A" w:rsidP="00277F3A">
            <w:pPr>
              <w:spacing w:after="0" w:line="240" w:lineRule="auto"/>
              <w:jc w:val="right"/>
              <w:rPr>
                <w:rFonts w:cs="Arial"/>
                <w:sz w:val="16"/>
                <w:szCs w:val="16"/>
              </w:rPr>
            </w:pPr>
            <w:r>
              <w:rPr>
                <w:rFonts w:cs="Arial"/>
                <w:sz w:val="16"/>
                <w:szCs w:val="16"/>
              </w:rPr>
              <w:t>7,10</w:t>
            </w:r>
          </w:p>
        </w:tc>
        <w:tc>
          <w:tcPr>
            <w:tcW w:w="673" w:type="dxa"/>
            <w:tcBorders>
              <w:top w:val="nil"/>
              <w:left w:val="nil"/>
              <w:bottom w:val="nil"/>
              <w:right w:val="nil"/>
            </w:tcBorders>
            <w:shd w:val="clear" w:color="000000" w:fill="F5DADD"/>
            <w:noWrap/>
            <w:vAlign w:val="center"/>
            <w:hideMark/>
          </w:tcPr>
          <w:p w14:paraId="17332128" w14:textId="7A78CF18" w:rsidR="00277F3A" w:rsidRPr="00D92E20" w:rsidRDefault="00277F3A" w:rsidP="00277F3A">
            <w:pPr>
              <w:spacing w:after="0" w:line="240" w:lineRule="auto"/>
              <w:jc w:val="right"/>
              <w:rPr>
                <w:rFonts w:cs="Arial"/>
                <w:sz w:val="16"/>
                <w:szCs w:val="16"/>
              </w:rPr>
            </w:pPr>
            <w:r>
              <w:rPr>
                <w:rFonts w:cs="Arial"/>
                <w:sz w:val="16"/>
                <w:szCs w:val="16"/>
              </w:rPr>
              <w:t>8,02</w:t>
            </w:r>
          </w:p>
        </w:tc>
        <w:tc>
          <w:tcPr>
            <w:tcW w:w="673" w:type="dxa"/>
            <w:tcBorders>
              <w:top w:val="nil"/>
              <w:left w:val="nil"/>
              <w:bottom w:val="nil"/>
              <w:right w:val="nil"/>
            </w:tcBorders>
            <w:shd w:val="clear" w:color="000000" w:fill="F5DADD"/>
            <w:noWrap/>
            <w:vAlign w:val="center"/>
            <w:hideMark/>
          </w:tcPr>
          <w:p w14:paraId="1F8BCC4E" w14:textId="2E3633EF" w:rsidR="00277F3A" w:rsidRPr="00D92E20" w:rsidRDefault="00277F3A" w:rsidP="00277F3A">
            <w:pPr>
              <w:spacing w:after="0" w:line="240" w:lineRule="auto"/>
              <w:jc w:val="right"/>
              <w:rPr>
                <w:rFonts w:cs="Arial"/>
                <w:sz w:val="16"/>
                <w:szCs w:val="16"/>
              </w:rPr>
            </w:pPr>
            <w:r>
              <w:rPr>
                <w:rFonts w:cs="Arial"/>
                <w:sz w:val="16"/>
                <w:szCs w:val="16"/>
              </w:rPr>
              <w:t>8,85</w:t>
            </w:r>
          </w:p>
        </w:tc>
        <w:tc>
          <w:tcPr>
            <w:tcW w:w="673" w:type="dxa"/>
            <w:tcBorders>
              <w:top w:val="nil"/>
              <w:left w:val="nil"/>
              <w:bottom w:val="nil"/>
              <w:right w:val="nil"/>
            </w:tcBorders>
            <w:shd w:val="clear" w:color="000000" w:fill="F5DADD"/>
            <w:noWrap/>
            <w:vAlign w:val="center"/>
            <w:hideMark/>
          </w:tcPr>
          <w:p w14:paraId="51299ED5" w14:textId="0ACCE065" w:rsidR="00277F3A" w:rsidRPr="00D92E20" w:rsidRDefault="00277F3A" w:rsidP="00277F3A">
            <w:pPr>
              <w:spacing w:after="0" w:line="240" w:lineRule="auto"/>
              <w:jc w:val="right"/>
              <w:rPr>
                <w:rFonts w:cs="Arial"/>
                <w:sz w:val="16"/>
                <w:szCs w:val="16"/>
              </w:rPr>
            </w:pPr>
            <w:r>
              <w:rPr>
                <w:rFonts w:cs="Arial"/>
                <w:sz w:val="16"/>
                <w:szCs w:val="16"/>
              </w:rPr>
              <w:t>9,68</w:t>
            </w:r>
          </w:p>
        </w:tc>
        <w:tc>
          <w:tcPr>
            <w:tcW w:w="673" w:type="dxa"/>
            <w:tcBorders>
              <w:top w:val="nil"/>
              <w:left w:val="nil"/>
              <w:bottom w:val="nil"/>
              <w:right w:val="nil"/>
            </w:tcBorders>
            <w:shd w:val="clear" w:color="000000" w:fill="F5DADD"/>
            <w:noWrap/>
            <w:vAlign w:val="center"/>
            <w:hideMark/>
          </w:tcPr>
          <w:p w14:paraId="44BF2AB2" w14:textId="733E1522" w:rsidR="00277F3A" w:rsidRPr="00D92E20" w:rsidRDefault="00277F3A" w:rsidP="00277F3A">
            <w:pPr>
              <w:spacing w:after="0" w:line="240" w:lineRule="auto"/>
              <w:jc w:val="right"/>
              <w:rPr>
                <w:rFonts w:cs="Arial"/>
                <w:sz w:val="16"/>
                <w:szCs w:val="16"/>
              </w:rPr>
            </w:pPr>
            <w:r>
              <w:rPr>
                <w:rFonts w:cs="Arial"/>
                <w:sz w:val="16"/>
                <w:szCs w:val="16"/>
              </w:rPr>
              <w:t>11,60</w:t>
            </w:r>
          </w:p>
        </w:tc>
        <w:tc>
          <w:tcPr>
            <w:tcW w:w="673" w:type="dxa"/>
            <w:tcBorders>
              <w:top w:val="nil"/>
              <w:left w:val="nil"/>
              <w:bottom w:val="nil"/>
              <w:right w:val="nil"/>
            </w:tcBorders>
            <w:shd w:val="clear" w:color="000000" w:fill="F5DADD"/>
            <w:noWrap/>
            <w:vAlign w:val="center"/>
            <w:hideMark/>
          </w:tcPr>
          <w:p w14:paraId="74D5B5EB" w14:textId="1BE35594" w:rsidR="00277F3A" w:rsidRPr="00D92E20" w:rsidRDefault="00277F3A" w:rsidP="00277F3A">
            <w:pPr>
              <w:spacing w:after="0" w:line="240" w:lineRule="auto"/>
              <w:jc w:val="right"/>
              <w:rPr>
                <w:rFonts w:cs="Arial"/>
                <w:color w:val="000000"/>
                <w:sz w:val="16"/>
                <w:szCs w:val="16"/>
              </w:rPr>
            </w:pPr>
            <w:r>
              <w:rPr>
                <w:rFonts w:cs="Arial"/>
                <w:sz w:val="16"/>
                <w:szCs w:val="16"/>
              </w:rPr>
              <w:t>13,78</w:t>
            </w:r>
          </w:p>
        </w:tc>
        <w:tc>
          <w:tcPr>
            <w:tcW w:w="673" w:type="dxa"/>
            <w:tcBorders>
              <w:top w:val="nil"/>
              <w:left w:val="nil"/>
              <w:bottom w:val="nil"/>
              <w:right w:val="nil"/>
            </w:tcBorders>
            <w:shd w:val="clear" w:color="000000" w:fill="F5DADD"/>
            <w:noWrap/>
            <w:vAlign w:val="center"/>
            <w:hideMark/>
          </w:tcPr>
          <w:p w14:paraId="45B0EE9C" w14:textId="4B77A9E9" w:rsidR="00277F3A" w:rsidRPr="00D92E20" w:rsidRDefault="00277F3A" w:rsidP="00277F3A">
            <w:pPr>
              <w:spacing w:after="0" w:line="240" w:lineRule="auto"/>
              <w:jc w:val="right"/>
              <w:rPr>
                <w:rFonts w:cs="Arial"/>
                <w:color w:val="000000"/>
                <w:sz w:val="16"/>
                <w:szCs w:val="16"/>
              </w:rPr>
            </w:pPr>
            <w:r>
              <w:rPr>
                <w:rFonts w:cs="Arial"/>
                <w:sz w:val="16"/>
                <w:szCs w:val="16"/>
              </w:rPr>
              <w:t>17,03</w:t>
            </w:r>
          </w:p>
        </w:tc>
        <w:tc>
          <w:tcPr>
            <w:tcW w:w="673" w:type="dxa"/>
            <w:tcBorders>
              <w:top w:val="nil"/>
              <w:left w:val="nil"/>
              <w:bottom w:val="nil"/>
              <w:right w:val="nil"/>
            </w:tcBorders>
            <w:shd w:val="clear" w:color="000000" w:fill="F5DADD"/>
            <w:noWrap/>
            <w:vAlign w:val="center"/>
            <w:hideMark/>
          </w:tcPr>
          <w:p w14:paraId="2FBEA26D" w14:textId="410E19F2" w:rsidR="00277F3A" w:rsidRPr="00D92E20" w:rsidRDefault="00277F3A" w:rsidP="00277F3A">
            <w:pPr>
              <w:spacing w:after="0" w:line="240" w:lineRule="auto"/>
              <w:jc w:val="right"/>
              <w:rPr>
                <w:rFonts w:cs="Arial"/>
                <w:color w:val="000000"/>
                <w:sz w:val="16"/>
                <w:szCs w:val="16"/>
              </w:rPr>
            </w:pPr>
            <w:r>
              <w:rPr>
                <w:rFonts w:cs="Arial"/>
                <w:sz w:val="16"/>
                <w:szCs w:val="16"/>
              </w:rPr>
              <w:t>18,39</w:t>
            </w:r>
          </w:p>
        </w:tc>
        <w:tc>
          <w:tcPr>
            <w:tcW w:w="673" w:type="dxa"/>
            <w:tcBorders>
              <w:top w:val="nil"/>
              <w:left w:val="nil"/>
              <w:bottom w:val="nil"/>
              <w:right w:val="nil"/>
            </w:tcBorders>
            <w:shd w:val="clear" w:color="000000" w:fill="F5DADD"/>
            <w:noWrap/>
            <w:vAlign w:val="center"/>
            <w:hideMark/>
          </w:tcPr>
          <w:p w14:paraId="3F69FB93" w14:textId="68B674B7" w:rsidR="00277F3A" w:rsidRPr="00D92E20" w:rsidRDefault="00277F3A" w:rsidP="00277F3A">
            <w:pPr>
              <w:spacing w:after="0" w:line="240" w:lineRule="auto"/>
              <w:jc w:val="right"/>
              <w:rPr>
                <w:rFonts w:cs="Arial"/>
                <w:color w:val="000000"/>
                <w:sz w:val="16"/>
                <w:szCs w:val="16"/>
              </w:rPr>
            </w:pPr>
            <w:r>
              <w:rPr>
                <w:rFonts w:cs="Arial"/>
                <w:sz w:val="16"/>
                <w:szCs w:val="16"/>
              </w:rPr>
              <w:t>17,65</w:t>
            </w:r>
          </w:p>
        </w:tc>
      </w:tr>
      <w:tr w:rsidR="00277F3A" w:rsidRPr="00D92E20" w14:paraId="70608900" w14:textId="77777777" w:rsidTr="009F0B87">
        <w:trPr>
          <w:trHeight w:val="300"/>
        </w:trPr>
        <w:tc>
          <w:tcPr>
            <w:tcW w:w="2333" w:type="dxa"/>
            <w:tcBorders>
              <w:top w:val="nil"/>
              <w:left w:val="nil"/>
              <w:bottom w:val="nil"/>
              <w:right w:val="single" w:sz="4" w:space="0" w:color="auto"/>
            </w:tcBorders>
            <w:shd w:val="clear" w:color="auto" w:fill="auto"/>
            <w:vAlign w:val="center"/>
            <w:hideMark/>
          </w:tcPr>
          <w:p w14:paraId="72BB2009" w14:textId="77777777" w:rsidR="00277F3A" w:rsidRPr="002B643E" w:rsidRDefault="00277F3A" w:rsidP="00277F3A">
            <w:pPr>
              <w:spacing w:after="0" w:line="240" w:lineRule="auto"/>
              <w:ind w:firstLineChars="100" w:firstLine="160"/>
              <w:rPr>
                <w:rFonts w:cs="Arial"/>
                <w:sz w:val="16"/>
                <w:szCs w:val="16"/>
              </w:rPr>
            </w:pPr>
            <w:r w:rsidRPr="002B643E">
              <w:rPr>
                <w:rFonts w:cs="Arial"/>
                <w:sz w:val="16"/>
                <w:szCs w:val="16"/>
              </w:rPr>
              <w:t>ošetřovné</w:t>
            </w:r>
          </w:p>
        </w:tc>
        <w:tc>
          <w:tcPr>
            <w:tcW w:w="673" w:type="dxa"/>
            <w:tcBorders>
              <w:top w:val="nil"/>
              <w:left w:val="nil"/>
              <w:bottom w:val="nil"/>
              <w:right w:val="nil"/>
            </w:tcBorders>
            <w:shd w:val="clear" w:color="auto" w:fill="auto"/>
            <w:noWrap/>
            <w:vAlign w:val="center"/>
            <w:hideMark/>
          </w:tcPr>
          <w:p w14:paraId="0FC8F547" w14:textId="6E36AD17" w:rsidR="00277F3A" w:rsidRPr="00D92E20" w:rsidRDefault="00277F3A" w:rsidP="00277F3A">
            <w:pPr>
              <w:spacing w:after="0" w:line="240" w:lineRule="auto"/>
              <w:jc w:val="right"/>
              <w:rPr>
                <w:rFonts w:cs="Arial"/>
                <w:b/>
                <w:sz w:val="16"/>
                <w:szCs w:val="16"/>
              </w:rPr>
            </w:pPr>
            <w:r>
              <w:rPr>
                <w:rFonts w:cs="Arial"/>
                <w:sz w:val="16"/>
                <w:szCs w:val="16"/>
              </w:rPr>
              <w:t>0,41</w:t>
            </w:r>
          </w:p>
        </w:tc>
        <w:tc>
          <w:tcPr>
            <w:tcW w:w="673" w:type="dxa"/>
            <w:tcBorders>
              <w:top w:val="nil"/>
              <w:left w:val="nil"/>
              <w:bottom w:val="nil"/>
              <w:right w:val="nil"/>
            </w:tcBorders>
            <w:shd w:val="clear" w:color="auto" w:fill="auto"/>
            <w:noWrap/>
            <w:vAlign w:val="center"/>
            <w:hideMark/>
          </w:tcPr>
          <w:p w14:paraId="2B766FF3" w14:textId="599A8B1C" w:rsidR="00277F3A" w:rsidRPr="00D92E20" w:rsidRDefault="00277F3A" w:rsidP="00277F3A">
            <w:pPr>
              <w:spacing w:after="0" w:line="240" w:lineRule="auto"/>
              <w:jc w:val="right"/>
              <w:rPr>
                <w:rFonts w:cs="Arial"/>
                <w:b/>
                <w:sz w:val="16"/>
                <w:szCs w:val="16"/>
              </w:rPr>
            </w:pPr>
            <w:r>
              <w:rPr>
                <w:rFonts w:cs="Arial"/>
                <w:sz w:val="16"/>
                <w:szCs w:val="16"/>
              </w:rPr>
              <w:t>0,50</w:t>
            </w:r>
          </w:p>
        </w:tc>
        <w:tc>
          <w:tcPr>
            <w:tcW w:w="673" w:type="dxa"/>
            <w:tcBorders>
              <w:top w:val="nil"/>
              <w:left w:val="nil"/>
              <w:bottom w:val="nil"/>
              <w:right w:val="nil"/>
            </w:tcBorders>
            <w:shd w:val="clear" w:color="auto" w:fill="auto"/>
            <w:noWrap/>
            <w:vAlign w:val="center"/>
            <w:hideMark/>
          </w:tcPr>
          <w:p w14:paraId="79B177DE" w14:textId="22C2C3D2" w:rsidR="00277F3A" w:rsidRPr="00D92E20" w:rsidRDefault="00277F3A" w:rsidP="00277F3A">
            <w:pPr>
              <w:spacing w:after="0" w:line="240" w:lineRule="auto"/>
              <w:jc w:val="right"/>
              <w:rPr>
                <w:rFonts w:cs="Arial"/>
                <w:b/>
                <w:sz w:val="16"/>
                <w:szCs w:val="16"/>
              </w:rPr>
            </w:pPr>
            <w:r>
              <w:rPr>
                <w:rFonts w:cs="Arial"/>
                <w:sz w:val="16"/>
                <w:szCs w:val="16"/>
              </w:rPr>
              <w:t>0,46</w:t>
            </w:r>
          </w:p>
        </w:tc>
        <w:tc>
          <w:tcPr>
            <w:tcW w:w="673" w:type="dxa"/>
            <w:tcBorders>
              <w:top w:val="nil"/>
              <w:left w:val="nil"/>
              <w:bottom w:val="nil"/>
              <w:right w:val="nil"/>
            </w:tcBorders>
            <w:shd w:val="clear" w:color="auto" w:fill="auto"/>
            <w:noWrap/>
            <w:vAlign w:val="center"/>
            <w:hideMark/>
          </w:tcPr>
          <w:p w14:paraId="28508180" w14:textId="1D17ACBF" w:rsidR="00277F3A" w:rsidRPr="00D92E20" w:rsidRDefault="00277F3A" w:rsidP="00277F3A">
            <w:pPr>
              <w:spacing w:after="0" w:line="240" w:lineRule="auto"/>
              <w:jc w:val="right"/>
              <w:rPr>
                <w:rFonts w:cs="Arial"/>
                <w:b/>
                <w:sz w:val="16"/>
                <w:szCs w:val="16"/>
              </w:rPr>
            </w:pPr>
            <w:r>
              <w:rPr>
                <w:rFonts w:cs="Arial"/>
                <w:sz w:val="16"/>
                <w:szCs w:val="16"/>
              </w:rPr>
              <w:t>0,63</w:t>
            </w:r>
          </w:p>
        </w:tc>
        <w:tc>
          <w:tcPr>
            <w:tcW w:w="673" w:type="dxa"/>
            <w:tcBorders>
              <w:top w:val="nil"/>
              <w:left w:val="nil"/>
              <w:bottom w:val="nil"/>
              <w:right w:val="nil"/>
            </w:tcBorders>
            <w:shd w:val="clear" w:color="auto" w:fill="auto"/>
            <w:noWrap/>
            <w:vAlign w:val="center"/>
            <w:hideMark/>
          </w:tcPr>
          <w:p w14:paraId="3384DD19" w14:textId="40B268AC" w:rsidR="00277F3A" w:rsidRPr="00D92E20" w:rsidRDefault="00277F3A" w:rsidP="00277F3A">
            <w:pPr>
              <w:spacing w:after="0" w:line="240" w:lineRule="auto"/>
              <w:jc w:val="right"/>
              <w:rPr>
                <w:rFonts w:cs="Arial"/>
                <w:b/>
                <w:sz w:val="16"/>
                <w:szCs w:val="16"/>
              </w:rPr>
            </w:pPr>
            <w:r>
              <w:rPr>
                <w:rFonts w:cs="Arial"/>
                <w:sz w:val="16"/>
                <w:szCs w:val="16"/>
              </w:rPr>
              <w:t>0,71</w:t>
            </w:r>
          </w:p>
        </w:tc>
        <w:tc>
          <w:tcPr>
            <w:tcW w:w="673" w:type="dxa"/>
            <w:tcBorders>
              <w:top w:val="nil"/>
              <w:left w:val="nil"/>
              <w:bottom w:val="nil"/>
              <w:right w:val="nil"/>
            </w:tcBorders>
            <w:shd w:val="clear" w:color="auto" w:fill="auto"/>
            <w:noWrap/>
            <w:vAlign w:val="center"/>
            <w:hideMark/>
          </w:tcPr>
          <w:p w14:paraId="0B22DA82" w14:textId="502459A8" w:rsidR="00277F3A" w:rsidRPr="00D92E20" w:rsidRDefault="00277F3A" w:rsidP="00277F3A">
            <w:pPr>
              <w:spacing w:after="0" w:line="240" w:lineRule="auto"/>
              <w:jc w:val="right"/>
              <w:rPr>
                <w:rFonts w:cs="Arial"/>
                <w:b/>
                <w:sz w:val="16"/>
                <w:szCs w:val="16"/>
              </w:rPr>
            </w:pPr>
            <w:r>
              <w:rPr>
                <w:rFonts w:cs="Arial"/>
                <w:sz w:val="16"/>
                <w:szCs w:val="16"/>
              </w:rPr>
              <w:t>0,84</w:t>
            </w:r>
          </w:p>
        </w:tc>
        <w:tc>
          <w:tcPr>
            <w:tcW w:w="673" w:type="dxa"/>
            <w:tcBorders>
              <w:top w:val="nil"/>
              <w:left w:val="nil"/>
              <w:bottom w:val="nil"/>
              <w:right w:val="nil"/>
            </w:tcBorders>
            <w:shd w:val="clear" w:color="auto" w:fill="auto"/>
            <w:noWrap/>
            <w:vAlign w:val="center"/>
            <w:hideMark/>
          </w:tcPr>
          <w:p w14:paraId="53255935" w14:textId="495A4691" w:rsidR="00277F3A" w:rsidRPr="00D92E20" w:rsidRDefault="00277F3A" w:rsidP="00277F3A">
            <w:pPr>
              <w:spacing w:after="0" w:line="240" w:lineRule="auto"/>
              <w:jc w:val="right"/>
              <w:rPr>
                <w:rFonts w:cs="Arial"/>
                <w:b/>
                <w:sz w:val="16"/>
                <w:szCs w:val="16"/>
              </w:rPr>
            </w:pPr>
            <w:r>
              <w:rPr>
                <w:rFonts w:cs="Arial"/>
                <w:sz w:val="16"/>
                <w:szCs w:val="16"/>
              </w:rPr>
              <w:t>0,99</w:t>
            </w:r>
          </w:p>
        </w:tc>
        <w:tc>
          <w:tcPr>
            <w:tcW w:w="673" w:type="dxa"/>
            <w:tcBorders>
              <w:top w:val="nil"/>
              <w:left w:val="nil"/>
              <w:bottom w:val="nil"/>
              <w:right w:val="nil"/>
            </w:tcBorders>
            <w:shd w:val="clear" w:color="auto" w:fill="auto"/>
            <w:noWrap/>
            <w:vAlign w:val="center"/>
            <w:hideMark/>
          </w:tcPr>
          <w:p w14:paraId="5ADC37FE" w14:textId="11202927" w:rsidR="00277F3A" w:rsidRPr="00D92E20" w:rsidRDefault="00277F3A" w:rsidP="00277F3A">
            <w:pPr>
              <w:spacing w:after="0" w:line="240" w:lineRule="auto"/>
              <w:jc w:val="right"/>
              <w:rPr>
                <w:rFonts w:cs="Arial"/>
                <w:b/>
                <w:sz w:val="16"/>
                <w:szCs w:val="16"/>
              </w:rPr>
            </w:pPr>
            <w:r>
              <w:rPr>
                <w:rFonts w:cs="Arial"/>
                <w:sz w:val="16"/>
                <w:szCs w:val="16"/>
              </w:rPr>
              <w:t>1,02</w:t>
            </w:r>
          </w:p>
        </w:tc>
        <w:tc>
          <w:tcPr>
            <w:tcW w:w="673" w:type="dxa"/>
            <w:tcBorders>
              <w:top w:val="nil"/>
              <w:left w:val="nil"/>
              <w:bottom w:val="nil"/>
              <w:right w:val="nil"/>
            </w:tcBorders>
            <w:shd w:val="clear" w:color="auto" w:fill="auto"/>
            <w:noWrap/>
            <w:vAlign w:val="center"/>
            <w:hideMark/>
          </w:tcPr>
          <w:p w14:paraId="4D5D0123" w14:textId="7AAFC899" w:rsidR="00277F3A" w:rsidRPr="00D92E20" w:rsidRDefault="00277F3A" w:rsidP="00277F3A">
            <w:pPr>
              <w:spacing w:after="0" w:line="240" w:lineRule="auto"/>
              <w:jc w:val="right"/>
              <w:rPr>
                <w:rFonts w:cs="Arial"/>
                <w:b/>
                <w:sz w:val="16"/>
                <w:szCs w:val="16"/>
              </w:rPr>
            </w:pPr>
            <w:r>
              <w:rPr>
                <w:rFonts w:cs="Arial"/>
                <w:sz w:val="16"/>
                <w:szCs w:val="16"/>
              </w:rPr>
              <w:t>7,68</w:t>
            </w:r>
          </w:p>
        </w:tc>
        <w:tc>
          <w:tcPr>
            <w:tcW w:w="673" w:type="dxa"/>
            <w:tcBorders>
              <w:top w:val="nil"/>
              <w:left w:val="nil"/>
              <w:bottom w:val="nil"/>
              <w:right w:val="nil"/>
            </w:tcBorders>
            <w:shd w:val="clear" w:color="auto" w:fill="auto"/>
            <w:noWrap/>
            <w:vAlign w:val="center"/>
            <w:hideMark/>
          </w:tcPr>
          <w:p w14:paraId="04016AD8" w14:textId="203464A2" w:rsidR="00277F3A" w:rsidRPr="00D92E20" w:rsidRDefault="00277F3A" w:rsidP="00277F3A">
            <w:pPr>
              <w:spacing w:after="0" w:line="240" w:lineRule="auto"/>
              <w:jc w:val="right"/>
              <w:rPr>
                <w:rFonts w:cs="Arial"/>
                <w:b/>
                <w:sz w:val="16"/>
                <w:szCs w:val="16"/>
              </w:rPr>
            </w:pPr>
            <w:r>
              <w:rPr>
                <w:rFonts w:cs="Arial"/>
                <w:sz w:val="16"/>
                <w:szCs w:val="16"/>
              </w:rPr>
              <w:t>4,47</w:t>
            </w:r>
          </w:p>
        </w:tc>
        <w:tc>
          <w:tcPr>
            <w:tcW w:w="673" w:type="dxa"/>
            <w:tcBorders>
              <w:top w:val="nil"/>
              <w:left w:val="nil"/>
              <w:bottom w:val="nil"/>
              <w:right w:val="nil"/>
            </w:tcBorders>
            <w:shd w:val="clear" w:color="auto" w:fill="auto"/>
            <w:noWrap/>
            <w:vAlign w:val="center"/>
            <w:hideMark/>
          </w:tcPr>
          <w:p w14:paraId="456C8CC0" w14:textId="0866D502" w:rsidR="00277F3A" w:rsidRPr="00D92E20" w:rsidRDefault="00277F3A" w:rsidP="00277F3A">
            <w:pPr>
              <w:spacing w:after="0" w:line="240" w:lineRule="auto"/>
              <w:jc w:val="right"/>
              <w:rPr>
                <w:rFonts w:cs="Arial"/>
                <w:b/>
                <w:sz w:val="16"/>
                <w:szCs w:val="16"/>
              </w:rPr>
            </w:pPr>
            <w:r>
              <w:rPr>
                <w:rFonts w:cs="Arial"/>
                <w:sz w:val="16"/>
                <w:szCs w:val="16"/>
              </w:rPr>
              <w:t>1,81</w:t>
            </w:r>
          </w:p>
        </w:tc>
      </w:tr>
      <w:tr w:rsidR="00277F3A" w:rsidRPr="00D92E20" w14:paraId="72559DC3" w14:textId="77777777" w:rsidTr="000974A8">
        <w:trPr>
          <w:trHeight w:val="300"/>
        </w:trPr>
        <w:tc>
          <w:tcPr>
            <w:tcW w:w="2333" w:type="dxa"/>
            <w:tcBorders>
              <w:top w:val="nil"/>
              <w:left w:val="nil"/>
              <w:bottom w:val="nil"/>
              <w:right w:val="single" w:sz="4" w:space="0" w:color="auto"/>
            </w:tcBorders>
            <w:shd w:val="clear" w:color="auto" w:fill="auto"/>
            <w:vAlign w:val="center"/>
            <w:hideMark/>
          </w:tcPr>
          <w:p w14:paraId="10B91BF0" w14:textId="3A899D3C" w:rsidR="00277F3A" w:rsidRPr="00D92E20" w:rsidRDefault="00277F3A" w:rsidP="00277F3A">
            <w:pPr>
              <w:spacing w:after="0" w:line="240" w:lineRule="auto"/>
              <w:ind w:firstLineChars="100" w:firstLine="160"/>
              <w:rPr>
                <w:rFonts w:cs="Arial"/>
                <w:sz w:val="16"/>
                <w:szCs w:val="16"/>
              </w:rPr>
            </w:pPr>
            <w:r w:rsidRPr="00D92E20">
              <w:rPr>
                <w:rFonts w:cs="Arial"/>
                <w:sz w:val="16"/>
                <w:szCs w:val="16"/>
              </w:rPr>
              <w:t>peněžitá pomoc v mateřství</w:t>
            </w:r>
          </w:p>
        </w:tc>
        <w:tc>
          <w:tcPr>
            <w:tcW w:w="673" w:type="dxa"/>
            <w:tcBorders>
              <w:top w:val="nil"/>
              <w:left w:val="nil"/>
              <w:bottom w:val="nil"/>
              <w:right w:val="nil"/>
            </w:tcBorders>
            <w:shd w:val="clear" w:color="auto" w:fill="auto"/>
            <w:noWrap/>
            <w:vAlign w:val="center"/>
            <w:hideMark/>
          </w:tcPr>
          <w:p w14:paraId="287191B8" w14:textId="4DDFA1A3" w:rsidR="00277F3A" w:rsidRPr="00D92E20" w:rsidRDefault="00277F3A" w:rsidP="00277F3A">
            <w:pPr>
              <w:spacing w:after="0" w:line="240" w:lineRule="auto"/>
              <w:jc w:val="right"/>
              <w:rPr>
                <w:rFonts w:cs="Arial"/>
                <w:sz w:val="16"/>
                <w:szCs w:val="16"/>
              </w:rPr>
            </w:pPr>
            <w:r>
              <w:rPr>
                <w:rFonts w:cs="Arial"/>
                <w:sz w:val="16"/>
                <w:szCs w:val="16"/>
              </w:rPr>
              <w:t>3,51</w:t>
            </w:r>
          </w:p>
        </w:tc>
        <w:tc>
          <w:tcPr>
            <w:tcW w:w="673" w:type="dxa"/>
            <w:tcBorders>
              <w:top w:val="nil"/>
              <w:left w:val="nil"/>
              <w:bottom w:val="nil"/>
              <w:right w:val="nil"/>
            </w:tcBorders>
            <w:shd w:val="clear" w:color="auto" w:fill="auto"/>
            <w:noWrap/>
            <w:vAlign w:val="center"/>
            <w:hideMark/>
          </w:tcPr>
          <w:p w14:paraId="27EFF6EB" w14:textId="5E4296FF" w:rsidR="00277F3A" w:rsidRPr="00D92E20" w:rsidRDefault="00277F3A" w:rsidP="00277F3A">
            <w:pPr>
              <w:spacing w:after="0" w:line="240" w:lineRule="auto"/>
              <w:jc w:val="right"/>
              <w:rPr>
                <w:rFonts w:cs="Arial"/>
                <w:sz w:val="16"/>
                <w:szCs w:val="16"/>
              </w:rPr>
            </w:pPr>
            <w:r>
              <w:rPr>
                <w:rFonts w:cs="Arial"/>
                <w:sz w:val="16"/>
                <w:szCs w:val="16"/>
              </w:rPr>
              <w:t>3,55</w:t>
            </w:r>
          </w:p>
        </w:tc>
        <w:tc>
          <w:tcPr>
            <w:tcW w:w="673" w:type="dxa"/>
            <w:tcBorders>
              <w:top w:val="nil"/>
              <w:left w:val="nil"/>
              <w:bottom w:val="nil"/>
              <w:right w:val="nil"/>
            </w:tcBorders>
            <w:shd w:val="clear" w:color="auto" w:fill="auto"/>
            <w:noWrap/>
            <w:vAlign w:val="center"/>
            <w:hideMark/>
          </w:tcPr>
          <w:p w14:paraId="3BE05C41" w14:textId="2930CC0B" w:rsidR="00277F3A" w:rsidRPr="00D92E20" w:rsidRDefault="00277F3A" w:rsidP="00277F3A">
            <w:pPr>
              <w:spacing w:after="0" w:line="240" w:lineRule="auto"/>
              <w:jc w:val="right"/>
              <w:rPr>
                <w:rFonts w:cs="Arial"/>
                <w:sz w:val="16"/>
                <w:szCs w:val="16"/>
              </w:rPr>
            </w:pPr>
            <w:r>
              <w:rPr>
                <w:rFonts w:cs="Arial"/>
                <w:sz w:val="16"/>
                <w:szCs w:val="16"/>
              </w:rPr>
              <w:t>3,53</w:t>
            </w:r>
          </w:p>
        </w:tc>
        <w:tc>
          <w:tcPr>
            <w:tcW w:w="673" w:type="dxa"/>
            <w:tcBorders>
              <w:top w:val="nil"/>
              <w:left w:val="nil"/>
              <w:bottom w:val="nil"/>
              <w:right w:val="nil"/>
            </w:tcBorders>
            <w:shd w:val="clear" w:color="auto" w:fill="auto"/>
            <w:noWrap/>
            <w:vAlign w:val="center"/>
            <w:hideMark/>
          </w:tcPr>
          <w:p w14:paraId="293FFD03" w14:textId="232F6C5B" w:rsidR="00277F3A" w:rsidRPr="00D92E20" w:rsidRDefault="00277F3A" w:rsidP="00277F3A">
            <w:pPr>
              <w:spacing w:after="0" w:line="240" w:lineRule="auto"/>
              <w:jc w:val="right"/>
              <w:rPr>
                <w:rFonts w:cs="Arial"/>
                <w:sz w:val="16"/>
                <w:szCs w:val="16"/>
              </w:rPr>
            </w:pPr>
            <w:r>
              <w:rPr>
                <w:rFonts w:cs="Arial"/>
                <w:sz w:val="16"/>
                <w:szCs w:val="16"/>
              </w:rPr>
              <w:t>3,66</w:t>
            </w:r>
          </w:p>
        </w:tc>
        <w:tc>
          <w:tcPr>
            <w:tcW w:w="673" w:type="dxa"/>
            <w:tcBorders>
              <w:top w:val="nil"/>
              <w:left w:val="nil"/>
              <w:bottom w:val="nil"/>
              <w:right w:val="nil"/>
            </w:tcBorders>
            <w:shd w:val="clear" w:color="auto" w:fill="auto"/>
            <w:noWrap/>
            <w:vAlign w:val="center"/>
            <w:hideMark/>
          </w:tcPr>
          <w:p w14:paraId="16DA15F0" w14:textId="14151BF2" w:rsidR="00277F3A" w:rsidRPr="00D92E20" w:rsidRDefault="00277F3A" w:rsidP="00277F3A">
            <w:pPr>
              <w:spacing w:after="0" w:line="240" w:lineRule="auto"/>
              <w:jc w:val="right"/>
              <w:rPr>
                <w:rFonts w:cs="Arial"/>
                <w:sz w:val="16"/>
                <w:szCs w:val="16"/>
              </w:rPr>
            </w:pPr>
            <w:r>
              <w:rPr>
                <w:rFonts w:cs="Arial"/>
                <w:sz w:val="16"/>
                <w:szCs w:val="16"/>
              </w:rPr>
              <w:t>3,90</w:t>
            </w:r>
          </w:p>
        </w:tc>
        <w:tc>
          <w:tcPr>
            <w:tcW w:w="673" w:type="dxa"/>
            <w:tcBorders>
              <w:top w:val="nil"/>
              <w:left w:val="nil"/>
              <w:bottom w:val="nil"/>
              <w:right w:val="nil"/>
            </w:tcBorders>
            <w:shd w:val="clear" w:color="auto" w:fill="auto"/>
            <w:noWrap/>
            <w:vAlign w:val="center"/>
            <w:hideMark/>
          </w:tcPr>
          <w:p w14:paraId="4788545B" w14:textId="3DAC4C09" w:rsidR="00277F3A" w:rsidRPr="00D92E20" w:rsidRDefault="00277F3A" w:rsidP="00277F3A">
            <w:pPr>
              <w:spacing w:after="0" w:line="240" w:lineRule="auto"/>
              <w:jc w:val="right"/>
              <w:rPr>
                <w:rFonts w:cs="Arial"/>
                <w:sz w:val="16"/>
                <w:szCs w:val="16"/>
              </w:rPr>
            </w:pPr>
            <w:r>
              <w:rPr>
                <w:rFonts w:cs="Arial"/>
                <w:sz w:val="16"/>
                <w:szCs w:val="16"/>
              </w:rPr>
              <w:t>4,11</w:t>
            </w:r>
          </w:p>
        </w:tc>
        <w:tc>
          <w:tcPr>
            <w:tcW w:w="673" w:type="dxa"/>
            <w:tcBorders>
              <w:top w:val="nil"/>
              <w:left w:val="nil"/>
              <w:bottom w:val="nil"/>
              <w:right w:val="nil"/>
            </w:tcBorders>
            <w:shd w:val="clear" w:color="auto" w:fill="auto"/>
            <w:noWrap/>
            <w:vAlign w:val="center"/>
            <w:hideMark/>
          </w:tcPr>
          <w:p w14:paraId="5418FB6D" w14:textId="60F56269" w:rsidR="00277F3A" w:rsidRPr="00D92E20" w:rsidRDefault="00277F3A" w:rsidP="00277F3A">
            <w:pPr>
              <w:spacing w:after="0" w:line="240" w:lineRule="auto"/>
              <w:jc w:val="right"/>
              <w:rPr>
                <w:rFonts w:cs="Arial"/>
                <w:sz w:val="16"/>
                <w:szCs w:val="16"/>
              </w:rPr>
            </w:pPr>
            <w:r>
              <w:rPr>
                <w:rFonts w:cs="Arial"/>
                <w:sz w:val="16"/>
                <w:szCs w:val="16"/>
              </w:rPr>
              <w:t>4,49</w:t>
            </w:r>
          </w:p>
        </w:tc>
        <w:tc>
          <w:tcPr>
            <w:tcW w:w="673" w:type="dxa"/>
            <w:tcBorders>
              <w:top w:val="nil"/>
              <w:left w:val="nil"/>
              <w:bottom w:val="nil"/>
              <w:right w:val="nil"/>
            </w:tcBorders>
            <w:shd w:val="clear" w:color="auto" w:fill="auto"/>
            <w:noWrap/>
            <w:vAlign w:val="center"/>
            <w:hideMark/>
          </w:tcPr>
          <w:p w14:paraId="5D7272AA" w14:textId="1ACDA730" w:rsidR="00277F3A" w:rsidRPr="00D92E20" w:rsidRDefault="00277F3A" w:rsidP="00277F3A">
            <w:pPr>
              <w:spacing w:after="0" w:line="240" w:lineRule="auto"/>
              <w:jc w:val="right"/>
              <w:rPr>
                <w:rFonts w:cs="Arial"/>
                <w:color w:val="000000"/>
                <w:sz w:val="16"/>
                <w:szCs w:val="16"/>
              </w:rPr>
            </w:pPr>
            <w:r>
              <w:rPr>
                <w:rFonts w:cs="Arial"/>
                <w:sz w:val="16"/>
                <w:szCs w:val="16"/>
              </w:rPr>
              <w:t>4,83</w:t>
            </w:r>
          </w:p>
        </w:tc>
        <w:tc>
          <w:tcPr>
            <w:tcW w:w="673" w:type="dxa"/>
            <w:tcBorders>
              <w:top w:val="nil"/>
              <w:left w:val="nil"/>
              <w:bottom w:val="nil"/>
              <w:right w:val="nil"/>
            </w:tcBorders>
            <w:shd w:val="clear" w:color="auto" w:fill="auto"/>
            <w:noWrap/>
            <w:vAlign w:val="center"/>
            <w:hideMark/>
          </w:tcPr>
          <w:p w14:paraId="0AA5DD72" w14:textId="5EC28D25" w:rsidR="00277F3A" w:rsidRPr="00D92E20" w:rsidRDefault="00277F3A" w:rsidP="00277F3A">
            <w:pPr>
              <w:spacing w:after="0" w:line="240" w:lineRule="auto"/>
              <w:jc w:val="right"/>
              <w:rPr>
                <w:rFonts w:cs="Arial"/>
                <w:color w:val="000000"/>
                <w:sz w:val="16"/>
                <w:szCs w:val="16"/>
              </w:rPr>
            </w:pPr>
            <w:r>
              <w:rPr>
                <w:rFonts w:cs="Arial"/>
                <w:sz w:val="16"/>
                <w:szCs w:val="16"/>
              </w:rPr>
              <w:t>5,09</w:t>
            </w:r>
          </w:p>
        </w:tc>
        <w:tc>
          <w:tcPr>
            <w:tcW w:w="673" w:type="dxa"/>
            <w:tcBorders>
              <w:top w:val="nil"/>
              <w:left w:val="nil"/>
              <w:bottom w:val="nil"/>
              <w:right w:val="nil"/>
            </w:tcBorders>
            <w:shd w:val="clear" w:color="auto" w:fill="auto"/>
            <w:noWrap/>
            <w:vAlign w:val="center"/>
            <w:hideMark/>
          </w:tcPr>
          <w:p w14:paraId="182D114B" w14:textId="6708888D" w:rsidR="00277F3A" w:rsidRPr="00D92E20" w:rsidRDefault="00277F3A" w:rsidP="00277F3A">
            <w:pPr>
              <w:spacing w:after="0" w:line="240" w:lineRule="auto"/>
              <w:jc w:val="right"/>
              <w:rPr>
                <w:rFonts w:cs="Arial"/>
                <w:color w:val="000000"/>
                <w:sz w:val="16"/>
                <w:szCs w:val="16"/>
              </w:rPr>
            </w:pPr>
            <w:r>
              <w:rPr>
                <w:rFonts w:cs="Arial"/>
                <w:sz w:val="16"/>
                <w:szCs w:val="16"/>
              </w:rPr>
              <w:t>5,42</w:t>
            </w:r>
          </w:p>
        </w:tc>
        <w:tc>
          <w:tcPr>
            <w:tcW w:w="673" w:type="dxa"/>
            <w:tcBorders>
              <w:top w:val="nil"/>
              <w:left w:val="nil"/>
              <w:bottom w:val="nil"/>
              <w:right w:val="nil"/>
            </w:tcBorders>
            <w:shd w:val="clear" w:color="auto" w:fill="auto"/>
            <w:noWrap/>
            <w:vAlign w:val="center"/>
            <w:hideMark/>
          </w:tcPr>
          <w:p w14:paraId="13FD2A8A" w14:textId="2F114877" w:rsidR="00277F3A" w:rsidRPr="00D92E20" w:rsidRDefault="00277F3A" w:rsidP="00277F3A">
            <w:pPr>
              <w:spacing w:after="0" w:line="240" w:lineRule="auto"/>
              <w:jc w:val="right"/>
              <w:rPr>
                <w:rFonts w:cs="Arial"/>
                <w:color w:val="000000"/>
                <w:sz w:val="16"/>
                <w:szCs w:val="16"/>
              </w:rPr>
            </w:pPr>
            <w:r>
              <w:rPr>
                <w:rFonts w:cs="Arial"/>
                <w:sz w:val="16"/>
                <w:szCs w:val="16"/>
              </w:rPr>
              <w:t>5,55</w:t>
            </w:r>
          </w:p>
        </w:tc>
      </w:tr>
      <w:tr w:rsidR="00277F3A" w:rsidRPr="00D92E20" w14:paraId="1FC8DBA1" w14:textId="77777777" w:rsidTr="009F0B87">
        <w:trPr>
          <w:trHeight w:val="480"/>
        </w:trPr>
        <w:tc>
          <w:tcPr>
            <w:tcW w:w="2333" w:type="dxa"/>
            <w:tcBorders>
              <w:top w:val="nil"/>
              <w:left w:val="nil"/>
              <w:bottom w:val="nil"/>
              <w:right w:val="single" w:sz="4" w:space="0" w:color="auto"/>
            </w:tcBorders>
            <w:shd w:val="clear" w:color="auto" w:fill="auto"/>
            <w:vAlign w:val="center"/>
            <w:hideMark/>
          </w:tcPr>
          <w:p w14:paraId="5992336E" w14:textId="77777777" w:rsidR="00277F3A" w:rsidRPr="00D92E20" w:rsidRDefault="00277F3A" w:rsidP="00277F3A">
            <w:pPr>
              <w:spacing w:after="0" w:line="240" w:lineRule="auto"/>
              <w:ind w:firstLineChars="100" w:firstLine="160"/>
              <w:rPr>
                <w:rFonts w:cs="Arial"/>
                <w:sz w:val="16"/>
                <w:szCs w:val="16"/>
              </w:rPr>
            </w:pPr>
            <w:r w:rsidRPr="00D92E20">
              <w:rPr>
                <w:rFonts w:cs="Arial"/>
                <w:sz w:val="16"/>
                <w:szCs w:val="16"/>
              </w:rPr>
              <w:t xml:space="preserve">vyrovnávací příspěvek </w:t>
            </w:r>
            <w:r w:rsidRPr="00D92E20">
              <w:rPr>
                <w:rFonts w:cs="Arial"/>
                <w:sz w:val="16"/>
                <w:szCs w:val="16"/>
              </w:rPr>
              <w:br/>
              <w:t xml:space="preserve">    v těhotenství a mateřství</w:t>
            </w:r>
          </w:p>
        </w:tc>
        <w:tc>
          <w:tcPr>
            <w:tcW w:w="673" w:type="dxa"/>
            <w:tcBorders>
              <w:top w:val="nil"/>
              <w:left w:val="nil"/>
              <w:bottom w:val="nil"/>
              <w:right w:val="nil"/>
            </w:tcBorders>
            <w:shd w:val="clear" w:color="auto" w:fill="auto"/>
            <w:noWrap/>
            <w:vAlign w:val="center"/>
            <w:hideMark/>
          </w:tcPr>
          <w:p w14:paraId="58CBEAE3" w14:textId="6E7EC686" w:rsidR="00277F3A" w:rsidRPr="00D92E20" w:rsidRDefault="00277F3A" w:rsidP="00277F3A">
            <w:pPr>
              <w:spacing w:after="0" w:line="240" w:lineRule="auto"/>
              <w:jc w:val="right"/>
              <w:rPr>
                <w:rFonts w:cs="Arial"/>
                <w:sz w:val="16"/>
                <w:szCs w:val="16"/>
              </w:rPr>
            </w:pPr>
            <w:r>
              <w:rPr>
                <w:rFonts w:cs="Arial"/>
                <w:sz w:val="16"/>
                <w:szCs w:val="16"/>
              </w:rPr>
              <w:t>0,003</w:t>
            </w:r>
          </w:p>
        </w:tc>
        <w:tc>
          <w:tcPr>
            <w:tcW w:w="673" w:type="dxa"/>
            <w:tcBorders>
              <w:top w:val="nil"/>
              <w:left w:val="nil"/>
              <w:bottom w:val="nil"/>
              <w:right w:val="nil"/>
            </w:tcBorders>
            <w:shd w:val="clear" w:color="auto" w:fill="auto"/>
            <w:noWrap/>
            <w:vAlign w:val="center"/>
            <w:hideMark/>
          </w:tcPr>
          <w:p w14:paraId="21FEDDD5" w14:textId="70D74162" w:rsidR="00277F3A" w:rsidRPr="00D92E20" w:rsidRDefault="00277F3A" w:rsidP="00277F3A">
            <w:pPr>
              <w:spacing w:after="0" w:line="240" w:lineRule="auto"/>
              <w:jc w:val="right"/>
              <w:rPr>
                <w:rFonts w:cs="Arial"/>
                <w:sz w:val="16"/>
                <w:szCs w:val="16"/>
              </w:rPr>
            </w:pPr>
            <w:r>
              <w:rPr>
                <w:rFonts w:cs="Arial"/>
                <w:sz w:val="16"/>
                <w:szCs w:val="16"/>
              </w:rPr>
              <w:t>0,003</w:t>
            </w:r>
          </w:p>
        </w:tc>
        <w:tc>
          <w:tcPr>
            <w:tcW w:w="673" w:type="dxa"/>
            <w:tcBorders>
              <w:top w:val="nil"/>
              <w:left w:val="nil"/>
              <w:bottom w:val="nil"/>
              <w:right w:val="nil"/>
            </w:tcBorders>
            <w:shd w:val="clear" w:color="auto" w:fill="auto"/>
            <w:noWrap/>
            <w:vAlign w:val="center"/>
            <w:hideMark/>
          </w:tcPr>
          <w:p w14:paraId="49910646" w14:textId="11983F01" w:rsidR="00277F3A" w:rsidRPr="00D92E20" w:rsidRDefault="00277F3A" w:rsidP="00277F3A">
            <w:pPr>
              <w:spacing w:after="0" w:line="240" w:lineRule="auto"/>
              <w:jc w:val="right"/>
              <w:rPr>
                <w:rFonts w:cs="Arial"/>
                <w:sz w:val="16"/>
                <w:szCs w:val="16"/>
              </w:rPr>
            </w:pPr>
            <w:r>
              <w:rPr>
                <w:rFonts w:cs="Arial"/>
                <w:sz w:val="16"/>
                <w:szCs w:val="16"/>
              </w:rPr>
              <w:t>0,004</w:t>
            </w:r>
          </w:p>
        </w:tc>
        <w:tc>
          <w:tcPr>
            <w:tcW w:w="673" w:type="dxa"/>
            <w:tcBorders>
              <w:top w:val="nil"/>
              <w:left w:val="nil"/>
              <w:bottom w:val="nil"/>
              <w:right w:val="nil"/>
            </w:tcBorders>
            <w:shd w:val="clear" w:color="auto" w:fill="auto"/>
            <w:noWrap/>
            <w:vAlign w:val="center"/>
            <w:hideMark/>
          </w:tcPr>
          <w:p w14:paraId="5BAA99B9" w14:textId="111CDEA2" w:rsidR="00277F3A" w:rsidRPr="00D92E20" w:rsidRDefault="00277F3A" w:rsidP="00277F3A">
            <w:pPr>
              <w:spacing w:after="0" w:line="240" w:lineRule="auto"/>
              <w:jc w:val="right"/>
              <w:rPr>
                <w:rFonts w:cs="Arial"/>
                <w:sz w:val="16"/>
                <w:szCs w:val="16"/>
              </w:rPr>
            </w:pPr>
            <w:r>
              <w:rPr>
                <w:rFonts w:cs="Arial"/>
                <w:sz w:val="16"/>
                <w:szCs w:val="16"/>
              </w:rPr>
              <w:t>0,004</w:t>
            </w:r>
          </w:p>
        </w:tc>
        <w:tc>
          <w:tcPr>
            <w:tcW w:w="673" w:type="dxa"/>
            <w:tcBorders>
              <w:top w:val="nil"/>
              <w:left w:val="nil"/>
              <w:bottom w:val="nil"/>
              <w:right w:val="nil"/>
            </w:tcBorders>
            <w:shd w:val="clear" w:color="auto" w:fill="auto"/>
            <w:noWrap/>
            <w:vAlign w:val="center"/>
            <w:hideMark/>
          </w:tcPr>
          <w:p w14:paraId="3AD8366F" w14:textId="54D2F818" w:rsidR="00277F3A" w:rsidRPr="00D92E20" w:rsidRDefault="00277F3A" w:rsidP="00277F3A">
            <w:pPr>
              <w:spacing w:after="0" w:line="240" w:lineRule="auto"/>
              <w:jc w:val="right"/>
              <w:rPr>
                <w:rFonts w:cs="Arial"/>
                <w:sz w:val="16"/>
                <w:szCs w:val="16"/>
              </w:rPr>
            </w:pPr>
            <w:r>
              <w:rPr>
                <w:rFonts w:cs="Arial"/>
                <w:sz w:val="16"/>
                <w:szCs w:val="16"/>
              </w:rPr>
              <w:t>0,005</w:t>
            </w:r>
          </w:p>
        </w:tc>
        <w:tc>
          <w:tcPr>
            <w:tcW w:w="673" w:type="dxa"/>
            <w:tcBorders>
              <w:top w:val="nil"/>
              <w:left w:val="nil"/>
              <w:bottom w:val="nil"/>
              <w:right w:val="nil"/>
            </w:tcBorders>
            <w:shd w:val="clear" w:color="auto" w:fill="auto"/>
            <w:noWrap/>
            <w:vAlign w:val="center"/>
            <w:hideMark/>
          </w:tcPr>
          <w:p w14:paraId="13AD0D34" w14:textId="44EC744D" w:rsidR="00277F3A" w:rsidRPr="00D92E20" w:rsidRDefault="00277F3A" w:rsidP="00277F3A">
            <w:pPr>
              <w:spacing w:after="0" w:line="240" w:lineRule="auto"/>
              <w:jc w:val="right"/>
              <w:rPr>
                <w:rFonts w:cs="Arial"/>
                <w:sz w:val="16"/>
                <w:szCs w:val="16"/>
              </w:rPr>
            </w:pPr>
            <w:r>
              <w:rPr>
                <w:rFonts w:cs="Arial"/>
                <w:sz w:val="16"/>
                <w:szCs w:val="16"/>
              </w:rPr>
              <w:t>0,004</w:t>
            </w:r>
          </w:p>
        </w:tc>
        <w:tc>
          <w:tcPr>
            <w:tcW w:w="673" w:type="dxa"/>
            <w:tcBorders>
              <w:top w:val="nil"/>
              <w:left w:val="nil"/>
              <w:bottom w:val="nil"/>
              <w:right w:val="nil"/>
            </w:tcBorders>
            <w:shd w:val="clear" w:color="auto" w:fill="auto"/>
            <w:noWrap/>
            <w:vAlign w:val="center"/>
            <w:hideMark/>
          </w:tcPr>
          <w:p w14:paraId="70E0454D" w14:textId="4C94ED47" w:rsidR="00277F3A" w:rsidRPr="00D92E20" w:rsidRDefault="00277F3A" w:rsidP="00277F3A">
            <w:pPr>
              <w:spacing w:after="0" w:line="240" w:lineRule="auto"/>
              <w:jc w:val="right"/>
              <w:rPr>
                <w:rFonts w:cs="Arial"/>
                <w:sz w:val="16"/>
                <w:szCs w:val="16"/>
              </w:rPr>
            </w:pPr>
            <w:r>
              <w:rPr>
                <w:rFonts w:cs="Arial"/>
                <w:sz w:val="16"/>
                <w:szCs w:val="16"/>
              </w:rPr>
              <w:t>0,004</w:t>
            </w:r>
          </w:p>
        </w:tc>
        <w:tc>
          <w:tcPr>
            <w:tcW w:w="673" w:type="dxa"/>
            <w:tcBorders>
              <w:top w:val="nil"/>
              <w:left w:val="nil"/>
              <w:bottom w:val="nil"/>
              <w:right w:val="nil"/>
            </w:tcBorders>
            <w:shd w:val="clear" w:color="auto" w:fill="auto"/>
            <w:noWrap/>
            <w:vAlign w:val="center"/>
            <w:hideMark/>
          </w:tcPr>
          <w:p w14:paraId="66CF8AC3" w14:textId="57282AC1" w:rsidR="00277F3A" w:rsidRPr="00D92E20" w:rsidRDefault="00277F3A" w:rsidP="00277F3A">
            <w:pPr>
              <w:spacing w:after="0" w:line="240" w:lineRule="auto"/>
              <w:jc w:val="right"/>
              <w:rPr>
                <w:rFonts w:cs="Arial"/>
                <w:color w:val="000000"/>
                <w:sz w:val="16"/>
                <w:szCs w:val="16"/>
              </w:rPr>
            </w:pPr>
            <w:r>
              <w:rPr>
                <w:rFonts w:cs="Arial"/>
                <w:sz w:val="16"/>
                <w:szCs w:val="16"/>
              </w:rPr>
              <w:t>0,005</w:t>
            </w:r>
          </w:p>
        </w:tc>
        <w:tc>
          <w:tcPr>
            <w:tcW w:w="673" w:type="dxa"/>
            <w:tcBorders>
              <w:top w:val="nil"/>
              <w:left w:val="nil"/>
              <w:bottom w:val="nil"/>
              <w:right w:val="nil"/>
            </w:tcBorders>
            <w:shd w:val="clear" w:color="auto" w:fill="auto"/>
            <w:noWrap/>
            <w:vAlign w:val="center"/>
            <w:hideMark/>
          </w:tcPr>
          <w:p w14:paraId="430B5B58" w14:textId="19603F38" w:rsidR="00277F3A" w:rsidRPr="00D92E20" w:rsidRDefault="00277F3A" w:rsidP="00277F3A">
            <w:pPr>
              <w:spacing w:after="0" w:line="240" w:lineRule="auto"/>
              <w:jc w:val="right"/>
              <w:rPr>
                <w:rFonts w:cs="Arial"/>
                <w:color w:val="000000"/>
                <w:sz w:val="16"/>
                <w:szCs w:val="16"/>
              </w:rPr>
            </w:pPr>
            <w:r>
              <w:rPr>
                <w:rFonts w:cs="Arial"/>
                <w:sz w:val="16"/>
                <w:szCs w:val="16"/>
              </w:rPr>
              <w:t>0,004</w:t>
            </w:r>
          </w:p>
        </w:tc>
        <w:tc>
          <w:tcPr>
            <w:tcW w:w="673" w:type="dxa"/>
            <w:tcBorders>
              <w:top w:val="nil"/>
              <w:left w:val="nil"/>
              <w:bottom w:val="nil"/>
              <w:right w:val="nil"/>
            </w:tcBorders>
            <w:shd w:val="clear" w:color="auto" w:fill="auto"/>
            <w:noWrap/>
            <w:vAlign w:val="center"/>
            <w:hideMark/>
          </w:tcPr>
          <w:p w14:paraId="25BC0627" w14:textId="10EF2978" w:rsidR="00277F3A" w:rsidRPr="00D92E20" w:rsidRDefault="00277F3A" w:rsidP="00277F3A">
            <w:pPr>
              <w:spacing w:after="0" w:line="240" w:lineRule="auto"/>
              <w:jc w:val="right"/>
              <w:rPr>
                <w:rFonts w:cs="Arial"/>
                <w:color w:val="000000"/>
                <w:sz w:val="16"/>
                <w:szCs w:val="16"/>
              </w:rPr>
            </w:pPr>
            <w:r>
              <w:rPr>
                <w:rFonts w:cs="Arial"/>
                <w:sz w:val="16"/>
                <w:szCs w:val="16"/>
              </w:rPr>
              <w:t>0,003</w:t>
            </w:r>
          </w:p>
        </w:tc>
        <w:tc>
          <w:tcPr>
            <w:tcW w:w="673" w:type="dxa"/>
            <w:tcBorders>
              <w:top w:val="nil"/>
              <w:left w:val="nil"/>
              <w:bottom w:val="nil"/>
              <w:right w:val="nil"/>
            </w:tcBorders>
            <w:shd w:val="clear" w:color="auto" w:fill="auto"/>
            <w:noWrap/>
            <w:vAlign w:val="center"/>
            <w:hideMark/>
          </w:tcPr>
          <w:p w14:paraId="3944CF13" w14:textId="7AD5FEB2" w:rsidR="00277F3A" w:rsidRPr="00D92E20" w:rsidRDefault="00277F3A" w:rsidP="00277F3A">
            <w:pPr>
              <w:spacing w:after="0" w:line="240" w:lineRule="auto"/>
              <w:jc w:val="right"/>
              <w:rPr>
                <w:rFonts w:cs="Arial"/>
                <w:color w:val="000000"/>
                <w:sz w:val="16"/>
                <w:szCs w:val="16"/>
              </w:rPr>
            </w:pPr>
            <w:r>
              <w:rPr>
                <w:rFonts w:cs="Arial"/>
                <w:sz w:val="16"/>
                <w:szCs w:val="16"/>
              </w:rPr>
              <w:t>0,004</w:t>
            </w:r>
          </w:p>
        </w:tc>
      </w:tr>
      <w:tr w:rsidR="00277F3A" w:rsidRPr="00D92E20" w14:paraId="46EEA8E2" w14:textId="77777777" w:rsidTr="00951947">
        <w:trPr>
          <w:trHeight w:val="300"/>
        </w:trPr>
        <w:tc>
          <w:tcPr>
            <w:tcW w:w="2333" w:type="dxa"/>
            <w:tcBorders>
              <w:top w:val="nil"/>
              <w:left w:val="nil"/>
              <w:bottom w:val="nil"/>
              <w:right w:val="single" w:sz="4" w:space="0" w:color="auto"/>
            </w:tcBorders>
            <w:shd w:val="clear" w:color="auto" w:fill="auto"/>
            <w:vAlign w:val="center"/>
            <w:hideMark/>
          </w:tcPr>
          <w:p w14:paraId="779E6D27" w14:textId="77777777" w:rsidR="00277F3A" w:rsidRPr="00D92E20" w:rsidRDefault="00277F3A" w:rsidP="00277F3A">
            <w:pPr>
              <w:spacing w:after="0" w:line="240" w:lineRule="auto"/>
              <w:ind w:firstLineChars="100" w:firstLine="160"/>
              <w:rPr>
                <w:rFonts w:cs="Arial"/>
                <w:sz w:val="16"/>
                <w:szCs w:val="16"/>
              </w:rPr>
            </w:pPr>
            <w:r w:rsidRPr="00D92E20">
              <w:rPr>
                <w:rFonts w:cs="Arial"/>
                <w:sz w:val="16"/>
                <w:szCs w:val="16"/>
              </w:rPr>
              <w:t>otcovská poporodní péče</w:t>
            </w:r>
            <w:r w:rsidRPr="00D92E20">
              <w:rPr>
                <w:rFonts w:cs="Arial"/>
                <w:sz w:val="16"/>
                <w:szCs w:val="16"/>
                <w:vertAlign w:val="superscript"/>
              </w:rPr>
              <w:t>1)</w:t>
            </w:r>
          </w:p>
        </w:tc>
        <w:tc>
          <w:tcPr>
            <w:tcW w:w="673" w:type="dxa"/>
            <w:tcBorders>
              <w:top w:val="nil"/>
              <w:left w:val="nil"/>
              <w:bottom w:val="nil"/>
              <w:right w:val="nil"/>
            </w:tcBorders>
            <w:shd w:val="clear" w:color="auto" w:fill="auto"/>
            <w:noWrap/>
            <w:vAlign w:val="center"/>
            <w:hideMark/>
          </w:tcPr>
          <w:p w14:paraId="13CE5DD1" w14:textId="49D2C130"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 xml:space="preserve"> –     </w:t>
            </w:r>
          </w:p>
        </w:tc>
        <w:tc>
          <w:tcPr>
            <w:tcW w:w="673" w:type="dxa"/>
            <w:tcBorders>
              <w:top w:val="nil"/>
              <w:left w:val="nil"/>
              <w:bottom w:val="nil"/>
              <w:right w:val="nil"/>
            </w:tcBorders>
            <w:shd w:val="clear" w:color="auto" w:fill="auto"/>
            <w:noWrap/>
            <w:vAlign w:val="center"/>
            <w:hideMark/>
          </w:tcPr>
          <w:p w14:paraId="6EF1DD16" w14:textId="7C05DA49"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 xml:space="preserve"> –     </w:t>
            </w:r>
          </w:p>
        </w:tc>
        <w:tc>
          <w:tcPr>
            <w:tcW w:w="673" w:type="dxa"/>
            <w:tcBorders>
              <w:top w:val="nil"/>
              <w:left w:val="nil"/>
              <w:bottom w:val="nil"/>
              <w:right w:val="nil"/>
            </w:tcBorders>
            <w:shd w:val="clear" w:color="auto" w:fill="auto"/>
            <w:noWrap/>
            <w:vAlign w:val="center"/>
            <w:hideMark/>
          </w:tcPr>
          <w:p w14:paraId="4FBB7DBE" w14:textId="57B1B437"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 xml:space="preserve"> –     </w:t>
            </w:r>
          </w:p>
        </w:tc>
        <w:tc>
          <w:tcPr>
            <w:tcW w:w="673" w:type="dxa"/>
            <w:tcBorders>
              <w:top w:val="nil"/>
              <w:left w:val="nil"/>
              <w:bottom w:val="nil"/>
              <w:right w:val="nil"/>
            </w:tcBorders>
            <w:shd w:val="clear" w:color="auto" w:fill="auto"/>
            <w:noWrap/>
            <w:vAlign w:val="center"/>
            <w:hideMark/>
          </w:tcPr>
          <w:p w14:paraId="66D3B976" w14:textId="6AC6E32D"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 xml:space="preserve"> –     </w:t>
            </w:r>
          </w:p>
        </w:tc>
        <w:tc>
          <w:tcPr>
            <w:tcW w:w="673" w:type="dxa"/>
            <w:tcBorders>
              <w:top w:val="nil"/>
              <w:left w:val="nil"/>
              <w:bottom w:val="nil"/>
              <w:right w:val="nil"/>
            </w:tcBorders>
            <w:shd w:val="clear" w:color="auto" w:fill="auto"/>
            <w:noWrap/>
            <w:vAlign w:val="center"/>
            <w:hideMark/>
          </w:tcPr>
          <w:p w14:paraId="637EE318" w14:textId="653BF6D5"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 xml:space="preserve"> –     </w:t>
            </w:r>
          </w:p>
        </w:tc>
        <w:tc>
          <w:tcPr>
            <w:tcW w:w="673" w:type="dxa"/>
            <w:tcBorders>
              <w:top w:val="nil"/>
              <w:left w:val="nil"/>
              <w:bottom w:val="nil"/>
              <w:right w:val="nil"/>
            </w:tcBorders>
            <w:shd w:val="clear" w:color="auto" w:fill="auto"/>
            <w:noWrap/>
            <w:vAlign w:val="center"/>
            <w:hideMark/>
          </w:tcPr>
          <w:p w14:paraId="15DAF9E5" w14:textId="6BB8DC76"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 xml:space="preserve"> –     </w:t>
            </w:r>
          </w:p>
        </w:tc>
        <w:tc>
          <w:tcPr>
            <w:tcW w:w="673" w:type="dxa"/>
            <w:tcBorders>
              <w:top w:val="nil"/>
              <w:left w:val="nil"/>
              <w:bottom w:val="nil"/>
              <w:right w:val="nil"/>
            </w:tcBorders>
            <w:shd w:val="clear" w:color="auto" w:fill="auto"/>
            <w:noWrap/>
            <w:vAlign w:val="center"/>
            <w:hideMark/>
          </w:tcPr>
          <w:p w14:paraId="0CB1886E" w14:textId="315EC5B9"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0,091</w:t>
            </w:r>
          </w:p>
        </w:tc>
        <w:tc>
          <w:tcPr>
            <w:tcW w:w="673" w:type="dxa"/>
            <w:tcBorders>
              <w:top w:val="nil"/>
              <w:left w:val="nil"/>
              <w:bottom w:val="nil"/>
              <w:right w:val="nil"/>
            </w:tcBorders>
            <w:shd w:val="clear" w:color="auto" w:fill="auto"/>
            <w:noWrap/>
            <w:vAlign w:val="center"/>
            <w:hideMark/>
          </w:tcPr>
          <w:p w14:paraId="11CBAD52" w14:textId="34D68DC4"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0,129</w:t>
            </w:r>
          </w:p>
        </w:tc>
        <w:tc>
          <w:tcPr>
            <w:tcW w:w="673" w:type="dxa"/>
            <w:tcBorders>
              <w:top w:val="nil"/>
              <w:left w:val="nil"/>
              <w:bottom w:val="nil"/>
              <w:right w:val="nil"/>
            </w:tcBorders>
            <w:shd w:val="clear" w:color="auto" w:fill="auto"/>
            <w:noWrap/>
            <w:vAlign w:val="center"/>
            <w:hideMark/>
          </w:tcPr>
          <w:p w14:paraId="4DC4CF98" w14:textId="5035A686" w:rsidR="00277F3A" w:rsidRPr="00D92E20" w:rsidRDefault="00277F3A" w:rsidP="00277F3A">
            <w:pPr>
              <w:spacing w:after="0" w:line="240" w:lineRule="auto"/>
              <w:jc w:val="right"/>
              <w:rPr>
                <w:rFonts w:cs="Arial"/>
                <w:color w:val="000000"/>
                <w:sz w:val="16"/>
                <w:szCs w:val="16"/>
              </w:rPr>
            </w:pPr>
            <w:r>
              <w:rPr>
                <w:rFonts w:cs="Arial"/>
                <w:sz w:val="16"/>
                <w:szCs w:val="16"/>
              </w:rPr>
              <w:t>0,128</w:t>
            </w:r>
          </w:p>
        </w:tc>
        <w:tc>
          <w:tcPr>
            <w:tcW w:w="673" w:type="dxa"/>
            <w:tcBorders>
              <w:top w:val="nil"/>
              <w:left w:val="nil"/>
              <w:bottom w:val="nil"/>
              <w:right w:val="nil"/>
            </w:tcBorders>
            <w:shd w:val="clear" w:color="auto" w:fill="auto"/>
            <w:noWrap/>
            <w:vAlign w:val="center"/>
            <w:hideMark/>
          </w:tcPr>
          <w:p w14:paraId="125CEBE3" w14:textId="4C90C407" w:rsidR="00277F3A" w:rsidRPr="00D92E20" w:rsidRDefault="00277F3A" w:rsidP="00277F3A">
            <w:pPr>
              <w:spacing w:after="0" w:line="240" w:lineRule="auto"/>
              <w:jc w:val="right"/>
              <w:rPr>
                <w:rFonts w:cs="Arial"/>
                <w:color w:val="000000"/>
                <w:sz w:val="16"/>
                <w:szCs w:val="16"/>
              </w:rPr>
            </w:pPr>
            <w:r>
              <w:rPr>
                <w:rFonts w:cs="Arial"/>
                <w:sz w:val="16"/>
                <w:szCs w:val="16"/>
              </w:rPr>
              <w:t>0,138</w:t>
            </w:r>
          </w:p>
        </w:tc>
        <w:tc>
          <w:tcPr>
            <w:tcW w:w="673" w:type="dxa"/>
            <w:tcBorders>
              <w:top w:val="nil"/>
              <w:left w:val="nil"/>
              <w:bottom w:val="nil"/>
              <w:right w:val="nil"/>
            </w:tcBorders>
            <w:shd w:val="clear" w:color="auto" w:fill="auto"/>
            <w:noWrap/>
            <w:vAlign w:val="center"/>
            <w:hideMark/>
          </w:tcPr>
          <w:p w14:paraId="11D22C00" w14:textId="387C20DA" w:rsidR="00277F3A" w:rsidRPr="00D92E20" w:rsidRDefault="00277F3A" w:rsidP="00277F3A">
            <w:pPr>
              <w:spacing w:after="0" w:line="240" w:lineRule="auto"/>
              <w:jc w:val="right"/>
              <w:rPr>
                <w:rFonts w:cs="Arial"/>
                <w:color w:val="000000"/>
                <w:sz w:val="16"/>
                <w:szCs w:val="16"/>
              </w:rPr>
            </w:pPr>
            <w:r>
              <w:rPr>
                <w:rFonts w:cs="Arial"/>
                <w:sz w:val="16"/>
                <w:szCs w:val="16"/>
              </w:rPr>
              <w:t>0,285</w:t>
            </w:r>
          </w:p>
        </w:tc>
      </w:tr>
      <w:tr w:rsidR="00277F3A" w:rsidRPr="00D92E20" w14:paraId="2CD89E10" w14:textId="77777777" w:rsidTr="00951947">
        <w:trPr>
          <w:trHeight w:val="300"/>
        </w:trPr>
        <w:tc>
          <w:tcPr>
            <w:tcW w:w="2333" w:type="dxa"/>
            <w:tcBorders>
              <w:top w:val="nil"/>
              <w:left w:val="nil"/>
              <w:bottom w:val="nil"/>
              <w:right w:val="single" w:sz="4" w:space="0" w:color="auto"/>
            </w:tcBorders>
            <w:shd w:val="clear" w:color="auto" w:fill="auto"/>
            <w:vAlign w:val="center"/>
            <w:hideMark/>
          </w:tcPr>
          <w:p w14:paraId="4CD1B85F" w14:textId="77777777" w:rsidR="00277F3A" w:rsidRPr="00D92E20" w:rsidRDefault="00277F3A" w:rsidP="00277F3A">
            <w:pPr>
              <w:spacing w:after="0" w:line="240" w:lineRule="auto"/>
              <w:ind w:firstLineChars="100" w:firstLine="160"/>
              <w:rPr>
                <w:rFonts w:cs="Arial"/>
                <w:sz w:val="16"/>
                <w:szCs w:val="16"/>
              </w:rPr>
            </w:pPr>
            <w:r w:rsidRPr="00D92E20">
              <w:rPr>
                <w:rFonts w:cs="Arial"/>
                <w:sz w:val="16"/>
                <w:szCs w:val="16"/>
              </w:rPr>
              <w:t>dlouhodobé ošetřovné</w:t>
            </w:r>
            <w:r w:rsidRPr="00D92E20">
              <w:rPr>
                <w:rFonts w:cs="Arial"/>
                <w:sz w:val="16"/>
                <w:szCs w:val="16"/>
                <w:vertAlign w:val="superscript"/>
              </w:rPr>
              <w:t>2)</w:t>
            </w:r>
          </w:p>
        </w:tc>
        <w:tc>
          <w:tcPr>
            <w:tcW w:w="673" w:type="dxa"/>
            <w:tcBorders>
              <w:top w:val="nil"/>
              <w:left w:val="nil"/>
              <w:bottom w:val="nil"/>
              <w:right w:val="nil"/>
            </w:tcBorders>
            <w:shd w:val="clear" w:color="auto" w:fill="auto"/>
            <w:noWrap/>
            <w:vAlign w:val="center"/>
            <w:hideMark/>
          </w:tcPr>
          <w:p w14:paraId="249AFF49" w14:textId="1AF46A3A"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 xml:space="preserve"> –     </w:t>
            </w:r>
          </w:p>
        </w:tc>
        <w:tc>
          <w:tcPr>
            <w:tcW w:w="673" w:type="dxa"/>
            <w:tcBorders>
              <w:top w:val="nil"/>
              <w:left w:val="nil"/>
              <w:bottom w:val="nil"/>
              <w:right w:val="nil"/>
            </w:tcBorders>
            <w:shd w:val="clear" w:color="auto" w:fill="auto"/>
            <w:noWrap/>
            <w:vAlign w:val="center"/>
            <w:hideMark/>
          </w:tcPr>
          <w:p w14:paraId="69406723" w14:textId="5277E88E"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 xml:space="preserve"> –     </w:t>
            </w:r>
          </w:p>
        </w:tc>
        <w:tc>
          <w:tcPr>
            <w:tcW w:w="673" w:type="dxa"/>
            <w:tcBorders>
              <w:top w:val="nil"/>
              <w:left w:val="nil"/>
              <w:bottom w:val="nil"/>
              <w:right w:val="nil"/>
            </w:tcBorders>
            <w:shd w:val="clear" w:color="auto" w:fill="auto"/>
            <w:noWrap/>
            <w:vAlign w:val="center"/>
            <w:hideMark/>
          </w:tcPr>
          <w:p w14:paraId="66C19ED3" w14:textId="6629A884"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 xml:space="preserve"> –     </w:t>
            </w:r>
          </w:p>
        </w:tc>
        <w:tc>
          <w:tcPr>
            <w:tcW w:w="673" w:type="dxa"/>
            <w:tcBorders>
              <w:top w:val="nil"/>
              <w:left w:val="nil"/>
              <w:bottom w:val="nil"/>
              <w:right w:val="nil"/>
            </w:tcBorders>
            <w:shd w:val="clear" w:color="auto" w:fill="auto"/>
            <w:noWrap/>
            <w:vAlign w:val="center"/>
            <w:hideMark/>
          </w:tcPr>
          <w:p w14:paraId="2CF7012F" w14:textId="22AD889D"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 xml:space="preserve"> –     </w:t>
            </w:r>
          </w:p>
        </w:tc>
        <w:tc>
          <w:tcPr>
            <w:tcW w:w="673" w:type="dxa"/>
            <w:tcBorders>
              <w:top w:val="nil"/>
              <w:left w:val="nil"/>
              <w:bottom w:val="nil"/>
              <w:right w:val="nil"/>
            </w:tcBorders>
            <w:shd w:val="clear" w:color="auto" w:fill="auto"/>
            <w:noWrap/>
            <w:vAlign w:val="center"/>
            <w:hideMark/>
          </w:tcPr>
          <w:p w14:paraId="1AF53D92" w14:textId="27622F34"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 xml:space="preserve"> –     </w:t>
            </w:r>
          </w:p>
        </w:tc>
        <w:tc>
          <w:tcPr>
            <w:tcW w:w="673" w:type="dxa"/>
            <w:tcBorders>
              <w:top w:val="nil"/>
              <w:left w:val="nil"/>
              <w:bottom w:val="nil"/>
              <w:right w:val="nil"/>
            </w:tcBorders>
            <w:shd w:val="clear" w:color="auto" w:fill="auto"/>
            <w:noWrap/>
            <w:vAlign w:val="center"/>
            <w:hideMark/>
          </w:tcPr>
          <w:p w14:paraId="4D47C72E" w14:textId="797FECFC"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 xml:space="preserve"> –     </w:t>
            </w:r>
          </w:p>
        </w:tc>
        <w:tc>
          <w:tcPr>
            <w:tcW w:w="673" w:type="dxa"/>
            <w:tcBorders>
              <w:top w:val="nil"/>
              <w:left w:val="nil"/>
              <w:bottom w:val="nil"/>
              <w:right w:val="nil"/>
            </w:tcBorders>
            <w:shd w:val="clear" w:color="auto" w:fill="auto"/>
            <w:noWrap/>
            <w:vAlign w:val="center"/>
            <w:hideMark/>
          </w:tcPr>
          <w:p w14:paraId="55B111F1" w14:textId="6FAEC0B4"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0,000</w:t>
            </w:r>
          </w:p>
        </w:tc>
        <w:tc>
          <w:tcPr>
            <w:tcW w:w="673" w:type="dxa"/>
            <w:tcBorders>
              <w:top w:val="nil"/>
              <w:left w:val="nil"/>
              <w:bottom w:val="nil"/>
              <w:right w:val="nil"/>
            </w:tcBorders>
            <w:shd w:val="clear" w:color="auto" w:fill="auto"/>
            <w:noWrap/>
            <w:vAlign w:val="center"/>
            <w:hideMark/>
          </w:tcPr>
          <w:p w14:paraId="050A296A" w14:textId="57B41AA8" w:rsidR="00277F3A" w:rsidRPr="00D92E20" w:rsidRDefault="00277F3A" w:rsidP="00277F3A">
            <w:pPr>
              <w:spacing w:after="0" w:line="240" w:lineRule="auto"/>
              <w:jc w:val="right"/>
              <w:rPr>
                <w:rFonts w:ascii="Calibri" w:hAnsi="Calibri" w:cs="Calibri"/>
                <w:color w:val="000000"/>
                <w:sz w:val="22"/>
                <w:szCs w:val="22"/>
              </w:rPr>
            </w:pPr>
            <w:r>
              <w:rPr>
                <w:rFonts w:cs="Arial"/>
                <w:sz w:val="16"/>
                <w:szCs w:val="16"/>
              </w:rPr>
              <w:t>0,051</w:t>
            </w:r>
          </w:p>
        </w:tc>
        <w:tc>
          <w:tcPr>
            <w:tcW w:w="673" w:type="dxa"/>
            <w:tcBorders>
              <w:top w:val="nil"/>
              <w:left w:val="nil"/>
              <w:bottom w:val="nil"/>
              <w:right w:val="nil"/>
            </w:tcBorders>
            <w:shd w:val="clear" w:color="auto" w:fill="auto"/>
            <w:noWrap/>
            <w:vAlign w:val="center"/>
            <w:hideMark/>
          </w:tcPr>
          <w:p w14:paraId="71E37955" w14:textId="58DB5965" w:rsidR="00277F3A" w:rsidRPr="00D92E20" w:rsidRDefault="00277F3A" w:rsidP="00277F3A">
            <w:pPr>
              <w:spacing w:after="0" w:line="240" w:lineRule="auto"/>
              <w:jc w:val="right"/>
              <w:rPr>
                <w:rFonts w:cs="Arial"/>
                <w:color w:val="000000"/>
                <w:sz w:val="16"/>
                <w:szCs w:val="16"/>
              </w:rPr>
            </w:pPr>
            <w:r>
              <w:rPr>
                <w:rFonts w:cs="Arial"/>
                <w:sz w:val="16"/>
                <w:szCs w:val="16"/>
              </w:rPr>
              <w:t>0,067</w:t>
            </w:r>
          </w:p>
        </w:tc>
        <w:tc>
          <w:tcPr>
            <w:tcW w:w="673" w:type="dxa"/>
            <w:tcBorders>
              <w:top w:val="nil"/>
              <w:left w:val="nil"/>
              <w:bottom w:val="nil"/>
              <w:right w:val="nil"/>
            </w:tcBorders>
            <w:shd w:val="clear" w:color="auto" w:fill="auto"/>
            <w:noWrap/>
            <w:vAlign w:val="center"/>
            <w:hideMark/>
          </w:tcPr>
          <w:p w14:paraId="3EB2AA10" w14:textId="397BEABD" w:rsidR="00277F3A" w:rsidRPr="00D92E20" w:rsidRDefault="00277F3A" w:rsidP="00277F3A">
            <w:pPr>
              <w:spacing w:after="0" w:line="240" w:lineRule="auto"/>
              <w:jc w:val="right"/>
              <w:rPr>
                <w:rFonts w:cs="Arial"/>
                <w:color w:val="000000"/>
                <w:sz w:val="16"/>
                <w:szCs w:val="16"/>
              </w:rPr>
            </w:pPr>
            <w:r>
              <w:rPr>
                <w:rFonts w:cs="Arial"/>
                <w:sz w:val="16"/>
                <w:szCs w:val="16"/>
              </w:rPr>
              <w:t>0,077</w:t>
            </w:r>
          </w:p>
        </w:tc>
        <w:tc>
          <w:tcPr>
            <w:tcW w:w="673" w:type="dxa"/>
            <w:tcBorders>
              <w:top w:val="nil"/>
              <w:left w:val="nil"/>
              <w:bottom w:val="nil"/>
              <w:right w:val="nil"/>
            </w:tcBorders>
            <w:shd w:val="clear" w:color="auto" w:fill="auto"/>
            <w:noWrap/>
            <w:vAlign w:val="center"/>
            <w:hideMark/>
          </w:tcPr>
          <w:p w14:paraId="67330F23" w14:textId="4B30A495" w:rsidR="00277F3A" w:rsidRPr="00D92E20" w:rsidRDefault="00277F3A" w:rsidP="00277F3A">
            <w:pPr>
              <w:spacing w:after="0" w:line="240" w:lineRule="auto"/>
              <w:jc w:val="right"/>
              <w:rPr>
                <w:rFonts w:cs="Arial"/>
                <w:color w:val="000000"/>
                <w:sz w:val="16"/>
                <w:szCs w:val="16"/>
              </w:rPr>
            </w:pPr>
            <w:r>
              <w:rPr>
                <w:rFonts w:cs="Arial"/>
                <w:sz w:val="16"/>
                <w:szCs w:val="16"/>
              </w:rPr>
              <w:t>0,105</w:t>
            </w:r>
          </w:p>
        </w:tc>
      </w:tr>
    </w:tbl>
    <w:p w14:paraId="0D349851" w14:textId="77777777" w:rsidR="009F0B87" w:rsidRPr="00D92E20" w:rsidRDefault="009F0B87" w:rsidP="009F0B87">
      <w:pPr>
        <w:spacing w:after="0"/>
        <w:jc w:val="both"/>
        <w:rPr>
          <w:rFonts w:cs="Arial"/>
          <w:color w:val="000000"/>
          <w:sz w:val="16"/>
          <w:szCs w:val="16"/>
          <w:vertAlign w:val="superscript"/>
        </w:rPr>
      </w:pPr>
    </w:p>
    <w:p w14:paraId="35C4205C" w14:textId="77777777" w:rsidR="00FB50FB" w:rsidRPr="00D92E20" w:rsidRDefault="009F0B87" w:rsidP="009F0B87">
      <w:pPr>
        <w:spacing w:after="0"/>
        <w:rPr>
          <w:rFonts w:cs="Arial"/>
          <w:szCs w:val="20"/>
        </w:rPr>
      </w:pPr>
      <w:r w:rsidRPr="00D92E20">
        <w:rPr>
          <w:rFonts w:cs="Arial"/>
          <w:color w:val="000000"/>
          <w:sz w:val="16"/>
          <w:szCs w:val="16"/>
          <w:vertAlign w:val="superscript"/>
        </w:rPr>
        <w:t xml:space="preserve">1) </w:t>
      </w:r>
      <w:r w:rsidRPr="00D92E20">
        <w:rPr>
          <w:rFonts w:cs="Arial"/>
          <w:color w:val="000000"/>
          <w:sz w:val="16"/>
          <w:szCs w:val="16"/>
        </w:rPr>
        <w:t xml:space="preserve">Zavedení dávky otcovské poporodní péče, tzv. „otcovská“ – účinnost od 1. února 2018. </w:t>
      </w:r>
      <w:r w:rsidRPr="00D92E20">
        <w:rPr>
          <w:rFonts w:cs="Arial"/>
          <w:color w:val="000000"/>
          <w:sz w:val="16"/>
          <w:szCs w:val="16"/>
        </w:rPr>
        <w:br/>
      </w:r>
      <w:r w:rsidRPr="00D92E20">
        <w:rPr>
          <w:rFonts w:cs="Arial"/>
          <w:color w:val="000000"/>
          <w:sz w:val="16"/>
          <w:szCs w:val="16"/>
          <w:vertAlign w:val="superscript"/>
        </w:rPr>
        <w:t>2)</w:t>
      </w:r>
      <w:r w:rsidRPr="00D92E20">
        <w:rPr>
          <w:rFonts w:cs="Arial"/>
          <w:color w:val="000000"/>
          <w:sz w:val="16"/>
          <w:szCs w:val="16"/>
        </w:rPr>
        <w:t xml:space="preserve"> Zavedení dávky dlouhodobé ošetřovné – účinnost od 1. června 2018.</w:t>
      </w:r>
    </w:p>
    <w:p w14:paraId="401A4775" w14:textId="77777777" w:rsidR="00415731" w:rsidRPr="00D92E20" w:rsidRDefault="009F0B87" w:rsidP="00000A90">
      <w:pPr>
        <w:spacing w:after="120"/>
        <w:jc w:val="both"/>
      </w:pPr>
      <w:r w:rsidRPr="00D92E20">
        <w:rPr>
          <w:rFonts w:cs="Arial"/>
          <w:sz w:val="16"/>
          <w:szCs w:val="16"/>
        </w:rPr>
        <w:t>– pomlčka značí, že se jev nevyskytoval</w:t>
      </w:r>
    </w:p>
    <w:p w14:paraId="4B342BC5" w14:textId="6DB6388A" w:rsidR="009F0B87" w:rsidRDefault="009F0B87" w:rsidP="00000A90">
      <w:pPr>
        <w:spacing w:before="120" w:after="120"/>
        <w:rPr>
          <w:sz w:val="16"/>
        </w:rPr>
      </w:pPr>
      <w:r w:rsidRPr="00D92E20">
        <w:rPr>
          <w:sz w:val="16"/>
        </w:rPr>
        <w:t>Zdroj: ČSSZ</w:t>
      </w:r>
    </w:p>
    <w:p w14:paraId="594D4FB4" w14:textId="07CBCA31" w:rsidR="00350B58" w:rsidRPr="008B012A" w:rsidRDefault="00350B58" w:rsidP="00350B58">
      <w:pPr>
        <w:spacing w:before="120" w:after="120"/>
        <w:jc w:val="both"/>
        <w:rPr>
          <w:rFonts w:cs="Arial"/>
          <w:szCs w:val="16"/>
        </w:rPr>
      </w:pPr>
      <w:r w:rsidRPr="008B012A">
        <w:rPr>
          <w:rFonts w:cs="Arial"/>
          <w:szCs w:val="16"/>
        </w:rPr>
        <w:t>Již od 1. pol. 2008 postupně klesal</w:t>
      </w:r>
      <w:r w:rsidR="0062225A" w:rsidRPr="008B012A">
        <w:rPr>
          <w:rFonts w:cs="Arial"/>
          <w:szCs w:val="16"/>
        </w:rPr>
        <w:t>y</w:t>
      </w:r>
      <w:r w:rsidRPr="008B012A">
        <w:rPr>
          <w:rFonts w:cs="Arial"/>
          <w:szCs w:val="16"/>
        </w:rPr>
        <w:t xml:space="preserve"> </w:t>
      </w:r>
      <w:r w:rsidR="00D91258" w:rsidRPr="008B012A">
        <w:rPr>
          <w:rFonts w:cs="Arial"/>
          <w:szCs w:val="16"/>
        </w:rPr>
        <w:t xml:space="preserve">výdaje </w:t>
      </w:r>
      <w:r w:rsidR="0062225A" w:rsidRPr="008B012A">
        <w:rPr>
          <w:rFonts w:cs="Arial"/>
          <w:szCs w:val="16"/>
        </w:rPr>
        <w:t xml:space="preserve">na </w:t>
      </w:r>
      <w:r w:rsidRPr="008B012A">
        <w:rPr>
          <w:rFonts w:cs="Arial"/>
          <w:szCs w:val="16"/>
        </w:rPr>
        <w:t>dávk</w:t>
      </w:r>
      <w:r w:rsidR="0062225A" w:rsidRPr="008B012A">
        <w:rPr>
          <w:rFonts w:cs="Arial"/>
          <w:szCs w:val="16"/>
        </w:rPr>
        <w:t>y</w:t>
      </w:r>
      <w:r w:rsidRPr="008B012A">
        <w:rPr>
          <w:rFonts w:cs="Arial"/>
          <w:szCs w:val="16"/>
        </w:rPr>
        <w:t xml:space="preserve"> nemocenského, a sice z 13,1 mld. Kč téměř na polovinu v 1. po</w:t>
      </w:r>
      <w:r w:rsidR="008B012A" w:rsidRPr="008B012A">
        <w:rPr>
          <w:rFonts w:cs="Arial"/>
          <w:szCs w:val="16"/>
        </w:rPr>
        <w:t>l. 2012 (pokles o 6,9 mld. Kč). Mezi 1. pol. 2019 a 1. pol. 2021 došlo</w:t>
      </w:r>
      <w:r w:rsidRPr="008B012A">
        <w:rPr>
          <w:rFonts w:cs="Arial"/>
          <w:szCs w:val="16"/>
        </w:rPr>
        <w:t xml:space="preserve"> k poměrně výraznému nárůstu výdajů za nemocenské. Oproti období před pandemií (1. pol. 2019) se výdaje v 1. pol. 2021 zvýšily o 4,6 mld. Kč, tj.</w:t>
      </w:r>
      <w:r w:rsidR="00CD63E8" w:rsidRPr="008B012A">
        <w:rPr>
          <w:rFonts w:cs="Arial"/>
          <w:szCs w:val="16"/>
        </w:rPr>
        <w:t> </w:t>
      </w:r>
      <w:r w:rsidRPr="008B012A">
        <w:rPr>
          <w:rFonts w:cs="Arial"/>
          <w:szCs w:val="16"/>
        </w:rPr>
        <w:t>o</w:t>
      </w:r>
      <w:r w:rsidR="00CD63E8" w:rsidRPr="008B012A">
        <w:rPr>
          <w:rFonts w:cs="Arial"/>
          <w:szCs w:val="16"/>
        </w:rPr>
        <w:t> </w:t>
      </w:r>
      <w:r w:rsidRPr="008B012A">
        <w:rPr>
          <w:rFonts w:cs="Arial"/>
          <w:szCs w:val="16"/>
        </w:rPr>
        <w:t>třetinu.</w:t>
      </w:r>
      <w:r w:rsidR="008B012A" w:rsidRPr="008B012A">
        <w:rPr>
          <w:rFonts w:cs="Arial"/>
          <w:szCs w:val="16"/>
        </w:rPr>
        <w:t xml:space="preserve"> </w:t>
      </w:r>
      <w:r w:rsidR="00E34258">
        <w:rPr>
          <w:rFonts w:cs="Arial"/>
          <w:szCs w:val="16"/>
        </w:rPr>
        <w:t>Následně m</w:t>
      </w:r>
      <w:r w:rsidR="008B012A" w:rsidRPr="008B012A">
        <w:rPr>
          <w:rFonts w:cs="Arial"/>
          <w:szCs w:val="16"/>
        </w:rPr>
        <w:t>eziročně poklesly o již zmíněných 735 mil. Kč.</w:t>
      </w:r>
    </w:p>
    <w:p w14:paraId="05F79811" w14:textId="00299C93" w:rsidR="00350B58" w:rsidRPr="00D92E20" w:rsidRDefault="00350B58" w:rsidP="00350B58">
      <w:pPr>
        <w:spacing w:before="120" w:after="120"/>
        <w:jc w:val="both"/>
      </w:pPr>
      <w:r w:rsidRPr="008B012A">
        <w:t xml:space="preserve">Podrobnější informace k výdajům na nemocenské a dalším dávkám, které jsou poskytovány ze systému nemocenského pojištění, naleznete na internetových stránkách MPSV v  </w:t>
      </w:r>
      <w:hyperlink r:id="rId36" w:history="1">
        <w:r w:rsidR="00D91258" w:rsidRPr="008B012A">
          <w:rPr>
            <w:rStyle w:val="Hypertextovodkaz"/>
          </w:rPr>
          <w:t>Analýze</w:t>
        </w:r>
        <w:r w:rsidR="00D91258" w:rsidRPr="008B012A">
          <w:rPr>
            <w:rStyle w:val="Hypertextovodkaz"/>
          </w:rPr>
          <w:t xml:space="preserve"> </w:t>
        </w:r>
        <w:r w:rsidR="00D91258" w:rsidRPr="008B012A">
          <w:rPr>
            <w:rStyle w:val="Hypertextovodkaz"/>
          </w:rPr>
          <w:t>vývoje nemocenského pojištění</w:t>
        </w:r>
      </w:hyperlink>
      <w:r w:rsidR="009E707F" w:rsidRPr="008B012A">
        <w:t>.</w:t>
      </w:r>
    </w:p>
    <w:p w14:paraId="02A3F8A1" w14:textId="77777777" w:rsidR="00350B58" w:rsidRPr="00D92E20" w:rsidRDefault="00350B58" w:rsidP="00000A90">
      <w:pPr>
        <w:spacing w:before="120" w:after="120"/>
        <w:rPr>
          <w:sz w:val="16"/>
        </w:rPr>
      </w:pPr>
    </w:p>
    <w:p w14:paraId="436EE68D" w14:textId="77777777" w:rsidR="00350B58" w:rsidRDefault="00350B58">
      <w:pPr>
        <w:spacing w:after="0" w:line="240" w:lineRule="auto"/>
        <w:rPr>
          <w:b/>
        </w:rPr>
      </w:pPr>
      <w:r>
        <w:rPr>
          <w:b/>
        </w:rPr>
        <w:br w:type="page"/>
      </w:r>
    </w:p>
    <w:p w14:paraId="68276F43" w14:textId="20C746BF" w:rsidR="0094191B" w:rsidRPr="00D92E20" w:rsidRDefault="003B04F2" w:rsidP="00004237">
      <w:pPr>
        <w:spacing w:after="0"/>
        <w:jc w:val="both"/>
      </w:pPr>
      <w:r w:rsidRPr="00D92E20">
        <w:rPr>
          <w:b/>
        </w:rPr>
        <w:lastRenderedPageBreak/>
        <w:t xml:space="preserve">Graf 4.1: </w:t>
      </w:r>
      <w:r w:rsidR="00D91258">
        <w:rPr>
          <w:b/>
        </w:rPr>
        <w:t>V</w:t>
      </w:r>
      <w:r w:rsidRPr="00D92E20">
        <w:rPr>
          <w:b/>
        </w:rPr>
        <w:t xml:space="preserve">ýdaje na nemocenské </w:t>
      </w:r>
      <w:r w:rsidR="00D91258">
        <w:rPr>
          <w:b/>
        </w:rPr>
        <w:t xml:space="preserve">v mld. Kč </w:t>
      </w:r>
      <w:r w:rsidRPr="00D92E20">
        <w:rPr>
          <w:b/>
        </w:rPr>
        <w:t xml:space="preserve">a </w:t>
      </w:r>
      <w:r w:rsidR="008B7D64" w:rsidRPr="00D92E20">
        <w:rPr>
          <w:b/>
        </w:rPr>
        <w:t>v přepočtu na 1 pojištěnce</w:t>
      </w:r>
      <w:r w:rsidRPr="00D92E20">
        <w:rPr>
          <w:b/>
        </w:rPr>
        <w:t xml:space="preserve">, </w:t>
      </w:r>
      <w:r w:rsidR="009F34CD" w:rsidRPr="0050059C">
        <w:rPr>
          <w:b/>
          <w:spacing w:val="-2"/>
        </w:rPr>
        <w:t>1. pol. 201</w:t>
      </w:r>
      <w:r w:rsidR="009F34CD">
        <w:rPr>
          <w:b/>
          <w:spacing w:val="-2"/>
        </w:rPr>
        <w:t>2</w:t>
      </w:r>
      <w:r w:rsidR="009F34CD" w:rsidRPr="0050059C">
        <w:rPr>
          <w:b/>
          <w:spacing w:val="-2"/>
        </w:rPr>
        <w:t xml:space="preserve"> až 1. pol. 202</w:t>
      </w:r>
      <w:r w:rsidR="009F34CD">
        <w:rPr>
          <w:b/>
          <w:spacing w:val="-2"/>
        </w:rPr>
        <w:t>2</w:t>
      </w:r>
    </w:p>
    <w:p w14:paraId="799257C7" w14:textId="7BA2ED3D" w:rsidR="009E707F" w:rsidRDefault="00277F3A" w:rsidP="00000A90">
      <w:pPr>
        <w:spacing w:after="120"/>
        <w:jc w:val="both"/>
        <w:rPr>
          <w:sz w:val="16"/>
        </w:rPr>
      </w:pPr>
      <w:r>
        <w:rPr>
          <w:noProof/>
        </w:rPr>
        <w:drawing>
          <wp:inline distT="0" distB="0" distL="0" distR="0" wp14:anchorId="347438B8" wp14:editId="1EE2203F">
            <wp:extent cx="6048375" cy="2990850"/>
            <wp:effectExtent l="0" t="0" r="9525" b="0"/>
            <wp:docPr id="31" name="Graf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4BE44A0F" w14:textId="0BA2A4A0" w:rsidR="003B04F2" w:rsidRPr="00D92E20" w:rsidRDefault="00004237" w:rsidP="00000A90">
      <w:pPr>
        <w:spacing w:after="120"/>
        <w:jc w:val="both"/>
        <w:rPr>
          <w:sz w:val="16"/>
        </w:rPr>
      </w:pPr>
      <w:r w:rsidRPr="00D92E20">
        <w:rPr>
          <w:sz w:val="16"/>
        </w:rPr>
        <w:t xml:space="preserve"> </w:t>
      </w:r>
      <w:r w:rsidR="003B04F2" w:rsidRPr="00D92E20">
        <w:rPr>
          <w:sz w:val="16"/>
        </w:rPr>
        <w:t>Zdroj: ČSSZ, ČSÚ</w:t>
      </w:r>
    </w:p>
    <w:p w14:paraId="07631271" w14:textId="2458DC6A" w:rsidR="00D93ABC" w:rsidRPr="00E34258" w:rsidRDefault="00D93ABC" w:rsidP="00000A90">
      <w:pPr>
        <w:pStyle w:val="Nadpis3"/>
        <w:numPr>
          <w:ilvl w:val="2"/>
          <w:numId w:val="5"/>
        </w:numPr>
        <w:spacing w:after="120"/>
        <w:ind w:left="709"/>
      </w:pPr>
      <w:bookmarkStart w:id="42" w:name="_Toc117774433"/>
      <w:r w:rsidRPr="00E34258">
        <w:t xml:space="preserve">Vliv pandemie </w:t>
      </w:r>
      <w:r w:rsidR="00060225" w:rsidRPr="00E34258">
        <w:t>c</w:t>
      </w:r>
      <w:r w:rsidRPr="00E34258">
        <w:t>ovid-19 na dávky nemocenského pojištění</w:t>
      </w:r>
      <w:bookmarkEnd w:id="42"/>
    </w:p>
    <w:p w14:paraId="095AEFAF" w14:textId="41256CEC" w:rsidR="00E061D9" w:rsidRPr="004D3AD6" w:rsidRDefault="00E061D9" w:rsidP="00E061D9">
      <w:pPr>
        <w:pStyle w:val="Default"/>
        <w:spacing w:before="120" w:after="120" w:line="288" w:lineRule="auto"/>
        <w:jc w:val="both"/>
        <w:rPr>
          <w:rFonts w:eastAsia="Times New Roman" w:cs="Times New Roman"/>
          <w:color w:val="auto"/>
          <w:sz w:val="20"/>
          <w:lang w:eastAsia="cs-CZ"/>
        </w:rPr>
      </w:pPr>
      <w:r w:rsidRPr="004D3AD6">
        <w:rPr>
          <w:rFonts w:eastAsia="Times New Roman" w:cs="Times New Roman"/>
          <w:color w:val="auto"/>
          <w:sz w:val="20"/>
          <w:lang w:eastAsia="cs-CZ"/>
        </w:rPr>
        <w:t>Zatímco do března roku 2020 bylo vyplácení dávky nemocenského pro případ karantény</w:t>
      </w:r>
      <w:r w:rsidRPr="004D3AD6">
        <w:rPr>
          <w:rStyle w:val="Znakapoznpodarou"/>
          <w:rFonts w:eastAsia="Times New Roman" w:cs="Times New Roman"/>
          <w:color w:val="auto"/>
          <w:sz w:val="20"/>
          <w:lang w:eastAsia="cs-CZ"/>
        </w:rPr>
        <w:footnoteReference w:id="10"/>
      </w:r>
      <w:r w:rsidRPr="004D3AD6">
        <w:rPr>
          <w:rFonts w:eastAsia="Times New Roman" w:cs="Times New Roman"/>
          <w:color w:val="auto"/>
          <w:sz w:val="20"/>
          <w:lang w:eastAsia="cs-CZ"/>
        </w:rPr>
        <w:t xml:space="preserve"> spíše teoretickým nárokem, kvůli vyhlášení nouzového stavu 12. 3. 2020 se stalo běžnou praxí. Od té doby do konce roku 2020 bylo vydáno celkem 480 tis. neschopenek pro karanténu či izolaci</w:t>
      </w:r>
      <w:r w:rsidRPr="004D3AD6">
        <w:rPr>
          <w:rStyle w:val="Znakapoznpodarou"/>
          <w:rFonts w:eastAsia="Times New Roman" w:cs="Times New Roman"/>
          <w:color w:val="auto"/>
          <w:sz w:val="20"/>
          <w:lang w:eastAsia="cs-CZ"/>
        </w:rPr>
        <w:footnoteReference w:id="11"/>
      </w:r>
      <w:r w:rsidRPr="004D3AD6">
        <w:rPr>
          <w:rFonts w:eastAsia="Times New Roman" w:cs="Times New Roman"/>
          <w:color w:val="auto"/>
          <w:sz w:val="20"/>
          <w:lang w:eastAsia="cs-CZ"/>
        </w:rPr>
        <w:t xml:space="preserve">, za rok 2021 vydala ČSSZ ze stejného důvodu 860 tis. neschopností. Za 1. pol. 2022 bylo vystaveno 847 tis. takových neschopenek, ovšem je potřeba upozornit, že v lednu a únoru při testování zaměstnanců byly některým pracujícím vydány neschopenky duplicitně. V zájmu operativního jednání při vyřizování karantén a izolací vydávali neschopenky jak praktičtí lékaři, tak krajské hygienické stanice. Údaje za první 2 měsíce roku 2022 v grafu 4.2 </w:t>
      </w:r>
      <w:r>
        <w:rPr>
          <w:rFonts w:eastAsia="Times New Roman" w:cs="Times New Roman"/>
          <w:color w:val="auto"/>
          <w:sz w:val="20"/>
          <w:lang w:eastAsia="cs-CZ"/>
        </w:rPr>
        <w:t>jsou tedy do jisté míry zkreslené a nadsazené</w:t>
      </w:r>
      <w:r w:rsidRPr="004D3AD6">
        <w:rPr>
          <w:rFonts w:eastAsia="Times New Roman" w:cs="Times New Roman"/>
          <w:color w:val="auto"/>
          <w:sz w:val="20"/>
          <w:lang w:eastAsia="cs-CZ"/>
        </w:rPr>
        <w:t>. V březnu roku 2022 bylo vydáno více než 100 tis. neschopností pro karanténu či izolaci a lze říci, že 3 z 10 neschopenek</w:t>
      </w:r>
      <w:r w:rsidRPr="004D3AD6">
        <w:rPr>
          <w:rFonts w:eastAsia="Times New Roman" w:cs="Times New Roman"/>
          <w:color w:val="auto"/>
          <w:sz w:val="20"/>
          <w:lang w:eastAsia="cs-CZ"/>
        </w:rPr>
        <w:t xml:space="preserve"> </w:t>
      </w:r>
      <w:r w:rsidRPr="004D3AD6">
        <w:rPr>
          <w:rFonts w:eastAsia="Times New Roman" w:cs="Times New Roman"/>
          <w:color w:val="auto"/>
          <w:sz w:val="20"/>
          <w:lang w:eastAsia="cs-CZ"/>
        </w:rPr>
        <w:t>byly vydané právě za tímto účelem. V březnu 2021 kompenzovala ztrátu příjmu kvůli karanténě či izolaci každá druhá neschopenka.</w:t>
      </w:r>
    </w:p>
    <w:p w14:paraId="00A9B989" w14:textId="03CEDBCC" w:rsidR="004C0781" w:rsidRDefault="00E061D9" w:rsidP="00E061D9">
      <w:pPr>
        <w:pStyle w:val="Default"/>
        <w:spacing w:before="120" w:after="120" w:line="288" w:lineRule="auto"/>
        <w:jc w:val="both"/>
        <w:rPr>
          <w:rFonts w:eastAsia="Times New Roman" w:cs="Times New Roman"/>
          <w:color w:val="auto"/>
          <w:sz w:val="20"/>
          <w:lang w:eastAsia="cs-CZ"/>
        </w:rPr>
      </w:pPr>
      <w:r w:rsidRPr="00DA2E8B">
        <w:rPr>
          <w:rFonts w:eastAsia="Times New Roman" w:cs="Times New Roman"/>
          <w:color w:val="auto"/>
          <w:sz w:val="20"/>
          <w:lang w:eastAsia="cs-CZ"/>
        </w:rPr>
        <w:t>Nutno doplnit, že tato čísla odráží pouze případy pojištěnců, kteří mají na dávku nemocenského nárok a také o ni zažádali. Nerovná se počtu nařízených karantén od krajských hygienických stanic (karanténa může být nařízena i dětem, studentům či nepracujícím seniorům). Vzhledem k širším možnostem práce z domova mohly osoby v nařízené karanténě (pokud to povaha jejich práce dovolovala) i nadále pracovat za plnou mzdu, aniž by porušovaly pravidla karantény.</w:t>
      </w:r>
      <w:r>
        <w:rPr>
          <w:rFonts w:eastAsia="Times New Roman" w:cs="Times New Roman"/>
          <w:color w:val="auto"/>
          <w:sz w:val="20"/>
          <w:lang w:eastAsia="cs-CZ"/>
        </w:rPr>
        <w:t xml:space="preserve"> Na vliv počtu případů měly vliv i podmínky pro testování, délka karantén či obecně vládní opatření proti šíření koronaviru.</w:t>
      </w:r>
    </w:p>
    <w:p w14:paraId="31D2C4C7" w14:textId="77777777" w:rsidR="004C0781" w:rsidRDefault="004C0781">
      <w:pPr>
        <w:spacing w:after="0" w:line="240" w:lineRule="auto"/>
      </w:pPr>
      <w:r>
        <w:br w:type="page"/>
      </w:r>
    </w:p>
    <w:p w14:paraId="0A3F6FA6" w14:textId="64AD1EC8" w:rsidR="00E061D9" w:rsidRPr="00E061D9" w:rsidRDefault="00E061D9" w:rsidP="00E061D9">
      <w:pPr>
        <w:spacing w:after="0"/>
        <w:jc w:val="both"/>
        <w:rPr>
          <w:b/>
        </w:rPr>
      </w:pPr>
      <w:r w:rsidRPr="00E061D9">
        <w:rPr>
          <w:b/>
        </w:rPr>
        <w:lastRenderedPageBreak/>
        <w:t>Graf 4.2: Počet případů pracovní neschopnosti z důvodu karantény či izolace a jejich podíl na celkovém počtu vydaných neschopenek, 1. pol. 2022</w:t>
      </w:r>
      <w:r w:rsidR="001D4AB5" w:rsidRPr="004D3AD6">
        <w:rPr>
          <w:rStyle w:val="Znakapoznpodarou"/>
        </w:rPr>
        <w:footnoteReference w:id="12"/>
      </w:r>
    </w:p>
    <w:p w14:paraId="699F8333" w14:textId="138D0992" w:rsidR="00E061D9" w:rsidRDefault="009030AD" w:rsidP="00000A90">
      <w:pPr>
        <w:pStyle w:val="Default"/>
        <w:spacing w:before="120" w:after="120" w:line="288" w:lineRule="auto"/>
        <w:jc w:val="both"/>
        <w:rPr>
          <w:rFonts w:eastAsia="Times New Roman" w:cs="Times New Roman"/>
          <w:color w:val="auto"/>
          <w:sz w:val="20"/>
          <w:highlight w:val="yellow"/>
          <w:lang w:eastAsia="cs-CZ"/>
        </w:rPr>
      </w:pPr>
      <w:r>
        <w:rPr>
          <w:noProof/>
          <w:lang w:eastAsia="cs-CZ"/>
        </w:rPr>
        <mc:AlternateContent>
          <mc:Choice Requires="wps">
            <w:drawing>
              <wp:anchor distT="0" distB="0" distL="114300" distR="114300" simplePos="0" relativeHeight="251671040" behindDoc="0" locked="0" layoutInCell="1" allowOverlap="1" wp14:anchorId="24B4EF3F" wp14:editId="3841556D">
                <wp:simplePos x="0" y="0"/>
                <wp:positionH relativeFrom="column">
                  <wp:posOffset>2232661</wp:posOffset>
                </wp:positionH>
                <wp:positionV relativeFrom="paragraph">
                  <wp:posOffset>72390</wp:posOffset>
                </wp:positionV>
                <wp:extent cx="0" cy="2247900"/>
                <wp:effectExtent l="57150" t="19050" r="76200" b="57150"/>
                <wp:wrapNone/>
                <wp:docPr id="16" name="Přímá spojnice 16"/>
                <wp:cNvGraphicFramePr/>
                <a:graphic xmlns:a="http://schemas.openxmlformats.org/drawingml/2006/main">
                  <a:graphicData uri="http://schemas.microsoft.com/office/word/2010/wordprocessingShape">
                    <wps:wsp>
                      <wps:cNvCnPr/>
                      <wps:spPr>
                        <a:xfrm>
                          <a:off x="0" y="0"/>
                          <a:ext cx="0" cy="224790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B75420A" id="Přímá spojnice 16" o:spid="_x0000_s1026" style="position:absolute;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5.8pt,5.7pt" to="175.8pt,18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" strokecolor="#c00000" strokeweight=".5pt">
                <v:stroke dashstyle="dash"/>
                <v:shadow on="t" color="black" opacity="24903f" origin=",.5" offset="0,.55556mm"/>
              </v:line>
            </w:pict>
          </mc:Fallback>
        </mc:AlternateContent>
      </w:r>
      <w:r w:rsidR="00E061D9">
        <w:rPr>
          <w:noProof/>
          <w:lang w:eastAsia="cs-CZ"/>
        </w:rPr>
        <w:drawing>
          <wp:inline distT="0" distB="0" distL="0" distR="0" wp14:anchorId="455A0EB7" wp14:editId="00765458">
            <wp:extent cx="6115050" cy="2800350"/>
            <wp:effectExtent l="0" t="0" r="0" b="0"/>
            <wp:docPr id="54" name="Graf 54"/>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22459795" w14:textId="77777777" w:rsidR="00E061D9" w:rsidRPr="00C04835" w:rsidRDefault="00E061D9" w:rsidP="00E061D9">
      <w:pPr>
        <w:jc w:val="both"/>
        <w:rPr>
          <w:sz w:val="16"/>
        </w:rPr>
      </w:pPr>
      <w:r w:rsidRPr="00C04835">
        <w:rPr>
          <w:sz w:val="16"/>
        </w:rPr>
        <w:t xml:space="preserve">Pozn.: </w:t>
      </w:r>
      <w:r>
        <w:rPr>
          <w:sz w:val="16"/>
        </w:rPr>
        <w:t xml:space="preserve">Ve statistikách za leden (od 17. 1.) a únor se mohou nacházet duplicity, protože neschopenky mohli za účelem zajištění operativního jednání ohledně karantén a izolací vydávat souběžně jak krajské hygienické stanice, tak </w:t>
      </w:r>
      <w:r>
        <w:rPr>
          <w:sz w:val="16"/>
        </w:rPr>
        <w:t>praktičtí lékaři. Z dostupných zdrojových databází není možné duplicitní případy identifikovat.</w:t>
      </w:r>
      <w:bookmarkStart w:id="43" w:name="_GoBack"/>
      <w:bookmarkEnd w:id="43"/>
    </w:p>
    <w:p w14:paraId="62D4EE71" w14:textId="5F2B7708" w:rsidR="00E061D9" w:rsidRDefault="00E061D9" w:rsidP="00E061D9">
      <w:pPr>
        <w:spacing w:after="120"/>
        <w:jc w:val="both"/>
        <w:rPr>
          <w:sz w:val="16"/>
        </w:rPr>
      </w:pPr>
      <w:r w:rsidRPr="00D92E20">
        <w:rPr>
          <w:sz w:val="16"/>
        </w:rPr>
        <w:t>Zdroj: ČSSZ</w:t>
      </w:r>
    </w:p>
    <w:p w14:paraId="57A56DBE" w14:textId="77777777" w:rsidR="00E061D9" w:rsidRPr="00BC19BE" w:rsidRDefault="00E061D9" w:rsidP="00E061D9">
      <w:pPr>
        <w:pStyle w:val="Textkomente"/>
        <w:rPr>
          <w:spacing w:val="-4"/>
        </w:rPr>
      </w:pPr>
      <w:r w:rsidRPr="00BC19BE">
        <w:rPr>
          <w:b/>
          <w:bCs/>
          <w:spacing w:val="-4"/>
        </w:rPr>
        <w:t xml:space="preserve">Graf 4.3: </w:t>
      </w:r>
      <w:r w:rsidRPr="00BC19BE">
        <w:rPr>
          <w:b/>
          <w:spacing w:val="-4"/>
        </w:rPr>
        <w:t>Celkové denní součty hlášených případů karantény podle jednotlivých dnů, 1. pol. 2020 až 2022</w:t>
      </w:r>
    </w:p>
    <w:p w14:paraId="00700468" w14:textId="77777777" w:rsidR="00E061D9" w:rsidRPr="00D92E20" w:rsidRDefault="00E061D9" w:rsidP="00E061D9">
      <w:pPr>
        <w:spacing w:after="0"/>
        <w:jc w:val="both"/>
        <w:rPr>
          <w:b/>
        </w:rPr>
      </w:pPr>
      <w:r>
        <w:rPr>
          <w:noProof/>
        </w:rPr>
        <w:drawing>
          <wp:inline distT="0" distB="0" distL="0" distR="0" wp14:anchorId="3B0C59BC" wp14:editId="698FF4C6">
            <wp:extent cx="6120130" cy="3352800"/>
            <wp:effectExtent l="0" t="0" r="13970" b="0"/>
            <wp:docPr id="55" name="Graf 55"/>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6465B4A3" w14:textId="77777777" w:rsidR="00E061D9" w:rsidRPr="00D92E20" w:rsidRDefault="00E061D9" w:rsidP="00E061D9">
      <w:pPr>
        <w:spacing w:after="120"/>
        <w:jc w:val="both"/>
        <w:rPr>
          <w:sz w:val="16"/>
        </w:rPr>
      </w:pPr>
      <w:r w:rsidRPr="00D92E20">
        <w:rPr>
          <w:sz w:val="16"/>
        </w:rPr>
        <w:t>Zdroj: ČSSZ</w:t>
      </w:r>
    </w:p>
    <w:p w14:paraId="476488B1" w14:textId="584C7752" w:rsidR="003C6B69" w:rsidRPr="00D92E20" w:rsidRDefault="00E061D9" w:rsidP="00E061D9">
      <w:pPr>
        <w:pStyle w:val="Default"/>
        <w:spacing w:before="120" w:after="120" w:line="288" w:lineRule="auto"/>
        <w:jc w:val="both"/>
        <w:rPr>
          <w:b/>
        </w:rPr>
      </w:pPr>
      <w:r w:rsidRPr="00EA05C7">
        <w:rPr>
          <w:rFonts w:eastAsia="Times New Roman" w:cs="Times New Roman"/>
          <w:color w:val="auto"/>
          <w:sz w:val="20"/>
          <w:lang w:eastAsia="cs-CZ"/>
        </w:rPr>
        <w:lastRenderedPageBreak/>
        <w:t>Pandemie se na výdajové stránce nemocenského pojištění podepsala nejen v dávce nemocenské, ale rovněž ošetřovné. Zatímco do 1. pol. 2019 činil podíl výdajů za ošetřovné maximálně 6 % celkových výdajů na dávky nemocenského pojištění, v 1. pol. 2020 to byla více než čtvrtina. Navýšení nákladů bylo způsobeno jednak vyšším počtem případů, jednak zvýšením částky pro výpočet ošetřovného při epidemii uzákoněné na podzim roku 2020 (tzv. krizové ošetřovné</w:t>
      </w:r>
      <w:r w:rsidRPr="00EA05C7">
        <w:rPr>
          <w:rStyle w:val="Znakapoznpodarou"/>
          <w:rFonts w:eastAsia="Times New Roman" w:cs="Times New Roman"/>
          <w:color w:val="auto"/>
          <w:sz w:val="20"/>
          <w:lang w:eastAsia="cs-CZ"/>
        </w:rPr>
        <w:footnoteReference w:id="13"/>
      </w:r>
      <w:r w:rsidRPr="00EA05C7">
        <w:rPr>
          <w:rFonts w:eastAsia="Times New Roman" w:cs="Times New Roman"/>
          <w:color w:val="auto"/>
          <w:sz w:val="20"/>
          <w:lang w:eastAsia="cs-CZ"/>
        </w:rPr>
        <w:t>). Z dosud počítaných 60 % byl zvýšen na 70 %</w:t>
      </w:r>
      <w:r w:rsidRPr="00EA05C7">
        <w:rPr>
          <w:rStyle w:val="Znakapoznpodarou"/>
          <w:rFonts w:eastAsia="Times New Roman" w:cs="Times New Roman"/>
          <w:color w:val="auto"/>
          <w:sz w:val="20"/>
          <w:lang w:eastAsia="cs-CZ"/>
        </w:rPr>
        <w:footnoteReference w:id="14"/>
      </w:r>
      <w:r w:rsidRPr="00EA05C7">
        <w:rPr>
          <w:rFonts w:eastAsia="Times New Roman" w:cs="Times New Roman"/>
          <w:color w:val="auto"/>
          <w:sz w:val="20"/>
          <w:lang w:eastAsia="cs-CZ"/>
        </w:rPr>
        <w:t xml:space="preserve"> redukovaného denního vyměřovacího základu. Zatímco dříve bylo možné čerpat ošetřovné maximálně 9 dnů, při uzavření školních a dětských zařízení trvala podpůrčí doba po celou dobu mimořádných vládních opatření. Náklady na ošetřovné za 1. pol. 2020 představovaly 7 680 mil. Kč, o 6 mld. více než v celém předchozím roce. Výdaje na ošetřovné v 1. pol. 2021 byly nižší. Činily 4 474 mil. Kč a tvořily jednu šestinu výdajů na dávky systému nemocenského pojištění. Pokles výdajů na ošetřovné pokračoval i v 1. pol. 2022, kdy bylo za tímto účelem vynaloženo 1</w:t>
      </w:r>
      <w:r w:rsidR="003E64F4">
        <w:rPr>
          <w:rFonts w:eastAsia="Times New Roman" w:cs="Times New Roman"/>
          <w:color w:val="auto"/>
          <w:sz w:val="20"/>
          <w:lang w:eastAsia="cs-CZ"/>
        </w:rPr>
        <w:t> </w:t>
      </w:r>
      <w:r w:rsidRPr="00EA05C7">
        <w:rPr>
          <w:rFonts w:eastAsia="Times New Roman" w:cs="Times New Roman"/>
          <w:color w:val="auto"/>
          <w:sz w:val="20"/>
          <w:lang w:eastAsia="cs-CZ"/>
        </w:rPr>
        <w:t>813</w:t>
      </w:r>
      <w:r w:rsidR="003E64F4">
        <w:rPr>
          <w:rFonts w:eastAsia="Times New Roman" w:cs="Times New Roman"/>
          <w:color w:val="auto"/>
          <w:sz w:val="20"/>
          <w:lang w:eastAsia="cs-CZ"/>
        </w:rPr>
        <w:t> </w:t>
      </w:r>
      <w:r w:rsidRPr="00EA05C7">
        <w:rPr>
          <w:rFonts w:eastAsia="Times New Roman" w:cs="Times New Roman"/>
          <w:color w:val="auto"/>
          <w:sz w:val="20"/>
          <w:lang w:eastAsia="cs-CZ"/>
        </w:rPr>
        <w:t>mil. Kč, tedy 7 % z veškerých výdajů na dávky nemocenského pojištění.</w:t>
      </w:r>
    </w:p>
    <w:p w14:paraId="7321701A" w14:textId="77777777" w:rsidR="004907AB" w:rsidRPr="00D92E20" w:rsidRDefault="004907AB" w:rsidP="00000A90">
      <w:pPr>
        <w:pStyle w:val="Nadpis3"/>
        <w:numPr>
          <w:ilvl w:val="1"/>
          <w:numId w:val="5"/>
        </w:numPr>
        <w:spacing w:after="120"/>
        <w:ind w:left="426" w:hanging="403"/>
      </w:pPr>
      <w:bookmarkStart w:id="44" w:name="_Toc54262806"/>
      <w:bookmarkStart w:id="45" w:name="_Toc117774434"/>
      <w:r w:rsidRPr="00D92E20">
        <w:t>Pracovní úrazy</w:t>
      </w:r>
      <w:bookmarkEnd w:id="44"/>
      <w:bookmarkEnd w:id="45"/>
    </w:p>
    <w:p w14:paraId="64D6896F" w14:textId="77777777" w:rsidR="004907AB" w:rsidRPr="004E34C7" w:rsidRDefault="004907AB" w:rsidP="00000A90">
      <w:pPr>
        <w:spacing w:after="120"/>
        <w:jc w:val="both"/>
      </w:pPr>
      <w:r w:rsidRPr="004E34C7">
        <w:t>V oblasti pracovní úrazovosti ukládá česká i evropská legislativa zaměstnavatelům řadu povinností související</w:t>
      </w:r>
      <w:r w:rsidR="00EA0F31" w:rsidRPr="004E34C7">
        <w:t>ch</w:t>
      </w:r>
      <w:r w:rsidRPr="004E34C7">
        <w:t xml:space="preserve"> s evidencí, hlášením a objasněním příčin a okolností vzniku každého pracovního úrazu. </w:t>
      </w:r>
    </w:p>
    <w:p w14:paraId="1563480F" w14:textId="77777777" w:rsidR="00F20CF3" w:rsidRPr="004E34C7" w:rsidRDefault="00F20CF3" w:rsidP="00000A90">
      <w:pPr>
        <w:pStyle w:val="Box1"/>
        <w:spacing w:before="120" w:after="120"/>
        <w:ind w:left="0"/>
        <w:contextualSpacing w:val="0"/>
        <w:jc w:val="both"/>
        <w:rPr>
          <w:i/>
        </w:rPr>
      </w:pPr>
      <w:r w:rsidRPr="004E34C7">
        <w:rPr>
          <w:b/>
          <w:i/>
        </w:rPr>
        <w:t xml:space="preserve">Pracovní úraz </w:t>
      </w:r>
      <w:r w:rsidRPr="004E34C7">
        <w:rPr>
          <w:i/>
        </w:rPr>
        <w:t>– pracovním úrazem se rozumí poškození zdraví nebo smrt zaměstnance, došlo-li k nim nezávisle na jeho vůli krátkodobým, náhlým a násilným působením zevních vlivů při plnění pracovních úkolů nebo v přímé souvislosti s ním (viz § 271k odst. 1 až 3 zákona č. 262/2006 Sb., zákoník práce, ve znění pozdějších předpisů).</w:t>
      </w:r>
    </w:p>
    <w:p w14:paraId="1CD02E09" w14:textId="77777777" w:rsidR="00F20CF3" w:rsidRPr="004E34C7" w:rsidRDefault="00F20CF3" w:rsidP="00000A90">
      <w:pPr>
        <w:pStyle w:val="Box1"/>
        <w:spacing w:before="120" w:after="120"/>
        <w:ind w:left="0"/>
        <w:contextualSpacing w:val="0"/>
        <w:jc w:val="both"/>
        <w:rPr>
          <w:b/>
          <w:i/>
        </w:rPr>
      </w:pPr>
      <w:r w:rsidRPr="004E34C7">
        <w:rPr>
          <w:b/>
          <w:i/>
        </w:rPr>
        <w:t>Smrtelný pracovní úraz</w:t>
      </w:r>
      <w:r w:rsidRPr="004E34C7">
        <w:rPr>
          <w:i/>
        </w:rPr>
        <w:t xml:space="preserve"> – je takové poškození zdraví, na jehož následky úrazem postižený zaměstnanec nejpozději do 1 roku zemřel.</w:t>
      </w:r>
    </w:p>
    <w:p w14:paraId="7982C6CA" w14:textId="77777777" w:rsidR="00F20CF3" w:rsidRPr="004E34C7" w:rsidRDefault="00F20CF3" w:rsidP="00000A90">
      <w:pPr>
        <w:pStyle w:val="Box1"/>
        <w:spacing w:before="120" w:after="120"/>
        <w:ind w:left="0"/>
        <w:contextualSpacing w:val="0"/>
        <w:jc w:val="both"/>
        <w:rPr>
          <w:b/>
          <w:i/>
        </w:rPr>
      </w:pPr>
      <w:r w:rsidRPr="004E34C7">
        <w:rPr>
          <w:b/>
          <w:i/>
        </w:rPr>
        <w:t>Závažný pracovní úraz</w:t>
      </w:r>
      <w:r w:rsidRPr="004E34C7">
        <w:rPr>
          <w:i/>
        </w:rPr>
        <w:t xml:space="preserve"> – je takové poškození zdraví, trvá-li hospitalizace úrazem postiženého zaměstnance déle než 5 dnů.</w:t>
      </w:r>
    </w:p>
    <w:p w14:paraId="29112414" w14:textId="77777777" w:rsidR="00F20CF3" w:rsidRPr="004E34C7" w:rsidRDefault="00F20CF3" w:rsidP="00000A90">
      <w:pPr>
        <w:pStyle w:val="Box1"/>
        <w:spacing w:before="120" w:after="120"/>
        <w:ind w:left="0"/>
        <w:contextualSpacing w:val="0"/>
        <w:jc w:val="both"/>
        <w:rPr>
          <w:i/>
        </w:rPr>
      </w:pPr>
      <w:r w:rsidRPr="004E34C7">
        <w:rPr>
          <w:b/>
          <w:i/>
        </w:rPr>
        <w:t xml:space="preserve">Pracovní úraz s pracovní neschopností delší než 3 dny </w:t>
      </w:r>
      <w:r w:rsidRPr="004E34C7">
        <w:rPr>
          <w:i/>
        </w:rPr>
        <w:t>– ukazatel zahrnuje případy pracovních úrazů, které měly za následek dočasnou pracovní neschopnost delší než tři kalendářní dny. Do těchto tří dnů se nezapočítává den, ve kterém k úrazu došlo.</w:t>
      </w:r>
    </w:p>
    <w:p w14:paraId="11A1CDF0" w14:textId="344232E0" w:rsidR="00F20CF3" w:rsidRPr="004E34C7" w:rsidRDefault="00F20CF3" w:rsidP="00000A90">
      <w:pPr>
        <w:spacing w:before="120" w:after="120"/>
        <w:jc w:val="both"/>
      </w:pPr>
      <w:r w:rsidRPr="004E34C7">
        <w:t>Ohlášení pracovního úrazu místně příslušnému Oblastnímu inspektorátu práce (OIP) podléhá smrtelný pracovní úraz a pracovní úraz s hospitalizací delší než 5 dnů (tzv. závažný pracovní úraz) nebo lze-li vzhledem k povaze zranění takovou dobu hospitalizace předpokládat. Vyhotovit záznam o úrazu (vč. případného hlášení změn) a zaslat jej na místně příslušný OIP je zaměstnavatel povinen</w:t>
      </w:r>
      <w:r w:rsidR="00D07285">
        <w:t xml:space="preserve"> i </w:t>
      </w:r>
      <w:r w:rsidRPr="004E34C7">
        <w:t>u pracovního úrazu s pracovní neschopností delší než 3 dny. V závislosti na druhu a okolnostech vzniku pracovního úrazu se pracovní úraz ohlašuje a záznam o něm se zasílá ještě na další stanovené orgány a instituce. Evidenci všech úrazů, tedy i takových, kterými nebyla způsobena pracovní neschopnost nebo jimi byla způsobena pracovní neschopnost nepřesahující 3 kalendářní dny, je zaměstnavatel povinen vést v knize úrazů.</w:t>
      </w:r>
    </w:p>
    <w:p w14:paraId="07662C49" w14:textId="627035CF" w:rsidR="00F20CF3" w:rsidRPr="000158B0" w:rsidRDefault="00951947" w:rsidP="00000A90">
      <w:pPr>
        <w:spacing w:before="120" w:after="120"/>
        <w:jc w:val="both"/>
        <w:rPr>
          <w:rFonts w:cs="Arial"/>
        </w:rPr>
      </w:pPr>
      <w:r w:rsidRPr="000158B0">
        <w:rPr>
          <w:rFonts w:cs="Arial"/>
        </w:rPr>
        <w:t xml:space="preserve">V 1. pol. 2020 se i vlivem uzavření některých podniků a větší míry práce z domova událo nejméně pracovních úrazů za posledních 10 let. </w:t>
      </w:r>
      <w:r w:rsidR="00F20CF3" w:rsidRPr="000158B0">
        <w:rPr>
          <w:bCs/>
        </w:rPr>
        <w:t>Absolutní počet nově hlášených případů dočasné pracovní neschopnosti</w:t>
      </w:r>
      <w:r w:rsidR="00F20CF3" w:rsidRPr="000158B0">
        <w:rPr>
          <w:rFonts w:cs="Arial"/>
        </w:rPr>
        <w:t xml:space="preserve"> pro pracovní úraz </w:t>
      </w:r>
      <w:r w:rsidRPr="000158B0">
        <w:rPr>
          <w:rFonts w:cs="Arial"/>
        </w:rPr>
        <w:t xml:space="preserve">po </w:t>
      </w:r>
      <w:r w:rsidR="000158B0" w:rsidRPr="000158B0">
        <w:rPr>
          <w:rFonts w:cs="Arial"/>
        </w:rPr>
        <w:t>před</w:t>
      </w:r>
      <w:r w:rsidRPr="000158B0">
        <w:rPr>
          <w:rFonts w:cs="Arial"/>
        </w:rPr>
        <w:t>loňském propadu v 1. pol. 2020</w:t>
      </w:r>
      <w:r w:rsidR="00F20CF3" w:rsidRPr="000158B0">
        <w:rPr>
          <w:rFonts w:cs="Arial"/>
        </w:rPr>
        <w:t xml:space="preserve"> </w:t>
      </w:r>
      <w:r w:rsidRPr="000158B0">
        <w:rPr>
          <w:rFonts w:cs="Arial"/>
        </w:rPr>
        <w:t xml:space="preserve">vzrostl </w:t>
      </w:r>
      <w:r w:rsidR="00F20CF3" w:rsidRPr="000158B0">
        <w:rPr>
          <w:rFonts w:cs="Arial"/>
        </w:rPr>
        <w:t>z </w:t>
      </w:r>
      <w:r w:rsidRPr="000158B0">
        <w:rPr>
          <w:rFonts w:cs="Arial"/>
        </w:rPr>
        <w:t>20 483</w:t>
      </w:r>
      <w:r w:rsidR="00EA5FF4" w:rsidRPr="000158B0">
        <w:rPr>
          <w:rFonts w:cs="Arial"/>
        </w:rPr>
        <w:t> </w:t>
      </w:r>
      <w:r w:rsidR="00F20CF3" w:rsidRPr="000158B0">
        <w:rPr>
          <w:rFonts w:cs="Arial"/>
        </w:rPr>
        <w:t xml:space="preserve">případů na </w:t>
      </w:r>
      <w:r w:rsidRPr="000158B0">
        <w:rPr>
          <w:rFonts w:cs="Arial"/>
        </w:rPr>
        <w:t>23 326</w:t>
      </w:r>
      <w:r w:rsidR="00F20CF3" w:rsidRPr="000158B0">
        <w:rPr>
          <w:rFonts w:cs="Arial"/>
        </w:rPr>
        <w:t xml:space="preserve"> případů v</w:t>
      </w:r>
      <w:r w:rsidRPr="000158B0">
        <w:rPr>
          <w:rFonts w:cs="Arial"/>
        </w:rPr>
        <w:t> 1. pol. 2021</w:t>
      </w:r>
      <w:r w:rsidR="00F20CF3" w:rsidRPr="000158B0">
        <w:rPr>
          <w:rFonts w:cs="Arial"/>
        </w:rPr>
        <w:t xml:space="preserve"> (tj. o </w:t>
      </w:r>
      <w:r w:rsidRPr="000158B0">
        <w:rPr>
          <w:rFonts w:cs="Arial"/>
        </w:rPr>
        <w:t xml:space="preserve">14 %) a vrátil se tak na hodnoty z období před pandemií. </w:t>
      </w:r>
      <w:r w:rsidR="000158B0" w:rsidRPr="000158B0">
        <w:rPr>
          <w:rFonts w:cs="Arial"/>
        </w:rPr>
        <w:t>V 1. pol. 2022 došlo jen k mírnému meziročnímu poklesu na 23 </w:t>
      </w:r>
      <w:r w:rsidR="00413919">
        <w:rPr>
          <w:rFonts w:cs="Arial"/>
        </w:rPr>
        <w:t>278</w:t>
      </w:r>
      <w:r w:rsidR="00413919" w:rsidRPr="000158B0">
        <w:rPr>
          <w:rFonts w:cs="Arial"/>
        </w:rPr>
        <w:t xml:space="preserve"> </w:t>
      </w:r>
      <w:r w:rsidR="000158B0" w:rsidRPr="000158B0">
        <w:rPr>
          <w:rFonts w:cs="Arial"/>
        </w:rPr>
        <w:t xml:space="preserve">případů. </w:t>
      </w:r>
      <w:r w:rsidR="00F20CF3" w:rsidRPr="000158B0">
        <w:rPr>
          <w:rFonts w:cs="Arial"/>
        </w:rPr>
        <w:t>Z</w:t>
      </w:r>
      <w:r w:rsidRPr="000158B0">
        <w:rPr>
          <w:rFonts w:cs="Arial"/>
        </w:rPr>
        <w:t> tohoto celkového</w:t>
      </w:r>
      <w:r w:rsidR="00F20CF3" w:rsidRPr="000158B0">
        <w:rPr>
          <w:rFonts w:cs="Arial"/>
        </w:rPr>
        <w:t xml:space="preserve"> počtu bylo </w:t>
      </w:r>
      <w:r w:rsidRPr="000158B0">
        <w:rPr>
          <w:rFonts w:cs="Arial"/>
        </w:rPr>
        <w:t xml:space="preserve">22 </w:t>
      </w:r>
      <w:r w:rsidR="000158B0" w:rsidRPr="000158B0">
        <w:rPr>
          <w:rFonts w:cs="Arial"/>
        </w:rPr>
        <w:t>358</w:t>
      </w:r>
      <w:r w:rsidR="00F20CF3" w:rsidRPr="000158B0">
        <w:rPr>
          <w:rFonts w:cs="Arial"/>
        </w:rPr>
        <w:t xml:space="preserve"> případů (9</w:t>
      </w:r>
      <w:r w:rsidRPr="000158B0">
        <w:rPr>
          <w:rFonts w:cs="Arial"/>
        </w:rPr>
        <w:t>6</w:t>
      </w:r>
      <w:r w:rsidR="00F20CF3" w:rsidRPr="000158B0">
        <w:rPr>
          <w:rFonts w:cs="Arial"/>
        </w:rPr>
        <w:t xml:space="preserve"> %) </w:t>
      </w:r>
      <w:r w:rsidR="00F20CF3" w:rsidRPr="000158B0">
        <w:rPr>
          <w:rFonts w:cs="Arial"/>
          <w:b/>
        </w:rPr>
        <w:t>pracovních úrazů s</w:t>
      </w:r>
      <w:r w:rsidR="00C02C40" w:rsidRPr="000158B0">
        <w:rPr>
          <w:rFonts w:cs="Arial"/>
          <w:b/>
        </w:rPr>
        <w:t> </w:t>
      </w:r>
      <w:r w:rsidR="00F20CF3" w:rsidRPr="000158B0">
        <w:rPr>
          <w:rFonts w:cs="Arial"/>
          <w:b/>
        </w:rPr>
        <w:t>pracovní neschopností delší než 3 kalendářní dny</w:t>
      </w:r>
      <w:r w:rsidR="00F20CF3" w:rsidRPr="000158B0">
        <w:rPr>
          <w:rFonts w:cs="Arial"/>
        </w:rPr>
        <w:t xml:space="preserve"> (tedy těch, které podléhají povinnosti vyhotovit záznam o úrazu a</w:t>
      </w:r>
      <w:r w:rsidRPr="000158B0">
        <w:rPr>
          <w:rFonts w:cs="Arial"/>
        </w:rPr>
        <w:t> </w:t>
      </w:r>
      <w:r w:rsidR="00F20CF3" w:rsidRPr="000158B0">
        <w:rPr>
          <w:rFonts w:cs="Arial"/>
        </w:rPr>
        <w:t>zaslat jej OIP).</w:t>
      </w:r>
    </w:p>
    <w:p w14:paraId="56C39E62" w14:textId="4DB73117" w:rsidR="002858F4" w:rsidRDefault="00350B58" w:rsidP="004E28A0">
      <w:pPr>
        <w:spacing w:before="120" w:after="120"/>
        <w:jc w:val="both"/>
        <w:rPr>
          <w:rFonts w:cs="Arial"/>
        </w:rPr>
      </w:pPr>
      <w:r w:rsidRPr="000158B0">
        <w:rPr>
          <w:rFonts w:cs="Arial"/>
        </w:rPr>
        <w:t xml:space="preserve">V pracovní úrazovosti je dlouhodobě patrný rozdíl mezi </w:t>
      </w:r>
      <w:r w:rsidRPr="000158B0">
        <w:rPr>
          <w:rFonts w:cs="Arial"/>
          <w:b/>
        </w:rPr>
        <w:t>pohlavími</w:t>
      </w:r>
      <w:r w:rsidRPr="000158B0">
        <w:rPr>
          <w:rFonts w:cs="Arial"/>
        </w:rPr>
        <w:t>, muži zde výrazně dominují. Z celkového počtu pracovních úrazů připadaly v 1. pol. 202</w:t>
      </w:r>
      <w:r w:rsidR="000158B0" w:rsidRPr="000158B0">
        <w:rPr>
          <w:rFonts w:cs="Arial"/>
        </w:rPr>
        <w:t>2</w:t>
      </w:r>
      <w:r w:rsidRPr="000158B0">
        <w:rPr>
          <w:rFonts w:cs="Arial"/>
        </w:rPr>
        <w:t xml:space="preserve"> na muže více než dvě třetiny (6</w:t>
      </w:r>
      <w:r w:rsidR="000158B0" w:rsidRPr="000158B0">
        <w:rPr>
          <w:rFonts w:cs="Arial"/>
        </w:rPr>
        <w:t>7</w:t>
      </w:r>
      <w:r w:rsidRPr="000158B0">
        <w:rPr>
          <w:rFonts w:cs="Arial"/>
        </w:rPr>
        <w:t xml:space="preserve"> %), což je </w:t>
      </w:r>
      <w:r w:rsidRPr="000158B0">
        <w:rPr>
          <w:rFonts w:cs="Arial"/>
          <w:b/>
        </w:rPr>
        <w:t>dáno</w:t>
      </w:r>
      <w:r w:rsidRPr="000158B0">
        <w:rPr>
          <w:rFonts w:cs="Arial"/>
        </w:rPr>
        <w:t xml:space="preserve"> především</w:t>
      </w:r>
      <w:r w:rsidRPr="000158B0">
        <w:rPr>
          <w:rFonts w:cs="Arial"/>
          <w:b/>
        </w:rPr>
        <w:t> odlišnou strukturou zaměstnanosti žen a mužů</w:t>
      </w:r>
      <w:r w:rsidRPr="000158B0">
        <w:rPr>
          <w:rFonts w:cs="Arial"/>
        </w:rPr>
        <w:t xml:space="preserve">. V odvětvích rizikovějších na pracovní úrazy </w:t>
      </w:r>
      <w:r w:rsidRPr="000158B0">
        <w:rPr>
          <w:rFonts w:cs="Arial"/>
        </w:rPr>
        <w:lastRenderedPageBreak/>
        <w:t xml:space="preserve">jako je např. </w:t>
      </w:r>
      <w:r w:rsidRPr="000158B0">
        <w:t>T</w:t>
      </w:r>
      <w:r w:rsidRPr="000158B0">
        <w:rPr>
          <w:rFonts w:cs="Arial"/>
        </w:rPr>
        <w:t>ěžba a dobývání, Zpracovatelský průmysl, S</w:t>
      </w:r>
      <w:r w:rsidRPr="000158B0">
        <w:t xml:space="preserve">tavebnictví, Doprava a skladování </w:t>
      </w:r>
      <w:r w:rsidRPr="000158B0">
        <w:rPr>
          <w:bCs/>
        </w:rPr>
        <w:t xml:space="preserve">či Zemědělství, lesnictví, rybářství </w:t>
      </w:r>
      <w:r w:rsidRPr="000158B0">
        <w:t xml:space="preserve">mezi zaměstnanci převládají muži. Ještě výraznější rozdíl hodnot mezi pohlavími lze vidět u smrtelných </w:t>
      </w:r>
      <w:r w:rsidR="000158B0" w:rsidRPr="000158B0">
        <w:t>pracovních úrazů. V 1. pol. 2022</w:t>
      </w:r>
      <w:r w:rsidRPr="000158B0">
        <w:t xml:space="preserve"> s</w:t>
      </w:r>
      <w:r w:rsidR="00E6607F">
        <w:t>i</w:t>
      </w:r>
      <w:r w:rsidRPr="000158B0">
        <w:t xml:space="preserve"> </w:t>
      </w:r>
      <w:r w:rsidR="00CE1DDB">
        <w:t xml:space="preserve">39 z celkových 40 </w:t>
      </w:r>
      <w:r w:rsidR="00D07285" w:rsidRPr="000158B0">
        <w:t xml:space="preserve">smrtelných pracovních úrazů </w:t>
      </w:r>
      <w:r w:rsidR="00E6607F">
        <w:t>přivodili</w:t>
      </w:r>
      <w:r w:rsidR="00D07285" w:rsidRPr="000158B0">
        <w:t xml:space="preserve"> </w:t>
      </w:r>
      <w:r w:rsidRPr="000158B0">
        <w:t>muž</w:t>
      </w:r>
      <w:r w:rsidR="00E6607F">
        <w:t>i</w:t>
      </w:r>
      <w:r w:rsidRPr="000158B0">
        <w:t xml:space="preserve">. Oproti </w:t>
      </w:r>
      <w:r w:rsidR="005C496F" w:rsidRPr="000158B0">
        <w:t xml:space="preserve">1. pol. </w:t>
      </w:r>
      <w:r w:rsidRPr="000158B0">
        <w:t>předchozí</w:t>
      </w:r>
      <w:r w:rsidR="005C496F" w:rsidRPr="000158B0">
        <w:t>ho</w:t>
      </w:r>
      <w:r w:rsidRPr="000158B0">
        <w:t xml:space="preserve"> roku </w:t>
      </w:r>
      <w:r w:rsidR="000158B0" w:rsidRPr="000158B0">
        <w:t>byl počet</w:t>
      </w:r>
      <w:r w:rsidRPr="000158B0">
        <w:t xml:space="preserve"> smrtelných pracovních úrazů </w:t>
      </w:r>
      <w:r w:rsidR="000158B0" w:rsidRPr="000158B0">
        <w:t xml:space="preserve">o </w:t>
      </w:r>
      <w:r w:rsidR="00413919">
        <w:t>jeden</w:t>
      </w:r>
      <w:r w:rsidR="00413919" w:rsidRPr="000158B0">
        <w:t xml:space="preserve"> </w:t>
      </w:r>
      <w:r w:rsidR="000158B0" w:rsidRPr="000158B0">
        <w:t>vyšší, tedy</w:t>
      </w:r>
      <w:r w:rsidR="00461007">
        <w:t xml:space="preserve"> již zmíněných</w:t>
      </w:r>
      <w:r w:rsidR="000158B0" w:rsidRPr="000158B0">
        <w:t xml:space="preserve"> 40. To je o třetinu méně než za 1. pol. 2018, kdy došlo vůbec k nejvíce smrtelným pracovním úrazům za posledních 10 let. </w:t>
      </w:r>
      <w:r w:rsidRPr="000158B0">
        <w:t>Muži</w:t>
      </w:r>
      <w:r w:rsidR="000158B0" w:rsidRPr="000158B0">
        <w:t xml:space="preserve"> v 1. pol. 2022</w:t>
      </w:r>
      <w:r w:rsidRPr="000158B0">
        <w:t xml:space="preserve"> zaznamenali </w:t>
      </w:r>
      <w:r w:rsidR="00632857">
        <w:t>o 4 smrtelné pracovní úrazy více než před rokem.</w:t>
      </w:r>
    </w:p>
    <w:p w14:paraId="75BD938E" w14:textId="496EE775" w:rsidR="00BF4256" w:rsidRPr="00D92E20" w:rsidRDefault="00BF4256" w:rsidP="00000A90">
      <w:pPr>
        <w:spacing w:after="0"/>
        <w:jc w:val="both"/>
        <w:rPr>
          <w:rFonts w:cs="Arial"/>
          <w:b/>
        </w:rPr>
      </w:pPr>
      <w:r w:rsidRPr="00D92E20">
        <w:rPr>
          <w:rFonts w:cs="Arial"/>
          <w:b/>
        </w:rPr>
        <w:t xml:space="preserve">Tab. 5.1: Pracovní úrazy podle </w:t>
      </w:r>
      <w:r w:rsidR="0032235A" w:rsidRPr="00D92E20">
        <w:rPr>
          <w:rFonts w:cs="Arial"/>
          <w:b/>
        </w:rPr>
        <w:t>závažnosti a pohlaví</w:t>
      </w:r>
      <w:r w:rsidRPr="00D92E20">
        <w:rPr>
          <w:rFonts w:cs="Arial"/>
          <w:b/>
        </w:rPr>
        <w:t xml:space="preserve">, </w:t>
      </w:r>
      <w:r w:rsidR="009F34CD" w:rsidRPr="0050059C">
        <w:rPr>
          <w:b/>
          <w:spacing w:val="-2"/>
        </w:rPr>
        <w:t>1. pol. 201</w:t>
      </w:r>
      <w:r w:rsidR="009F34CD">
        <w:rPr>
          <w:b/>
          <w:spacing w:val="-2"/>
        </w:rPr>
        <w:t>2</w:t>
      </w:r>
      <w:r w:rsidR="009F34CD" w:rsidRPr="0050059C">
        <w:rPr>
          <w:b/>
          <w:spacing w:val="-2"/>
        </w:rPr>
        <w:t xml:space="preserve"> až 1. pol. 202</w:t>
      </w:r>
      <w:r w:rsidR="009F34CD">
        <w:rPr>
          <w:b/>
          <w:spacing w:val="-2"/>
        </w:rPr>
        <w:t>2</w:t>
      </w:r>
    </w:p>
    <w:tbl>
      <w:tblPr>
        <w:tblW w:w="9589" w:type="dxa"/>
        <w:tblCellMar>
          <w:left w:w="70" w:type="dxa"/>
          <w:right w:w="70" w:type="dxa"/>
        </w:tblCellMar>
        <w:tblLook w:val="04A0" w:firstRow="1" w:lastRow="0" w:firstColumn="1" w:lastColumn="0" w:noHBand="0" w:noVBand="1"/>
      </w:tblPr>
      <w:tblGrid>
        <w:gridCol w:w="1077"/>
        <w:gridCol w:w="710"/>
        <w:gridCol w:w="709"/>
        <w:gridCol w:w="709"/>
        <w:gridCol w:w="710"/>
        <w:gridCol w:w="709"/>
        <w:gridCol w:w="709"/>
        <w:gridCol w:w="710"/>
        <w:gridCol w:w="709"/>
        <w:gridCol w:w="709"/>
        <w:gridCol w:w="710"/>
        <w:gridCol w:w="709"/>
        <w:gridCol w:w="709"/>
      </w:tblGrid>
      <w:tr w:rsidR="00951947" w:rsidRPr="00D92E20" w14:paraId="2B6AF5B0" w14:textId="38F3105E" w:rsidTr="00951947">
        <w:trPr>
          <w:trHeight w:val="920"/>
        </w:trPr>
        <w:tc>
          <w:tcPr>
            <w:tcW w:w="1077" w:type="dxa"/>
            <w:vMerge w:val="restart"/>
            <w:tcBorders>
              <w:top w:val="single" w:sz="4" w:space="0" w:color="auto"/>
              <w:left w:val="nil"/>
              <w:bottom w:val="single" w:sz="4" w:space="0" w:color="auto"/>
              <w:right w:val="single" w:sz="4" w:space="0" w:color="auto"/>
            </w:tcBorders>
            <w:shd w:val="clear" w:color="000000" w:fill="F5DADD"/>
            <w:vAlign w:val="center"/>
            <w:hideMark/>
          </w:tcPr>
          <w:p w14:paraId="04D2A0C8" w14:textId="29E127FE" w:rsidR="00ED0B23" w:rsidRPr="00D92E20" w:rsidRDefault="00ED0B23" w:rsidP="004E34C7">
            <w:pPr>
              <w:spacing w:after="0" w:line="240" w:lineRule="auto"/>
              <w:jc w:val="center"/>
              <w:rPr>
                <w:rFonts w:cs="Arial"/>
                <w:color w:val="000000"/>
                <w:sz w:val="16"/>
                <w:szCs w:val="16"/>
              </w:rPr>
            </w:pPr>
            <w:r>
              <w:rPr>
                <w:rFonts w:cs="Arial"/>
                <w:color w:val="000000"/>
                <w:sz w:val="16"/>
                <w:szCs w:val="16"/>
              </w:rPr>
              <w:t>Období</w:t>
            </w:r>
          </w:p>
        </w:tc>
        <w:tc>
          <w:tcPr>
            <w:tcW w:w="2128" w:type="dxa"/>
            <w:gridSpan w:val="3"/>
            <w:tcBorders>
              <w:top w:val="single" w:sz="4" w:space="0" w:color="auto"/>
              <w:left w:val="single" w:sz="4" w:space="0" w:color="auto"/>
              <w:right w:val="single" w:sz="4" w:space="0" w:color="000000"/>
            </w:tcBorders>
            <w:shd w:val="clear" w:color="000000" w:fill="F5DADD"/>
            <w:vAlign w:val="center"/>
            <w:hideMark/>
          </w:tcPr>
          <w:p w14:paraId="2E8F5656" w14:textId="77777777" w:rsidR="006054AC" w:rsidRDefault="00ED0B23" w:rsidP="00BF4256">
            <w:pPr>
              <w:spacing w:after="0" w:line="240" w:lineRule="auto"/>
              <w:jc w:val="center"/>
              <w:rPr>
                <w:rFonts w:cs="Arial"/>
                <w:color w:val="000000"/>
                <w:sz w:val="16"/>
                <w:szCs w:val="16"/>
              </w:rPr>
            </w:pPr>
            <w:r w:rsidRPr="00D92E20">
              <w:rPr>
                <w:rFonts w:cs="Arial"/>
                <w:color w:val="000000"/>
                <w:sz w:val="16"/>
                <w:szCs w:val="16"/>
              </w:rPr>
              <w:t xml:space="preserve">Počet pracovních úrazů </w:t>
            </w:r>
          </w:p>
          <w:p w14:paraId="1F6EC53E" w14:textId="336115D5" w:rsidR="00ED0B23" w:rsidRPr="00D92E20" w:rsidRDefault="00ED0B23" w:rsidP="00BF4256">
            <w:pPr>
              <w:spacing w:after="0" w:line="240" w:lineRule="auto"/>
              <w:jc w:val="center"/>
              <w:rPr>
                <w:rFonts w:cs="Arial"/>
                <w:color w:val="000000"/>
                <w:sz w:val="16"/>
                <w:szCs w:val="16"/>
              </w:rPr>
            </w:pPr>
            <w:r w:rsidRPr="00D92E20">
              <w:rPr>
                <w:rFonts w:cs="Arial"/>
                <w:color w:val="000000"/>
                <w:sz w:val="16"/>
                <w:szCs w:val="16"/>
              </w:rPr>
              <w:t xml:space="preserve">s pracovní neschopností </w:t>
            </w:r>
          </w:p>
        </w:tc>
        <w:tc>
          <w:tcPr>
            <w:tcW w:w="2128" w:type="dxa"/>
            <w:gridSpan w:val="3"/>
            <w:tcBorders>
              <w:top w:val="single" w:sz="4" w:space="0" w:color="auto"/>
              <w:left w:val="single" w:sz="4" w:space="0" w:color="auto"/>
              <w:right w:val="single" w:sz="4" w:space="0" w:color="000000"/>
            </w:tcBorders>
            <w:shd w:val="clear" w:color="000000" w:fill="F5DADD"/>
            <w:vAlign w:val="center"/>
            <w:hideMark/>
          </w:tcPr>
          <w:p w14:paraId="4F9C427A" w14:textId="77777777" w:rsidR="00ED0B23" w:rsidRDefault="00ED0B23" w:rsidP="00BF4256">
            <w:pPr>
              <w:spacing w:after="0" w:line="240" w:lineRule="auto"/>
              <w:jc w:val="center"/>
              <w:rPr>
                <w:rFonts w:cs="Arial"/>
                <w:color w:val="000000"/>
                <w:sz w:val="16"/>
                <w:szCs w:val="16"/>
              </w:rPr>
            </w:pPr>
            <w:r w:rsidRPr="00D92E20">
              <w:rPr>
                <w:rFonts w:cs="Arial"/>
                <w:color w:val="000000"/>
                <w:sz w:val="16"/>
                <w:szCs w:val="16"/>
              </w:rPr>
              <w:t xml:space="preserve">Počet pracovních úrazů </w:t>
            </w:r>
          </w:p>
          <w:p w14:paraId="779191EB" w14:textId="4BBDE8E4" w:rsidR="00ED0B23" w:rsidRPr="00D92E20" w:rsidRDefault="00ED0B23" w:rsidP="00BF4256">
            <w:pPr>
              <w:spacing w:after="0" w:line="240" w:lineRule="auto"/>
              <w:jc w:val="center"/>
              <w:rPr>
                <w:rFonts w:cs="Arial"/>
                <w:color w:val="000000"/>
                <w:sz w:val="16"/>
                <w:szCs w:val="16"/>
              </w:rPr>
            </w:pPr>
            <w:r w:rsidRPr="00D92E20">
              <w:rPr>
                <w:rFonts w:cs="Arial"/>
                <w:color w:val="000000"/>
                <w:sz w:val="16"/>
                <w:szCs w:val="16"/>
              </w:rPr>
              <w:t>s pracovní neschopností delší než 3 dny</w:t>
            </w:r>
          </w:p>
        </w:tc>
        <w:tc>
          <w:tcPr>
            <w:tcW w:w="2128" w:type="dxa"/>
            <w:gridSpan w:val="3"/>
            <w:tcBorders>
              <w:top w:val="single" w:sz="4" w:space="0" w:color="auto"/>
              <w:left w:val="single" w:sz="4" w:space="0" w:color="auto"/>
              <w:right w:val="nil"/>
            </w:tcBorders>
            <w:shd w:val="clear" w:color="000000" w:fill="F5DADD"/>
            <w:vAlign w:val="center"/>
            <w:hideMark/>
          </w:tcPr>
          <w:p w14:paraId="2697DFA1" w14:textId="77777777" w:rsidR="00ED0B23" w:rsidRPr="00D92E20" w:rsidRDefault="00ED0B23" w:rsidP="00BF4256">
            <w:pPr>
              <w:spacing w:after="0" w:line="240" w:lineRule="auto"/>
              <w:jc w:val="center"/>
              <w:rPr>
                <w:rFonts w:cs="Arial"/>
                <w:color w:val="000000"/>
                <w:sz w:val="16"/>
                <w:szCs w:val="16"/>
              </w:rPr>
            </w:pPr>
            <w:r w:rsidRPr="00D92E20">
              <w:rPr>
                <w:rFonts w:cs="Arial"/>
                <w:color w:val="000000"/>
                <w:sz w:val="16"/>
                <w:szCs w:val="16"/>
              </w:rPr>
              <w:t>Počet smrtelných pracovních úrazů</w:t>
            </w:r>
          </w:p>
        </w:tc>
        <w:tc>
          <w:tcPr>
            <w:tcW w:w="2128" w:type="dxa"/>
            <w:gridSpan w:val="3"/>
            <w:tcBorders>
              <w:top w:val="single" w:sz="4" w:space="0" w:color="auto"/>
              <w:left w:val="single" w:sz="4" w:space="0" w:color="auto"/>
              <w:right w:val="nil"/>
            </w:tcBorders>
            <w:shd w:val="clear" w:color="000000" w:fill="F5DADD"/>
            <w:vAlign w:val="center"/>
          </w:tcPr>
          <w:p w14:paraId="57CBF637" w14:textId="77777777" w:rsidR="006054AC" w:rsidRDefault="00ED0B23" w:rsidP="00ED0B23">
            <w:pPr>
              <w:spacing w:after="0" w:line="240" w:lineRule="auto"/>
              <w:jc w:val="center"/>
              <w:rPr>
                <w:rFonts w:cs="Arial"/>
                <w:sz w:val="16"/>
                <w:szCs w:val="16"/>
              </w:rPr>
            </w:pPr>
            <w:r>
              <w:rPr>
                <w:rFonts w:cs="Arial"/>
                <w:sz w:val="16"/>
                <w:szCs w:val="16"/>
              </w:rPr>
              <w:t xml:space="preserve">Počet závažných pracovních úrazů </w:t>
            </w:r>
          </w:p>
          <w:p w14:paraId="52F3B2F4" w14:textId="59F99B69" w:rsidR="00ED0B23" w:rsidRDefault="00ED0B23" w:rsidP="00ED0B23">
            <w:pPr>
              <w:spacing w:after="0" w:line="240" w:lineRule="auto"/>
              <w:jc w:val="center"/>
              <w:rPr>
                <w:rFonts w:cs="Arial"/>
                <w:sz w:val="16"/>
                <w:szCs w:val="16"/>
              </w:rPr>
            </w:pPr>
            <w:r>
              <w:rPr>
                <w:rFonts w:cs="Arial"/>
                <w:sz w:val="16"/>
                <w:szCs w:val="16"/>
              </w:rPr>
              <w:t>s hospitalizací nad 5 dnů</w:t>
            </w:r>
          </w:p>
          <w:p w14:paraId="5FC7B9C4" w14:textId="77777777" w:rsidR="00ED0B23" w:rsidRDefault="00ED0B23" w:rsidP="00ED0B23">
            <w:pPr>
              <w:spacing w:after="0" w:line="240" w:lineRule="auto"/>
              <w:jc w:val="center"/>
              <w:rPr>
                <w:rFonts w:cs="Arial"/>
                <w:sz w:val="16"/>
                <w:szCs w:val="16"/>
              </w:rPr>
            </w:pPr>
          </w:p>
        </w:tc>
      </w:tr>
      <w:tr w:rsidR="00951947" w:rsidRPr="00D92E20" w14:paraId="584EC2A5" w14:textId="0C2E8952" w:rsidTr="00951947">
        <w:trPr>
          <w:trHeight w:val="300"/>
        </w:trPr>
        <w:tc>
          <w:tcPr>
            <w:tcW w:w="1077" w:type="dxa"/>
            <w:vMerge/>
            <w:tcBorders>
              <w:top w:val="single" w:sz="4" w:space="0" w:color="auto"/>
              <w:left w:val="nil"/>
              <w:bottom w:val="single" w:sz="4" w:space="0" w:color="auto"/>
              <w:right w:val="single" w:sz="4" w:space="0" w:color="auto"/>
            </w:tcBorders>
            <w:vAlign w:val="center"/>
            <w:hideMark/>
          </w:tcPr>
          <w:p w14:paraId="23098622" w14:textId="77777777" w:rsidR="00951947" w:rsidRPr="00D92E20" w:rsidRDefault="00951947" w:rsidP="00BF4256">
            <w:pPr>
              <w:spacing w:after="0" w:line="240" w:lineRule="auto"/>
              <w:rPr>
                <w:rFonts w:cs="Arial"/>
                <w:color w:val="000000"/>
                <w:sz w:val="16"/>
                <w:szCs w:val="16"/>
              </w:rPr>
            </w:pPr>
          </w:p>
        </w:tc>
        <w:tc>
          <w:tcPr>
            <w:tcW w:w="710" w:type="dxa"/>
            <w:vMerge w:val="restart"/>
            <w:tcBorders>
              <w:top w:val="single" w:sz="4" w:space="0" w:color="auto"/>
              <w:left w:val="single" w:sz="4" w:space="0" w:color="auto"/>
              <w:bottom w:val="single" w:sz="4" w:space="0" w:color="auto"/>
              <w:right w:val="single" w:sz="4" w:space="0" w:color="auto"/>
            </w:tcBorders>
            <w:shd w:val="clear" w:color="000000" w:fill="F5DADD"/>
            <w:vAlign w:val="center"/>
            <w:hideMark/>
          </w:tcPr>
          <w:p w14:paraId="3F6B83DE" w14:textId="77777777" w:rsidR="00951947" w:rsidRPr="00D92E20" w:rsidRDefault="00951947" w:rsidP="00BF4256">
            <w:pPr>
              <w:spacing w:after="0" w:line="240" w:lineRule="auto"/>
              <w:jc w:val="center"/>
              <w:rPr>
                <w:rFonts w:cs="Arial"/>
                <w:b/>
                <w:color w:val="000000"/>
                <w:sz w:val="16"/>
                <w:szCs w:val="16"/>
              </w:rPr>
            </w:pPr>
            <w:r w:rsidRPr="00D92E20">
              <w:rPr>
                <w:rFonts w:cs="Arial"/>
                <w:b/>
                <w:color w:val="000000"/>
                <w:sz w:val="16"/>
                <w:szCs w:val="16"/>
              </w:rPr>
              <w:t>Celkem</w:t>
            </w:r>
          </w:p>
        </w:tc>
        <w:tc>
          <w:tcPr>
            <w:tcW w:w="1418" w:type="dxa"/>
            <w:gridSpan w:val="2"/>
            <w:tcBorders>
              <w:top w:val="single" w:sz="4" w:space="0" w:color="auto"/>
              <w:left w:val="nil"/>
              <w:bottom w:val="single" w:sz="4" w:space="0" w:color="auto"/>
              <w:right w:val="single" w:sz="4" w:space="0" w:color="auto"/>
            </w:tcBorders>
            <w:shd w:val="clear" w:color="000000" w:fill="F5DADD"/>
            <w:vAlign w:val="center"/>
            <w:hideMark/>
          </w:tcPr>
          <w:p w14:paraId="1AAEBA5C" w14:textId="77777777" w:rsidR="00951947" w:rsidRPr="00D92E20" w:rsidRDefault="00951947" w:rsidP="00BF4256">
            <w:pPr>
              <w:spacing w:after="0" w:line="240" w:lineRule="auto"/>
              <w:jc w:val="center"/>
              <w:rPr>
                <w:rFonts w:cs="Arial"/>
                <w:color w:val="000000"/>
                <w:sz w:val="16"/>
                <w:szCs w:val="16"/>
              </w:rPr>
            </w:pPr>
            <w:r w:rsidRPr="00D92E20">
              <w:rPr>
                <w:rFonts w:cs="Arial"/>
                <w:color w:val="000000"/>
                <w:sz w:val="16"/>
                <w:szCs w:val="16"/>
              </w:rPr>
              <w:t>podle pohlaví</w:t>
            </w:r>
          </w:p>
        </w:tc>
        <w:tc>
          <w:tcPr>
            <w:tcW w:w="710" w:type="dxa"/>
            <w:vMerge w:val="restart"/>
            <w:tcBorders>
              <w:top w:val="single" w:sz="4" w:space="0" w:color="auto"/>
              <w:left w:val="single" w:sz="4" w:space="0" w:color="auto"/>
              <w:bottom w:val="single" w:sz="4" w:space="0" w:color="auto"/>
              <w:right w:val="single" w:sz="4" w:space="0" w:color="auto"/>
            </w:tcBorders>
            <w:shd w:val="clear" w:color="000000" w:fill="F5DADD"/>
            <w:vAlign w:val="center"/>
            <w:hideMark/>
          </w:tcPr>
          <w:p w14:paraId="3C3025AD" w14:textId="77777777" w:rsidR="00951947" w:rsidRPr="00D92E20" w:rsidRDefault="00951947" w:rsidP="00BF4256">
            <w:pPr>
              <w:spacing w:after="0" w:line="240" w:lineRule="auto"/>
              <w:jc w:val="center"/>
              <w:rPr>
                <w:rFonts w:cs="Arial"/>
                <w:b/>
                <w:color w:val="000000"/>
                <w:sz w:val="16"/>
                <w:szCs w:val="16"/>
              </w:rPr>
            </w:pPr>
            <w:r w:rsidRPr="00D92E20">
              <w:rPr>
                <w:rFonts w:cs="Arial"/>
                <w:b/>
                <w:color w:val="000000"/>
                <w:sz w:val="16"/>
                <w:szCs w:val="16"/>
              </w:rPr>
              <w:t>Celkem</w:t>
            </w:r>
          </w:p>
        </w:tc>
        <w:tc>
          <w:tcPr>
            <w:tcW w:w="1418" w:type="dxa"/>
            <w:gridSpan w:val="2"/>
            <w:tcBorders>
              <w:top w:val="single" w:sz="4" w:space="0" w:color="auto"/>
              <w:left w:val="nil"/>
              <w:bottom w:val="single" w:sz="4" w:space="0" w:color="auto"/>
              <w:right w:val="single" w:sz="4" w:space="0" w:color="auto"/>
            </w:tcBorders>
            <w:shd w:val="clear" w:color="000000" w:fill="F5DADD"/>
            <w:vAlign w:val="center"/>
            <w:hideMark/>
          </w:tcPr>
          <w:p w14:paraId="1E2237EA" w14:textId="77777777" w:rsidR="00951947" w:rsidRPr="00D92E20" w:rsidRDefault="00951947" w:rsidP="00BF4256">
            <w:pPr>
              <w:spacing w:after="0" w:line="240" w:lineRule="auto"/>
              <w:jc w:val="center"/>
              <w:rPr>
                <w:rFonts w:cs="Arial"/>
                <w:color w:val="000000"/>
                <w:sz w:val="16"/>
                <w:szCs w:val="16"/>
              </w:rPr>
            </w:pPr>
            <w:r w:rsidRPr="00D92E20">
              <w:rPr>
                <w:rFonts w:cs="Arial"/>
                <w:color w:val="000000"/>
                <w:sz w:val="16"/>
                <w:szCs w:val="16"/>
              </w:rPr>
              <w:t>podle pohlaví</w:t>
            </w:r>
          </w:p>
        </w:tc>
        <w:tc>
          <w:tcPr>
            <w:tcW w:w="710" w:type="dxa"/>
            <w:vMerge w:val="restart"/>
            <w:tcBorders>
              <w:top w:val="single" w:sz="4" w:space="0" w:color="auto"/>
              <w:left w:val="single" w:sz="4" w:space="0" w:color="auto"/>
              <w:right w:val="single" w:sz="4" w:space="0" w:color="auto"/>
            </w:tcBorders>
            <w:shd w:val="clear" w:color="000000" w:fill="F5DADD"/>
            <w:vAlign w:val="center"/>
            <w:hideMark/>
          </w:tcPr>
          <w:p w14:paraId="21C7CC39" w14:textId="77777777" w:rsidR="00951947" w:rsidRPr="00D92E20" w:rsidRDefault="00951947" w:rsidP="00BF4256">
            <w:pPr>
              <w:spacing w:after="0" w:line="240" w:lineRule="auto"/>
              <w:jc w:val="center"/>
              <w:rPr>
                <w:rFonts w:cs="Arial"/>
                <w:b/>
                <w:color w:val="000000"/>
                <w:sz w:val="16"/>
                <w:szCs w:val="16"/>
              </w:rPr>
            </w:pPr>
            <w:r w:rsidRPr="00D92E20">
              <w:rPr>
                <w:rFonts w:cs="Arial"/>
                <w:b/>
                <w:color w:val="000000"/>
                <w:sz w:val="16"/>
                <w:szCs w:val="16"/>
              </w:rPr>
              <w:t>Celkem</w:t>
            </w:r>
          </w:p>
        </w:tc>
        <w:tc>
          <w:tcPr>
            <w:tcW w:w="1418" w:type="dxa"/>
            <w:gridSpan w:val="2"/>
            <w:tcBorders>
              <w:top w:val="single" w:sz="4" w:space="0" w:color="auto"/>
              <w:left w:val="nil"/>
              <w:bottom w:val="single" w:sz="4" w:space="0" w:color="auto"/>
              <w:right w:val="single" w:sz="4" w:space="0" w:color="auto"/>
            </w:tcBorders>
            <w:shd w:val="clear" w:color="000000" w:fill="F5DADD"/>
            <w:vAlign w:val="center"/>
            <w:hideMark/>
          </w:tcPr>
          <w:p w14:paraId="08F273BD" w14:textId="77777777" w:rsidR="00951947" w:rsidRPr="00D92E20" w:rsidRDefault="00951947" w:rsidP="00BF4256">
            <w:pPr>
              <w:spacing w:after="0" w:line="240" w:lineRule="auto"/>
              <w:jc w:val="center"/>
              <w:rPr>
                <w:rFonts w:cs="Arial"/>
                <w:color w:val="000000"/>
                <w:sz w:val="16"/>
                <w:szCs w:val="16"/>
              </w:rPr>
            </w:pPr>
            <w:r w:rsidRPr="00D92E20">
              <w:rPr>
                <w:rFonts w:cs="Arial"/>
                <w:color w:val="000000"/>
                <w:sz w:val="16"/>
                <w:szCs w:val="16"/>
              </w:rPr>
              <w:t>podle pohlaví</w:t>
            </w:r>
          </w:p>
        </w:tc>
        <w:tc>
          <w:tcPr>
            <w:tcW w:w="710" w:type="dxa"/>
            <w:vMerge w:val="restart"/>
            <w:tcBorders>
              <w:top w:val="single" w:sz="4" w:space="0" w:color="auto"/>
              <w:left w:val="single" w:sz="4" w:space="0" w:color="auto"/>
              <w:right w:val="single" w:sz="4" w:space="0" w:color="auto"/>
            </w:tcBorders>
            <w:shd w:val="clear" w:color="000000" w:fill="F5DADD"/>
            <w:vAlign w:val="center"/>
          </w:tcPr>
          <w:p w14:paraId="78F246A5" w14:textId="6553B083" w:rsidR="00951947" w:rsidRPr="00ED0B23" w:rsidRDefault="00951947" w:rsidP="00ED0B23">
            <w:pPr>
              <w:spacing w:after="0" w:line="240" w:lineRule="auto"/>
              <w:jc w:val="center"/>
              <w:rPr>
                <w:rFonts w:cs="Arial"/>
                <w:b/>
                <w:color w:val="000000"/>
                <w:sz w:val="16"/>
                <w:szCs w:val="16"/>
              </w:rPr>
            </w:pPr>
            <w:r w:rsidRPr="00ED0B23">
              <w:rPr>
                <w:rFonts w:cs="Arial"/>
                <w:b/>
                <w:color w:val="000000"/>
                <w:sz w:val="16"/>
                <w:szCs w:val="16"/>
              </w:rPr>
              <w:t>Celkem</w:t>
            </w:r>
          </w:p>
        </w:tc>
        <w:tc>
          <w:tcPr>
            <w:tcW w:w="1418" w:type="dxa"/>
            <w:gridSpan w:val="2"/>
            <w:tcBorders>
              <w:top w:val="single" w:sz="4" w:space="0" w:color="auto"/>
              <w:left w:val="single" w:sz="4" w:space="0" w:color="auto"/>
              <w:bottom w:val="single" w:sz="4" w:space="0" w:color="auto"/>
            </w:tcBorders>
            <w:shd w:val="clear" w:color="000000" w:fill="F5DADD"/>
            <w:vAlign w:val="center"/>
          </w:tcPr>
          <w:p w14:paraId="7056BE97" w14:textId="02477152" w:rsidR="00951947" w:rsidRDefault="00951947" w:rsidP="00ED0B23">
            <w:pPr>
              <w:spacing w:after="0" w:line="240" w:lineRule="auto"/>
              <w:jc w:val="center"/>
              <w:rPr>
                <w:rFonts w:cs="Arial"/>
                <w:color w:val="000000"/>
                <w:sz w:val="16"/>
                <w:szCs w:val="16"/>
              </w:rPr>
            </w:pPr>
            <w:r>
              <w:rPr>
                <w:rFonts w:cs="Arial"/>
                <w:color w:val="000000"/>
                <w:sz w:val="16"/>
                <w:szCs w:val="16"/>
              </w:rPr>
              <w:t>podle pohlaví</w:t>
            </w:r>
          </w:p>
        </w:tc>
      </w:tr>
      <w:tr w:rsidR="00951947" w:rsidRPr="00D92E20" w14:paraId="7A706A10" w14:textId="4ADAA2B6" w:rsidTr="00632857">
        <w:trPr>
          <w:trHeight w:val="300"/>
        </w:trPr>
        <w:tc>
          <w:tcPr>
            <w:tcW w:w="1077" w:type="dxa"/>
            <w:vMerge/>
            <w:tcBorders>
              <w:top w:val="single" w:sz="4" w:space="0" w:color="auto"/>
              <w:left w:val="nil"/>
              <w:bottom w:val="single" w:sz="4" w:space="0" w:color="auto"/>
              <w:right w:val="single" w:sz="4" w:space="0" w:color="auto"/>
            </w:tcBorders>
            <w:vAlign w:val="center"/>
            <w:hideMark/>
          </w:tcPr>
          <w:p w14:paraId="608E1B7E" w14:textId="77777777" w:rsidR="00951947" w:rsidRPr="00D92E20" w:rsidRDefault="00951947" w:rsidP="00BF4256">
            <w:pPr>
              <w:spacing w:after="0" w:line="240" w:lineRule="auto"/>
              <w:rPr>
                <w:rFonts w:cs="Arial"/>
                <w:color w:val="000000"/>
                <w:sz w:val="16"/>
                <w:szCs w:val="16"/>
              </w:rPr>
            </w:pPr>
          </w:p>
        </w:tc>
        <w:tc>
          <w:tcPr>
            <w:tcW w:w="710" w:type="dxa"/>
            <w:vMerge/>
            <w:tcBorders>
              <w:top w:val="single" w:sz="4" w:space="0" w:color="auto"/>
              <w:left w:val="single" w:sz="4" w:space="0" w:color="auto"/>
              <w:bottom w:val="single" w:sz="4" w:space="0" w:color="auto"/>
              <w:right w:val="single" w:sz="4" w:space="0" w:color="auto"/>
            </w:tcBorders>
            <w:vAlign w:val="center"/>
            <w:hideMark/>
          </w:tcPr>
          <w:p w14:paraId="46C18BA9" w14:textId="77777777" w:rsidR="00951947" w:rsidRPr="00D92E20" w:rsidRDefault="00951947" w:rsidP="00BF4256">
            <w:pPr>
              <w:spacing w:after="0" w:line="240" w:lineRule="auto"/>
              <w:rPr>
                <w:rFonts w:cs="Arial"/>
                <w:color w:val="000000"/>
                <w:sz w:val="16"/>
                <w:szCs w:val="16"/>
              </w:rPr>
            </w:pPr>
          </w:p>
        </w:tc>
        <w:tc>
          <w:tcPr>
            <w:tcW w:w="709" w:type="dxa"/>
            <w:tcBorders>
              <w:top w:val="nil"/>
              <w:left w:val="nil"/>
              <w:bottom w:val="single" w:sz="4" w:space="0" w:color="auto"/>
              <w:right w:val="single" w:sz="4" w:space="0" w:color="auto"/>
            </w:tcBorders>
            <w:shd w:val="clear" w:color="000000" w:fill="F5DADD"/>
            <w:vAlign w:val="center"/>
            <w:hideMark/>
          </w:tcPr>
          <w:p w14:paraId="0A17B8E6" w14:textId="77777777" w:rsidR="00951947" w:rsidRPr="00D92E20" w:rsidRDefault="00951947" w:rsidP="00BF4256">
            <w:pPr>
              <w:spacing w:after="0" w:line="240" w:lineRule="auto"/>
              <w:jc w:val="center"/>
              <w:rPr>
                <w:rFonts w:cs="Arial"/>
                <w:color w:val="000000"/>
                <w:sz w:val="16"/>
                <w:szCs w:val="16"/>
              </w:rPr>
            </w:pPr>
            <w:r w:rsidRPr="00D92E20">
              <w:rPr>
                <w:rFonts w:cs="Arial"/>
                <w:color w:val="000000"/>
                <w:sz w:val="16"/>
                <w:szCs w:val="16"/>
              </w:rPr>
              <w:t>muži</w:t>
            </w:r>
          </w:p>
        </w:tc>
        <w:tc>
          <w:tcPr>
            <w:tcW w:w="709" w:type="dxa"/>
            <w:tcBorders>
              <w:top w:val="nil"/>
              <w:left w:val="nil"/>
              <w:bottom w:val="single" w:sz="4" w:space="0" w:color="auto"/>
              <w:right w:val="single" w:sz="4" w:space="0" w:color="auto"/>
            </w:tcBorders>
            <w:shd w:val="clear" w:color="000000" w:fill="F5DADD"/>
            <w:vAlign w:val="center"/>
            <w:hideMark/>
          </w:tcPr>
          <w:p w14:paraId="4B1D159D" w14:textId="77777777" w:rsidR="00951947" w:rsidRPr="00D92E20" w:rsidRDefault="00951947" w:rsidP="00BF4256">
            <w:pPr>
              <w:spacing w:after="0" w:line="240" w:lineRule="auto"/>
              <w:jc w:val="center"/>
              <w:rPr>
                <w:rFonts w:cs="Arial"/>
                <w:color w:val="000000"/>
                <w:sz w:val="16"/>
                <w:szCs w:val="16"/>
              </w:rPr>
            </w:pPr>
            <w:r w:rsidRPr="00D92E20">
              <w:rPr>
                <w:rFonts w:cs="Arial"/>
                <w:color w:val="000000"/>
                <w:sz w:val="16"/>
                <w:szCs w:val="16"/>
              </w:rPr>
              <w:t>ženy</w:t>
            </w:r>
          </w:p>
        </w:tc>
        <w:tc>
          <w:tcPr>
            <w:tcW w:w="710" w:type="dxa"/>
            <w:vMerge/>
            <w:tcBorders>
              <w:left w:val="single" w:sz="4" w:space="0" w:color="auto"/>
              <w:bottom w:val="single" w:sz="4" w:space="0" w:color="auto"/>
              <w:right w:val="single" w:sz="4" w:space="0" w:color="auto"/>
            </w:tcBorders>
            <w:vAlign w:val="center"/>
            <w:hideMark/>
          </w:tcPr>
          <w:p w14:paraId="35D2FB82" w14:textId="77777777" w:rsidR="00951947" w:rsidRPr="00D92E20" w:rsidRDefault="00951947" w:rsidP="00BF4256">
            <w:pPr>
              <w:spacing w:after="0" w:line="240" w:lineRule="auto"/>
              <w:rPr>
                <w:rFonts w:cs="Arial"/>
                <w:color w:val="000000"/>
                <w:sz w:val="16"/>
                <w:szCs w:val="16"/>
              </w:rPr>
            </w:pPr>
          </w:p>
        </w:tc>
        <w:tc>
          <w:tcPr>
            <w:tcW w:w="709" w:type="dxa"/>
            <w:tcBorders>
              <w:top w:val="nil"/>
              <w:left w:val="nil"/>
              <w:bottom w:val="single" w:sz="4" w:space="0" w:color="auto"/>
              <w:right w:val="single" w:sz="4" w:space="0" w:color="auto"/>
            </w:tcBorders>
            <w:shd w:val="clear" w:color="000000" w:fill="F5DADD"/>
            <w:vAlign w:val="center"/>
            <w:hideMark/>
          </w:tcPr>
          <w:p w14:paraId="7A076B09" w14:textId="77777777" w:rsidR="00951947" w:rsidRPr="00D92E20" w:rsidRDefault="00951947" w:rsidP="00BF4256">
            <w:pPr>
              <w:spacing w:after="0" w:line="240" w:lineRule="auto"/>
              <w:jc w:val="center"/>
              <w:rPr>
                <w:rFonts w:cs="Arial"/>
                <w:color w:val="000000"/>
                <w:sz w:val="16"/>
                <w:szCs w:val="16"/>
              </w:rPr>
            </w:pPr>
            <w:r w:rsidRPr="00D92E20">
              <w:rPr>
                <w:rFonts w:cs="Arial"/>
                <w:color w:val="000000"/>
                <w:sz w:val="16"/>
                <w:szCs w:val="16"/>
              </w:rPr>
              <w:t>muži</w:t>
            </w:r>
          </w:p>
        </w:tc>
        <w:tc>
          <w:tcPr>
            <w:tcW w:w="709" w:type="dxa"/>
            <w:tcBorders>
              <w:top w:val="nil"/>
              <w:left w:val="nil"/>
              <w:bottom w:val="single" w:sz="4" w:space="0" w:color="auto"/>
              <w:right w:val="single" w:sz="4" w:space="0" w:color="auto"/>
            </w:tcBorders>
            <w:shd w:val="clear" w:color="000000" w:fill="F5DADD"/>
            <w:vAlign w:val="center"/>
            <w:hideMark/>
          </w:tcPr>
          <w:p w14:paraId="09A23D0C" w14:textId="77777777" w:rsidR="00951947" w:rsidRPr="00D92E20" w:rsidRDefault="00951947" w:rsidP="00BF4256">
            <w:pPr>
              <w:spacing w:after="0" w:line="240" w:lineRule="auto"/>
              <w:jc w:val="center"/>
              <w:rPr>
                <w:rFonts w:cs="Arial"/>
                <w:color w:val="000000"/>
                <w:sz w:val="16"/>
                <w:szCs w:val="16"/>
              </w:rPr>
            </w:pPr>
            <w:r w:rsidRPr="00D92E20">
              <w:rPr>
                <w:rFonts w:cs="Arial"/>
                <w:color w:val="000000"/>
                <w:sz w:val="16"/>
                <w:szCs w:val="16"/>
              </w:rPr>
              <w:t>ženy</w:t>
            </w:r>
          </w:p>
        </w:tc>
        <w:tc>
          <w:tcPr>
            <w:tcW w:w="710" w:type="dxa"/>
            <w:vMerge/>
            <w:tcBorders>
              <w:left w:val="single" w:sz="4" w:space="0" w:color="auto"/>
              <w:bottom w:val="single" w:sz="4" w:space="0" w:color="auto"/>
              <w:right w:val="single" w:sz="4" w:space="0" w:color="auto"/>
            </w:tcBorders>
            <w:vAlign w:val="center"/>
            <w:hideMark/>
          </w:tcPr>
          <w:p w14:paraId="300CA3BE" w14:textId="77777777" w:rsidR="00951947" w:rsidRPr="00D92E20" w:rsidRDefault="00951947" w:rsidP="00BF4256">
            <w:pPr>
              <w:spacing w:after="0" w:line="240" w:lineRule="auto"/>
              <w:rPr>
                <w:rFonts w:cs="Arial"/>
                <w:color w:val="000000"/>
                <w:sz w:val="16"/>
                <w:szCs w:val="16"/>
              </w:rPr>
            </w:pPr>
          </w:p>
        </w:tc>
        <w:tc>
          <w:tcPr>
            <w:tcW w:w="709" w:type="dxa"/>
            <w:tcBorders>
              <w:top w:val="nil"/>
              <w:left w:val="nil"/>
              <w:bottom w:val="single" w:sz="4" w:space="0" w:color="auto"/>
              <w:right w:val="single" w:sz="4" w:space="0" w:color="auto"/>
            </w:tcBorders>
            <w:shd w:val="clear" w:color="000000" w:fill="F5DADD"/>
            <w:vAlign w:val="center"/>
            <w:hideMark/>
          </w:tcPr>
          <w:p w14:paraId="6FF27435" w14:textId="77777777" w:rsidR="00951947" w:rsidRPr="00D92E20" w:rsidRDefault="00951947" w:rsidP="00BF4256">
            <w:pPr>
              <w:spacing w:after="0" w:line="240" w:lineRule="auto"/>
              <w:jc w:val="center"/>
              <w:rPr>
                <w:rFonts w:cs="Arial"/>
                <w:color w:val="000000"/>
                <w:sz w:val="16"/>
                <w:szCs w:val="16"/>
              </w:rPr>
            </w:pPr>
            <w:r w:rsidRPr="00D92E20">
              <w:rPr>
                <w:rFonts w:cs="Arial"/>
                <w:color w:val="000000"/>
                <w:sz w:val="16"/>
                <w:szCs w:val="16"/>
              </w:rPr>
              <w:t>muži</w:t>
            </w:r>
          </w:p>
        </w:tc>
        <w:tc>
          <w:tcPr>
            <w:tcW w:w="709" w:type="dxa"/>
            <w:tcBorders>
              <w:top w:val="nil"/>
              <w:left w:val="nil"/>
              <w:bottom w:val="single" w:sz="4" w:space="0" w:color="auto"/>
              <w:right w:val="single" w:sz="4" w:space="0" w:color="auto"/>
            </w:tcBorders>
            <w:shd w:val="clear" w:color="000000" w:fill="F5DADD"/>
            <w:vAlign w:val="center"/>
            <w:hideMark/>
          </w:tcPr>
          <w:p w14:paraId="4360FA55" w14:textId="77777777" w:rsidR="00951947" w:rsidRPr="00D92E20" w:rsidRDefault="00951947" w:rsidP="00BF4256">
            <w:pPr>
              <w:spacing w:after="0" w:line="240" w:lineRule="auto"/>
              <w:jc w:val="center"/>
              <w:rPr>
                <w:rFonts w:cs="Arial"/>
                <w:color w:val="000000"/>
                <w:sz w:val="16"/>
                <w:szCs w:val="16"/>
              </w:rPr>
            </w:pPr>
            <w:r w:rsidRPr="00D92E20">
              <w:rPr>
                <w:rFonts w:cs="Arial"/>
                <w:color w:val="000000"/>
                <w:sz w:val="16"/>
                <w:szCs w:val="16"/>
              </w:rPr>
              <w:t>ženy</w:t>
            </w:r>
          </w:p>
        </w:tc>
        <w:tc>
          <w:tcPr>
            <w:tcW w:w="710" w:type="dxa"/>
            <w:vMerge/>
            <w:tcBorders>
              <w:left w:val="single" w:sz="4" w:space="0" w:color="auto"/>
              <w:bottom w:val="single" w:sz="4" w:space="0" w:color="auto"/>
              <w:right w:val="single" w:sz="4" w:space="0" w:color="auto"/>
            </w:tcBorders>
            <w:shd w:val="clear" w:color="000000" w:fill="F5DADD"/>
          </w:tcPr>
          <w:p w14:paraId="2052594B" w14:textId="77777777" w:rsidR="00951947" w:rsidRPr="00D92E20" w:rsidRDefault="00951947" w:rsidP="00BF4256">
            <w:pPr>
              <w:spacing w:after="0" w:line="240" w:lineRule="auto"/>
              <w:jc w:val="center"/>
              <w:rPr>
                <w:rFonts w:cs="Arial"/>
                <w:color w:val="000000"/>
                <w:sz w:val="16"/>
                <w:szCs w:val="16"/>
              </w:rPr>
            </w:pPr>
          </w:p>
        </w:tc>
        <w:tc>
          <w:tcPr>
            <w:tcW w:w="709" w:type="dxa"/>
            <w:tcBorders>
              <w:top w:val="nil"/>
              <w:left w:val="single" w:sz="4" w:space="0" w:color="auto"/>
              <w:bottom w:val="single" w:sz="4" w:space="0" w:color="auto"/>
              <w:right w:val="single" w:sz="4" w:space="0" w:color="auto"/>
            </w:tcBorders>
            <w:shd w:val="clear" w:color="000000" w:fill="F5DADD"/>
            <w:vAlign w:val="center"/>
          </w:tcPr>
          <w:p w14:paraId="42E2D025" w14:textId="4FE4B6C4" w:rsidR="00951947" w:rsidRPr="00D92E20" w:rsidRDefault="00951947" w:rsidP="00632857">
            <w:pPr>
              <w:spacing w:after="0" w:line="240" w:lineRule="auto"/>
              <w:jc w:val="center"/>
              <w:rPr>
                <w:rFonts w:cs="Arial"/>
                <w:color w:val="000000"/>
                <w:sz w:val="16"/>
                <w:szCs w:val="16"/>
              </w:rPr>
            </w:pPr>
            <w:r>
              <w:rPr>
                <w:rFonts w:cs="Arial"/>
                <w:color w:val="000000"/>
                <w:sz w:val="16"/>
                <w:szCs w:val="16"/>
              </w:rPr>
              <w:t>muži</w:t>
            </w:r>
          </w:p>
        </w:tc>
        <w:tc>
          <w:tcPr>
            <w:tcW w:w="709" w:type="dxa"/>
            <w:tcBorders>
              <w:top w:val="nil"/>
              <w:left w:val="single" w:sz="4" w:space="0" w:color="auto"/>
              <w:bottom w:val="single" w:sz="4" w:space="0" w:color="auto"/>
              <w:right w:val="nil"/>
            </w:tcBorders>
            <w:shd w:val="clear" w:color="000000" w:fill="F5DADD"/>
            <w:vAlign w:val="center"/>
          </w:tcPr>
          <w:p w14:paraId="40A103B2" w14:textId="6366DA58" w:rsidR="00951947" w:rsidRPr="00D92E20" w:rsidRDefault="00951947" w:rsidP="00632857">
            <w:pPr>
              <w:spacing w:after="0" w:line="240" w:lineRule="auto"/>
              <w:jc w:val="center"/>
              <w:rPr>
                <w:rFonts w:cs="Arial"/>
                <w:color w:val="000000"/>
                <w:sz w:val="16"/>
                <w:szCs w:val="16"/>
              </w:rPr>
            </w:pPr>
            <w:r>
              <w:rPr>
                <w:rFonts w:cs="Arial"/>
                <w:color w:val="000000"/>
                <w:sz w:val="16"/>
                <w:szCs w:val="16"/>
              </w:rPr>
              <w:t>ženy</w:t>
            </w:r>
          </w:p>
        </w:tc>
      </w:tr>
      <w:tr w:rsidR="000158B0" w:rsidRPr="00D92E20" w14:paraId="39797E96" w14:textId="7C17ACDC" w:rsidTr="000158B0">
        <w:trPr>
          <w:trHeight w:val="300"/>
        </w:trPr>
        <w:tc>
          <w:tcPr>
            <w:tcW w:w="1077" w:type="dxa"/>
            <w:tcBorders>
              <w:top w:val="nil"/>
              <w:left w:val="nil"/>
              <w:bottom w:val="nil"/>
              <w:right w:val="single" w:sz="4" w:space="0" w:color="auto"/>
            </w:tcBorders>
            <w:shd w:val="clear" w:color="auto" w:fill="auto"/>
            <w:vAlign w:val="center"/>
            <w:hideMark/>
          </w:tcPr>
          <w:p w14:paraId="45A1EA30" w14:textId="3C6BDC8C" w:rsidR="000158B0" w:rsidRPr="00D92E20" w:rsidRDefault="000158B0" w:rsidP="000158B0">
            <w:pPr>
              <w:spacing w:after="0" w:line="240" w:lineRule="auto"/>
              <w:jc w:val="center"/>
              <w:rPr>
                <w:rFonts w:cs="Arial"/>
                <w:color w:val="000000"/>
                <w:sz w:val="16"/>
                <w:szCs w:val="16"/>
              </w:rPr>
            </w:pPr>
            <w:r>
              <w:rPr>
                <w:rFonts w:cs="Arial"/>
                <w:sz w:val="16"/>
                <w:szCs w:val="16"/>
              </w:rPr>
              <w:t>1. pol. 2012</w:t>
            </w:r>
          </w:p>
        </w:tc>
        <w:tc>
          <w:tcPr>
            <w:tcW w:w="710" w:type="dxa"/>
            <w:tcBorders>
              <w:top w:val="nil"/>
              <w:left w:val="nil"/>
              <w:bottom w:val="nil"/>
              <w:right w:val="nil"/>
            </w:tcBorders>
            <w:shd w:val="clear" w:color="auto" w:fill="auto"/>
            <w:noWrap/>
            <w:vAlign w:val="center"/>
            <w:hideMark/>
          </w:tcPr>
          <w:p w14:paraId="6FA20F5F" w14:textId="30AC8B39" w:rsidR="000158B0" w:rsidRPr="00D92E20" w:rsidRDefault="000158B0" w:rsidP="000158B0">
            <w:pPr>
              <w:spacing w:after="0" w:line="240" w:lineRule="auto"/>
              <w:jc w:val="right"/>
              <w:rPr>
                <w:rFonts w:cs="Arial"/>
                <w:color w:val="000000"/>
                <w:sz w:val="16"/>
                <w:szCs w:val="16"/>
              </w:rPr>
            </w:pPr>
            <w:r>
              <w:rPr>
                <w:rFonts w:cs="Arial"/>
                <w:sz w:val="16"/>
                <w:szCs w:val="16"/>
              </w:rPr>
              <w:t>21 816</w:t>
            </w:r>
          </w:p>
        </w:tc>
        <w:tc>
          <w:tcPr>
            <w:tcW w:w="709" w:type="dxa"/>
            <w:tcBorders>
              <w:top w:val="nil"/>
              <w:left w:val="nil"/>
              <w:bottom w:val="nil"/>
              <w:right w:val="nil"/>
            </w:tcBorders>
            <w:shd w:val="clear" w:color="auto" w:fill="auto"/>
            <w:noWrap/>
            <w:vAlign w:val="center"/>
            <w:hideMark/>
          </w:tcPr>
          <w:p w14:paraId="3734AAD8" w14:textId="6BC93B32" w:rsidR="000158B0" w:rsidRPr="00D92E20" w:rsidRDefault="000158B0" w:rsidP="000158B0">
            <w:pPr>
              <w:spacing w:after="0" w:line="240" w:lineRule="auto"/>
              <w:jc w:val="right"/>
              <w:rPr>
                <w:rFonts w:cs="Arial"/>
                <w:color w:val="000000"/>
                <w:sz w:val="16"/>
                <w:szCs w:val="16"/>
              </w:rPr>
            </w:pPr>
            <w:r>
              <w:rPr>
                <w:rFonts w:cs="Arial"/>
                <w:sz w:val="16"/>
                <w:szCs w:val="16"/>
              </w:rPr>
              <w:t>15 504</w:t>
            </w:r>
          </w:p>
        </w:tc>
        <w:tc>
          <w:tcPr>
            <w:tcW w:w="709" w:type="dxa"/>
            <w:tcBorders>
              <w:top w:val="nil"/>
              <w:left w:val="nil"/>
              <w:bottom w:val="nil"/>
              <w:right w:val="single" w:sz="4" w:space="0" w:color="auto"/>
            </w:tcBorders>
            <w:shd w:val="clear" w:color="auto" w:fill="auto"/>
            <w:noWrap/>
            <w:vAlign w:val="center"/>
            <w:hideMark/>
          </w:tcPr>
          <w:p w14:paraId="7A8AF9B5" w14:textId="30C6B861" w:rsidR="000158B0" w:rsidRPr="00D92E20" w:rsidRDefault="000158B0" w:rsidP="000158B0">
            <w:pPr>
              <w:spacing w:after="0" w:line="240" w:lineRule="auto"/>
              <w:jc w:val="right"/>
              <w:rPr>
                <w:rFonts w:cs="Arial"/>
                <w:color w:val="000000"/>
                <w:sz w:val="16"/>
                <w:szCs w:val="16"/>
              </w:rPr>
            </w:pPr>
            <w:r>
              <w:rPr>
                <w:rFonts w:cs="Arial"/>
                <w:sz w:val="16"/>
                <w:szCs w:val="16"/>
              </w:rPr>
              <w:t>6 312</w:t>
            </w:r>
          </w:p>
        </w:tc>
        <w:tc>
          <w:tcPr>
            <w:tcW w:w="710" w:type="dxa"/>
            <w:tcBorders>
              <w:top w:val="nil"/>
              <w:left w:val="nil"/>
              <w:bottom w:val="nil"/>
              <w:right w:val="nil"/>
            </w:tcBorders>
            <w:shd w:val="clear" w:color="auto" w:fill="auto"/>
            <w:noWrap/>
            <w:vAlign w:val="center"/>
            <w:hideMark/>
          </w:tcPr>
          <w:p w14:paraId="409A7B68" w14:textId="4D656D84" w:rsidR="000158B0" w:rsidRPr="00D92E20" w:rsidRDefault="000158B0" w:rsidP="000158B0">
            <w:pPr>
              <w:spacing w:after="0" w:line="240" w:lineRule="auto"/>
              <w:jc w:val="right"/>
              <w:rPr>
                <w:rFonts w:cs="Arial"/>
                <w:color w:val="000000"/>
                <w:sz w:val="16"/>
                <w:szCs w:val="16"/>
              </w:rPr>
            </w:pPr>
            <w:r>
              <w:rPr>
                <w:rFonts w:cs="Arial"/>
                <w:sz w:val="16"/>
                <w:szCs w:val="16"/>
              </w:rPr>
              <w:t>21 356</w:t>
            </w:r>
          </w:p>
        </w:tc>
        <w:tc>
          <w:tcPr>
            <w:tcW w:w="709" w:type="dxa"/>
            <w:tcBorders>
              <w:top w:val="nil"/>
              <w:left w:val="nil"/>
              <w:bottom w:val="nil"/>
              <w:right w:val="nil"/>
            </w:tcBorders>
            <w:shd w:val="clear" w:color="auto" w:fill="auto"/>
            <w:vAlign w:val="center"/>
            <w:hideMark/>
          </w:tcPr>
          <w:p w14:paraId="017D18EE" w14:textId="48911DB3" w:rsidR="000158B0" w:rsidRPr="00D92E20" w:rsidRDefault="000158B0" w:rsidP="000158B0">
            <w:pPr>
              <w:spacing w:after="0" w:line="240" w:lineRule="auto"/>
              <w:jc w:val="right"/>
              <w:rPr>
                <w:rFonts w:cs="Arial"/>
                <w:color w:val="000000"/>
                <w:sz w:val="16"/>
                <w:szCs w:val="16"/>
              </w:rPr>
            </w:pPr>
            <w:r>
              <w:rPr>
                <w:rFonts w:cs="Arial"/>
                <w:sz w:val="16"/>
                <w:szCs w:val="16"/>
              </w:rPr>
              <w:t>15 156</w:t>
            </w:r>
          </w:p>
        </w:tc>
        <w:tc>
          <w:tcPr>
            <w:tcW w:w="709" w:type="dxa"/>
            <w:tcBorders>
              <w:top w:val="nil"/>
              <w:left w:val="nil"/>
              <w:bottom w:val="nil"/>
              <w:right w:val="single" w:sz="4" w:space="0" w:color="auto"/>
            </w:tcBorders>
            <w:shd w:val="clear" w:color="auto" w:fill="auto"/>
            <w:vAlign w:val="center"/>
            <w:hideMark/>
          </w:tcPr>
          <w:p w14:paraId="37321543" w14:textId="1D07E559" w:rsidR="000158B0" w:rsidRPr="00D92E20" w:rsidRDefault="000158B0" w:rsidP="000158B0">
            <w:pPr>
              <w:spacing w:after="0" w:line="240" w:lineRule="auto"/>
              <w:jc w:val="right"/>
              <w:rPr>
                <w:rFonts w:cs="Arial"/>
                <w:color w:val="000000"/>
                <w:sz w:val="16"/>
                <w:szCs w:val="16"/>
              </w:rPr>
            </w:pPr>
            <w:r>
              <w:rPr>
                <w:rFonts w:cs="Arial"/>
                <w:sz w:val="16"/>
                <w:szCs w:val="16"/>
              </w:rPr>
              <w:t>6 200</w:t>
            </w:r>
          </w:p>
        </w:tc>
        <w:tc>
          <w:tcPr>
            <w:tcW w:w="710" w:type="dxa"/>
            <w:tcBorders>
              <w:top w:val="nil"/>
              <w:left w:val="nil"/>
              <w:bottom w:val="nil"/>
              <w:right w:val="nil"/>
            </w:tcBorders>
            <w:shd w:val="clear" w:color="auto" w:fill="auto"/>
            <w:vAlign w:val="center"/>
            <w:hideMark/>
          </w:tcPr>
          <w:p w14:paraId="17668B07" w14:textId="4B8E5C20" w:rsidR="000158B0" w:rsidRPr="00D92E20" w:rsidRDefault="000158B0" w:rsidP="000158B0">
            <w:pPr>
              <w:spacing w:after="0" w:line="240" w:lineRule="auto"/>
              <w:jc w:val="right"/>
              <w:rPr>
                <w:rFonts w:cs="Arial"/>
                <w:color w:val="000000"/>
                <w:sz w:val="16"/>
                <w:szCs w:val="16"/>
              </w:rPr>
            </w:pPr>
            <w:r>
              <w:rPr>
                <w:rFonts w:cs="Arial"/>
                <w:sz w:val="16"/>
                <w:szCs w:val="16"/>
              </w:rPr>
              <w:t>53</w:t>
            </w:r>
          </w:p>
        </w:tc>
        <w:tc>
          <w:tcPr>
            <w:tcW w:w="709" w:type="dxa"/>
            <w:tcBorders>
              <w:top w:val="nil"/>
              <w:left w:val="nil"/>
              <w:bottom w:val="nil"/>
              <w:right w:val="nil"/>
            </w:tcBorders>
            <w:shd w:val="clear" w:color="auto" w:fill="auto"/>
            <w:vAlign w:val="center"/>
            <w:hideMark/>
          </w:tcPr>
          <w:p w14:paraId="53F048C2" w14:textId="1DA12BF6" w:rsidR="000158B0" w:rsidRPr="00D92E20" w:rsidRDefault="000158B0" w:rsidP="000158B0">
            <w:pPr>
              <w:spacing w:after="0" w:line="240" w:lineRule="auto"/>
              <w:jc w:val="right"/>
              <w:rPr>
                <w:rFonts w:cs="Arial"/>
                <w:color w:val="000000"/>
                <w:sz w:val="16"/>
                <w:szCs w:val="16"/>
              </w:rPr>
            </w:pPr>
            <w:r>
              <w:rPr>
                <w:rFonts w:cs="Arial"/>
                <w:sz w:val="16"/>
                <w:szCs w:val="16"/>
              </w:rPr>
              <w:t>52</w:t>
            </w:r>
          </w:p>
        </w:tc>
        <w:tc>
          <w:tcPr>
            <w:tcW w:w="709" w:type="dxa"/>
            <w:tcBorders>
              <w:top w:val="single" w:sz="4" w:space="0" w:color="auto"/>
              <w:left w:val="nil"/>
              <w:bottom w:val="nil"/>
              <w:right w:val="single" w:sz="4" w:space="0" w:color="auto"/>
            </w:tcBorders>
            <w:shd w:val="clear" w:color="auto" w:fill="auto"/>
            <w:vAlign w:val="center"/>
            <w:hideMark/>
          </w:tcPr>
          <w:p w14:paraId="442423AD" w14:textId="2CAA4536" w:rsidR="000158B0" w:rsidRPr="00D92E20" w:rsidRDefault="000158B0" w:rsidP="000158B0">
            <w:pPr>
              <w:spacing w:after="0" w:line="240" w:lineRule="auto"/>
              <w:jc w:val="right"/>
              <w:rPr>
                <w:rFonts w:cs="Arial"/>
                <w:color w:val="000000"/>
                <w:sz w:val="16"/>
                <w:szCs w:val="16"/>
              </w:rPr>
            </w:pPr>
            <w:r>
              <w:rPr>
                <w:rFonts w:cs="Arial"/>
                <w:sz w:val="16"/>
                <w:szCs w:val="16"/>
              </w:rPr>
              <w:t>1</w:t>
            </w:r>
          </w:p>
        </w:tc>
        <w:tc>
          <w:tcPr>
            <w:tcW w:w="710" w:type="dxa"/>
            <w:tcBorders>
              <w:top w:val="nil"/>
              <w:left w:val="single" w:sz="4" w:space="0" w:color="auto"/>
              <w:bottom w:val="nil"/>
              <w:right w:val="nil"/>
            </w:tcBorders>
            <w:vAlign w:val="center"/>
          </w:tcPr>
          <w:p w14:paraId="157E345F" w14:textId="4D71E793" w:rsidR="000158B0" w:rsidRDefault="000158B0" w:rsidP="000158B0">
            <w:pPr>
              <w:spacing w:after="0" w:line="240" w:lineRule="auto"/>
              <w:jc w:val="right"/>
              <w:rPr>
                <w:rFonts w:cs="Arial"/>
                <w:sz w:val="16"/>
                <w:szCs w:val="16"/>
              </w:rPr>
            </w:pPr>
            <w:r>
              <w:rPr>
                <w:rFonts w:cs="Arial"/>
                <w:sz w:val="16"/>
                <w:szCs w:val="16"/>
              </w:rPr>
              <w:t>713</w:t>
            </w:r>
          </w:p>
        </w:tc>
        <w:tc>
          <w:tcPr>
            <w:tcW w:w="709" w:type="dxa"/>
            <w:tcBorders>
              <w:top w:val="nil"/>
              <w:left w:val="nil"/>
              <w:bottom w:val="nil"/>
              <w:right w:val="nil"/>
            </w:tcBorders>
            <w:vAlign w:val="center"/>
          </w:tcPr>
          <w:p w14:paraId="52332ACB" w14:textId="63B6B178" w:rsidR="000158B0" w:rsidRDefault="000158B0" w:rsidP="000158B0">
            <w:pPr>
              <w:spacing w:after="0" w:line="240" w:lineRule="auto"/>
              <w:jc w:val="right"/>
              <w:rPr>
                <w:rFonts w:cs="Arial"/>
                <w:sz w:val="16"/>
                <w:szCs w:val="16"/>
              </w:rPr>
            </w:pPr>
            <w:r>
              <w:rPr>
                <w:rFonts w:cs="Arial"/>
                <w:sz w:val="16"/>
                <w:szCs w:val="16"/>
              </w:rPr>
              <w:t>572</w:t>
            </w:r>
          </w:p>
        </w:tc>
        <w:tc>
          <w:tcPr>
            <w:tcW w:w="709" w:type="dxa"/>
            <w:tcBorders>
              <w:top w:val="nil"/>
              <w:left w:val="nil"/>
              <w:bottom w:val="nil"/>
              <w:right w:val="nil"/>
            </w:tcBorders>
            <w:vAlign w:val="center"/>
          </w:tcPr>
          <w:p w14:paraId="334F7506" w14:textId="455CF35B" w:rsidR="000158B0" w:rsidRDefault="000158B0" w:rsidP="000158B0">
            <w:pPr>
              <w:spacing w:after="0" w:line="240" w:lineRule="auto"/>
              <w:jc w:val="right"/>
              <w:rPr>
                <w:rFonts w:cs="Arial"/>
                <w:sz w:val="16"/>
                <w:szCs w:val="16"/>
              </w:rPr>
            </w:pPr>
            <w:r>
              <w:rPr>
                <w:rFonts w:cs="Arial"/>
                <w:sz w:val="16"/>
                <w:szCs w:val="16"/>
              </w:rPr>
              <w:t>141</w:t>
            </w:r>
          </w:p>
        </w:tc>
      </w:tr>
      <w:tr w:rsidR="000158B0" w:rsidRPr="00D92E20" w14:paraId="1945DD99" w14:textId="0A493FD3" w:rsidTr="000158B0">
        <w:trPr>
          <w:trHeight w:val="300"/>
        </w:trPr>
        <w:tc>
          <w:tcPr>
            <w:tcW w:w="1077" w:type="dxa"/>
            <w:tcBorders>
              <w:top w:val="nil"/>
              <w:left w:val="nil"/>
              <w:bottom w:val="nil"/>
              <w:right w:val="single" w:sz="4" w:space="0" w:color="auto"/>
            </w:tcBorders>
            <w:shd w:val="clear" w:color="auto" w:fill="auto"/>
            <w:vAlign w:val="center"/>
            <w:hideMark/>
          </w:tcPr>
          <w:p w14:paraId="04FA1910" w14:textId="43C9298A" w:rsidR="000158B0" w:rsidRPr="00D92E20" w:rsidRDefault="000158B0" w:rsidP="000158B0">
            <w:pPr>
              <w:spacing w:after="0" w:line="240" w:lineRule="auto"/>
              <w:jc w:val="center"/>
              <w:rPr>
                <w:rFonts w:cs="Arial"/>
                <w:color w:val="000000"/>
                <w:sz w:val="16"/>
                <w:szCs w:val="16"/>
              </w:rPr>
            </w:pPr>
            <w:r>
              <w:rPr>
                <w:rFonts w:cs="Arial"/>
                <w:sz w:val="16"/>
                <w:szCs w:val="16"/>
              </w:rPr>
              <w:t>1. pol. 2013</w:t>
            </w:r>
          </w:p>
        </w:tc>
        <w:tc>
          <w:tcPr>
            <w:tcW w:w="710" w:type="dxa"/>
            <w:tcBorders>
              <w:top w:val="nil"/>
              <w:left w:val="nil"/>
              <w:bottom w:val="nil"/>
              <w:right w:val="nil"/>
            </w:tcBorders>
            <w:shd w:val="clear" w:color="auto" w:fill="auto"/>
            <w:noWrap/>
            <w:vAlign w:val="center"/>
            <w:hideMark/>
          </w:tcPr>
          <w:p w14:paraId="09A022C1" w14:textId="4208307E" w:rsidR="000158B0" w:rsidRPr="00D92E20" w:rsidRDefault="000158B0" w:rsidP="000158B0">
            <w:pPr>
              <w:spacing w:after="0" w:line="240" w:lineRule="auto"/>
              <w:jc w:val="right"/>
              <w:rPr>
                <w:rFonts w:cs="Arial"/>
                <w:color w:val="000000"/>
                <w:sz w:val="16"/>
                <w:szCs w:val="16"/>
              </w:rPr>
            </w:pPr>
            <w:r>
              <w:rPr>
                <w:rFonts w:cs="Arial"/>
                <w:sz w:val="16"/>
                <w:szCs w:val="16"/>
              </w:rPr>
              <w:t>21 935</w:t>
            </w:r>
          </w:p>
        </w:tc>
        <w:tc>
          <w:tcPr>
            <w:tcW w:w="709" w:type="dxa"/>
            <w:tcBorders>
              <w:top w:val="nil"/>
              <w:left w:val="nil"/>
              <w:bottom w:val="nil"/>
              <w:right w:val="nil"/>
            </w:tcBorders>
            <w:shd w:val="clear" w:color="auto" w:fill="auto"/>
            <w:noWrap/>
            <w:vAlign w:val="center"/>
            <w:hideMark/>
          </w:tcPr>
          <w:p w14:paraId="5F61F278" w14:textId="60AF67AB" w:rsidR="000158B0" w:rsidRPr="00D92E20" w:rsidRDefault="000158B0" w:rsidP="000158B0">
            <w:pPr>
              <w:spacing w:after="0" w:line="240" w:lineRule="auto"/>
              <w:jc w:val="right"/>
              <w:rPr>
                <w:rFonts w:cs="Arial"/>
                <w:color w:val="000000"/>
                <w:sz w:val="16"/>
                <w:szCs w:val="16"/>
              </w:rPr>
            </w:pPr>
            <w:r>
              <w:rPr>
                <w:rFonts w:cs="Arial"/>
                <w:sz w:val="16"/>
                <w:szCs w:val="16"/>
              </w:rPr>
              <w:t>15 304</w:t>
            </w:r>
          </w:p>
        </w:tc>
        <w:tc>
          <w:tcPr>
            <w:tcW w:w="709" w:type="dxa"/>
            <w:tcBorders>
              <w:top w:val="nil"/>
              <w:left w:val="nil"/>
              <w:bottom w:val="nil"/>
              <w:right w:val="single" w:sz="4" w:space="0" w:color="auto"/>
            </w:tcBorders>
            <w:shd w:val="clear" w:color="auto" w:fill="auto"/>
            <w:noWrap/>
            <w:vAlign w:val="center"/>
            <w:hideMark/>
          </w:tcPr>
          <w:p w14:paraId="4B9FD3D0" w14:textId="73BB96CF" w:rsidR="000158B0" w:rsidRPr="00D92E20" w:rsidRDefault="000158B0" w:rsidP="000158B0">
            <w:pPr>
              <w:spacing w:after="0" w:line="240" w:lineRule="auto"/>
              <w:jc w:val="right"/>
              <w:rPr>
                <w:rFonts w:cs="Arial"/>
                <w:color w:val="000000"/>
                <w:sz w:val="16"/>
                <w:szCs w:val="16"/>
              </w:rPr>
            </w:pPr>
            <w:r>
              <w:rPr>
                <w:rFonts w:cs="Arial"/>
                <w:sz w:val="16"/>
                <w:szCs w:val="16"/>
              </w:rPr>
              <w:t>6 631</w:t>
            </w:r>
          </w:p>
        </w:tc>
        <w:tc>
          <w:tcPr>
            <w:tcW w:w="710" w:type="dxa"/>
            <w:tcBorders>
              <w:top w:val="nil"/>
              <w:left w:val="nil"/>
              <w:bottom w:val="nil"/>
              <w:right w:val="nil"/>
            </w:tcBorders>
            <w:shd w:val="clear" w:color="auto" w:fill="auto"/>
            <w:noWrap/>
            <w:vAlign w:val="center"/>
            <w:hideMark/>
          </w:tcPr>
          <w:p w14:paraId="4D8DB3D2" w14:textId="448F09D3" w:rsidR="000158B0" w:rsidRPr="00D92E20" w:rsidRDefault="000158B0" w:rsidP="000158B0">
            <w:pPr>
              <w:spacing w:after="0" w:line="240" w:lineRule="auto"/>
              <w:jc w:val="right"/>
              <w:rPr>
                <w:rFonts w:cs="Arial"/>
                <w:color w:val="000000"/>
                <w:sz w:val="16"/>
                <w:szCs w:val="16"/>
              </w:rPr>
            </w:pPr>
            <w:r>
              <w:rPr>
                <w:rFonts w:cs="Arial"/>
                <w:sz w:val="16"/>
                <w:szCs w:val="16"/>
              </w:rPr>
              <w:t>21 542</w:t>
            </w:r>
          </w:p>
        </w:tc>
        <w:tc>
          <w:tcPr>
            <w:tcW w:w="709" w:type="dxa"/>
            <w:tcBorders>
              <w:top w:val="nil"/>
              <w:left w:val="nil"/>
              <w:bottom w:val="nil"/>
              <w:right w:val="nil"/>
            </w:tcBorders>
            <w:shd w:val="clear" w:color="auto" w:fill="auto"/>
            <w:vAlign w:val="center"/>
            <w:hideMark/>
          </w:tcPr>
          <w:p w14:paraId="50385049" w14:textId="3B774083" w:rsidR="000158B0" w:rsidRPr="00D92E20" w:rsidRDefault="000158B0" w:rsidP="000158B0">
            <w:pPr>
              <w:spacing w:after="0" w:line="240" w:lineRule="auto"/>
              <w:jc w:val="right"/>
              <w:rPr>
                <w:rFonts w:cs="Arial"/>
                <w:color w:val="000000"/>
                <w:sz w:val="16"/>
                <w:szCs w:val="16"/>
              </w:rPr>
            </w:pPr>
            <w:r>
              <w:rPr>
                <w:rFonts w:cs="Arial"/>
                <w:sz w:val="16"/>
                <w:szCs w:val="16"/>
              </w:rPr>
              <w:t>15 007</w:t>
            </w:r>
          </w:p>
        </w:tc>
        <w:tc>
          <w:tcPr>
            <w:tcW w:w="709" w:type="dxa"/>
            <w:tcBorders>
              <w:top w:val="nil"/>
              <w:left w:val="nil"/>
              <w:bottom w:val="nil"/>
              <w:right w:val="single" w:sz="4" w:space="0" w:color="auto"/>
            </w:tcBorders>
            <w:shd w:val="clear" w:color="auto" w:fill="auto"/>
            <w:vAlign w:val="center"/>
            <w:hideMark/>
          </w:tcPr>
          <w:p w14:paraId="1B6CE7EC" w14:textId="41D10ADC" w:rsidR="000158B0" w:rsidRPr="00D92E20" w:rsidRDefault="000158B0" w:rsidP="000158B0">
            <w:pPr>
              <w:spacing w:after="0" w:line="240" w:lineRule="auto"/>
              <w:jc w:val="right"/>
              <w:rPr>
                <w:rFonts w:cs="Arial"/>
                <w:color w:val="000000"/>
                <w:sz w:val="16"/>
                <w:szCs w:val="16"/>
              </w:rPr>
            </w:pPr>
            <w:r>
              <w:rPr>
                <w:rFonts w:cs="Arial"/>
                <w:sz w:val="16"/>
                <w:szCs w:val="16"/>
              </w:rPr>
              <w:t>6 535</w:t>
            </w:r>
          </w:p>
        </w:tc>
        <w:tc>
          <w:tcPr>
            <w:tcW w:w="710" w:type="dxa"/>
            <w:tcBorders>
              <w:top w:val="nil"/>
              <w:left w:val="nil"/>
              <w:bottom w:val="nil"/>
              <w:right w:val="nil"/>
            </w:tcBorders>
            <w:shd w:val="clear" w:color="auto" w:fill="auto"/>
            <w:vAlign w:val="center"/>
            <w:hideMark/>
          </w:tcPr>
          <w:p w14:paraId="3C0A15B0" w14:textId="3E385E72" w:rsidR="000158B0" w:rsidRPr="00D92E20" w:rsidRDefault="000158B0" w:rsidP="000158B0">
            <w:pPr>
              <w:spacing w:after="0" w:line="240" w:lineRule="auto"/>
              <w:jc w:val="right"/>
              <w:rPr>
                <w:rFonts w:cs="Arial"/>
                <w:color w:val="000000"/>
                <w:sz w:val="16"/>
                <w:szCs w:val="16"/>
              </w:rPr>
            </w:pPr>
            <w:r>
              <w:rPr>
                <w:rFonts w:cs="Arial"/>
                <w:sz w:val="16"/>
                <w:szCs w:val="16"/>
              </w:rPr>
              <w:t>48</w:t>
            </w:r>
          </w:p>
        </w:tc>
        <w:tc>
          <w:tcPr>
            <w:tcW w:w="709" w:type="dxa"/>
            <w:tcBorders>
              <w:top w:val="nil"/>
              <w:left w:val="nil"/>
              <w:bottom w:val="nil"/>
              <w:right w:val="nil"/>
            </w:tcBorders>
            <w:shd w:val="clear" w:color="auto" w:fill="auto"/>
            <w:vAlign w:val="center"/>
            <w:hideMark/>
          </w:tcPr>
          <w:p w14:paraId="69EEC951" w14:textId="7E8B8221" w:rsidR="000158B0" w:rsidRPr="00D92E20" w:rsidRDefault="000158B0" w:rsidP="000158B0">
            <w:pPr>
              <w:spacing w:after="0" w:line="240" w:lineRule="auto"/>
              <w:jc w:val="right"/>
              <w:rPr>
                <w:rFonts w:cs="Arial"/>
                <w:color w:val="000000"/>
                <w:sz w:val="16"/>
                <w:szCs w:val="16"/>
              </w:rPr>
            </w:pPr>
            <w:r>
              <w:rPr>
                <w:rFonts w:cs="Arial"/>
                <w:sz w:val="16"/>
                <w:szCs w:val="16"/>
              </w:rPr>
              <w:t>44</w:t>
            </w:r>
          </w:p>
        </w:tc>
        <w:tc>
          <w:tcPr>
            <w:tcW w:w="709" w:type="dxa"/>
            <w:tcBorders>
              <w:top w:val="nil"/>
              <w:left w:val="nil"/>
              <w:bottom w:val="nil"/>
              <w:right w:val="single" w:sz="4" w:space="0" w:color="auto"/>
            </w:tcBorders>
            <w:shd w:val="clear" w:color="auto" w:fill="auto"/>
            <w:vAlign w:val="center"/>
            <w:hideMark/>
          </w:tcPr>
          <w:p w14:paraId="08AE141A" w14:textId="71F431F6" w:rsidR="000158B0" w:rsidRPr="00D92E20" w:rsidRDefault="000158B0" w:rsidP="000158B0">
            <w:pPr>
              <w:spacing w:after="0" w:line="240" w:lineRule="auto"/>
              <w:jc w:val="right"/>
              <w:rPr>
                <w:rFonts w:cs="Arial"/>
                <w:color w:val="000000"/>
                <w:sz w:val="16"/>
                <w:szCs w:val="16"/>
              </w:rPr>
            </w:pPr>
            <w:r>
              <w:rPr>
                <w:rFonts w:cs="Arial"/>
                <w:sz w:val="16"/>
                <w:szCs w:val="16"/>
              </w:rPr>
              <w:t>4</w:t>
            </w:r>
          </w:p>
        </w:tc>
        <w:tc>
          <w:tcPr>
            <w:tcW w:w="710" w:type="dxa"/>
            <w:tcBorders>
              <w:top w:val="nil"/>
              <w:left w:val="single" w:sz="4" w:space="0" w:color="auto"/>
              <w:bottom w:val="nil"/>
              <w:right w:val="nil"/>
            </w:tcBorders>
            <w:vAlign w:val="center"/>
          </w:tcPr>
          <w:p w14:paraId="4F44AC3C" w14:textId="2FFBB722" w:rsidR="000158B0" w:rsidRDefault="000158B0" w:rsidP="000158B0">
            <w:pPr>
              <w:spacing w:after="0" w:line="240" w:lineRule="auto"/>
              <w:jc w:val="right"/>
              <w:rPr>
                <w:rFonts w:cs="Arial"/>
                <w:sz w:val="16"/>
                <w:szCs w:val="16"/>
              </w:rPr>
            </w:pPr>
            <w:r>
              <w:rPr>
                <w:rFonts w:cs="Arial"/>
                <w:sz w:val="16"/>
                <w:szCs w:val="16"/>
              </w:rPr>
              <w:t>675</w:t>
            </w:r>
          </w:p>
        </w:tc>
        <w:tc>
          <w:tcPr>
            <w:tcW w:w="709" w:type="dxa"/>
            <w:tcBorders>
              <w:top w:val="nil"/>
              <w:left w:val="nil"/>
              <w:bottom w:val="nil"/>
              <w:right w:val="nil"/>
            </w:tcBorders>
            <w:vAlign w:val="center"/>
          </w:tcPr>
          <w:p w14:paraId="0FAB701C" w14:textId="25376E80" w:rsidR="000158B0" w:rsidRDefault="000158B0" w:rsidP="000158B0">
            <w:pPr>
              <w:spacing w:after="0" w:line="240" w:lineRule="auto"/>
              <w:jc w:val="right"/>
              <w:rPr>
                <w:rFonts w:cs="Arial"/>
                <w:sz w:val="16"/>
                <w:szCs w:val="16"/>
              </w:rPr>
            </w:pPr>
            <w:r>
              <w:rPr>
                <w:rFonts w:cs="Arial"/>
                <w:sz w:val="16"/>
                <w:szCs w:val="16"/>
              </w:rPr>
              <w:t>531</w:t>
            </w:r>
          </w:p>
        </w:tc>
        <w:tc>
          <w:tcPr>
            <w:tcW w:w="709" w:type="dxa"/>
            <w:tcBorders>
              <w:top w:val="nil"/>
              <w:left w:val="nil"/>
              <w:bottom w:val="nil"/>
              <w:right w:val="nil"/>
            </w:tcBorders>
            <w:vAlign w:val="center"/>
          </w:tcPr>
          <w:p w14:paraId="3722308F" w14:textId="6D8882B3" w:rsidR="000158B0" w:rsidRDefault="000158B0" w:rsidP="000158B0">
            <w:pPr>
              <w:spacing w:after="0" w:line="240" w:lineRule="auto"/>
              <w:jc w:val="right"/>
              <w:rPr>
                <w:rFonts w:cs="Arial"/>
                <w:sz w:val="16"/>
                <w:szCs w:val="16"/>
              </w:rPr>
            </w:pPr>
            <w:r>
              <w:rPr>
                <w:rFonts w:cs="Arial"/>
                <w:sz w:val="16"/>
                <w:szCs w:val="16"/>
              </w:rPr>
              <w:t>144</w:t>
            </w:r>
          </w:p>
        </w:tc>
      </w:tr>
      <w:tr w:rsidR="000158B0" w:rsidRPr="00D92E20" w14:paraId="600CB864" w14:textId="35ADAC8D" w:rsidTr="000158B0">
        <w:trPr>
          <w:trHeight w:val="300"/>
        </w:trPr>
        <w:tc>
          <w:tcPr>
            <w:tcW w:w="1077" w:type="dxa"/>
            <w:tcBorders>
              <w:top w:val="nil"/>
              <w:left w:val="nil"/>
              <w:bottom w:val="nil"/>
              <w:right w:val="single" w:sz="4" w:space="0" w:color="auto"/>
            </w:tcBorders>
            <w:shd w:val="clear" w:color="auto" w:fill="auto"/>
            <w:vAlign w:val="center"/>
            <w:hideMark/>
          </w:tcPr>
          <w:p w14:paraId="2852FA3E" w14:textId="2341B939" w:rsidR="000158B0" w:rsidRPr="00D92E20" w:rsidRDefault="000158B0" w:rsidP="000158B0">
            <w:pPr>
              <w:spacing w:after="0" w:line="240" w:lineRule="auto"/>
              <w:jc w:val="center"/>
              <w:rPr>
                <w:rFonts w:cs="Arial"/>
                <w:color w:val="000000"/>
                <w:sz w:val="16"/>
                <w:szCs w:val="16"/>
              </w:rPr>
            </w:pPr>
            <w:r>
              <w:rPr>
                <w:rFonts w:cs="Arial"/>
                <w:sz w:val="16"/>
                <w:szCs w:val="16"/>
              </w:rPr>
              <w:t>1. pol. 2014</w:t>
            </w:r>
          </w:p>
        </w:tc>
        <w:tc>
          <w:tcPr>
            <w:tcW w:w="710" w:type="dxa"/>
            <w:tcBorders>
              <w:top w:val="nil"/>
              <w:left w:val="nil"/>
              <w:bottom w:val="nil"/>
              <w:right w:val="nil"/>
            </w:tcBorders>
            <w:shd w:val="clear" w:color="auto" w:fill="auto"/>
            <w:noWrap/>
            <w:vAlign w:val="center"/>
            <w:hideMark/>
          </w:tcPr>
          <w:p w14:paraId="1256F731" w14:textId="5437435B" w:rsidR="000158B0" w:rsidRPr="00D92E20" w:rsidRDefault="000158B0" w:rsidP="000158B0">
            <w:pPr>
              <w:spacing w:after="0" w:line="240" w:lineRule="auto"/>
              <w:jc w:val="right"/>
              <w:rPr>
                <w:rFonts w:cs="Arial"/>
                <w:color w:val="000000"/>
                <w:sz w:val="16"/>
                <w:szCs w:val="16"/>
              </w:rPr>
            </w:pPr>
            <w:r>
              <w:rPr>
                <w:rFonts w:cs="Arial"/>
                <w:sz w:val="16"/>
                <w:szCs w:val="16"/>
              </w:rPr>
              <w:t>22 223</w:t>
            </w:r>
          </w:p>
        </w:tc>
        <w:tc>
          <w:tcPr>
            <w:tcW w:w="709" w:type="dxa"/>
            <w:tcBorders>
              <w:top w:val="nil"/>
              <w:left w:val="nil"/>
              <w:bottom w:val="nil"/>
              <w:right w:val="nil"/>
            </w:tcBorders>
            <w:shd w:val="clear" w:color="auto" w:fill="auto"/>
            <w:noWrap/>
            <w:vAlign w:val="center"/>
            <w:hideMark/>
          </w:tcPr>
          <w:p w14:paraId="2D55BE09" w14:textId="4EE52420" w:rsidR="000158B0" w:rsidRPr="00D92E20" w:rsidRDefault="000158B0" w:rsidP="000158B0">
            <w:pPr>
              <w:spacing w:after="0" w:line="240" w:lineRule="auto"/>
              <w:jc w:val="right"/>
              <w:rPr>
                <w:rFonts w:cs="Arial"/>
                <w:color w:val="000000"/>
                <w:sz w:val="16"/>
                <w:szCs w:val="16"/>
              </w:rPr>
            </w:pPr>
            <w:r>
              <w:rPr>
                <w:rFonts w:cs="Arial"/>
                <w:sz w:val="16"/>
                <w:szCs w:val="16"/>
              </w:rPr>
              <w:t>15 611</w:t>
            </w:r>
          </w:p>
        </w:tc>
        <w:tc>
          <w:tcPr>
            <w:tcW w:w="709" w:type="dxa"/>
            <w:tcBorders>
              <w:top w:val="nil"/>
              <w:left w:val="nil"/>
              <w:bottom w:val="nil"/>
              <w:right w:val="single" w:sz="4" w:space="0" w:color="auto"/>
            </w:tcBorders>
            <w:shd w:val="clear" w:color="auto" w:fill="auto"/>
            <w:noWrap/>
            <w:vAlign w:val="center"/>
            <w:hideMark/>
          </w:tcPr>
          <w:p w14:paraId="4D6831B1" w14:textId="0A90E43D" w:rsidR="000158B0" w:rsidRPr="00D92E20" w:rsidRDefault="000158B0" w:rsidP="000158B0">
            <w:pPr>
              <w:spacing w:after="0" w:line="240" w:lineRule="auto"/>
              <w:jc w:val="right"/>
              <w:rPr>
                <w:rFonts w:cs="Arial"/>
                <w:color w:val="000000"/>
                <w:sz w:val="16"/>
                <w:szCs w:val="16"/>
              </w:rPr>
            </w:pPr>
            <w:r>
              <w:rPr>
                <w:rFonts w:cs="Arial"/>
                <w:sz w:val="16"/>
                <w:szCs w:val="16"/>
              </w:rPr>
              <w:t>6 612</w:t>
            </w:r>
          </w:p>
        </w:tc>
        <w:tc>
          <w:tcPr>
            <w:tcW w:w="710" w:type="dxa"/>
            <w:tcBorders>
              <w:top w:val="nil"/>
              <w:left w:val="nil"/>
              <w:bottom w:val="nil"/>
              <w:right w:val="nil"/>
            </w:tcBorders>
            <w:shd w:val="clear" w:color="auto" w:fill="auto"/>
            <w:noWrap/>
            <w:vAlign w:val="center"/>
            <w:hideMark/>
          </w:tcPr>
          <w:p w14:paraId="314725A6" w14:textId="11FB2809" w:rsidR="000158B0" w:rsidRPr="00D92E20" w:rsidRDefault="000158B0" w:rsidP="000158B0">
            <w:pPr>
              <w:spacing w:after="0" w:line="240" w:lineRule="auto"/>
              <w:jc w:val="right"/>
              <w:rPr>
                <w:rFonts w:cs="Arial"/>
                <w:color w:val="000000"/>
                <w:sz w:val="16"/>
                <w:szCs w:val="16"/>
              </w:rPr>
            </w:pPr>
            <w:r>
              <w:rPr>
                <w:rFonts w:cs="Arial"/>
                <w:sz w:val="16"/>
                <w:szCs w:val="16"/>
              </w:rPr>
              <w:t>21 754</w:t>
            </w:r>
          </w:p>
        </w:tc>
        <w:tc>
          <w:tcPr>
            <w:tcW w:w="709" w:type="dxa"/>
            <w:tcBorders>
              <w:top w:val="nil"/>
              <w:left w:val="nil"/>
              <w:bottom w:val="nil"/>
              <w:right w:val="nil"/>
            </w:tcBorders>
            <w:shd w:val="clear" w:color="auto" w:fill="auto"/>
            <w:vAlign w:val="center"/>
            <w:hideMark/>
          </w:tcPr>
          <w:p w14:paraId="117C1CB0" w14:textId="66D4BFEB" w:rsidR="000158B0" w:rsidRPr="00D92E20" w:rsidRDefault="000158B0" w:rsidP="000158B0">
            <w:pPr>
              <w:spacing w:after="0" w:line="240" w:lineRule="auto"/>
              <w:jc w:val="right"/>
              <w:rPr>
                <w:rFonts w:cs="Arial"/>
                <w:color w:val="000000"/>
                <w:sz w:val="16"/>
                <w:szCs w:val="16"/>
              </w:rPr>
            </w:pPr>
            <w:r>
              <w:rPr>
                <w:rFonts w:cs="Arial"/>
                <w:sz w:val="16"/>
                <w:szCs w:val="16"/>
              </w:rPr>
              <w:t>15 254</w:t>
            </w:r>
          </w:p>
        </w:tc>
        <w:tc>
          <w:tcPr>
            <w:tcW w:w="709" w:type="dxa"/>
            <w:tcBorders>
              <w:top w:val="nil"/>
              <w:left w:val="nil"/>
              <w:bottom w:val="nil"/>
              <w:right w:val="single" w:sz="4" w:space="0" w:color="auto"/>
            </w:tcBorders>
            <w:shd w:val="clear" w:color="auto" w:fill="auto"/>
            <w:vAlign w:val="center"/>
            <w:hideMark/>
          </w:tcPr>
          <w:p w14:paraId="61653512" w14:textId="72F4CA09" w:rsidR="000158B0" w:rsidRPr="00D92E20" w:rsidRDefault="000158B0" w:rsidP="000158B0">
            <w:pPr>
              <w:spacing w:after="0" w:line="240" w:lineRule="auto"/>
              <w:jc w:val="right"/>
              <w:rPr>
                <w:rFonts w:cs="Arial"/>
                <w:color w:val="000000"/>
                <w:sz w:val="16"/>
                <w:szCs w:val="16"/>
              </w:rPr>
            </w:pPr>
            <w:r>
              <w:rPr>
                <w:rFonts w:cs="Arial"/>
                <w:sz w:val="16"/>
                <w:szCs w:val="16"/>
              </w:rPr>
              <w:t>6 500</w:t>
            </w:r>
          </w:p>
        </w:tc>
        <w:tc>
          <w:tcPr>
            <w:tcW w:w="710" w:type="dxa"/>
            <w:tcBorders>
              <w:top w:val="nil"/>
              <w:left w:val="nil"/>
              <w:bottom w:val="nil"/>
              <w:right w:val="nil"/>
            </w:tcBorders>
            <w:shd w:val="clear" w:color="auto" w:fill="auto"/>
            <w:vAlign w:val="center"/>
            <w:hideMark/>
          </w:tcPr>
          <w:p w14:paraId="02B1E908" w14:textId="429D9A2B" w:rsidR="000158B0" w:rsidRPr="00D92E20" w:rsidRDefault="000158B0" w:rsidP="000158B0">
            <w:pPr>
              <w:spacing w:after="0" w:line="240" w:lineRule="auto"/>
              <w:jc w:val="right"/>
              <w:rPr>
                <w:rFonts w:cs="Arial"/>
                <w:color w:val="000000"/>
                <w:sz w:val="16"/>
                <w:szCs w:val="16"/>
              </w:rPr>
            </w:pPr>
            <w:r>
              <w:rPr>
                <w:rFonts w:cs="Arial"/>
                <w:sz w:val="16"/>
                <w:szCs w:val="16"/>
              </w:rPr>
              <w:t>45</w:t>
            </w:r>
          </w:p>
        </w:tc>
        <w:tc>
          <w:tcPr>
            <w:tcW w:w="709" w:type="dxa"/>
            <w:tcBorders>
              <w:top w:val="nil"/>
              <w:left w:val="nil"/>
              <w:bottom w:val="nil"/>
              <w:right w:val="nil"/>
            </w:tcBorders>
            <w:shd w:val="clear" w:color="auto" w:fill="auto"/>
            <w:vAlign w:val="center"/>
            <w:hideMark/>
          </w:tcPr>
          <w:p w14:paraId="7E45842F" w14:textId="5D28843C" w:rsidR="000158B0" w:rsidRPr="00D92E20" w:rsidRDefault="000158B0" w:rsidP="000158B0">
            <w:pPr>
              <w:spacing w:after="0" w:line="240" w:lineRule="auto"/>
              <w:jc w:val="right"/>
              <w:rPr>
                <w:rFonts w:cs="Arial"/>
                <w:color w:val="000000"/>
                <w:sz w:val="16"/>
                <w:szCs w:val="16"/>
              </w:rPr>
            </w:pPr>
            <w:r>
              <w:rPr>
                <w:rFonts w:cs="Arial"/>
                <w:sz w:val="16"/>
                <w:szCs w:val="16"/>
              </w:rPr>
              <w:t>44</w:t>
            </w:r>
          </w:p>
        </w:tc>
        <w:tc>
          <w:tcPr>
            <w:tcW w:w="709" w:type="dxa"/>
            <w:tcBorders>
              <w:top w:val="nil"/>
              <w:left w:val="nil"/>
              <w:bottom w:val="nil"/>
              <w:right w:val="single" w:sz="4" w:space="0" w:color="auto"/>
            </w:tcBorders>
            <w:shd w:val="clear" w:color="auto" w:fill="auto"/>
            <w:vAlign w:val="center"/>
            <w:hideMark/>
          </w:tcPr>
          <w:p w14:paraId="4BED0CB1" w14:textId="3D9D7738" w:rsidR="000158B0" w:rsidRPr="00D92E20" w:rsidRDefault="000158B0" w:rsidP="000158B0">
            <w:pPr>
              <w:spacing w:after="0" w:line="240" w:lineRule="auto"/>
              <w:jc w:val="right"/>
              <w:rPr>
                <w:rFonts w:cs="Arial"/>
                <w:color w:val="000000"/>
                <w:sz w:val="16"/>
                <w:szCs w:val="16"/>
              </w:rPr>
            </w:pPr>
            <w:r>
              <w:rPr>
                <w:rFonts w:cs="Arial"/>
                <w:sz w:val="16"/>
                <w:szCs w:val="16"/>
              </w:rPr>
              <w:t>1</w:t>
            </w:r>
          </w:p>
        </w:tc>
        <w:tc>
          <w:tcPr>
            <w:tcW w:w="710" w:type="dxa"/>
            <w:tcBorders>
              <w:top w:val="nil"/>
              <w:left w:val="single" w:sz="4" w:space="0" w:color="auto"/>
              <w:bottom w:val="nil"/>
              <w:right w:val="nil"/>
            </w:tcBorders>
            <w:vAlign w:val="center"/>
          </w:tcPr>
          <w:p w14:paraId="778FEB9F" w14:textId="02BF1A49" w:rsidR="000158B0" w:rsidRDefault="000158B0" w:rsidP="000158B0">
            <w:pPr>
              <w:spacing w:after="0" w:line="240" w:lineRule="auto"/>
              <w:jc w:val="right"/>
              <w:rPr>
                <w:rFonts w:cs="Arial"/>
                <w:sz w:val="16"/>
                <w:szCs w:val="16"/>
              </w:rPr>
            </w:pPr>
            <w:r>
              <w:rPr>
                <w:rFonts w:cs="Arial"/>
                <w:sz w:val="16"/>
                <w:szCs w:val="16"/>
              </w:rPr>
              <w:t>704</w:t>
            </w:r>
          </w:p>
        </w:tc>
        <w:tc>
          <w:tcPr>
            <w:tcW w:w="709" w:type="dxa"/>
            <w:tcBorders>
              <w:top w:val="nil"/>
              <w:left w:val="nil"/>
              <w:bottom w:val="nil"/>
              <w:right w:val="nil"/>
            </w:tcBorders>
            <w:vAlign w:val="center"/>
          </w:tcPr>
          <w:p w14:paraId="64B6AEC3" w14:textId="19ABA424" w:rsidR="000158B0" w:rsidRDefault="000158B0" w:rsidP="000158B0">
            <w:pPr>
              <w:spacing w:after="0" w:line="240" w:lineRule="auto"/>
              <w:jc w:val="right"/>
              <w:rPr>
                <w:rFonts w:cs="Arial"/>
                <w:sz w:val="16"/>
                <w:szCs w:val="16"/>
              </w:rPr>
            </w:pPr>
            <w:r>
              <w:rPr>
                <w:rFonts w:cs="Arial"/>
                <w:sz w:val="16"/>
                <w:szCs w:val="16"/>
              </w:rPr>
              <w:t>567</w:t>
            </w:r>
          </w:p>
        </w:tc>
        <w:tc>
          <w:tcPr>
            <w:tcW w:w="709" w:type="dxa"/>
            <w:tcBorders>
              <w:top w:val="nil"/>
              <w:left w:val="nil"/>
              <w:bottom w:val="nil"/>
              <w:right w:val="nil"/>
            </w:tcBorders>
            <w:vAlign w:val="center"/>
          </w:tcPr>
          <w:p w14:paraId="62C16574" w14:textId="5DCBC1DB" w:rsidR="000158B0" w:rsidRDefault="000158B0" w:rsidP="000158B0">
            <w:pPr>
              <w:spacing w:after="0" w:line="240" w:lineRule="auto"/>
              <w:jc w:val="right"/>
              <w:rPr>
                <w:rFonts w:cs="Arial"/>
                <w:sz w:val="16"/>
                <w:szCs w:val="16"/>
              </w:rPr>
            </w:pPr>
            <w:r>
              <w:rPr>
                <w:rFonts w:cs="Arial"/>
                <w:sz w:val="16"/>
                <w:szCs w:val="16"/>
              </w:rPr>
              <w:t>137</w:t>
            </w:r>
          </w:p>
        </w:tc>
      </w:tr>
      <w:tr w:rsidR="000158B0" w:rsidRPr="00D92E20" w14:paraId="0D480EB2" w14:textId="305DF0E1" w:rsidTr="000158B0">
        <w:trPr>
          <w:trHeight w:val="300"/>
        </w:trPr>
        <w:tc>
          <w:tcPr>
            <w:tcW w:w="1077" w:type="dxa"/>
            <w:tcBorders>
              <w:top w:val="nil"/>
              <w:left w:val="nil"/>
              <w:bottom w:val="nil"/>
              <w:right w:val="single" w:sz="4" w:space="0" w:color="auto"/>
            </w:tcBorders>
            <w:shd w:val="clear" w:color="auto" w:fill="auto"/>
            <w:vAlign w:val="center"/>
            <w:hideMark/>
          </w:tcPr>
          <w:p w14:paraId="630AC937" w14:textId="589488CA" w:rsidR="000158B0" w:rsidRPr="00D92E20" w:rsidRDefault="000158B0" w:rsidP="000158B0">
            <w:pPr>
              <w:spacing w:after="0" w:line="240" w:lineRule="auto"/>
              <w:jc w:val="center"/>
              <w:rPr>
                <w:rFonts w:cs="Arial"/>
                <w:color w:val="000000"/>
                <w:sz w:val="16"/>
                <w:szCs w:val="16"/>
              </w:rPr>
            </w:pPr>
            <w:r>
              <w:rPr>
                <w:rFonts w:cs="Arial"/>
                <w:sz w:val="16"/>
                <w:szCs w:val="16"/>
              </w:rPr>
              <w:t>1. pol. 2015</w:t>
            </w:r>
          </w:p>
        </w:tc>
        <w:tc>
          <w:tcPr>
            <w:tcW w:w="710" w:type="dxa"/>
            <w:tcBorders>
              <w:top w:val="nil"/>
              <w:left w:val="nil"/>
              <w:bottom w:val="nil"/>
              <w:right w:val="nil"/>
            </w:tcBorders>
            <w:shd w:val="clear" w:color="auto" w:fill="auto"/>
            <w:noWrap/>
            <w:vAlign w:val="center"/>
            <w:hideMark/>
          </w:tcPr>
          <w:p w14:paraId="2FD62A9C" w14:textId="0C9CF02D" w:rsidR="000158B0" w:rsidRPr="00D92E20" w:rsidRDefault="000158B0" w:rsidP="000158B0">
            <w:pPr>
              <w:spacing w:after="0" w:line="240" w:lineRule="auto"/>
              <w:jc w:val="right"/>
              <w:rPr>
                <w:rFonts w:cs="Arial"/>
                <w:color w:val="000000"/>
                <w:sz w:val="16"/>
                <w:szCs w:val="16"/>
              </w:rPr>
            </w:pPr>
            <w:r>
              <w:rPr>
                <w:rFonts w:cs="Arial"/>
                <w:sz w:val="16"/>
                <w:szCs w:val="16"/>
              </w:rPr>
              <w:t>23 461</w:t>
            </w:r>
          </w:p>
        </w:tc>
        <w:tc>
          <w:tcPr>
            <w:tcW w:w="709" w:type="dxa"/>
            <w:tcBorders>
              <w:top w:val="nil"/>
              <w:left w:val="nil"/>
              <w:bottom w:val="nil"/>
              <w:right w:val="nil"/>
            </w:tcBorders>
            <w:shd w:val="clear" w:color="auto" w:fill="auto"/>
            <w:noWrap/>
            <w:vAlign w:val="center"/>
            <w:hideMark/>
          </w:tcPr>
          <w:p w14:paraId="462D5E2A" w14:textId="2A1A19ED" w:rsidR="000158B0" w:rsidRPr="00D92E20" w:rsidRDefault="000158B0" w:rsidP="000158B0">
            <w:pPr>
              <w:spacing w:after="0" w:line="240" w:lineRule="auto"/>
              <w:jc w:val="right"/>
              <w:rPr>
                <w:rFonts w:cs="Arial"/>
                <w:color w:val="000000"/>
                <w:sz w:val="16"/>
                <w:szCs w:val="16"/>
              </w:rPr>
            </w:pPr>
            <w:r>
              <w:rPr>
                <w:rFonts w:cs="Arial"/>
                <w:sz w:val="16"/>
                <w:szCs w:val="16"/>
              </w:rPr>
              <w:t>16 114</w:t>
            </w:r>
          </w:p>
        </w:tc>
        <w:tc>
          <w:tcPr>
            <w:tcW w:w="709" w:type="dxa"/>
            <w:tcBorders>
              <w:top w:val="nil"/>
              <w:left w:val="nil"/>
              <w:bottom w:val="nil"/>
              <w:right w:val="single" w:sz="4" w:space="0" w:color="auto"/>
            </w:tcBorders>
            <w:shd w:val="clear" w:color="auto" w:fill="auto"/>
            <w:noWrap/>
            <w:vAlign w:val="center"/>
            <w:hideMark/>
          </w:tcPr>
          <w:p w14:paraId="558253A3" w14:textId="22CB3B23" w:rsidR="000158B0" w:rsidRPr="00D92E20" w:rsidRDefault="000158B0" w:rsidP="000158B0">
            <w:pPr>
              <w:spacing w:after="0" w:line="240" w:lineRule="auto"/>
              <w:jc w:val="right"/>
              <w:rPr>
                <w:rFonts w:cs="Arial"/>
                <w:color w:val="000000"/>
                <w:sz w:val="16"/>
                <w:szCs w:val="16"/>
              </w:rPr>
            </w:pPr>
            <w:r>
              <w:rPr>
                <w:rFonts w:cs="Arial"/>
                <w:sz w:val="16"/>
                <w:szCs w:val="16"/>
              </w:rPr>
              <w:t>7 347</w:t>
            </w:r>
          </w:p>
        </w:tc>
        <w:tc>
          <w:tcPr>
            <w:tcW w:w="710" w:type="dxa"/>
            <w:tcBorders>
              <w:top w:val="nil"/>
              <w:left w:val="nil"/>
              <w:bottom w:val="nil"/>
              <w:right w:val="nil"/>
            </w:tcBorders>
            <w:shd w:val="clear" w:color="auto" w:fill="auto"/>
            <w:noWrap/>
            <w:vAlign w:val="center"/>
            <w:hideMark/>
          </w:tcPr>
          <w:p w14:paraId="03CF8104" w14:textId="009BED51" w:rsidR="000158B0" w:rsidRPr="00D92E20" w:rsidRDefault="000158B0" w:rsidP="000158B0">
            <w:pPr>
              <w:spacing w:after="0" w:line="240" w:lineRule="auto"/>
              <w:jc w:val="right"/>
              <w:rPr>
                <w:rFonts w:cs="Arial"/>
                <w:color w:val="000000"/>
                <w:sz w:val="16"/>
                <w:szCs w:val="16"/>
              </w:rPr>
            </w:pPr>
            <w:r>
              <w:rPr>
                <w:rFonts w:cs="Arial"/>
                <w:sz w:val="16"/>
                <w:szCs w:val="16"/>
              </w:rPr>
              <w:t>22 860</w:t>
            </w:r>
          </w:p>
        </w:tc>
        <w:tc>
          <w:tcPr>
            <w:tcW w:w="709" w:type="dxa"/>
            <w:tcBorders>
              <w:top w:val="nil"/>
              <w:left w:val="nil"/>
              <w:bottom w:val="nil"/>
              <w:right w:val="nil"/>
            </w:tcBorders>
            <w:shd w:val="clear" w:color="auto" w:fill="auto"/>
            <w:vAlign w:val="center"/>
            <w:hideMark/>
          </w:tcPr>
          <w:p w14:paraId="4A95200A" w14:textId="0B8AE32F" w:rsidR="000158B0" w:rsidRPr="00D92E20" w:rsidRDefault="000158B0" w:rsidP="000158B0">
            <w:pPr>
              <w:spacing w:after="0" w:line="240" w:lineRule="auto"/>
              <w:jc w:val="right"/>
              <w:rPr>
                <w:rFonts w:cs="Arial"/>
                <w:color w:val="000000"/>
                <w:sz w:val="16"/>
                <w:szCs w:val="16"/>
              </w:rPr>
            </w:pPr>
            <w:r>
              <w:rPr>
                <w:rFonts w:cs="Arial"/>
                <w:sz w:val="16"/>
                <w:szCs w:val="16"/>
              </w:rPr>
              <w:t>15 682</w:t>
            </w:r>
          </w:p>
        </w:tc>
        <w:tc>
          <w:tcPr>
            <w:tcW w:w="709" w:type="dxa"/>
            <w:tcBorders>
              <w:top w:val="nil"/>
              <w:left w:val="nil"/>
              <w:bottom w:val="nil"/>
              <w:right w:val="single" w:sz="4" w:space="0" w:color="auto"/>
            </w:tcBorders>
            <w:shd w:val="clear" w:color="auto" w:fill="auto"/>
            <w:vAlign w:val="center"/>
            <w:hideMark/>
          </w:tcPr>
          <w:p w14:paraId="55FAF234" w14:textId="58361C19" w:rsidR="000158B0" w:rsidRPr="00D92E20" w:rsidRDefault="000158B0" w:rsidP="000158B0">
            <w:pPr>
              <w:spacing w:after="0" w:line="240" w:lineRule="auto"/>
              <w:jc w:val="right"/>
              <w:rPr>
                <w:rFonts w:cs="Arial"/>
                <w:color w:val="000000"/>
                <w:sz w:val="16"/>
                <w:szCs w:val="16"/>
              </w:rPr>
            </w:pPr>
            <w:r>
              <w:rPr>
                <w:rFonts w:cs="Arial"/>
                <w:sz w:val="16"/>
                <w:szCs w:val="16"/>
              </w:rPr>
              <w:t>7 178</w:t>
            </w:r>
          </w:p>
        </w:tc>
        <w:tc>
          <w:tcPr>
            <w:tcW w:w="710" w:type="dxa"/>
            <w:tcBorders>
              <w:top w:val="nil"/>
              <w:left w:val="nil"/>
              <w:bottom w:val="nil"/>
              <w:right w:val="nil"/>
            </w:tcBorders>
            <w:shd w:val="clear" w:color="auto" w:fill="auto"/>
            <w:vAlign w:val="center"/>
            <w:hideMark/>
          </w:tcPr>
          <w:p w14:paraId="172A952D" w14:textId="013714AB" w:rsidR="000158B0" w:rsidRPr="00D92E20" w:rsidRDefault="000158B0" w:rsidP="000158B0">
            <w:pPr>
              <w:spacing w:after="0" w:line="240" w:lineRule="auto"/>
              <w:jc w:val="right"/>
              <w:rPr>
                <w:rFonts w:cs="Arial"/>
                <w:color w:val="000000"/>
                <w:sz w:val="16"/>
                <w:szCs w:val="16"/>
              </w:rPr>
            </w:pPr>
            <w:r>
              <w:rPr>
                <w:rFonts w:cs="Arial"/>
                <w:sz w:val="16"/>
                <w:szCs w:val="16"/>
              </w:rPr>
              <w:t>51</w:t>
            </w:r>
          </w:p>
        </w:tc>
        <w:tc>
          <w:tcPr>
            <w:tcW w:w="709" w:type="dxa"/>
            <w:tcBorders>
              <w:top w:val="nil"/>
              <w:left w:val="nil"/>
              <w:bottom w:val="nil"/>
              <w:right w:val="nil"/>
            </w:tcBorders>
            <w:shd w:val="clear" w:color="auto" w:fill="auto"/>
            <w:vAlign w:val="center"/>
            <w:hideMark/>
          </w:tcPr>
          <w:p w14:paraId="57A9A27B" w14:textId="30E92B54" w:rsidR="000158B0" w:rsidRPr="00D92E20" w:rsidRDefault="000158B0" w:rsidP="000158B0">
            <w:pPr>
              <w:spacing w:after="0" w:line="240" w:lineRule="auto"/>
              <w:jc w:val="right"/>
              <w:rPr>
                <w:rFonts w:cs="Arial"/>
                <w:color w:val="000000"/>
                <w:sz w:val="16"/>
                <w:szCs w:val="16"/>
              </w:rPr>
            </w:pPr>
            <w:r>
              <w:rPr>
                <w:rFonts w:cs="Arial"/>
                <w:sz w:val="16"/>
                <w:szCs w:val="16"/>
              </w:rPr>
              <w:t>48</w:t>
            </w:r>
          </w:p>
        </w:tc>
        <w:tc>
          <w:tcPr>
            <w:tcW w:w="709" w:type="dxa"/>
            <w:tcBorders>
              <w:top w:val="nil"/>
              <w:left w:val="nil"/>
              <w:bottom w:val="nil"/>
              <w:right w:val="single" w:sz="4" w:space="0" w:color="auto"/>
            </w:tcBorders>
            <w:shd w:val="clear" w:color="auto" w:fill="auto"/>
            <w:vAlign w:val="center"/>
            <w:hideMark/>
          </w:tcPr>
          <w:p w14:paraId="21CB3F4C" w14:textId="57B92B09" w:rsidR="000158B0" w:rsidRPr="00D92E20" w:rsidRDefault="000158B0" w:rsidP="000158B0">
            <w:pPr>
              <w:spacing w:after="0" w:line="240" w:lineRule="auto"/>
              <w:jc w:val="right"/>
              <w:rPr>
                <w:rFonts w:cs="Arial"/>
                <w:color w:val="000000"/>
                <w:sz w:val="16"/>
                <w:szCs w:val="16"/>
              </w:rPr>
            </w:pPr>
            <w:r>
              <w:rPr>
                <w:rFonts w:cs="Arial"/>
                <w:sz w:val="16"/>
                <w:szCs w:val="16"/>
              </w:rPr>
              <w:t>3</w:t>
            </w:r>
          </w:p>
        </w:tc>
        <w:tc>
          <w:tcPr>
            <w:tcW w:w="710" w:type="dxa"/>
            <w:tcBorders>
              <w:top w:val="nil"/>
              <w:left w:val="single" w:sz="4" w:space="0" w:color="auto"/>
              <w:bottom w:val="nil"/>
              <w:right w:val="nil"/>
            </w:tcBorders>
            <w:vAlign w:val="center"/>
          </w:tcPr>
          <w:p w14:paraId="63604B1D" w14:textId="36BEF8E5" w:rsidR="000158B0" w:rsidRDefault="000158B0" w:rsidP="000158B0">
            <w:pPr>
              <w:spacing w:after="0" w:line="240" w:lineRule="auto"/>
              <w:jc w:val="right"/>
              <w:rPr>
                <w:rFonts w:cs="Arial"/>
                <w:sz w:val="16"/>
                <w:szCs w:val="16"/>
              </w:rPr>
            </w:pPr>
            <w:r>
              <w:rPr>
                <w:rFonts w:cs="Arial"/>
                <w:sz w:val="16"/>
                <w:szCs w:val="16"/>
              </w:rPr>
              <w:t>662</w:t>
            </w:r>
          </w:p>
        </w:tc>
        <w:tc>
          <w:tcPr>
            <w:tcW w:w="709" w:type="dxa"/>
            <w:tcBorders>
              <w:top w:val="nil"/>
              <w:left w:val="nil"/>
              <w:bottom w:val="nil"/>
              <w:right w:val="nil"/>
            </w:tcBorders>
            <w:vAlign w:val="center"/>
          </w:tcPr>
          <w:p w14:paraId="013B909F" w14:textId="7A39F6FE" w:rsidR="000158B0" w:rsidRDefault="000158B0" w:rsidP="000158B0">
            <w:pPr>
              <w:spacing w:after="0" w:line="240" w:lineRule="auto"/>
              <w:jc w:val="right"/>
              <w:rPr>
                <w:rFonts w:cs="Arial"/>
                <w:sz w:val="16"/>
                <w:szCs w:val="16"/>
              </w:rPr>
            </w:pPr>
            <w:r>
              <w:rPr>
                <w:rFonts w:cs="Arial"/>
                <w:sz w:val="16"/>
                <w:szCs w:val="16"/>
              </w:rPr>
              <w:t>548</w:t>
            </w:r>
          </w:p>
        </w:tc>
        <w:tc>
          <w:tcPr>
            <w:tcW w:w="709" w:type="dxa"/>
            <w:tcBorders>
              <w:top w:val="nil"/>
              <w:left w:val="nil"/>
              <w:bottom w:val="nil"/>
              <w:right w:val="nil"/>
            </w:tcBorders>
            <w:vAlign w:val="center"/>
          </w:tcPr>
          <w:p w14:paraId="1EEEA422" w14:textId="5BCD5FD8" w:rsidR="000158B0" w:rsidRDefault="000158B0" w:rsidP="000158B0">
            <w:pPr>
              <w:spacing w:after="0" w:line="240" w:lineRule="auto"/>
              <w:jc w:val="right"/>
              <w:rPr>
                <w:rFonts w:cs="Arial"/>
                <w:sz w:val="16"/>
                <w:szCs w:val="16"/>
              </w:rPr>
            </w:pPr>
            <w:r>
              <w:rPr>
                <w:rFonts w:cs="Arial"/>
                <w:sz w:val="16"/>
                <w:szCs w:val="16"/>
              </w:rPr>
              <w:t>114</w:t>
            </w:r>
          </w:p>
        </w:tc>
      </w:tr>
      <w:tr w:rsidR="000158B0" w:rsidRPr="00D92E20" w14:paraId="2C1F54C8" w14:textId="441B6F43" w:rsidTr="000158B0">
        <w:trPr>
          <w:trHeight w:val="300"/>
        </w:trPr>
        <w:tc>
          <w:tcPr>
            <w:tcW w:w="1077" w:type="dxa"/>
            <w:tcBorders>
              <w:top w:val="nil"/>
              <w:left w:val="nil"/>
              <w:bottom w:val="nil"/>
              <w:right w:val="single" w:sz="4" w:space="0" w:color="auto"/>
            </w:tcBorders>
            <w:shd w:val="clear" w:color="auto" w:fill="auto"/>
            <w:vAlign w:val="center"/>
            <w:hideMark/>
          </w:tcPr>
          <w:p w14:paraId="20686C1A" w14:textId="46CDE523" w:rsidR="000158B0" w:rsidRPr="00D92E20" w:rsidRDefault="000158B0" w:rsidP="000158B0">
            <w:pPr>
              <w:spacing w:after="0" w:line="240" w:lineRule="auto"/>
              <w:jc w:val="center"/>
              <w:rPr>
                <w:rFonts w:cs="Arial"/>
                <w:color w:val="000000"/>
                <w:sz w:val="16"/>
                <w:szCs w:val="16"/>
              </w:rPr>
            </w:pPr>
            <w:r>
              <w:rPr>
                <w:rFonts w:cs="Arial"/>
                <w:sz w:val="16"/>
                <w:szCs w:val="16"/>
              </w:rPr>
              <w:t>1. pol. 2016</w:t>
            </w:r>
          </w:p>
        </w:tc>
        <w:tc>
          <w:tcPr>
            <w:tcW w:w="710" w:type="dxa"/>
            <w:tcBorders>
              <w:top w:val="nil"/>
              <w:left w:val="nil"/>
              <w:bottom w:val="nil"/>
              <w:right w:val="nil"/>
            </w:tcBorders>
            <w:shd w:val="clear" w:color="auto" w:fill="auto"/>
            <w:vAlign w:val="center"/>
            <w:hideMark/>
          </w:tcPr>
          <w:p w14:paraId="6107E614" w14:textId="1418A89B" w:rsidR="000158B0" w:rsidRPr="00D92E20" w:rsidRDefault="000158B0" w:rsidP="000158B0">
            <w:pPr>
              <w:spacing w:after="0" w:line="240" w:lineRule="auto"/>
              <w:jc w:val="right"/>
              <w:rPr>
                <w:rFonts w:cs="Arial"/>
                <w:color w:val="000000"/>
                <w:sz w:val="16"/>
                <w:szCs w:val="16"/>
              </w:rPr>
            </w:pPr>
            <w:r>
              <w:rPr>
                <w:rFonts w:cs="Arial"/>
                <w:sz w:val="16"/>
                <w:szCs w:val="16"/>
              </w:rPr>
              <w:t>24 870</w:t>
            </w:r>
          </w:p>
        </w:tc>
        <w:tc>
          <w:tcPr>
            <w:tcW w:w="709" w:type="dxa"/>
            <w:tcBorders>
              <w:top w:val="nil"/>
              <w:left w:val="nil"/>
              <w:bottom w:val="nil"/>
              <w:right w:val="nil"/>
            </w:tcBorders>
            <w:shd w:val="clear" w:color="auto" w:fill="auto"/>
            <w:noWrap/>
            <w:vAlign w:val="center"/>
            <w:hideMark/>
          </w:tcPr>
          <w:p w14:paraId="071275CB" w14:textId="23228B28" w:rsidR="000158B0" w:rsidRPr="00D92E20" w:rsidRDefault="000158B0" w:rsidP="000158B0">
            <w:pPr>
              <w:spacing w:after="0" w:line="240" w:lineRule="auto"/>
              <w:jc w:val="right"/>
              <w:rPr>
                <w:rFonts w:cs="Arial"/>
                <w:color w:val="000000"/>
                <w:sz w:val="16"/>
                <w:szCs w:val="16"/>
              </w:rPr>
            </w:pPr>
            <w:r>
              <w:rPr>
                <w:rFonts w:cs="Arial"/>
                <w:sz w:val="16"/>
                <w:szCs w:val="16"/>
              </w:rPr>
              <w:t>17 111</w:t>
            </w:r>
          </w:p>
        </w:tc>
        <w:tc>
          <w:tcPr>
            <w:tcW w:w="709" w:type="dxa"/>
            <w:tcBorders>
              <w:top w:val="nil"/>
              <w:left w:val="nil"/>
              <w:bottom w:val="nil"/>
              <w:right w:val="single" w:sz="4" w:space="0" w:color="auto"/>
            </w:tcBorders>
            <w:shd w:val="clear" w:color="auto" w:fill="auto"/>
            <w:noWrap/>
            <w:vAlign w:val="center"/>
            <w:hideMark/>
          </w:tcPr>
          <w:p w14:paraId="6A3DAF21" w14:textId="02DF6CF4" w:rsidR="000158B0" w:rsidRPr="00D92E20" w:rsidRDefault="000158B0" w:rsidP="000158B0">
            <w:pPr>
              <w:spacing w:after="0" w:line="240" w:lineRule="auto"/>
              <w:jc w:val="right"/>
              <w:rPr>
                <w:rFonts w:cs="Arial"/>
                <w:color w:val="000000"/>
                <w:sz w:val="16"/>
                <w:szCs w:val="16"/>
              </w:rPr>
            </w:pPr>
            <w:r>
              <w:rPr>
                <w:rFonts w:cs="Arial"/>
                <w:sz w:val="16"/>
                <w:szCs w:val="16"/>
              </w:rPr>
              <w:t>7 759</w:t>
            </w:r>
          </w:p>
        </w:tc>
        <w:tc>
          <w:tcPr>
            <w:tcW w:w="710" w:type="dxa"/>
            <w:tcBorders>
              <w:top w:val="nil"/>
              <w:left w:val="nil"/>
              <w:bottom w:val="nil"/>
              <w:right w:val="nil"/>
            </w:tcBorders>
            <w:shd w:val="clear" w:color="auto" w:fill="auto"/>
            <w:noWrap/>
            <w:vAlign w:val="center"/>
            <w:hideMark/>
          </w:tcPr>
          <w:p w14:paraId="5B7482A4" w14:textId="15D4BDF4" w:rsidR="000158B0" w:rsidRPr="00D92E20" w:rsidRDefault="000158B0" w:rsidP="000158B0">
            <w:pPr>
              <w:spacing w:after="0" w:line="240" w:lineRule="auto"/>
              <w:jc w:val="right"/>
              <w:rPr>
                <w:rFonts w:cs="Arial"/>
                <w:color w:val="000000"/>
                <w:sz w:val="16"/>
                <w:szCs w:val="16"/>
              </w:rPr>
            </w:pPr>
            <w:r>
              <w:rPr>
                <w:rFonts w:cs="Arial"/>
                <w:color w:val="000000"/>
                <w:sz w:val="16"/>
                <w:szCs w:val="16"/>
              </w:rPr>
              <w:t>24 158</w:t>
            </w:r>
          </w:p>
        </w:tc>
        <w:tc>
          <w:tcPr>
            <w:tcW w:w="709" w:type="dxa"/>
            <w:tcBorders>
              <w:top w:val="nil"/>
              <w:left w:val="nil"/>
              <w:bottom w:val="nil"/>
              <w:right w:val="nil"/>
            </w:tcBorders>
            <w:shd w:val="clear" w:color="auto" w:fill="auto"/>
            <w:vAlign w:val="center"/>
            <w:hideMark/>
          </w:tcPr>
          <w:p w14:paraId="1FC4BEDF" w14:textId="034FC1AF" w:rsidR="000158B0" w:rsidRPr="00D92E20" w:rsidRDefault="000158B0" w:rsidP="000158B0">
            <w:pPr>
              <w:spacing w:after="0" w:line="240" w:lineRule="auto"/>
              <w:jc w:val="right"/>
              <w:rPr>
                <w:rFonts w:cs="Arial"/>
                <w:color w:val="000000"/>
                <w:sz w:val="16"/>
                <w:szCs w:val="16"/>
              </w:rPr>
            </w:pPr>
            <w:r>
              <w:rPr>
                <w:rFonts w:cs="Arial"/>
                <w:sz w:val="16"/>
                <w:szCs w:val="16"/>
              </w:rPr>
              <w:t>16 588</w:t>
            </w:r>
          </w:p>
        </w:tc>
        <w:tc>
          <w:tcPr>
            <w:tcW w:w="709" w:type="dxa"/>
            <w:tcBorders>
              <w:top w:val="nil"/>
              <w:left w:val="nil"/>
              <w:bottom w:val="nil"/>
              <w:right w:val="single" w:sz="4" w:space="0" w:color="auto"/>
            </w:tcBorders>
            <w:shd w:val="clear" w:color="auto" w:fill="auto"/>
            <w:vAlign w:val="center"/>
            <w:hideMark/>
          </w:tcPr>
          <w:p w14:paraId="59DB3D10" w14:textId="3BFD698F" w:rsidR="000158B0" w:rsidRPr="00D92E20" w:rsidRDefault="000158B0" w:rsidP="000158B0">
            <w:pPr>
              <w:spacing w:after="0" w:line="240" w:lineRule="auto"/>
              <w:jc w:val="right"/>
              <w:rPr>
                <w:rFonts w:cs="Arial"/>
                <w:color w:val="000000"/>
                <w:sz w:val="16"/>
                <w:szCs w:val="16"/>
              </w:rPr>
            </w:pPr>
            <w:r>
              <w:rPr>
                <w:rFonts w:cs="Arial"/>
                <w:color w:val="000000"/>
                <w:sz w:val="16"/>
                <w:szCs w:val="16"/>
              </w:rPr>
              <w:t>7 570</w:t>
            </w:r>
          </w:p>
        </w:tc>
        <w:tc>
          <w:tcPr>
            <w:tcW w:w="710" w:type="dxa"/>
            <w:tcBorders>
              <w:top w:val="nil"/>
              <w:left w:val="nil"/>
              <w:bottom w:val="nil"/>
              <w:right w:val="nil"/>
            </w:tcBorders>
            <w:shd w:val="clear" w:color="auto" w:fill="auto"/>
            <w:vAlign w:val="center"/>
            <w:hideMark/>
          </w:tcPr>
          <w:p w14:paraId="4AC276AA" w14:textId="1288EB5F" w:rsidR="000158B0" w:rsidRPr="00D92E20" w:rsidRDefault="000158B0" w:rsidP="000158B0">
            <w:pPr>
              <w:spacing w:after="0" w:line="240" w:lineRule="auto"/>
              <w:jc w:val="right"/>
              <w:rPr>
                <w:rFonts w:cs="Arial"/>
                <w:color w:val="000000"/>
                <w:sz w:val="16"/>
                <w:szCs w:val="16"/>
              </w:rPr>
            </w:pPr>
            <w:r>
              <w:rPr>
                <w:rFonts w:cs="Arial"/>
                <w:sz w:val="16"/>
                <w:szCs w:val="16"/>
              </w:rPr>
              <w:t>49</w:t>
            </w:r>
          </w:p>
        </w:tc>
        <w:tc>
          <w:tcPr>
            <w:tcW w:w="709" w:type="dxa"/>
            <w:tcBorders>
              <w:top w:val="nil"/>
              <w:left w:val="nil"/>
              <w:bottom w:val="nil"/>
              <w:right w:val="nil"/>
            </w:tcBorders>
            <w:shd w:val="clear" w:color="auto" w:fill="auto"/>
            <w:vAlign w:val="center"/>
            <w:hideMark/>
          </w:tcPr>
          <w:p w14:paraId="214F2828" w14:textId="6C83456C" w:rsidR="000158B0" w:rsidRPr="00D92E20" w:rsidRDefault="000158B0" w:rsidP="000158B0">
            <w:pPr>
              <w:spacing w:after="0" w:line="240" w:lineRule="auto"/>
              <w:jc w:val="right"/>
              <w:rPr>
                <w:rFonts w:cs="Arial"/>
                <w:color w:val="000000"/>
                <w:sz w:val="16"/>
                <w:szCs w:val="16"/>
              </w:rPr>
            </w:pPr>
            <w:r>
              <w:rPr>
                <w:rFonts w:cs="Arial"/>
                <w:sz w:val="16"/>
                <w:szCs w:val="16"/>
              </w:rPr>
              <w:t>47</w:t>
            </w:r>
          </w:p>
        </w:tc>
        <w:tc>
          <w:tcPr>
            <w:tcW w:w="709" w:type="dxa"/>
            <w:tcBorders>
              <w:top w:val="nil"/>
              <w:left w:val="nil"/>
              <w:bottom w:val="nil"/>
              <w:right w:val="single" w:sz="4" w:space="0" w:color="auto"/>
            </w:tcBorders>
            <w:shd w:val="clear" w:color="auto" w:fill="auto"/>
            <w:vAlign w:val="center"/>
            <w:hideMark/>
          </w:tcPr>
          <w:p w14:paraId="74C45C8C" w14:textId="6112E1AD" w:rsidR="000158B0" w:rsidRPr="00D92E20" w:rsidRDefault="000158B0" w:rsidP="000158B0">
            <w:pPr>
              <w:spacing w:after="0" w:line="240" w:lineRule="auto"/>
              <w:jc w:val="right"/>
              <w:rPr>
                <w:rFonts w:cs="Arial"/>
                <w:color w:val="000000"/>
                <w:sz w:val="16"/>
                <w:szCs w:val="16"/>
              </w:rPr>
            </w:pPr>
            <w:r>
              <w:rPr>
                <w:rFonts w:cs="Arial"/>
                <w:sz w:val="16"/>
                <w:szCs w:val="16"/>
              </w:rPr>
              <w:t>2</w:t>
            </w:r>
          </w:p>
        </w:tc>
        <w:tc>
          <w:tcPr>
            <w:tcW w:w="710" w:type="dxa"/>
            <w:tcBorders>
              <w:top w:val="nil"/>
              <w:left w:val="single" w:sz="4" w:space="0" w:color="auto"/>
              <w:bottom w:val="nil"/>
              <w:right w:val="nil"/>
            </w:tcBorders>
            <w:vAlign w:val="center"/>
          </w:tcPr>
          <w:p w14:paraId="15916A12" w14:textId="41A1F354" w:rsidR="000158B0" w:rsidRDefault="000158B0" w:rsidP="000158B0">
            <w:pPr>
              <w:spacing w:after="0" w:line="240" w:lineRule="auto"/>
              <w:jc w:val="right"/>
              <w:rPr>
                <w:rFonts w:cs="Arial"/>
                <w:sz w:val="16"/>
                <w:szCs w:val="16"/>
              </w:rPr>
            </w:pPr>
            <w:r>
              <w:rPr>
                <w:rFonts w:cs="Arial"/>
                <w:sz w:val="16"/>
                <w:szCs w:val="16"/>
              </w:rPr>
              <w:t>677</w:t>
            </w:r>
          </w:p>
        </w:tc>
        <w:tc>
          <w:tcPr>
            <w:tcW w:w="709" w:type="dxa"/>
            <w:tcBorders>
              <w:top w:val="nil"/>
              <w:left w:val="nil"/>
              <w:bottom w:val="nil"/>
              <w:right w:val="nil"/>
            </w:tcBorders>
            <w:vAlign w:val="center"/>
          </w:tcPr>
          <w:p w14:paraId="4411957D" w14:textId="1CEC0DBD" w:rsidR="000158B0" w:rsidRDefault="000158B0" w:rsidP="000158B0">
            <w:pPr>
              <w:spacing w:after="0" w:line="240" w:lineRule="auto"/>
              <w:jc w:val="right"/>
              <w:rPr>
                <w:rFonts w:cs="Arial"/>
                <w:sz w:val="16"/>
                <w:szCs w:val="16"/>
              </w:rPr>
            </w:pPr>
            <w:r>
              <w:rPr>
                <w:rFonts w:cs="Arial"/>
                <w:sz w:val="16"/>
                <w:szCs w:val="16"/>
              </w:rPr>
              <w:t>550</w:t>
            </w:r>
          </w:p>
        </w:tc>
        <w:tc>
          <w:tcPr>
            <w:tcW w:w="709" w:type="dxa"/>
            <w:tcBorders>
              <w:top w:val="nil"/>
              <w:left w:val="nil"/>
              <w:bottom w:val="nil"/>
              <w:right w:val="nil"/>
            </w:tcBorders>
            <w:vAlign w:val="center"/>
          </w:tcPr>
          <w:p w14:paraId="6B883F0B" w14:textId="3D4DF914" w:rsidR="000158B0" w:rsidRDefault="000158B0" w:rsidP="000158B0">
            <w:pPr>
              <w:spacing w:after="0" w:line="240" w:lineRule="auto"/>
              <w:jc w:val="right"/>
              <w:rPr>
                <w:rFonts w:cs="Arial"/>
                <w:sz w:val="16"/>
                <w:szCs w:val="16"/>
              </w:rPr>
            </w:pPr>
            <w:r>
              <w:rPr>
                <w:rFonts w:cs="Arial"/>
                <w:sz w:val="16"/>
                <w:szCs w:val="16"/>
              </w:rPr>
              <w:t>127</w:t>
            </w:r>
          </w:p>
        </w:tc>
      </w:tr>
      <w:tr w:rsidR="000158B0" w:rsidRPr="00D92E20" w14:paraId="6B5EC041" w14:textId="64E783CD" w:rsidTr="000158B0">
        <w:trPr>
          <w:trHeight w:val="300"/>
        </w:trPr>
        <w:tc>
          <w:tcPr>
            <w:tcW w:w="1077" w:type="dxa"/>
            <w:tcBorders>
              <w:top w:val="nil"/>
              <w:left w:val="nil"/>
              <w:bottom w:val="nil"/>
              <w:right w:val="single" w:sz="4" w:space="0" w:color="auto"/>
            </w:tcBorders>
            <w:shd w:val="clear" w:color="auto" w:fill="auto"/>
            <w:vAlign w:val="center"/>
            <w:hideMark/>
          </w:tcPr>
          <w:p w14:paraId="4904421D" w14:textId="4272865D" w:rsidR="000158B0" w:rsidRPr="00D92E20" w:rsidRDefault="000158B0" w:rsidP="000158B0">
            <w:pPr>
              <w:spacing w:after="0" w:line="240" w:lineRule="auto"/>
              <w:jc w:val="center"/>
              <w:rPr>
                <w:rFonts w:cs="Arial"/>
                <w:color w:val="000000"/>
                <w:sz w:val="16"/>
                <w:szCs w:val="16"/>
              </w:rPr>
            </w:pPr>
            <w:r>
              <w:rPr>
                <w:rFonts w:cs="Arial"/>
                <w:sz w:val="16"/>
                <w:szCs w:val="16"/>
              </w:rPr>
              <w:t>1. pol. 2017</w:t>
            </w:r>
          </w:p>
        </w:tc>
        <w:tc>
          <w:tcPr>
            <w:tcW w:w="710" w:type="dxa"/>
            <w:tcBorders>
              <w:top w:val="nil"/>
              <w:left w:val="nil"/>
              <w:bottom w:val="nil"/>
              <w:right w:val="nil"/>
            </w:tcBorders>
            <w:shd w:val="clear" w:color="auto" w:fill="auto"/>
            <w:noWrap/>
            <w:vAlign w:val="center"/>
            <w:hideMark/>
          </w:tcPr>
          <w:p w14:paraId="43693AFC" w14:textId="1EAC1C87" w:rsidR="000158B0" w:rsidRPr="00D92E20" w:rsidRDefault="000158B0" w:rsidP="000158B0">
            <w:pPr>
              <w:spacing w:after="0" w:line="240" w:lineRule="auto"/>
              <w:jc w:val="right"/>
              <w:rPr>
                <w:rFonts w:cs="Arial"/>
                <w:color w:val="000000"/>
                <w:sz w:val="16"/>
                <w:szCs w:val="16"/>
              </w:rPr>
            </w:pPr>
            <w:r>
              <w:rPr>
                <w:rFonts w:cs="Arial"/>
                <w:sz w:val="16"/>
                <w:szCs w:val="16"/>
              </w:rPr>
              <w:t>24 732</w:t>
            </w:r>
          </w:p>
        </w:tc>
        <w:tc>
          <w:tcPr>
            <w:tcW w:w="709" w:type="dxa"/>
            <w:tcBorders>
              <w:top w:val="nil"/>
              <w:left w:val="nil"/>
              <w:bottom w:val="nil"/>
              <w:right w:val="nil"/>
            </w:tcBorders>
            <w:shd w:val="clear" w:color="auto" w:fill="auto"/>
            <w:noWrap/>
            <w:vAlign w:val="center"/>
            <w:hideMark/>
          </w:tcPr>
          <w:p w14:paraId="3708B754" w14:textId="636CEFA9" w:rsidR="000158B0" w:rsidRPr="00D92E20" w:rsidRDefault="000158B0" w:rsidP="000158B0">
            <w:pPr>
              <w:spacing w:after="0" w:line="240" w:lineRule="auto"/>
              <w:jc w:val="right"/>
              <w:rPr>
                <w:rFonts w:cs="Arial"/>
                <w:color w:val="000000"/>
                <w:sz w:val="16"/>
                <w:szCs w:val="16"/>
              </w:rPr>
            </w:pPr>
            <w:r>
              <w:rPr>
                <w:rFonts w:cs="Arial"/>
                <w:sz w:val="16"/>
                <w:szCs w:val="16"/>
              </w:rPr>
              <w:t>16 933</w:t>
            </w:r>
          </w:p>
        </w:tc>
        <w:tc>
          <w:tcPr>
            <w:tcW w:w="709" w:type="dxa"/>
            <w:tcBorders>
              <w:top w:val="nil"/>
              <w:left w:val="nil"/>
              <w:bottom w:val="nil"/>
              <w:right w:val="single" w:sz="4" w:space="0" w:color="auto"/>
            </w:tcBorders>
            <w:shd w:val="clear" w:color="auto" w:fill="auto"/>
            <w:noWrap/>
            <w:vAlign w:val="center"/>
            <w:hideMark/>
          </w:tcPr>
          <w:p w14:paraId="646DECED" w14:textId="70ED4BD8" w:rsidR="000158B0" w:rsidRPr="00D92E20" w:rsidRDefault="000158B0" w:rsidP="000158B0">
            <w:pPr>
              <w:spacing w:after="0" w:line="240" w:lineRule="auto"/>
              <w:jc w:val="right"/>
              <w:rPr>
                <w:rFonts w:cs="Arial"/>
                <w:color w:val="000000"/>
                <w:sz w:val="16"/>
                <w:szCs w:val="16"/>
              </w:rPr>
            </w:pPr>
            <w:r>
              <w:rPr>
                <w:rFonts w:cs="Arial"/>
                <w:sz w:val="16"/>
                <w:szCs w:val="16"/>
              </w:rPr>
              <w:t>7 799</w:t>
            </w:r>
          </w:p>
        </w:tc>
        <w:tc>
          <w:tcPr>
            <w:tcW w:w="710" w:type="dxa"/>
            <w:tcBorders>
              <w:top w:val="nil"/>
              <w:left w:val="nil"/>
              <w:bottom w:val="nil"/>
              <w:right w:val="nil"/>
            </w:tcBorders>
            <w:shd w:val="clear" w:color="auto" w:fill="auto"/>
            <w:noWrap/>
            <w:vAlign w:val="center"/>
            <w:hideMark/>
          </w:tcPr>
          <w:p w14:paraId="68273103" w14:textId="0627E287" w:rsidR="000158B0" w:rsidRPr="00D92E20" w:rsidRDefault="000158B0" w:rsidP="000158B0">
            <w:pPr>
              <w:spacing w:after="0" w:line="240" w:lineRule="auto"/>
              <w:jc w:val="right"/>
              <w:rPr>
                <w:rFonts w:cs="Arial"/>
                <w:color w:val="000000"/>
                <w:sz w:val="16"/>
                <w:szCs w:val="16"/>
              </w:rPr>
            </w:pPr>
            <w:r>
              <w:rPr>
                <w:rFonts w:cs="Arial"/>
                <w:color w:val="000000"/>
                <w:sz w:val="16"/>
                <w:szCs w:val="16"/>
              </w:rPr>
              <w:t>24 046</w:t>
            </w:r>
          </w:p>
        </w:tc>
        <w:tc>
          <w:tcPr>
            <w:tcW w:w="709" w:type="dxa"/>
            <w:tcBorders>
              <w:top w:val="nil"/>
              <w:left w:val="nil"/>
              <w:bottom w:val="nil"/>
              <w:right w:val="nil"/>
            </w:tcBorders>
            <w:shd w:val="clear" w:color="auto" w:fill="auto"/>
            <w:vAlign w:val="center"/>
            <w:hideMark/>
          </w:tcPr>
          <w:p w14:paraId="42903607" w14:textId="3FFCF7D3" w:rsidR="000158B0" w:rsidRPr="00D92E20" w:rsidRDefault="000158B0" w:rsidP="000158B0">
            <w:pPr>
              <w:spacing w:after="0" w:line="240" w:lineRule="auto"/>
              <w:jc w:val="right"/>
              <w:rPr>
                <w:rFonts w:cs="Arial"/>
                <w:color w:val="000000"/>
                <w:sz w:val="16"/>
                <w:szCs w:val="16"/>
              </w:rPr>
            </w:pPr>
            <w:r>
              <w:rPr>
                <w:rFonts w:cs="Arial"/>
                <w:sz w:val="16"/>
                <w:szCs w:val="16"/>
              </w:rPr>
              <w:t>16 430</w:t>
            </w:r>
          </w:p>
        </w:tc>
        <w:tc>
          <w:tcPr>
            <w:tcW w:w="709" w:type="dxa"/>
            <w:tcBorders>
              <w:top w:val="nil"/>
              <w:left w:val="nil"/>
              <w:bottom w:val="nil"/>
              <w:right w:val="single" w:sz="4" w:space="0" w:color="auto"/>
            </w:tcBorders>
            <w:shd w:val="clear" w:color="auto" w:fill="auto"/>
            <w:vAlign w:val="center"/>
            <w:hideMark/>
          </w:tcPr>
          <w:p w14:paraId="317580A3" w14:textId="5A89778B" w:rsidR="000158B0" w:rsidRPr="00D92E20" w:rsidRDefault="000158B0" w:rsidP="000158B0">
            <w:pPr>
              <w:spacing w:after="0" w:line="240" w:lineRule="auto"/>
              <w:jc w:val="right"/>
              <w:rPr>
                <w:rFonts w:cs="Arial"/>
                <w:color w:val="000000"/>
                <w:sz w:val="16"/>
                <w:szCs w:val="16"/>
              </w:rPr>
            </w:pPr>
            <w:r>
              <w:rPr>
                <w:rFonts w:cs="Arial"/>
                <w:color w:val="000000"/>
                <w:sz w:val="16"/>
                <w:szCs w:val="16"/>
              </w:rPr>
              <w:t>7 616</w:t>
            </w:r>
          </w:p>
        </w:tc>
        <w:tc>
          <w:tcPr>
            <w:tcW w:w="710" w:type="dxa"/>
            <w:tcBorders>
              <w:top w:val="nil"/>
              <w:left w:val="nil"/>
              <w:bottom w:val="nil"/>
              <w:right w:val="nil"/>
            </w:tcBorders>
            <w:shd w:val="clear" w:color="auto" w:fill="auto"/>
            <w:vAlign w:val="center"/>
            <w:hideMark/>
          </w:tcPr>
          <w:p w14:paraId="03D4BBBE" w14:textId="52DC2F70" w:rsidR="000158B0" w:rsidRPr="00D92E20" w:rsidRDefault="000158B0" w:rsidP="000158B0">
            <w:pPr>
              <w:spacing w:after="0" w:line="240" w:lineRule="auto"/>
              <w:jc w:val="right"/>
              <w:rPr>
                <w:rFonts w:cs="Arial"/>
                <w:color w:val="000000"/>
                <w:sz w:val="16"/>
                <w:szCs w:val="16"/>
              </w:rPr>
            </w:pPr>
            <w:r>
              <w:rPr>
                <w:rFonts w:cs="Arial"/>
                <w:sz w:val="16"/>
                <w:szCs w:val="16"/>
              </w:rPr>
              <w:t>45</w:t>
            </w:r>
          </w:p>
        </w:tc>
        <w:tc>
          <w:tcPr>
            <w:tcW w:w="709" w:type="dxa"/>
            <w:tcBorders>
              <w:top w:val="nil"/>
              <w:left w:val="nil"/>
              <w:bottom w:val="nil"/>
              <w:right w:val="nil"/>
            </w:tcBorders>
            <w:shd w:val="clear" w:color="auto" w:fill="auto"/>
            <w:vAlign w:val="center"/>
            <w:hideMark/>
          </w:tcPr>
          <w:p w14:paraId="1333294A" w14:textId="0B2B5AB5" w:rsidR="000158B0" w:rsidRPr="00D92E20" w:rsidRDefault="000158B0" w:rsidP="000158B0">
            <w:pPr>
              <w:spacing w:after="0" w:line="240" w:lineRule="auto"/>
              <w:jc w:val="right"/>
              <w:rPr>
                <w:rFonts w:cs="Arial"/>
                <w:color w:val="000000"/>
                <w:sz w:val="16"/>
                <w:szCs w:val="16"/>
              </w:rPr>
            </w:pPr>
            <w:r>
              <w:rPr>
                <w:rFonts w:cs="Arial"/>
                <w:sz w:val="16"/>
                <w:szCs w:val="16"/>
              </w:rPr>
              <w:t>43</w:t>
            </w:r>
          </w:p>
        </w:tc>
        <w:tc>
          <w:tcPr>
            <w:tcW w:w="709" w:type="dxa"/>
            <w:tcBorders>
              <w:top w:val="nil"/>
              <w:left w:val="nil"/>
              <w:bottom w:val="nil"/>
              <w:right w:val="single" w:sz="4" w:space="0" w:color="auto"/>
            </w:tcBorders>
            <w:shd w:val="clear" w:color="auto" w:fill="auto"/>
            <w:vAlign w:val="center"/>
            <w:hideMark/>
          </w:tcPr>
          <w:p w14:paraId="2CC3B761" w14:textId="4F7D4D0B" w:rsidR="000158B0" w:rsidRPr="00D92E20" w:rsidRDefault="000158B0" w:rsidP="000158B0">
            <w:pPr>
              <w:spacing w:after="0" w:line="240" w:lineRule="auto"/>
              <w:jc w:val="right"/>
              <w:rPr>
                <w:rFonts w:cs="Arial"/>
                <w:color w:val="000000"/>
                <w:sz w:val="16"/>
                <w:szCs w:val="16"/>
              </w:rPr>
            </w:pPr>
            <w:r>
              <w:rPr>
                <w:rFonts w:cs="Arial"/>
                <w:sz w:val="16"/>
                <w:szCs w:val="16"/>
              </w:rPr>
              <w:t>2</w:t>
            </w:r>
          </w:p>
        </w:tc>
        <w:tc>
          <w:tcPr>
            <w:tcW w:w="710" w:type="dxa"/>
            <w:tcBorders>
              <w:top w:val="nil"/>
              <w:left w:val="single" w:sz="4" w:space="0" w:color="auto"/>
              <w:bottom w:val="nil"/>
              <w:right w:val="nil"/>
            </w:tcBorders>
            <w:vAlign w:val="center"/>
          </w:tcPr>
          <w:p w14:paraId="18AAE7D5" w14:textId="7551923B" w:rsidR="000158B0" w:rsidRDefault="000158B0" w:rsidP="000158B0">
            <w:pPr>
              <w:spacing w:after="0" w:line="240" w:lineRule="auto"/>
              <w:jc w:val="right"/>
              <w:rPr>
                <w:rFonts w:cs="Arial"/>
                <w:sz w:val="16"/>
                <w:szCs w:val="16"/>
              </w:rPr>
            </w:pPr>
            <w:r>
              <w:rPr>
                <w:rFonts w:cs="Arial"/>
                <w:sz w:val="16"/>
                <w:szCs w:val="16"/>
              </w:rPr>
              <w:t>567</w:t>
            </w:r>
          </w:p>
        </w:tc>
        <w:tc>
          <w:tcPr>
            <w:tcW w:w="709" w:type="dxa"/>
            <w:tcBorders>
              <w:top w:val="nil"/>
              <w:left w:val="nil"/>
              <w:bottom w:val="nil"/>
              <w:right w:val="nil"/>
            </w:tcBorders>
            <w:vAlign w:val="center"/>
          </w:tcPr>
          <w:p w14:paraId="3E5F9CB5" w14:textId="7028062C" w:rsidR="000158B0" w:rsidRDefault="000158B0" w:rsidP="000158B0">
            <w:pPr>
              <w:spacing w:after="0" w:line="240" w:lineRule="auto"/>
              <w:jc w:val="right"/>
              <w:rPr>
                <w:rFonts w:cs="Arial"/>
                <w:sz w:val="16"/>
                <w:szCs w:val="16"/>
              </w:rPr>
            </w:pPr>
            <w:r>
              <w:rPr>
                <w:rFonts w:cs="Arial"/>
                <w:sz w:val="16"/>
                <w:szCs w:val="16"/>
              </w:rPr>
              <w:t>476</w:t>
            </w:r>
          </w:p>
        </w:tc>
        <w:tc>
          <w:tcPr>
            <w:tcW w:w="709" w:type="dxa"/>
            <w:tcBorders>
              <w:top w:val="nil"/>
              <w:left w:val="nil"/>
              <w:bottom w:val="nil"/>
              <w:right w:val="nil"/>
            </w:tcBorders>
            <w:vAlign w:val="center"/>
          </w:tcPr>
          <w:p w14:paraId="20B84496" w14:textId="704689A0" w:rsidR="000158B0" w:rsidRDefault="000158B0" w:rsidP="000158B0">
            <w:pPr>
              <w:spacing w:after="0" w:line="240" w:lineRule="auto"/>
              <w:jc w:val="right"/>
              <w:rPr>
                <w:rFonts w:cs="Arial"/>
                <w:sz w:val="16"/>
                <w:szCs w:val="16"/>
              </w:rPr>
            </w:pPr>
            <w:r>
              <w:rPr>
                <w:rFonts w:cs="Arial"/>
                <w:sz w:val="16"/>
                <w:szCs w:val="16"/>
              </w:rPr>
              <w:t>91</w:t>
            </w:r>
          </w:p>
        </w:tc>
      </w:tr>
      <w:tr w:rsidR="000158B0" w:rsidRPr="00D92E20" w14:paraId="1081A5DD" w14:textId="582C04A9" w:rsidTr="000158B0">
        <w:trPr>
          <w:trHeight w:val="300"/>
        </w:trPr>
        <w:tc>
          <w:tcPr>
            <w:tcW w:w="1077" w:type="dxa"/>
            <w:tcBorders>
              <w:top w:val="nil"/>
              <w:left w:val="nil"/>
              <w:bottom w:val="nil"/>
              <w:right w:val="single" w:sz="4" w:space="0" w:color="auto"/>
            </w:tcBorders>
            <w:shd w:val="clear" w:color="auto" w:fill="auto"/>
            <w:vAlign w:val="center"/>
            <w:hideMark/>
          </w:tcPr>
          <w:p w14:paraId="2D026A69" w14:textId="663EEA6E" w:rsidR="000158B0" w:rsidRPr="00D92E20" w:rsidRDefault="000158B0" w:rsidP="000158B0">
            <w:pPr>
              <w:spacing w:after="0" w:line="240" w:lineRule="auto"/>
              <w:jc w:val="center"/>
              <w:rPr>
                <w:rFonts w:cs="Arial"/>
                <w:color w:val="000000"/>
                <w:sz w:val="16"/>
                <w:szCs w:val="16"/>
              </w:rPr>
            </w:pPr>
            <w:r>
              <w:rPr>
                <w:rFonts w:cs="Arial"/>
                <w:sz w:val="16"/>
                <w:szCs w:val="16"/>
              </w:rPr>
              <w:t>1. pol. 2018</w:t>
            </w:r>
          </w:p>
        </w:tc>
        <w:tc>
          <w:tcPr>
            <w:tcW w:w="710" w:type="dxa"/>
            <w:tcBorders>
              <w:top w:val="nil"/>
              <w:left w:val="nil"/>
              <w:bottom w:val="nil"/>
              <w:right w:val="nil"/>
            </w:tcBorders>
            <w:shd w:val="clear" w:color="auto" w:fill="auto"/>
            <w:noWrap/>
            <w:vAlign w:val="center"/>
            <w:hideMark/>
          </w:tcPr>
          <w:p w14:paraId="50B90E18" w14:textId="230B9D72" w:rsidR="000158B0" w:rsidRPr="00D92E20" w:rsidRDefault="000158B0" w:rsidP="000158B0">
            <w:pPr>
              <w:spacing w:after="0" w:line="240" w:lineRule="auto"/>
              <w:jc w:val="right"/>
              <w:rPr>
                <w:rFonts w:cs="Arial"/>
                <w:color w:val="000000"/>
                <w:sz w:val="16"/>
                <w:szCs w:val="16"/>
              </w:rPr>
            </w:pPr>
            <w:r>
              <w:rPr>
                <w:rFonts w:cs="Arial"/>
                <w:sz w:val="16"/>
                <w:szCs w:val="16"/>
              </w:rPr>
              <w:t>24 062</w:t>
            </w:r>
          </w:p>
        </w:tc>
        <w:tc>
          <w:tcPr>
            <w:tcW w:w="709" w:type="dxa"/>
            <w:tcBorders>
              <w:top w:val="nil"/>
              <w:left w:val="nil"/>
              <w:bottom w:val="nil"/>
              <w:right w:val="nil"/>
            </w:tcBorders>
            <w:shd w:val="clear" w:color="auto" w:fill="auto"/>
            <w:noWrap/>
            <w:vAlign w:val="center"/>
            <w:hideMark/>
          </w:tcPr>
          <w:p w14:paraId="665E814A" w14:textId="1AC648DB" w:rsidR="000158B0" w:rsidRPr="00D92E20" w:rsidRDefault="000158B0" w:rsidP="000158B0">
            <w:pPr>
              <w:spacing w:after="0" w:line="240" w:lineRule="auto"/>
              <w:jc w:val="right"/>
              <w:rPr>
                <w:rFonts w:cs="Arial"/>
                <w:color w:val="000000"/>
                <w:sz w:val="16"/>
                <w:szCs w:val="16"/>
              </w:rPr>
            </w:pPr>
            <w:r>
              <w:rPr>
                <w:rFonts w:cs="Arial"/>
                <w:sz w:val="16"/>
                <w:szCs w:val="16"/>
              </w:rPr>
              <w:t>16 186</w:t>
            </w:r>
          </w:p>
        </w:tc>
        <w:tc>
          <w:tcPr>
            <w:tcW w:w="709" w:type="dxa"/>
            <w:tcBorders>
              <w:top w:val="nil"/>
              <w:left w:val="nil"/>
              <w:bottom w:val="nil"/>
              <w:right w:val="single" w:sz="4" w:space="0" w:color="auto"/>
            </w:tcBorders>
            <w:shd w:val="clear" w:color="auto" w:fill="auto"/>
            <w:noWrap/>
            <w:vAlign w:val="center"/>
            <w:hideMark/>
          </w:tcPr>
          <w:p w14:paraId="5292D42A" w14:textId="5FC40611" w:rsidR="000158B0" w:rsidRPr="00D92E20" w:rsidRDefault="000158B0" w:rsidP="000158B0">
            <w:pPr>
              <w:spacing w:after="0" w:line="240" w:lineRule="auto"/>
              <w:jc w:val="right"/>
              <w:rPr>
                <w:rFonts w:cs="Arial"/>
                <w:color w:val="000000"/>
                <w:sz w:val="16"/>
                <w:szCs w:val="16"/>
              </w:rPr>
            </w:pPr>
            <w:r>
              <w:rPr>
                <w:rFonts w:cs="Arial"/>
                <w:sz w:val="16"/>
                <w:szCs w:val="16"/>
              </w:rPr>
              <w:t>7 876</w:t>
            </w:r>
          </w:p>
        </w:tc>
        <w:tc>
          <w:tcPr>
            <w:tcW w:w="710" w:type="dxa"/>
            <w:tcBorders>
              <w:top w:val="nil"/>
              <w:left w:val="nil"/>
              <w:bottom w:val="nil"/>
              <w:right w:val="nil"/>
            </w:tcBorders>
            <w:shd w:val="clear" w:color="auto" w:fill="auto"/>
            <w:noWrap/>
            <w:vAlign w:val="center"/>
            <w:hideMark/>
          </w:tcPr>
          <w:p w14:paraId="65E238C1" w14:textId="1D20039E" w:rsidR="000158B0" w:rsidRPr="00D92E20" w:rsidRDefault="000158B0" w:rsidP="000158B0">
            <w:pPr>
              <w:spacing w:after="0" w:line="240" w:lineRule="auto"/>
              <w:jc w:val="right"/>
              <w:rPr>
                <w:rFonts w:cs="Arial"/>
                <w:color w:val="000000"/>
                <w:sz w:val="16"/>
                <w:szCs w:val="16"/>
              </w:rPr>
            </w:pPr>
            <w:r>
              <w:rPr>
                <w:rFonts w:ascii="Arial CE" w:hAnsi="Arial CE" w:cs="Arial CE"/>
                <w:sz w:val="16"/>
                <w:szCs w:val="16"/>
              </w:rPr>
              <w:t>23 525</w:t>
            </w:r>
          </w:p>
        </w:tc>
        <w:tc>
          <w:tcPr>
            <w:tcW w:w="709" w:type="dxa"/>
            <w:tcBorders>
              <w:top w:val="nil"/>
              <w:left w:val="nil"/>
              <w:bottom w:val="nil"/>
              <w:right w:val="nil"/>
            </w:tcBorders>
            <w:shd w:val="clear" w:color="auto" w:fill="auto"/>
            <w:vAlign w:val="center"/>
            <w:hideMark/>
          </w:tcPr>
          <w:p w14:paraId="32A83ABA" w14:textId="1D770199" w:rsidR="000158B0" w:rsidRPr="00D92E20" w:rsidRDefault="000158B0" w:rsidP="000158B0">
            <w:pPr>
              <w:spacing w:after="0" w:line="240" w:lineRule="auto"/>
              <w:jc w:val="right"/>
              <w:rPr>
                <w:rFonts w:cs="Arial"/>
                <w:color w:val="000000"/>
                <w:sz w:val="16"/>
                <w:szCs w:val="16"/>
              </w:rPr>
            </w:pPr>
            <w:r>
              <w:rPr>
                <w:rFonts w:cs="Arial"/>
                <w:sz w:val="16"/>
                <w:szCs w:val="16"/>
              </w:rPr>
              <w:t>15 810</w:t>
            </w:r>
          </w:p>
        </w:tc>
        <w:tc>
          <w:tcPr>
            <w:tcW w:w="709" w:type="dxa"/>
            <w:tcBorders>
              <w:top w:val="nil"/>
              <w:left w:val="nil"/>
              <w:bottom w:val="nil"/>
              <w:right w:val="single" w:sz="4" w:space="0" w:color="auto"/>
            </w:tcBorders>
            <w:shd w:val="clear" w:color="auto" w:fill="auto"/>
            <w:vAlign w:val="center"/>
            <w:hideMark/>
          </w:tcPr>
          <w:p w14:paraId="7AE1B9A6" w14:textId="00243F54" w:rsidR="000158B0" w:rsidRPr="00D92E20" w:rsidRDefault="000158B0" w:rsidP="000158B0">
            <w:pPr>
              <w:spacing w:after="0" w:line="240" w:lineRule="auto"/>
              <w:jc w:val="right"/>
              <w:rPr>
                <w:rFonts w:cs="Arial"/>
                <w:color w:val="000000"/>
                <w:sz w:val="16"/>
                <w:szCs w:val="16"/>
              </w:rPr>
            </w:pPr>
            <w:r>
              <w:rPr>
                <w:rFonts w:ascii="Arial CE" w:hAnsi="Arial CE" w:cs="Arial CE"/>
                <w:sz w:val="16"/>
                <w:szCs w:val="16"/>
              </w:rPr>
              <w:t>7 715</w:t>
            </w:r>
          </w:p>
        </w:tc>
        <w:tc>
          <w:tcPr>
            <w:tcW w:w="710" w:type="dxa"/>
            <w:tcBorders>
              <w:top w:val="nil"/>
              <w:left w:val="nil"/>
              <w:bottom w:val="nil"/>
              <w:right w:val="nil"/>
            </w:tcBorders>
            <w:shd w:val="clear" w:color="auto" w:fill="auto"/>
            <w:vAlign w:val="center"/>
            <w:hideMark/>
          </w:tcPr>
          <w:p w14:paraId="409C0B78" w14:textId="157E4EF3" w:rsidR="000158B0" w:rsidRPr="00D92E20" w:rsidRDefault="000158B0" w:rsidP="000158B0">
            <w:pPr>
              <w:spacing w:after="0" w:line="240" w:lineRule="auto"/>
              <w:jc w:val="right"/>
              <w:rPr>
                <w:rFonts w:cs="Arial"/>
                <w:color w:val="000000"/>
                <w:sz w:val="16"/>
                <w:szCs w:val="16"/>
              </w:rPr>
            </w:pPr>
            <w:r>
              <w:rPr>
                <w:rFonts w:cs="Arial"/>
                <w:sz w:val="16"/>
                <w:szCs w:val="16"/>
              </w:rPr>
              <w:t>60</w:t>
            </w:r>
          </w:p>
        </w:tc>
        <w:tc>
          <w:tcPr>
            <w:tcW w:w="709" w:type="dxa"/>
            <w:tcBorders>
              <w:top w:val="nil"/>
              <w:left w:val="nil"/>
              <w:bottom w:val="nil"/>
              <w:right w:val="nil"/>
            </w:tcBorders>
            <w:shd w:val="clear" w:color="auto" w:fill="auto"/>
            <w:vAlign w:val="center"/>
            <w:hideMark/>
          </w:tcPr>
          <w:p w14:paraId="3D70BF4E" w14:textId="17806F48" w:rsidR="000158B0" w:rsidRPr="00D92E20" w:rsidRDefault="000158B0" w:rsidP="000158B0">
            <w:pPr>
              <w:spacing w:after="0" w:line="240" w:lineRule="auto"/>
              <w:jc w:val="right"/>
              <w:rPr>
                <w:rFonts w:cs="Arial"/>
                <w:color w:val="000000"/>
                <w:sz w:val="16"/>
                <w:szCs w:val="16"/>
              </w:rPr>
            </w:pPr>
            <w:r>
              <w:rPr>
                <w:rFonts w:cs="Arial"/>
                <w:sz w:val="16"/>
                <w:szCs w:val="16"/>
              </w:rPr>
              <w:t>57</w:t>
            </w:r>
          </w:p>
        </w:tc>
        <w:tc>
          <w:tcPr>
            <w:tcW w:w="709" w:type="dxa"/>
            <w:tcBorders>
              <w:top w:val="nil"/>
              <w:left w:val="nil"/>
              <w:bottom w:val="nil"/>
              <w:right w:val="single" w:sz="4" w:space="0" w:color="auto"/>
            </w:tcBorders>
            <w:shd w:val="clear" w:color="auto" w:fill="auto"/>
            <w:vAlign w:val="center"/>
            <w:hideMark/>
          </w:tcPr>
          <w:p w14:paraId="2967DC78" w14:textId="056BDF72" w:rsidR="000158B0" w:rsidRPr="00D92E20" w:rsidRDefault="000158B0" w:rsidP="000158B0">
            <w:pPr>
              <w:spacing w:after="0" w:line="240" w:lineRule="auto"/>
              <w:jc w:val="right"/>
              <w:rPr>
                <w:rFonts w:cs="Arial"/>
                <w:color w:val="000000"/>
                <w:sz w:val="16"/>
                <w:szCs w:val="16"/>
              </w:rPr>
            </w:pPr>
            <w:r>
              <w:rPr>
                <w:rFonts w:cs="Arial"/>
                <w:sz w:val="16"/>
                <w:szCs w:val="16"/>
              </w:rPr>
              <w:t>3</w:t>
            </w:r>
          </w:p>
        </w:tc>
        <w:tc>
          <w:tcPr>
            <w:tcW w:w="710" w:type="dxa"/>
            <w:tcBorders>
              <w:top w:val="nil"/>
              <w:left w:val="single" w:sz="4" w:space="0" w:color="auto"/>
              <w:bottom w:val="nil"/>
              <w:right w:val="nil"/>
            </w:tcBorders>
            <w:vAlign w:val="center"/>
          </w:tcPr>
          <w:p w14:paraId="7F795A46" w14:textId="28601BEB" w:rsidR="000158B0" w:rsidRDefault="000158B0" w:rsidP="000158B0">
            <w:pPr>
              <w:spacing w:after="0" w:line="240" w:lineRule="auto"/>
              <w:jc w:val="right"/>
              <w:rPr>
                <w:rFonts w:cs="Arial"/>
                <w:sz w:val="16"/>
                <w:szCs w:val="16"/>
              </w:rPr>
            </w:pPr>
            <w:r>
              <w:rPr>
                <w:rFonts w:cs="Arial"/>
                <w:sz w:val="16"/>
                <w:szCs w:val="16"/>
              </w:rPr>
              <w:t>561</w:t>
            </w:r>
          </w:p>
        </w:tc>
        <w:tc>
          <w:tcPr>
            <w:tcW w:w="709" w:type="dxa"/>
            <w:tcBorders>
              <w:top w:val="nil"/>
              <w:left w:val="nil"/>
              <w:bottom w:val="nil"/>
              <w:right w:val="nil"/>
            </w:tcBorders>
            <w:vAlign w:val="center"/>
          </w:tcPr>
          <w:p w14:paraId="58026ABD" w14:textId="67D6177C" w:rsidR="000158B0" w:rsidRDefault="000158B0" w:rsidP="000158B0">
            <w:pPr>
              <w:spacing w:after="0" w:line="240" w:lineRule="auto"/>
              <w:jc w:val="right"/>
              <w:rPr>
                <w:rFonts w:cs="Arial"/>
                <w:sz w:val="16"/>
                <w:szCs w:val="16"/>
              </w:rPr>
            </w:pPr>
            <w:r>
              <w:rPr>
                <w:rFonts w:cs="Arial"/>
                <w:sz w:val="16"/>
                <w:szCs w:val="16"/>
              </w:rPr>
              <w:t>463</w:t>
            </w:r>
          </w:p>
        </w:tc>
        <w:tc>
          <w:tcPr>
            <w:tcW w:w="709" w:type="dxa"/>
            <w:tcBorders>
              <w:top w:val="nil"/>
              <w:left w:val="nil"/>
              <w:bottom w:val="nil"/>
              <w:right w:val="nil"/>
            </w:tcBorders>
            <w:vAlign w:val="center"/>
          </w:tcPr>
          <w:p w14:paraId="2BBB9CE4" w14:textId="6249A545" w:rsidR="000158B0" w:rsidRDefault="000158B0" w:rsidP="000158B0">
            <w:pPr>
              <w:spacing w:after="0" w:line="240" w:lineRule="auto"/>
              <w:jc w:val="right"/>
              <w:rPr>
                <w:rFonts w:cs="Arial"/>
                <w:sz w:val="16"/>
                <w:szCs w:val="16"/>
              </w:rPr>
            </w:pPr>
            <w:r>
              <w:rPr>
                <w:rFonts w:cs="Arial"/>
                <w:sz w:val="16"/>
                <w:szCs w:val="16"/>
              </w:rPr>
              <w:t>98</w:t>
            </w:r>
          </w:p>
        </w:tc>
      </w:tr>
      <w:tr w:rsidR="000158B0" w:rsidRPr="00D92E20" w14:paraId="1D44D0AB" w14:textId="577E93F8" w:rsidTr="000158B0">
        <w:trPr>
          <w:trHeight w:val="300"/>
        </w:trPr>
        <w:tc>
          <w:tcPr>
            <w:tcW w:w="1077" w:type="dxa"/>
            <w:tcBorders>
              <w:top w:val="nil"/>
              <w:left w:val="nil"/>
              <w:bottom w:val="nil"/>
              <w:right w:val="single" w:sz="4" w:space="0" w:color="auto"/>
            </w:tcBorders>
            <w:shd w:val="clear" w:color="auto" w:fill="auto"/>
            <w:vAlign w:val="center"/>
            <w:hideMark/>
          </w:tcPr>
          <w:p w14:paraId="58C4C096" w14:textId="0C1CF367" w:rsidR="000158B0" w:rsidRPr="00D92E20" w:rsidRDefault="000158B0" w:rsidP="000158B0">
            <w:pPr>
              <w:spacing w:after="0" w:line="240" w:lineRule="auto"/>
              <w:jc w:val="center"/>
              <w:rPr>
                <w:rFonts w:cs="Arial"/>
                <w:color w:val="000000"/>
                <w:sz w:val="16"/>
                <w:szCs w:val="16"/>
              </w:rPr>
            </w:pPr>
            <w:r>
              <w:rPr>
                <w:rFonts w:cs="Arial"/>
                <w:sz w:val="16"/>
                <w:szCs w:val="16"/>
              </w:rPr>
              <w:t>1. pol. 2019</w:t>
            </w:r>
          </w:p>
        </w:tc>
        <w:tc>
          <w:tcPr>
            <w:tcW w:w="710" w:type="dxa"/>
            <w:tcBorders>
              <w:top w:val="nil"/>
              <w:left w:val="nil"/>
              <w:bottom w:val="nil"/>
              <w:right w:val="nil"/>
            </w:tcBorders>
            <w:shd w:val="clear" w:color="auto" w:fill="auto"/>
            <w:vAlign w:val="center"/>
            <w:hideMark/>
          </w:tcPr>
          <w:p w14:paraId="0F1D2844" w14:textId="4F4D969B" w:rsidR="000158B0" w:rsidRPr="00D92E20" w:rsidRDefault="000158B0" w:rsidP="000158B0">
            <w:pPr>
              <w:spacing w:after="0" w:line="240" w:lineRule="auto"/>
              <w:jc w:val="right"/>
              <w:rPr>
                <w:rFonts w:cs="Arial"/>
                <w:color w:val="000000"/>
                <w:sz w:val="16"/>
                <w:szCs w:val="16"/>
              </w:rPr>
            </w:pPr>
            <w:r>
              <w:rPr>
                <w:rFonts w:cs="Arial"/>
                <w:color w:val="000000"/>
                <w:sz w:val="16"/>
                <w:szCs w:val="16"/>
              </w:rPr>
              <w:t>23 218</w:t>
            </w:r>
          </w:p>
        </w:tc>
        <w:tc>
          <w:tcPr>
            <w:tcW w:w="709" w:type="dxa"/>
            <w:tcBorders>
              <w:top w:val="nil"/>
              <w:left w:val="nil"/>
              <w:bottom w:val="nil"/>
              <w:right w:val="nil"/>
            </w:tcBorders>
            <w:shd w:val="clear" w:color="auto" w:fill="auto"/>
            <w:noWrap/>
            <w:vAlign w:val="center"/>
            <w:hideMark/>
          </w:tcPr>
          <w:p w14:paraId="6C9E7026" w14:textId="49277DF5" w:rsidR="000158B0" w:rsidRPr="00D92E20" w:rsidRDefault="000158B0" w:rsidP="000158B0">
            <w:pPr>
              <w:spacing w:after="0" w:line="240" w:lineRule="auto"/>
              <w:jc w:val="right"/>
              <w:rPr>
                <w:rFonts w:cs="Arial"/>
                <w:color w:val="000000"/>
                <w:sz w:val="16"/>
                <w:szCs w:val="16"/>
              </w:rPr>
            </w:pPr>
            <w:r>
              <w:rPr>
                <w:rFonts w:cs="Arial"/>
                <w:color w:val="000000"/>
                <w:sz w:val="16"/>
                <w:szCs w:val="16"/>
              </w:rPr>
              <w:t>15 602</w:t>
            </w:r>
          </w:p>
        </w:tc>
        <w:tc>
          <w:tcPr>
            <w:tcW w:w="709" w:type="dxa"/>
            <w:tcBorders>
              <w:top w:val="nil"/>
              <w:left w:val="nil"/>
              <w:bottom w:val="nil"/>
              <w:right w:val="single" w:sz="4" w:space="0" w:color="auto"/>
            </w:tcBorders>
            <w:shd w:val="clear" w:color="auto" w:fill="auto"/>
            <w:noWrap/>
            <w:vAlign w:val="center"/>
            <w:hideMark/>
          </w:tcPr>
          <w:p w14:paraId="15414B88" w14:textId="326E1E6B" w:rsidR="000158B0" w:rsidRPr="00D92E20" w:rsidRDefault="000158B0" w:rsidP="000158B0">
            <w:pPr>
              <w:spacing w:after="0" w:line="240" w:lineRule="auto"/>
              <w:jc w:val="right"/>
              <w:rPr>
                <w:rFonts w:cs="Arial"/>
                <w:color w:val="000000"/>
                <w:sz w:val="16"/>
                <w:szCs w:val="16"/>
              </w:rPr>
            </w:pPr>
            <w:r>
              <w:rPr>
                <w:rFonts w:cs="Arial"/>
                <w:color w:val="000000"/>
                <w:sz w:val="16"/>
                <w:szCs w:val="16"/>
              </w:rPr>
              <w:t>7 616</w:t>
            </w:r>
          </w:p>
        </w:tc>
        <w:tc>
          <w:tcPr>
            <w:tcW w:w="710" w:type="dxa"/>
            <w:tcBorders>
              <w:top w:val="nil"/>
              <w:left w:val="nil"/>
              <w:bottom w:val="nil"/>
              <w:right w:val="nil"/>
            </w:tcBorders>
            <w:shd w:val="clear" w:color="auto" w:fill="auto"/>
            <w:noWrap/>
            <w:vAlign w:val="center"/>
            <w:hideMark/>
          </w:tcPr>
          <w:p w14:paraId="04FB5F46" w14:textId="015E275E" w:rsidR="000158B0" w:rsidRPr="00D92E20" w:rsidRDefault="000158B0" w:rsidP="000158B0">
            <w:pPr>
              <w:spacing w:after="0" w:line="240" w:lineRule="auto"/>
              <w:jc w:val="right"/>
              <w:rPr>
                <w:rFonts w:cs="Arial"/>
                <w:color w:val="000000"/>
                <w:sz w:val="16"/>
                <w:szCs w:val="16"/>
              </w:rPr>
            </w:pPr>
            <w:r>
              <w:rPr>
                <w:rFonts w:cs="Arial"/>
                <w:color w:val="000000"/>
                <w:sz w:val="16"/>
                <w:szCs w:val="16"/>
              </w:rPr>
              <w:t>22 828</w:t>
            </w:r>
          </w:p>
        </w:tc>
        <w:tc>
          <w:tcPr>
            <w:tcW w:w="709" w:type="dxa"/>
            <w:tcBorders>
              <w:top w:val="nil"/>
              <w:left w:val="nil"/>
              <w:bottom w:val="nil"/>
              <w:right w:val="nil"/>
            </w:tcBorders>
            <w:shd w:val="clear" w:color="auto" w:fill="auto"/>
            <w:vAlign w:val="center"/>
            <w:hideMark/>
          </w:tcPr>
          <w:p w14:paraId="3A82C31E" w14:textId="1B9E791D" w:rsidR="000158B0" w:rsidRPr="00D92E20" w:rsidRDefault="000158B0" w:rsidP="000158B0">
            <w:pPr>
              <w:spacing w:after="0" w:line="240" w:lineRule="auto"/>
              <w:jc w:val="right"/>
              <w:rPr>
                <w:rFonts w:cs="Arial"/>
                <w:color w:val="000000"/>
                <w:sz w:val="16"/>
                <w:szCs w:val="16"/>
              </w:rPr>
            </w:pPr>
            <w:r>
              <w:rPr>
                <w:rFonts w:cs="Arial"/>
                <w:color w:val="000000"/>
                <w:sz w:val="16"/>
                <w:szCs w:val="16"/>
              </w:rPr>
              <w:t>15 326</w:t>
            </w:r>
          </w:p>
        </w:tc>
        <w:tc>
          <w:tcPr>
            <w:tcW w:w="709" w:type="dxa"/>
            <w:tcBorders>
              <w:top w:val="nil"/>
              <w:left w:val="nil"/>
              <w:bottom w:val="nil"/>
              <w:right w:val="single" w:sz="4" w:space="0" w:color="auto"/>
            </w:tcBorders>
            <w:shd w:val="clear" w:color="auto" w:fill="auto"/>
            <w:vAlign w:val="center"/>
            <w:hideMark/>
          </w:tcPr>
          <w:p w14:paraId="458422B3" w14:textId="6DE9B046" w:rsidR="000158B0" w:rsidRPr="00D92E20" w:rsidRDefault="000158B0" w:rsidP="000158B0">
            <w:pPr>
              <w:spacing w:after="0" w:line="240" w:lineRule="auto"/>
              <w:jc w:val="right"/>
              <w:rPr>
                <w:rFonts w:cs="Arial"/>
                <w:color w:val="000000"/>
                <w:sz w:val="16"/>
                <w:szCs w:val="16"/>
              </w:rPr>
            </w:pPr>
            <w:r>
              <w:rPr>
                <w:rFonts w:cs="Arial"/>
                <w:color w:val="000000"/>
                <w:sz w:val="16"/>
                <w:szCs w:val="16"/>
              </w:rPr>
              <w:t>7 502</w:t>
            </w:r>
          </w:p>
        </w:tc>
        <w:tc>
          <w:tcPr>
            <w:tcW w:w="710" w:type="dxa"/>
            <w:tcBorders>
              <w:top w:val="nil"/>
              <w:left w:val="nil"/>
              <w:bottom w:val="nil"/>
              <w:right w:val="nil"/>
            </w:tcBorders>
            <w:shd w:val="clear" w:color="auto" w:fill="auto"/>
            <w:vAlign w:val="center"/>
            <w:hideMark/>
          </w:tcPr>
          <w:p w14:paraId="79340DD5" w14:textId="0E5B331B" w:rsidR="000158B0" w:rsidRPr="00D92E20" w:rsidRDefault="000158B0" w:rsidP="000158B0">
            <w:pPr>
              <w:spacing w:after="0" w:line="240" w:lineRule="auto"/>
              <w:jc w:val="right"/>
              <w:rPr>
                <w:rFonts w:cs="Arial"/>
                <w:color w:val="000000"/>
                <w:sz w:val="16"/>
                <w:szCs w:val="16"/>
              </w:rPr>
            </w:pPr>
            <w:r>
              <w:rPr>
                <w:rFonts w:cs="Arial"/>
                <w:sz w:val="16"/>
                <w:szCs w:val="16"/>
              </w:rPr>
              <w:t>40</w:t>
            </w:r>
          </w:p>
        </w:tc>
        <w:tc>
          <w:tcPr>
            <w:tcW w:w="709" w:type="dxa"/>
            <w:tcBorders>
              <w:top w:val="nil"/>
              <w:left w:val="nil"/>
              <w:bottom w:val="nil"/>
              <w:right w:val="nil"/>
            </w:tcBorders>
            <w:shd w:val="clear" w:color="auto" w:fill="auto"/>
            <w:vAlign w:val="center"/>
            <w:hideMark/>
          </w:tcPr>
          <w:p w14:paraId="5D03984B" w14:textId="15CBB90C" w:rsidR="000158B0" w:rsidRPr="00D92E20" w:rsidRDefault="000158B0" w:rsidP="000158B0">
            <w:pPr>
              <w:spacing w:after="0" w:line="240" w:lineRule="auto"/>
              <w:jc w:val="right"/>
              <w:rPr>
                <w:rFonts w:cs="Arial"/>
                <w:color w:val="000000"/>
                <w:sz w:val="16"/>
                <w:szCs w:val="16"/>
              </w:rPr>
            </w:pPr>
            <w:r>
              <w:rPr>
                <w:rFonts w:cs="Arial"/>
                <w:sz w:val="16"/>
                <w:szCs w:val="16"/>
              </w:rPr>
              <w:t>37</w:t>
            </w:r>
          </w:p>
        </w:tc>
        <w:tc>
          <w:tcPr>
            <w:tcW w:w="709" w:type="dxa"/>
            <w:tcBorders>
              <w:top w:val="nil"/>
              <w:left w:val="nil"/>
              <w:bottom w:val="nil"/>
              <w:right w:val="single" w:sz="4" w:space="0" w:color="auto"/>
            </w:tcBorders>
            <w:shd w:val="clear" w:color="auto" w:fill="auto"/>
            <w:vAlign w:val="center"/>
            <w:hideMark/>
          </w:tcPr>
          <w:p w14:paraId="6DF64F15" w14:textId="2072B753" w:rsidR="000158B0" w:rsidRPr="00D92E20" w:rsidRDefault="000158B0" w:rsidP="000158B0">
            <w:pPr>
              <w:spacing w:after="0" w:line="240" w:lineRule="auto"/>
              <w:jc w:val="right"/>
              <w:rPr>
                <w:rFonts w:cs="Arial"/>
                <w:color w:val="000000"/>
                <w:sz w:val="16"/>
                <w:szCs w:val="16"/>
              </w:rPr>
            </w:pPr>
            <w:r>
              <w:rPr>
                <w:rFonts w:cs="Arial"/>
                <w:sz w:val="16"/>
                <w:szCs w:val="16"/>
              </w:rPr>
              <w:t>3</w:t>
            </w:r>
          </w:p>
        </w:tc>
        <w:tc>
          <w:tcPr>
            <w:tcW w:w="710" w:type="dxa"/>
            <w:tcBorders>
              <w:top w:val="nil"/>
              <w:left w:val="single" w:sz="4" w:space="0" w:color="auto"/>
              <w:bottom w:val="nil"/>
              <w:right w:val="nil"/>
            </w:tcBorders>
            <w:vAlign w:val="center"/>
          </w:tcPr>
          <w:p w14:paraId="42FAEB57" w14:textId="63CD6AD6" w:rsidR="000158B0" w:rsidRDefault="000158B0" w:rsidP="000158B0">
            <w:pPr>
              <w:spacing w:after="0" w:line="240" w:lineRule="auto"/>
              <w:jc w:val="right"/>
              <w:rPr>
                <w:rFonts w:cs="Arial"/>
                <w:sz w:val="16"/>
                <w:szCs w:val="16"/>
              </w:rPr>
            </w:pPr>
            <w:r>
              <w:rPr>
                <w:rFonts w:cs="Arial"/>
                <w:sz w:val="16"/>
                <w:szCs w:val="16"/>
              </w:rPr>
              <w:t>551</w:t>
            </w:r>
          </w:p>
        </w:tc>
        <w:tc>
          <w:tcPr>
            <w:tcW w:w="709" w:type="dxa"/>
            <w:tcBorders>
              <w:top w:val="nil"/>
              <w:left w:val="nil"/>
              <w:bottom w:val="nil"/>
              <w:right w:val="nil"/>
            </w:tcBorders>
            <w:vAlign w:val="center"/>
          </w:tcPr>
          <w:p w14:paraId="0F56A412" w14:textId="44334180" w:rsidR="000158B0" w:rsidRDefault="000158B0" w:rsidP="000158B0">
            <w:pPr>
              <w:spacing w:after="0" w:line="240" w:lineRule="auto"/>
              <w:jc w:val="right"/>
              <w:rPr>
                <w:rFonts w:cs="Arial"/>
                <w:sz w:val="16"/>
                <w:szCs w:val="16"/>
              </w:rPr>
            </w:pPr>
            <w:r>
              <w:rPr>
                <w:rFonts w:cs="Arial"/>
                <w:sz w:val="16"/>
                <w:szCs w:val="16"/>
              </w:rPr>
              <w:t>448</w:t>
            </w:r>
          </w:p>
        </w:tc>
        <w:tc>
          <w:tcPr>
            <w:tcW w:w="709" w:type="dxa"/>
            <w:tcBorders>
              <w:top w:val="nil"/>
              <w:left w:val="nil"/>
              <w:bottom w:val="nil"/>
              <w:right w:val="nil"/>
            </w:tcBorders>
            <w:vAlign w:val="center"/>
          </w:tcPr>
          <w:p w14:paraId="2DFF7353" w14:textId="198F47A0" w:rsidR="000158B0" w:rsidRDefault="000158B0" w:rsidP="000158B0">
            <w:pPr>
              <w:spacing w:after="0" w:line="240" w:lineRule="auto"/>
              <w:jc w:val="right"/>
              <w:rPr>
                <w:rFonts w:cs="Arial"/>
                <w:sz w:val="16"/>
                <w:szCs w:val="16"/>
              </w:rPr>
            </w:pPr>
            <w:r>
              <w:rPr>
                <w:rFonts w:cs="Arial"/>
                <w:sz w:val="16"/>
                <w:szCs w:val="16"/>
              </w:rPr>
              <w:t>103</w:t>
            </w:r>
          </w:p>
        </w:tc>
      </w:tr>
      <w:tr w:rsidR="000158B0" w:rsidRPr="00D92E20" w14:paraId="1FDC472A" w14:textId="3BF81603" w:rsidTr="000158B0">
        <w:trPr>
          <w:trHeight w:val="300"/>
        </w:trPr>
        <w:tc>
          <w:tcPr>
            <w:tcW w:w="1077" w:type="dxa"/>
            <w:tcBorders>
              <w:top w:val="nil"/>
              <w:left w:val="nil"/>
              <w:bottom w:val="nil"/>
              <w:right w:val="single" w:sz="4" w:space="0" w:color="auto"/>
            </w:tcBorders>
            <w:shd w:val="clear" w:color="auto" w:fill="auto"/>
            <w:vAlign w:val="center"/>
            <w:hideMark/>
          </w:tcPr>
          <w:p w14:paraId="7405E34B" w14:textId="3BC67557" w:rsidR="000158B0" w:rsidRPr="00D92E20" w:rsidRDefault="000158B0" w:rsidP="000158B0">
            <w:pPr>
              <w:spacing w:after="0" w:line="240" w:lineRule="auto"/>
              <w:jc w:val="center"/>
              <w:rPr>
                <w:rFonts w:cs="Arial"/>
                <w:color w:val="000000"/>
                <w:sz w:val="16"/>
                <w:szCs w:val="16"/>
              </w:rPr>
            </w:pPr>
            <w:r>
              <w:rPr>
                <w:rFonts w:cs="Arial"/>
                <w:sz w:val="16"/>
                <w:szCs w:val="16"/>
              </w:rPr>
              <w:t>1. pol. 2020</w:t>
            </w:r>
          </w:p>
        </w:tc>
        <w:tc>
          <w:tcPr>
            <w:tcW w:w="710" w:type="dxa"/>
            <w:tcBorders>
              <w:top w:val="nil"/>
              <w:left w:val="nil"/>
              <w:bottom w:val="nil"/>
              <w:right w:val="nil"/>
            </w:tcBorders>
            <w:shd w:val="clear" w:color="auto" w:fill="auto"/>
            <w:noWrap/>
            <w:vAlign w:val="center"/>
            <w:hideMark/>
          </w:tcPr>
          <w:p w14:paraId="20EDB6C6" w14:textId="0A10F397" w:rsidR="000158B0" w:rsidRPr="00D92E20" w:rsidRDefault="000158B0" w:rsidP="000158B0">
            <w:pPr>
              <w:spacing w:after="0" w:line="240" w:lineRule="auto"/>
              <w:jc w:val="right"/>
              <w:rPr>
                <w:rFonts w:cs="Arial"/>
                <w:color w:val="000000"/>
                <w:sz w:val="16"/>
                <w:szCs w:val="16"/>
              </w:rPr>
            </w:pPr>
            <w:r>
              <w:rPr>
                <w:rFonts w:cs="Arial"/>
                <w:color w:val="000000"/>
                <w:sz w:val="16"/>
                <w:szCs w:val="16"/>
              </w:rPr>
              <w:t>20 483</w:t>
            </w:r>
          </w:p>
        </w:tc>
        <w:tc>
          <w:tcPr>
            <w:tcW w:w="709" w:type="dxa"/>
            <w:tcBorders>
              <w:top w:val="nil"/>
              <w:left w:val="nil"/>
              <w:bottom w:val="nil"/>
              <w:right w:val="nil"/>
            </w:tcBorders>
            <w:shd w:val="clear" w:color="auto" w:fill="auto"/>
            <w:vAlign w:val="center"/>
            <w:hideMark/>
          </w:tcPr>
          <w:p w14:paraId="5A898D97" w14:textId="6BB86D96" w:rsidR="000158B0" w:rsidRPr="00D92E20" w:rsidRDefault="000158B0" w:rsidP="000158B0">
            <w:pPr>
              <w:spacing w:after="0" w:line="240" w:lineRule="auto"/>
              <w:jc w:val="right"/>
              <w:rPr>
                <w:rFonts w:cs="Arial"/>
                <w:color w:val="000000"/>
                <w:sz w:val="16"/>
                <w:szCs w:val="16"/>
              </w:rPr>
            </w:pPr>
            <w:r>
              <w:rPr>
                <w:rFonts w:cs="Arial"/>
                <w:color w:val="000000"/>
                <w:sz w:val="16"/>
                <w:szCs w:val="16"/>
              </w:rPr>
              <w:t>14 209</w:t>
            </w:r>
          </w:p>
        </w:tc>
        <w:tc>
          <w:tcPr>
            <w:tcW w:w="709" w:type="dxa"/>
            <w:tcBorders>
              <w:top w:val="nil"/>
              <w:left w:val="nil"/>
              <w:bottom w:val="nil"/>
              <w:right w:val="single" w:sz="4" w:space="0" w:color="auto"/>
            </w:tcBorders>
            <w:shd w:val="clear" w:color="auto" w:fill="auto"/>
            <w:vAlign w:val="center"/>
            <w:hideMark/>
          </w:tcPr>
          <w:p w14:paraId="6A09B484" w14:textId="4673D331" w:rsidR="000158B0" w:rsidRPr="00D92E20" w:rsidRDefault="000158B0" w:rsidP="000158B0">
            <w:pPr>
              <w:spacing w:after="0" w:line="240" w:lineRule="auto"/>
              <w:jc w:val="right"/>
              <w:rPr>
                <w:rFonts w:cs="Arial"/>
                <w:color w:val="000000"/>
                <w:sz w:val="16"/>
                <w:szCs w:val="16"/>
              </w:rPr>
            </w:pPr>
            <w:r>
              <w:rPr>
                <w:rFonts w:cs="Arial"/>
                <w:color w:val="000000"/>
                <w:sz w:val="16"/>
                <w:szCs w:val="16"/>
              </w:rPr>
              <w:t>6 274</w:t>
            </w:r>
          </w:p>
        </w:tc>
        <w:tc>
          <w:tcPr>
            <w:tcW w:w="710" w:type="dxa"/>
            <w:tcBorders>
              <w:top w:val="nil"/>
              <w:left w:val="nil"/>
              <w:bottom w:val="nil"/>
              <w:right w:val="nil"/>
            </w:tcBorders>
            <w:shd w:val="clear" w:color="auto" w:fill="auto"/>
            <w:noWrap/>
            <w:vAlign w:val="center"/>
            <w:hideMark/>
          </w:tcPr>
          <w:p w14:paraId="115F23EB" w14:textId="329B3030" w:rsidR="000158B0" w:rsidRPr="00D92E20" w:rsidRDefault="000158B0" w:rsidP="000158B0">
            <w:pPr>
              <w:spacing w:after="0" w:line="240" w:lineRule="auto"/>
              <w:jc w:val="right"/>
              <w:rPr>
                <w:rFonts w:cs="Arial"/>
                <w:color w:val="000000"/>
                <w:sz w:val="16"/>
                <w:szCs w:val="16"/>
              </w:rPr>
            </w:pPr>
            <w:r>
              <w:rPr>
                <w:rFonts w:cs="Arial"/>
                <w:color w:val="000000"/>
                <w:sz w:val="16"/>
                <w:szCs w:val="16"/>
              </w:rPr>
              <w:t>19 857</w:t>
            </w:r>
          </w:p>
        </w:tc>
        <w:tc>
          <w:tcPr>
            <w:tcW w:w="709" w:type="dxa"/>
            <w:tcBorders>
              <w:top w:val="nil"/>
              <w:left w:val="nil"/>
              <w:bottom w:val="nil"/>
              <w:right w:val="nil"/>
            </w:tcBorders>
            <w:shd w:val="clear" w:color="auto" w:fill="auto"/>
            <w:vAlign w:val="center"/>
            <w:hideMark/>
          </w:tcPr>
          <w:p w14:paraId="09F19A6F" w14:textId="0A163B49" w:rsidR="000158B0" w:rsidRPr="00D92E20" w:rsidRDefault="000158B0" w:rsidP="000158B0">
            <w:pPr>
              <w:spacing w:after="0" w:line="240" w:lineRule="auto"/>
              <w:jc w:val="right"/>
              <w:rPr>
                <w:rFonts w:cs="Arial"/>
                <w:color w:val="000000"/>
                <w:sz w:val="16"/>
                <w:szCs w:val="16"/>
              </w:rPr>
            </w:pPr>
            <w:r>
              <w:rPr>
                <w:rFonts w:cs="Arial"/>
                <w:color w:val="000000"/>
                <w:sz w:val="16"/>
                <w:szCs w:val="16"/>
              </w:rPr>
              <w:t>13 758</w:t>
            </w:r>
          </w:p>
        </w:tc>
        <w:tc>
          <w:tcPr>
            <w:tcW w:w="709" w:type="dxa"/>
            <w:tcBorders>
              <w:top w:val="nil"/>
              <w:left w:val="nil"/>
              <w:bottom w:val="nil"/>
              <w:right w:val="single" w:sz="4" w:space="0" w:color="auto"/>
            </w:tcBorders>
            <w:shd w:val="clear" w:color="auto" w:fill="auto"/>
            <w:vAlign w:val="center"/>
            <w:hideMark/>
          </w:tcPr>
          <w:p w14:paraId="14BE404F" w14:textId="51125A62" w:rsidR="000158B0" w:rsidRPr="00D92E20" w:rsidRDefault="000158B0" w:rsidP="000158B0">
            <w:pPr>
              <w:spacing w:after="0" w:line="240" w:lineRule="auto"/>
              <w:jc w:val="right"/>
              <w:rPr>
                <w:rFonts w:cs="Arial"/>
                <w:color w:val="000000"/>
                <w:sz w:val="16"/>
                <w:szCs w:val="16"/>
              </w:rPr>
            </w:pPr>
            <w:r>
              <w:rPr>
                <w:rFonts w:cs="Arial"/>
                <w:color w:val="000000"/>
                <w:sz w:val="16"/>
                <w:szCs w:val="16"/>
              </w:rPr>
              <w:t>6 099</w:t>
            </w:r>
          </w:p>
        </w:tc>
        <w:tc>
          <w:tcPr>
            <w:tcW w:w="710" w:type="dxa"/>
            <w:tcBorders>
              <w:top w:val="nil"/>
              <w:left w:val="nil"/>
              <w:bottom w:val="nil"/>
              <w:right w:val="nil"/>
            </w:tcBorders>
            <w:shd w:val="clear" w:color="auto" w:fill="auto"/>
            <w:vAlign w:val="center"/>
            <w:hideMark/>
          </w:tcPr>
          <w:p w14:paraId="61B5E213" w14:textId="64F8C817" w:rsidR="000158B0" w:rsidRPr="00D92E20" w:rsidRDefault="000158B0" w:rsidP="000158B0">
            <w:pPr>
              <w:spacing w:after="0" w:line="240" w:lineRule="auto"/>
              <w:jc w:val="right"/>
              <w:rPr>
                <w:rFonts w:cs="Arial"/>
                <w:color w:val="000000"/>
                <w:sz w:val="16"/>
                <w:szCs w:val="16"/>
              </w:rPr>
            </w:pPr>
            <w:r>
              <w:rPr>
                <w:rFonts w:cs="Arial"/>
                <w:color w:val="000000"/>
                <w:sz w:val="16"/>
                <w:szCs w:val="16"/>
              </w:rPr>
              <w:t>47</w:t>
            </w:r>
          </w:p>
        </w:tc>
        <w:tc>
          <w:tcPr>
            <w:tcW w:w="709" w:type="dxa"/>
            <w:tcBorders>
              <w:top w:val="nil"/>
              <w:left w:val="nil"/>
              <w:bottom w:val="nil"/>
              <w:right w:val="nil"/>
            </w:tcBorders>
            <w:shd w:val="clear" w:color="auto" w:fill="auto"/>
            <w:vAlign w:val="center"/>
            <w:hideMark/>
          </w:tcPr>
          <w:p w14:paraId="19AEE8C4" w14:textId="0A0228C6" w:rsidR="000158B0" w:rsidRPr="00D92E20" w:rsidRDefault="000158B0" w:rsidP="000158B0">
            <w:pPr>
              <w:spacing w:after="0" w:line="240" w:lineRule="auto"/>
              <w:jc w:val="right"/>
              <w:rPr>
                <w:rFonts w:cs="Arial"/>
                <w:color w:val="000000"/>
                <w:sz w:val="16"/>
                <w:szCs w:val="16"/>
              </w:rPr>
            </w:pPr>
            <w:r>
              <w:rPr>
                <w:rFonts w:cs="Arial"/>
                <w:color w:val="000000"/>
                <w:sz w:val="16"/>
                <w:szCs w:val="16"/>
              </w:rPr>
              <w:t>45</w:t>
            </w:r>
          </w:p>
        </w:tc>
        <w:tc>
          <w:tcPr>
            <w:tcW w:w="709" w:type="dxa"/>
            <w:tcBorders>
              <w:top w:val="nil"/>
              <w:left w:val="nil"/>
              <w:bottom w:val="nil"/>
              <w:right w:val="single" w:sz="4" w:space="0" w:color="auto"/>
            </w:tcBorders>
            <w:shd w:val="clear" w:color="auto" w:fill="auto"/>
            <w:vAlign w:val="center"/>
            <w:hideMark/>
          </w:tcPr>
          <w:p w14:paraId="66247653" w14:textId="1013641A" w:rsidR="000158B0" w:rsidRPr="00D92E20" w:rsidRDefault="000158B0" w:rsidP="000158B0">
            <w:pPr>
              <w:spacing w:after="0" w:line="240" w:lineRule="auto"/>
              <w:jc w:val="right"/>
              <w:rPr>
                <w:rFonts w:cs="Arial"/>
                <w:color w:val="000000"/>
                <w:sz w:val="16"/>
                <w:szCs w:val="16"/>
              </w:rPr>
            </w:pPr>
            <w:r>
              <w:rPr>
                <w:rFonts w:cs="Arial"/>
                <w:color w:val="000000"/>
                <w:sz w:val="16"/>
                <w:szCs w:val="16"/>
              </w:rPr>
              <w:t>2</w:t>
            </w:r>
          </w:p>
        </w:tc>
        <w:tc>
          <w:tcPr>
            <w:tcW w:w="710" w:type="dxa"/>
            <w:tcBorders>
              <w:top w:val="nil"/>
              <w:left w:val="single" w:sz="4" w:space="0" w:color="auto"/>
              <w:bottom w:val="nil"/>
              <w:right w:val="nil"/>
            </w:tcBorders>
            <w:vAlign w:val="center"/>
          </w:tcPr>
          <w:p w14:paraId="7679A3EE" w14:textId="7333C723" w:rsidR="000158B0" w:rsidRDefault="000158B0" w:rsidP="000158B0">
            <w:pPr>
              <w:spacing w:after="0" w:line="240" w:lineRule="auto"/>
              <w:jc w:val="right"/>
              <w:rPr>
                <w:rFonts w:cs="Arial"/>
                <w:sz w:val="16"/>
                <w:szCs w:val="16"/>
              </w:rPr>
            </w:pPr>
            <w:r>
              <w:rPr>
                <w:rFonts w:cs="Arial"/>
                <w:color w:val="000000"/>
                <w:sz w:val="16"/>
                <w:szCs w:val="16"/>
              </w:rPr>
              <w:t>426</w:t>
            </w:r>
          </w:p>
        </w:tc>
        <w:tc>
          <w:tcPr>
            <w:tcW w:w="709" w:type="dxa"/>
            <w:tcBorders>
              <w:top w:val="nil"/>
              <w:left w:val="nil"/>
              <w:bottom w:val="nil"/>
              <w:right w:val="nil"/>
            </w:tcBorders>
            <w:vAlign w:val="center"/>
          </w:tcPr>
          <w:p w14:paraId="169F403B" w14:textId="4963930D" w:rsidR="000158B0" w:rsidRDefault="000158B0" w:rsidP="000158B0">
            <w:pPr>
              <w:spacing w:after="0" w:line="240" w:lineRule="auto"/>
              <w:jc w:val="right"/>
              <w:rPr>
                <w:rFonts w:cs="Arial"/>
                <w:sz w:val="16"/>
                <w:szCs w:val="16"/>
              </w:rPr>
            </w:pPr>
            <w:r>
              <w:rPr>
                <w:rFonts w:cs="Arial"/>
                <w:color w:val="000000"/>
                <w:sz w:val="16"/>
                <w:szCs w:val="16"/>
              </w:rPr>
              <w:t>357</w:t>
            </w:r>
          </w:p>
        </w:tc>
        <w:tc>
          <w:tcPr>
            <w:tcW w:w="709" w:type="dxa"/>
            <w:tcBorders>
              <w:top w:val="nil"/>
              <w:left w:val="nil"/>
              <w:bottom w:val="nil"/>
              <w:right w:val="nil"/>
            </w:tcBorders>
            <w:vAlign w:val="center"/>
          </w:tcPr>
          <w:p w14:paraId="37714948" w14:textId="714F0F2E" w:rsidR="000158B0" w:rsidRDefault="000158B0" w:rsidP="000158B0">
            <w:pPr>
              <w:spacing w:after="0" w:line="240" w:lineRule="auto"/>
              <w:jc w:val="right"/>
              <w:rPr>
                <w:rFonts w:cs="Arial"/>
                <w:sz w:val="16"/>
                <w:szCs w:val="16"/>
              </w:rPr>
            </w:pPr>
            <w:r>
              <w:rPr>
                <w:rFonts w:cs="Arial"/>
                <w:color w:val="000000"/>
                <w:sz w:val="16"/>
                <w:szCs w:val="16"/>
              </w:rPr>
              <w:t>69</w:t>
            </w:r>
          </w:p>
        </w:tc>
      </w:tr>
      <w:tr w:rsidR="000158B0" w:rsidRPr="00D92E20" w14:paraId="197278DD" w14:textId="101520FB" w:rsidTr="000158B0">
        <w:trPr>
          <w:trHeight w:val="300"/>
        </w:trPr>
        <w:tc>
          <w:tcPr>
            <w:tcW w:w="1077" w:type="dxa"/>
            <w:tcBorders>
              <w:top w:val="nil"/>
              <w:left w:val="nil"/>
              <w:bottom w:val="nil"/>
              <w:right w:val="single" w:sz="4" w:space="0" w:color="auto"/>
            </w:tcBorders>
            <w:shd w:val="clear" w:color="auto" w:fill="auto"/>
            <w:vAlign w:val="center"/>
            <w:hideMark/>
          </w:tcPr>
          <w:p w14:paraId="60A2D725" w14:textId="6A5669F7" w:rsidR="000158B0" w:rsidRPr="00D92E20" w:rsidRDefault="000158B0" w:rsidP="000158B0">
            <w:pPr>
              <w:spacing w:after="0" w:line="240" w:lineRule="auto"/>
              <w:jc w:val="center"/>
              <w:rPr>
                <w:rFonts w:cs="Arial"/>
                <w:color w:val="000000"/>
                <w:sz w:val="16"/>
                <w:szCs w:val="16"/>
              </w:rPr>
            </w:pPr>
            <w:r>
              <w:rPr>
                <w:rFonts w:cs="Arial"/>
                <w:sz w:val="16"/>
                <w:szCs w:val="16"/>
              </w:rPr>
              <w:t>1. pol. 2021</w:t>
            </w:r>
          </w:p>
        </w:tc>
        <w:tc>
          <w:tcPr>
            <w:tcW w:w="710" w:type="dxa"/>
            <w:tcBorders>
              <w:top w:val="nil"/>
              <w:left w:val="nil"/>
              <w:bottom w:val="nil"/>
              <w:right w:val="nil"/>
            </w:tcBorders>
            <w:shd w:val="clear" w:color="auto" w:fill="auto"/>
            <w:noWrap/>
            <w:vAlign w:val="center"/>
            <w:hideMark/>
          </w:tcPr>
          <w:p w14:paraId="62248BD1" w14:textId="04880B60" w:rsidR="000158B0" w:rsidRPr="00D92E20" w:rsidRDefault="000158B0" w:rsidP="000158B0">
            <w:pPr>
              <w:spacing w:after="0" w:line="240" w:lineRule="auto"/>
              <w:jc w:val="right"/>
              <w:rPr>
                <w:rFonts w:cs="Arial"/>
                <w:color w:val="000000"/>
                <w:sz w:val="16"/>
                <w:szCs w:val="16"/>
              </w:rPr>
            </w:pPr>
            <w:r>
              <w:rPr>
                <w:rFonts w:cs="Arial"/>
                <w:color w:val="000000"/>
                <w:sz w:val="16"/>
                <w:szCs w:val="16"/>
              </w:rPr>
              <w:t>23 326</w:t>
            </w:r>
          </w:p>
        </w:tc>
        <w:tc>
          <w:tcPr>
            <w:tcW w:w="709" w:type="dxa"/>
            <w:tcBorders>
              <w:top w:val="nil"/>
              <w:left w:val="nil"/>
              <w:bottom w:val="nil"/>
              <w:right w:val="nil"/>
            </w:tcBorders>
            <w:shd w:val="clear" w:color="auto" w:fill="auto"/>
            <w:vAlign w:val="center"/>
            <w:hideMark/>
          </w:tcPr>
          <w:p w14:paraId="2F14C7EA" w14:textId="2DF9A5CC" w:rsidR="000158B0" w:rsidRPr="00D92E20" w:rsidRDefault="000158B0" w:rsidP="000158B0">
            <w:pPr>
              <w:spacing w:after="0" w:line="240" w:lineRule="auto"/>
              <w:jc w:val="right"/>
              <w:rPr>
                <w:rFonts w:cs="Arial"/>
                <w:color w:val="000000"/>
                <w:sz w:val="16"/>
                <w:szCs w:val="16"/>
              </w:rPr>
            </w:pPr>
            <w:r>
              <w:rPr>
                <w:rFonts w:cs="Arial"/>
                <w:color w:val="000000"/>
                <w:sz w:val="16"/>
                <w:szCs w:val="16"/>
              </w:rPr>
              <w:t>16 203</w:t>
            </w:r>
          </w:p>
        </w:tc>
        <w:tc>
          <w:tcPr>
            <w:tcW w:w="709" w:type="dxa"/>
            <w:tcBorders>
              <w:top w:val="nil"/>
              <w:left w:val="nil"/>
              <w:bottom w:val="nil"/>
              <w:right w:val="single" w:sz="4" w:space="0" w:color="auto"/>
            </w:tcBorders>
            <w:shd w:val="clear" w:color="auto" w:fill="auto"/>
            <w:vAlign w:val="center"/>
            <w:hideMark/>
          </w:tcPr>
          <w:p w14:paraId="4B462091" w14:textId="6EE6255C" w:rsidR="000158B0" w:rsidRPr="00D92E20" w:rsidRDefault="000158B0" w:rsidP="000158B0">
            <w:pPr>
              <w:spacing w:after="0" w:line="240" w:lineRule="auto"/>
              <w:jc w:val="right"/>
              <w:rPr>
                <w:rFonts w:cs="Arial"/>
                <w:color w:val="000000"/>
                <w:sz w:val="16"/>
                <w:szCs w:val="16"/>
              </w:rPr>
            </w:pPr>
            <w:r>
              <w:rPr>
                <w:rFonts w:cs="Arial"/>
                <w:color w:val="000000"/>
                <w:sz w:val="16"/>
                <w:szCs w:val="16"/>
              </w:rPr>
              <w:t>7 123</w:t>
            </w:r>
          </w:p>
        </w:tc>
        <w:tc>
          <w:tcPr>
            <w:tcW w:w="710" w:type="dxa"/>
            <w:tcBorders>
              <w:top w:val="nil"/>
              <w:left w:val="nil"/>
              <w:bottom w:val="nil"/>
              <w:right w:val="nil"/>
            </w:tcBorders>
            <w:shd w:val="clear" w:color="auto" w:fill="auto"/>
            <w:noWrap/>
            <w:vAlign w:val="center"/>
            <w:hideMark/>
          </w:tcPr>
          <w:p w14:paraId="5C5C3C3B" w14:textId="03CE287B" w:rsidR="000158B0" w:rsidRPr="00D92E20" w:rsidRDefault="000158B0" w:rsidP="000158B0">
            <w:pPr>
              <w:spacing w:after="0" w:line="240" w:lineRule="auto"/>
              <w:jc w:val="right"/>
              <w:rPr>
                <w:rFonts w:cs="Arial"/>
                <w:color w:val="000000"/>
                <w:sz w:val="16"/>
                <w:szCs w:val="16"/>
              </w:rPr>
            </w:pPr>
            <w:r>
              <w:rPr>
                <w:rFonts w:cs="Arial"/>
                <w:color w:val="000000"/>
                <w:sz w:val="16"/>
                <w:szCs w:val="16"/>
              </w:rPr>
              <w:t>22 469</w:t>
            </w:r>
          </w:p>
        </w:tc>
        <w:tc>
          <w:tcPr>
            <w:tcW w:w="709" w:type="dxa"/>
            <w:tcBorders>
              <w:top w:val="nil"/>
              <w:left w:val="nil"/>
              <w:bottom w:val="nil"/>
              <w:right w:val="nil"/>
            </w:tcBorders>
            <w:shd w:val="clear" w:color="auto" w:fill="auto"/>
            <w:vAlign w:val="center"/>
            <w:hideMark/>
          </w:tcPr>
          <w:p w14:paraId="597F904E" w14:textId="1CB419FE" w:rsidR="000158B0" w:rsidRPr="00D92E20" w:rsidRDefault="000158B0" w:rsidP="000158B0">
            <w:pPr>
              <w:spacing w:after="0" w:line="240" w:lineRule="auto"/>
              <w:jc w:val="right"/>
              <w:rPr>
                <w:rFonts w:cs="Arial"/>
                <w:color w:val="000000"/>
                <w:sz w:val="16"/>
                <w:szCs w:val="16"/>
              </w:rPr>
            </w:pPr>
            <w:r>
              <w:rPr>
                <w:rFonts w:cs="Arial"/>
                <w:color w:val="000000"/>
                <w:sz w:val="16"/>
                <w:szCs w:val="16"/>
              </w:rPr>
              <w:t>15 572</w:t>
            </w:r>
          </w:p>
        </w:tc>
        <w:tc>
          <w:tcPr>
            <w:tcW w:w="709" w:type="dxa"/>
            <w:tcBorders>
              <w:top w:val="nil"/>
              <w:left w:val="nil"/>
              <w:bottom w:val="nil"/>
              <w:right w:val="single" w:sz="4" w:space="0" w:color="auto"/>
            </w:tcBorders>
            <w:shd w:val="clear" w:color="auto" w:fill="auto"/>
            <w:vAlign w:val="center"/>
            <w:hideMark/>
          </w:tcPr>
          <w:p w14:paraId="0DCFD742" w14:textId="2D63242C" w:rsidR="000158B0" w:rsidRPr="00D92E20" w:rsidRDefault="000158B0" w:rsidP="000158B0">
            <w:pPr>
              <w:spacing w:after="0" w:line="240" w:lineRule="auto"/>
              <w:jc w:val="right"/>
              <w:rPr>
                <w:rFonts w:cs="Arial"/>
                <w:color w:val="000000"/>
                <w:sz w:val="16"/>
                <w:szCs w:val="16"/>
              </w:rPr>
            </w:pPr>
            <w:r>
              <w:rPr>
                <w:rFonts w:cs="Arial"/>
                <w:color w:val="000000"/>
                <w:sz w:val="16"/>
                <w:szCs w:val="16"/>
              </w:rPr>
              <w:t>6 897</w:t>
            </w:r>
          </w:p>
        </w:tc>
        <w:tc>
          <w:tcPr>
            <w:tcW w:w="710" w:type="dxa"/>
            <w:tcBorders>
              <w:top w:val="nil"/>
              <w:left w:val="nil"/>
              <w:bottom w:val="nil"/>
              <w:right w:val="nil"/>
            </w:tcBorders>
            <w:shd w:val="clear" w:color="auto" w:fill="auto"/>
            <w:vAlign w:val="center"/>
            <w:hideMark/>
          </w:tcPr>
          <w:p w14:paraId="7981A70F" w14:textId="025FB8FF" w:rsidR="000158B0" w:rsidRPr="00D92E20" w:rsidRDefault="000158B0" w:rsidP="000158B0">
            <w:pPr>
              <w:spacing w:after="0" w:line="240" w:lineRule="auto"/>
              <w:jc w:val="right"/>
              <w:rPr>
                <w:rFonts w:cs="Arial"/>
                <w:color w:val="000000"/>
                <w:sz w:val="16"/>
                <w:szCs w:val="16"/>
              </w:rPr>
            </w:pPr>
            <w:r>
              <w:rPr>
                <w:rFonts w:cs="Arial"/>
                <w:color w:val="000000"/>
                <w:sz w:val="16"/>
                <w:szCs w:val="16"/>
              </w:rPr>
              <w:t>39</w:t>
            </w:r>
          </w:p>
        </w:tc>
        <w:tc>
          <w:tcPr>
            <w:tcW w:w="709" w:type="dxa"/>
            <w:tcBorders>
              <w:top w:val="nil"/>
              <w:left w:val="nil"/>
              <w:bottom w:val="nil"/>
              <w:right w:val="nil"/>
            </w:tcBorders>
            <w:shd w:val="clear" w:color="auto" w:fill="auto"/>
            <w:vAlign w:val="center"/>
            <w:hideMark/>
          </w:tcPr>
          <w:p w14:paraId="7DF2F177" w14:textId="59435B9E" w:rsidR="000158B0" w:rsidRPr="00D92E20" w:rsidRDefault="000158B0" w:rsidP="000158B0">
            <w:pPr>
              <w:spacing w:after="0" w:line="240" w:lineRule="auto"/>
              <w:jc w:val="right"/>
              <w:rPr>
                <w:rFonts w:cs="Arial"/>
                <w:color w:val="000000"/>
                <w:sz w:val="16"/>
                <w:szCs w:val="16"/>
              </w:rPr>
            </w:pPr>
            <w:r>
              <w:rPr>
                <w:rFonts w:cs="Arial"/>
                <w:color w:val="000000"/>
                <w:sz w:val="16"/>
                <w:szCs w:val="16"/>
              </w:rPr>
              <w:t>35</w:t>
            </w:r>
          </w:p>
        </w:tc>
        <w:tc>
          <w:tcPr>
            <w:tcW w:w="709" w:type="dxa"/>
            <w:tcBorders>
              <w:top w:val="nil"/>
              <w:left w:val="nil"/>
              <w:bottom w:val="nil"/>
              <w:right w:val="single" w:sz="4" w:space="0" w:color="auto"/>
            </w:tcBorders>
            <w:shd w:val="clear" w:color="auto" w:fill="auto"/>
            <w:vAlign w:val="center"/>
            <w:hideMark/>
          </w:tcPr>
          <w:p w14:paraId="6C266EB8" w14:textId="18A471C4" w:rsidR="000158B0" w:rsidRPr="00D92E20" w:rsidRDefault="000158B0" w:rsidP="000158B0">
            <w:pPr>
              <w:spacing w:after="0" w:line="240" w:lineRule="auto"/>
              <w:jc w:val="right"/>
              <w:rPr>
                <w:rFonts w:cs="Arial"/>
                <w:color w:val="000000"/>
                <w:sz w:val="16"/>
                <w:szCs w:val="16"/>
              </w:rPr>
            </w:pPr>
            <w:r>
              <w:rPr>
                <w:rFonts w:cs="Arial"/>
                <w:color w:val="000000"/>
                <w:sz w:val="16"/>
                <w:szCs w:val="16"/>
              </w:rPr>
              <w:t>4</w:t>
            </w:r>
          </w:p>
        </w:tc>
        <w:tc>
          <w:tcPr>
            <w:tcW w:w="710" w:type="dxa"/>
            <w:tcBorders>
              <w:top w:val="nil"/>
              <w:left w:val="single" w:sz="4" w:space="0" w:color="auto"/>
              <w:bottom w:val="nil"/>
              <w:right w:val="nil"/>
            </w:tcBorders>
            <w:vAlign w:val="center"/>
          </w:tcPr>
          <w:p w14:paraId="212DB371" w14:textId="4931D609" w:rsidR="000158B0" w:rsidRDefault="000158B0" w:rsidP="000158B0">
            <w:pPr>
              <w:spacing w:after="0" w:line="240" w:lineRule="auto"/>
              <w:jc w:val="right"/>
              <w:rPr>
                <w:rFonts w:cs="Arial"/>
                <w:color w:val="000000"/>
                <w:sz w:val="16"/>
                <w:szCs w:val="16"/>
              </w:rPr>
            </w:pPr>
            <w:r>
              <w:rPr>
                <w:rFonts w:cs="Arial"/>
                <w:color w:val="000000"/>
                <w:sz w:val="16"/>
                <w:szCs w:val="16"/>
              </w:rPr>
              <w:t>395</w:t>
            </w:r>
          </w:p>
        </w:tc>
        <w:tc>
          <w:tcPr>
            <w:tcW w:w="709" w:type="dxa"/>
            <w:tcBorders>
              <w:top w:val="nil"/>
              <w:left w:val="nil"/>
              <w:bottom w:val="nil"/>
              <w:right w:val="nil"/>
            </w:tcBorders>
            <w:vAlign w:val="center"/>
          </w:tcPr>
          <w:p w14:paraId="3D09B8D0" w14:textId="78DC05FA" w:rsidR="000158B0" w:rsidRDefault="000158B0" w:rsidP="000158B0">
            <w:pPr>
              <w:spacing w:after="0" w:line="240" w:lineRule="auto"/>
              <w:jc w:val="right"/>
              <w:rPr>
                <w:rFonts w:cs="Arial"/>
                <w:color w:val="000000"/>
                <w:sz w:val="16"/>
                <w:szCs w:val="16"/>
              </w:rPr>
            </w:pPr>
            <w:r>
              <w:rPr>
                <w:rFonts w:cs="Arial"/>
                <w:color w:val="000000"/>
                <w:sz w:val="16"/>
                <w:szCs w:val="16"/>
              </w:rPr>
              <w:t>320</w:t>
            </w:r>
          </w:p>
        </w:tc>
        <w:tc>
          <w:tcPr>
            <w:tcW w:w="709" w:type="dxa"/>
            <w:tcBorders>
              <w:top w:val="nil"/>
              <w:left w:val="nil"/>
              <w:bottom w:val="nil"/>
              <w:right w:val="nil"/>
            </w:tcBorders>
            <w:vAlign w:val="center"/>
          </w:tcPr>
          <w:p w14:paraId="159EFE26" w14:textId="094A2242" w:rsidR="000158B0" w:rsidRDefault="000158B0" w:rsidP="000158B0">
            <w:pPr>
              <w:spacing w:after="0" w:line="240" w:lineRule="auto"/>
              <w:jc w:val="right"/>
              <w:rPr>
                <w:rFonts w:cs="Arial"/>
                <w:color w:val="000000"/>
                <w:sz w:val="16"/>
                <w:szCs w:val="16"/>
              </w:rPr>
            </w:pPr>
            <w:r>
              <w:rPr>
                <w:rFonts w:cs="Arial"/>
                <w:color w:val="000000"/>
                <w:sz w:val="16"/>
                <w:szCs w:val="16"/>
              </w:rPr>
              <w:t>75</w:t>
            </w:r>
          </w:p>
        </w:tc>
      </w:tr>
      <w:tr w:rsidR="000158B0" w:rsidRPr="00D92E20" w14:paraId="633C828F" w14:textId="0F88BDCA" w:rsidTr="000158B0">
        <w:trPr>
          <w:trHeight w:val="300"/>
        </w:trPr>
        <w:tc>
          <w:tcPr>
            <w:tcW w:w="1077" w:type="dxa"/>
            <w:tcBorders>
              <w:top w:val="nil"/>
              <w:left w:val="nil"/>
              <w:bottom w:val="nil"/>
              <w:right w:val="single" w:sz="4" w:space="0" w:color="auto"/>
            </w:tcBorders>
            <w:shd w:val="clear" w:color="auto" w:fill="auto"/>
            <w:vAlign w:val="center"/>
            <w:hideMark/>
          </w:tcPr>
          <w:p w14:paraId="57937F0A" w14:textId="31A419F6" w:rsidR="000158B0" w:rsidRPr="00D92E20" w:rsidRDefault="000158B0" w:rsidP="000158B0">
            <w:pPr>
              <w:spacing w:after="0" w:line="240" w:lineRule="auto"/>
              <w:jc w:val="center"/>
              <w:rPr>
                <w:rFonts w:cs="Arial"/>
                <w:color w:val="000000"/>
                <w:sz w:val="16"/>
                <w:szCs w:val="16"/>
              </w:rPr>
            </w:pPr>
            <w:r>
              <w:rPr>
                <w:rFonts w:cs="Arial"/>
                <w:sz w:val="16"/>
                <w:szCs w:val="16"/>
              </w:rPr>
              <w:t>1. pol. 2022</w:t>
            </w:r>
          </w:p>
        </w:tc>
        <w:tc>
          <w:tcPr>
            <w:tcW w:w="710" w:type="dxa"/>
            <w:tcBorders>
              <w:top w:val="nil"/>
              <w:left w:val="nil"/>
              <w:bottom w:val="nil"/>
              <w:right w:val="nil"/>
            </w:tcBorders>
            <w:shd w:val="clear" w:color="auto" w:fill="auto"/>
            <w:noWrap/>
            <w:vAlign w:val="center"/>
            <w:hideMark/>
          </w:tcPr>
          <w:p w14:paraId="507D8AC8" w14:textId="20900D7C" w:rsidR="000158B0" w:rsidRPr="00D92E20" w:rsidRDefault="000158B0" w:rsidP="000158B0">
            <w:pPr>
              <w:spacing w:after="0" w:line="240" w:lineRule="auto"/>
              <w:jc w:val="right"/>
              <w:rPr>
                <w:rFonts w:cs="Arial"/>
                <w:color w:val="000000"/>
                <w:sz w:val="16"/>
                <w:szCs w:val="16"/>
              </w:rPr>
            </w:pPr>
            <w:r>
              <w:rPr>
                <w:rFonts w:cs="Arial"/>
                <w:color w:val="000000"/>
                <w:sz w:val="16"/>
                <w:szCs w:val="16"/>
              </w:rPr>
              <w:t>23 278</w:t>
            </w:r>
          </w:p>
        </w:tc>
        <w:tc>
          <w:tcPr>
            <w:tcW w:w="709" w:type="dxa"/>
            <w:tcBorders>
              <w:top w:val="nil"/>
              <w:left w:val="nil"/>
              <w:bottom w:val="nil"/>
              <w:right w:val="nil"/>
            </w:tcBorders>
            <w:shd w:val="clear" w:color="auto" w:fill="auto"/>
            <w:vAlign w:val="center"/>
            <w:hideMark/>
          </w:tcPr>
          <w:p w14:paraId="7B4206ED" w14:textId="3BB29762" w:rsidR="000158B0" w:rsidRPr="00D92E20" w:rsidRDefault="000158B0" w:rsidP="000158B0">
            <w:pPr>
              <w:spacing w:after="0" w:line="240" w:lineRule="auto"/>
              <w:jc w:val="right"/>
              <w:rPr>
                <w:rFonts w:cs="Arial"/>
                <w:color w:val="000000"/>
                <w:sz w:val="16"/>
                <w:szCs w:val="16"/>
              </w:rPr>
            </w:pPr>
            <w:r>
              <w:rPr>
                <w:rFonts w:cs="Arial"/>
                <w:color w:val="000000"/>
                <w:sz w:val="16"/>
                <w:szCs w:val="16"/>
              </w:rPr>
              <w:t>15 616</w:t>
            </w:r>
          </w:p>
        </w:tc>
        <w:tc>
          <w:tcPr>
            <w:tcW w:w="709" w:type="dxa"/>
            <w:tcBorders>
              <w:top w:val="nil"/>
              <w:left w:val="nil"/>
              <w:bottom w:val="nil"/>
              <w:right w:val="single" w:sz="4" w:space="0" w:color="auto"/>
            </w:tcBorders>
            <w:shd w:val="clear" w:color="auto" w:fill="auto"/>
            <w:vAlign w:val="center"/>
            <w:hideMark/>
          </w:tcPr>
          <w:p w14:paraId="2F109DFF" w14:textId="69147828" w:rsidR="000158B0" w:rsidRPr="00D92E20" w:rsidRDefault="000158B0" w:rsidP="000158B0">
            <w:pPr>
              <w:spacing w:after="0" w:line="240" w:lineRule="auto"/>
              <w:jc w:val="right"/>
              <w:rPr>
                <w:rFonts w:cs="Arial"/>
                <w:color w:val="000000"/>
                <w:sz w:val="16"/>
                <w:szCs w:val="16"/>
              </w:rPr>
            </w:pPr>
            <w:r>
              <w:rPr>
                <w:rFonts w:cs="Arial"/>
                <w:color w:val="000000"/>
                <w:sz w:val="16"/>
                <w:szCs w:val="16"/>
              </w:rPr>
              <w:t>7 662</w:t>
            </w:r>
          </w:p>
        </w:tc>
        <w:tc>
          <w:tcPr>
            <w:tcW w:w="710" w:type="dxa"/>
            <w:tcBorders>
              <w:top w:val="nil"/>
              <w:left w:val="nil"/>
              <w:bottom w:val="nil"/>
              <w:right w:val="nil"/>
            </w:tcBorders>
            <w:shd w:val="clear" w:color="auto" w:fill="auto"/>
            <w:noWrap/>
            <w:vAlign w:val="center"/>
            <w:hideMark/>
          </w:tcPr>
          <w:p w14:paraId="2B8A08B2" w14:textId="651AA23F" w:rsidR="000158B0" w:rsidRPr="00D92E20" w:rsidRDefault="000158B0" w:rsidP="000158B0">
            <w:pPr>
              <w:spacing w:after="0" w:line="240" w:lineRule="auto"/>
              <w:jc w:val="right"/>
              <w:rPr>
                <w:rFonts w:cs="Arial"/>
                <w:color w:val="000000"/>
                <w:sz w:val="16"/>
                <w:szCs w:val="16"/>
              </w:rPr>
            </w:pPr>
            <w:r>
              <w:rPr>
                <w:rFonts w:cs="Arial"/>
                <w:color w:val="000000"/>
                <w:sz w:val="16"/>
                <w:szCs w:val="16"/>
              </w:rPr>
              <w:t>22 358</w:t>
            </w:r>
          </w:p>
        </w:tc>
        <w:tc>
          <w:tcPr>
            <w:tcW w:w="709" w:type="dxa"/>
            <w:tcBorders>
              <w:top w:val="nil"/>
              <w:left w:val="nil"/>
              <w:bottom w:val="nil"/>
              <w:right w:val="nil"/>
            </w:tcBorders>
            <w:shd w:val="clear" w:color="auto" w:fill="auto"/>
            <w:vAlign w:val="center"/>
            <w:hideMark/>
          </w:tcPr>
          <w:p w14:paraId="697C4BF5" w14:textId="2F445141" w:rsidR="000158B0" w:rsidRPr="00D92E20" w:rsidRDefault="000158B0" w:rsidP="000158B0">
            <w:pPr>
              <w:spacing w:after="0" w:line="240" w:lineRule="auto"/>
              <w:jc w:val="right"/>
              <w:rPr>
                <w:rFonts w:cs="Arial"/>
                <w:color w:val="000000"/>
                <w:sz w:val="16"/>
                <w:szCs w:val="16"/>
              </w:rPr>
            </w:pPr>
            <w:r>
              <w:rPr>
                <w:rFonts w:cs="Arial"/>
                <w:color w:val="000000"/>
                <w:sz w:val="16"/>
                <w:szCs w:val="16"/>
              </w:rPr>
              <w:t>14 949</w:t>
            </w:r>
          </w:p>
        </w:tc>
        <w:tc>
          <w:tcPr>
            <w:tcW w:w="709" w:type="dxa"/>
            <w:tcBorders>
              <w:top w:val="nil"/>
              <w:left w:val="nil"/>
              <w:bottom w:val="nil"/>
              <w:right w:val="single" w:sz="4" w:space="0" w:color="auto"/>
            </w:tcBorders>
            <w:shd w:val="clear" w:color="auto" w:fill="auto"/>
            <w:vAlign w:val="center"/>
            <w:hideMark/>
          </w:tcPr>
          <w:p w14:paraId="607AF827" w14:textId="470E34BF" w:rsidR="000158B0" w:rsidRPr="00D92E20" w:rsidRDefault="000158B0" w:rsidP="000158B0">
            <w:pPr>
              <w:spacing w:after="0" w:line="240" w:lineRule="auto"/>
              <w:jc w:val="right"/>
              <w:rPr>
                <w:rFonts w:cs="Arial"/>
                <w:color w:val="000000"/>
                <w:sz w:val="16"/>
                <w:szCs w:val="16"/>
              </w:rPr>
            </w:pPr>
            <w:r>
              <w:rPr>
                <w:rFonts w:cs="Arial"/>
                <w:color w:val="000000"/>
                <w:sz w:val="16"/>
                <w:szCs w:val="16"/>
              </w:rPr>
              <w:t>7 409</w:t>
            </w:r>
          </w:p>
        </w:tc>
        <w:tc>
          <w:tcPr>
            <w:tcW w:w="710" w:type="dxa"/>
            <w:tcBorders>
              <w:top w:val="nil"/>
              <w:left w:val="nil"/>
              <w:bottom w:val="nil"/>
              <w:right w:val="nil"/>
            </w:tcBorders>
            <w:shd w:val="clear" w:color="auto" w:fill="auto"/>
            <w:vAlign w:val="center"/>
            <w:hideMark/>
          </w:tcPr>
          <w:p w14:paraId="688EDD90" w14:textId="32205D55" w:rsidR="000158B0" w:rsidRPr="00D92E20" w:rsidRDefault="000158B0" w:rsidP="000158B0">
            <w:pPr>
              <w:spacing w:after="0" w:line="240" w:lineRule="auto"/>
              <w:jc w:val="right"/>
              <w:rPr>
                <w:rFonts w:cs="Arial"/>
                <w:color w:val="000000"/>
                <w:sz w:val="16"/>
                <w:szCs w:val="16"/>
              </w:rPr>
            </w:pPr>
            <w:r>
              <w:rPr>
                <w:rFonts w:cs="Arial"/>
                <w:color w:val="000000"/>
                <w:sz w:val="16"/>
                <w:szCs w:val="16"/>
              </w:rPr>
              <w:t>40</w:t>
            </w:r>
          </w:p>
        </w:tc>
        <w:tc>
          <w:tcPr>
            <w:tcW w:w="709" w:type="dxa"/>
            <w:tcBorders>
              <w:top w:val="nil"/>
              <w:left w:val="nil"/>
              <w:bottom w:val="nil"/>
              <w:right w:val="nil"/>
            </w:tcBorders>
            <w:shd w:val="clear" w:color="auto" w:fill="auto"/>
            <w:vAlign w:val="center"/>
            <w:hideMark/>
          </w:tcPr>
          <w:p w14:paraId="4BD6BEA5" w14:textId="6079C228" w:rsidR="000158B0" w:rsidRPr="00D92E20" w:rsidRDefault="000158B0" w:rsidP="000158B0">
            <w:pPr>
              <w:spacing w:after="0" w:line="240" w:lineRule="auto"/>
              <w:jc w:val="right"/>
              <w:rPr>
                <w:rFonts w:cs="Arial"/>
                <w:color w:val="000000"/>
                <w:sz w:val="16"/>
                <w:szCs w:val="16"/>
              </w:rPr>
            </w:pPr>
            <w:r>
              <w:rPr>
                <w:rFonts w:cs="Arial"/>
                <w:color w:val="000000"/>
                <w:sz w:val="16"/>
                <w:szCs w:val="16"/>
              </w:rPr>
              <w:t>39</w:t>
            </w:r>
          </w:p>
        </w:tc>
        <w:tc>
          <w:tcPr>
            <w:tcW w:w="709" w:type="dxa"/>
            <w:tcBorders>
              <w:top w:val="nil"/>
              <w:left w:val="nil"/>
              <w:bottom w:val="nil"/>
              <w:right w:val="single" w:sz="4" w:space="0" w:color="auto"/>
            </w:tcBorders>
            <w:shd w:val="clear" w:color="auto" w:fill="auto"/>
            <w:vAlign w:val="center"/>
            <w:hideMark/>
          </w:tcPr>
          <w:p w14:paraId="085C97E9" w14:textId="1F83506D" w:rsidR="000158B0" w:rsidRPr="00D92E20" w:rsidRDefault="000158B0" w:rsidP="000158B0">
            <w:pPr>
              <w:spacing w:after="0" w:line="240" w:lineRule="auto"/>
              <w:jc w:val="right"/>
              <w:rPr>
                <w:rFonts w:cs="Arial"/>
                <w:color w:val="000000"/>
                <w:sz w:val="16"/>
                <w:szCs w:val="16"/>
              </w:rPr>
            </w:pPr>
            <w:r>
              <w:rPr>
                <w:rFonts w:cs="Arial"/>
                <w:color w:val="000000"/>
                <w:sz w:val="16"/>
                <w:szCs w:val="16"/>
              </w:rPr>
              <w:t>1</w:t>
            </w:r>
          </w:p>
        </w:tc>
        <w:tc>
          <w:tcPr>
            <w:tcW w:w="710" w:type="dxa"/>
            <w:tcBorders>
              <w:top w:val="nil"/>
              <w:left w:val="single" w:sz="4" w:space="0" w:color="auto"/>
              <w:bottom w:val="nil"/>
              <w:right w:val="nil"/>
            </w:tcBorders>
            <w:vAlign w:val="center"/>
          </w:tcPr>
          <w:p w14:paraId="36C4DA7E" w14:textId="273ADBA0" w:rsidR="000158B0" w:rsidRDefault="000158B0" w:rsidP="000158B0">
            <w:pPr>
              <w:spacing w:after="0" w:line="240" w:lineRule="auto"/>
              <w:jc w:val="right"/>
              <w:rPr>
                <w:rFonts w:cs="Arial"/>
                <w:color w:val="000000"/>
                <w:sz w:val="16"/>
                <w:szCs w:val="16"/>
              </w:rPr>
            </w:pPr>
            <w:r>
              <w:rPr>
                <w:rFonts w:cs="Arial"/>
                <w:color w:val="000000"/>
                <w:sz w:val="16"/>
                <w:szCs w:val="16"/>
              </w:rPr>
              <w:t>411</w:t>
            </w:r>
          </w:p>
        </w:tc>
        <w:tc>
          <w:tcPr>
            <w:tcW w:w="709" w:type="dxa"/>
            <w:tcBorders>
              <w:top w:val="nil"/>
              <w:left w:val="nil"/>
              <w:bottom w:val="nil"/>
              <w:right w:val="nil"/>
            </w:tcBorders>
            <w:vAlign w:val="center"/>
          </w:tcPr>
          <w:p w14:paraId="636014F4" w14:textId="0FC1A958" w:rsidR="000158B0" w:rsidRDefault="000158B0" w:rsidP="000158B0">
            <w:pPr>
              <w:spacing w:after="0" w:line="240" w:lineRule="auto"/>
              <w:jc w:val="right"/>
              <w:rPr>
                <w:rFonts w:cs="Arial"/>
                <w:color w:val="000000"/>
                <w:sz w:val="16"/>
                <w:szCs w:val="16"/>
              </w:rPr>
            </w:pPr>
            <w:r>
              <w:rPr>
                <w:rFonts w:cs="Arial"/>
                <w:color w:val="000000"/>
                <w:sz w:val="16"/>
                <w:szCs w:val="16"/>
              </w:rPr>
              <w:t>326</w:t>
            </w:r>
          </w:p>
        </w:tc>
        <w:tc>
          <w:tcPr>
            <w:tcW w:w="709" w:type="dxa"/>
            <w:tcBorders>
              <w:top w:val="nil"/>
              <w:left w:val="nil"/>
              <w:bottom w:val="nil"/>
              <w:right w:val="nil"/>
            </w:tcBorders>
            <w:vAlign w:val="center"/>
          </w:tcPr>
          <w:p w14:paraId="0BE5BAE3" w14:textId="3BB0C796" w:rsidR="000158B0" w:rsidRDefault="000158B0" w:rsidP="000158B0">
            <w:pPr>
              <w:spacing w:after="0" w:line="240" w:lineRule="auto"/>
              <w:jc w:val="right"/>
              <w:rPr>
                <w:rFonts w:cs="Arial"/>
                <w:color w:val="000000"/>
                <w:sz w:val="16"/>
                <w:szCs w:val="16"/>
              </w:rPr>
            </w:pPr>
            <w:r>
              <w:rPr>
                <w:rFonts w:cs="Arial"/>
                <w:color w:val="000000"/>
                <w:sz w:val="16"/>
                <w:szCs w:val="16"/>
              </w:rPr>
              <w:t>85</w:t>
            </w:r>
          </w:p>
        </w:tc>
      </w:tr>
    </w:tbl>
    <w:p w14:paraId="23699BA4" w14:textId="77777777" w:rsidR="00BF4256" w:rsidRPr="00D92E20" w:rsidRDefault="00BF4256" w:rsidP="00000A90">
      <w:pPr>
        <w:spacing w:before="120" w:after="120"/>
        <w:jc w:val="both"/>
        <w:rPr>
          <w:sz w:val="16"/>
        </w:rPr>
      </w:pPr>
      <w:r w:rsidRPr="00D92E20">
        <w:rPr>
          <w:sz w:val="16"/>
        </w:rPr>
        <w:t>Zdroj: ČSÚ, SÚIP</w:t>
      </w:r>
    </w:p>
    <w:p w14:paraId="6D184AC0" w14:textId="77777777" w:rsidR="00F20CF3" w:rsidRPr="000158B0" w:rsidRDefault="00F20CF3" w:rsidP="00000A90">
      <w:pPr>
        <w:spacing w:before="120" w:after="120"/>
        <w:jc w:val="both"/>
        <w:rPr>
          <w:rFonts w:cs="Arial"/>
        </w:rPr>
      </w:pPr>
      <w:r w:rsidRPr="000158B0">
        <w:rPr>
          <w:rFonts w:cs="Arial"/>
        </w:rPr>
        <w:t>Nadále se v této kapitole budeme věnovat pracovním úrazům s pracovní neschopností delší než 3 kalendářní dny.</w:t>
      </w:r>
    </w:p>
    <w:p w14:paraId="57F8AA80" w14:textId="67CCC40C" w:rsidR="00BF4256" w:rsidRDefault="003044AF" w:rsidP="00000A90">
      <w:pPr>
        <w:spacing w:before="120" w:after="120"/>
        <w:jc w:val="both"/>
      </w:pPr>
      <w:r w:rsidRPr="00012105">
        <w:t xml:space="preserve">Pokud pomineme 1. pol. 2020, kdy se počet pracovních úrazů vyžadujících neschopenku delší než 3 dny dostal pod 20 tis., dochází od 1. pol. 2017 </w:t>
      </w:r>
      <w:r w:rsidR="003A2C67">
        <w:t xml:space="preserve">víceméně </w:t>
      </w:r>
      <w:r w:rsidRPr="00012105">
        <w:t>k postupnému snižování počtu takto klasifikovaných pracovních úrazů. V 1. pol. 202</w:t>
      </w:r>
      <w:r w:rsidR="00012105" w:rsidRPr="00012105">
        <w:t xml:space="preserve">2 </w:t>
      </w:r>
      <w:r w:rsidR="00632857">
        <w:t>došlo ke</w:t>
      </w:r>
      <w:r w:rsidR="00012105" w:rsidRPr="00012105">
        <w:t xml:space="preserve"> 22,4</w:t>
      </w:r>
      <w:r w:rsidRPr="00012105">
        <w:t xml:space="preserve"> tis. pracovních úrazů s</w:t>
      </w:r>
      <w:r w:rsidR="005C496F" w:rsidRPr="00012105">
        <w:t xml:space="preserve"> delší než </w:t>
      </w:r>
      <w:r w:rsidRPr="00012105">
        <w:t>3denní DPN. Nejvyšší hodnota v desetiletém období, a sice 24,2 tis. byla zaznamenána v 1. pol. 2016.</w:t>
      </w:r>
      <w:r w:rsidRPr="003044AF">
        <w:t xml:space="preserve"> </w:t>
      </w:r>
    </w:p>
    <w:p w14:paraId="1FA6D054" w14:textId="2B981EEB" w:rsidR="004C0781" w:rsidRPr="00D92E20" w:rsidRDefault="004C0781" w:rsidP="004C0781">
      <w:pPr>
        <w:spacing w:before="120" w:after="120"/>
        <w:jc w:val="both"/>
        <w:rPr>
          <w:b/>
        </w:rPr>
      </w:pPr>
      <w:r w:rsidRPr="005C064F">
        <w:rPr>
          <w:rFonts w:cs="Arial"/>
          <w:bCs/>
          <w:color w:val="000000"/>
          <w:szCs w:val="20"/>
        </w:rPr>
        <w:t xml:space="preserve">V absolutním vyjádření </w:t>
      </w:r>
      <w:r w:rsidRPr="005C064F">
        <w:rPr>
          <w:rFonts w:cs="Arial"/>
          <w:b/>
          <w:bCs/>
          <w:color w:val="000000"/>
          <w:szCs w:val="20"/>
        </w:rPr>
        <w:t>nejvíce pracovních úrazů</w:t>
      </w:r>
      <w:r w:rsidRPr="005C064F">
        <w:rPr>
          <w:rFonts w:cs="Arial"/>
          <w:bCs/>
          <w:color w:val="000000"/>
          <w:szCs w:val="20"/>
        </w:rPr>
        <w:t xml:space="preserve"> s DPN delší než 3 dny se v 1. pol. 2022 událo </w:t>
      </w:r>
      <w:r w:rsidRPr="005C064F">
        <w:rPr>
          <w:rFonts w:cs="Arial"/>
          <w:b/>
          <w:bCs/>
          <w:color w:val="000000"/>
          <w:szCs w:val="20"/>
        </w:rPr>
        <w:t>ve Zpracovatelském průmyslu</w:t>
      </w:r>
      <w:r w:rsidRPr="005C064F">
        <w:rPr>
          <w:rFonts w:cs="Arial"/>
          <w:bCs/>
          <w:color w:val="000000"/>
          <w:szCs w:val="20"/>
        </w:rPr>
        <w:t xml:space="preserve"> (8 817 případů), následují odvětví Velkoobchod a maloobchod, opravy a údržba motorových vozidel (2 691) a Doprava a skladování (2 080). Pokud však zohledníme zaměstnanost v jednotlivých odvětvích a míru zastoupení jednotlivých sekcí, je vhodné použít </w:t>
      </w:r>
      <w:r w:rsidRPr="005C064F">
        <w:rPr>
          <w:rFonts w:cs="Arial"/>
          <w:b/>
          <w:bCs/>
          <w:color w:val="000000"/>
          <w:szCs w:val="20"/>
        </w:rPr>
        <w:t>relativní ukazatel</w:t>
      </w:r>
      <w:r w:rsidRPr="005C064F">
        <w:rPr>
          <w:rFonts w:cs="Arial"/>
          <w:bCs/>
          <w:color w:val="000000"/>
          <w:szCs w:val="20"/>
        </w:rPr>
        <w:t xml:space="preserve"> vztažený na 100 tis. pojištěnců. </w:t>
      </w:r>
      <w:r w:rsidRPr="005C064F">
        <w:rPr>
          <w:rFonts w:cs="Arial"/>
          <w:b/>
          <w:bCs/>
          <w:color w:val="000000"/>
          <w:szCs w:val="20"/>
        </w:rPr>
        <w:t>Nejrizikovějším</w:t>
      </w:r>
      <w:r w:rsidRPr="005C064F">
        <w:rPr>
          <w:rFonts w:cs="Arial"/>
          <w:bCs/>
          <w:color w:val="000000"/>
          <w:szCs w:val="20"/>
        </w:rPr>
        <w:t xml:space="preserve"> odvětvím je pak </w:t>
      </w:r>
      <w:r w:rsidRPr="005C064F">
        <w:rPr>
          <w:rFonts w:cs="Arial"/>
          <w:b/>
          <w:bCs/>
          <w:color w:val="000000"/>
          <w:szCs w:val="20"/>
        </w:rPr>
        <w:t>Zemědělství, lesnictví, rybářství</w:t>
      </w:r>
      <w:r w:rsidRPr="005C064F">
        <w:rPr>
          <w:rFonts w:cs="Arial"/>
          <w:bCs/>
          <w:color w:val="000000"/>
          <w:szCs w:val="20"/>
        </w:rPr>
        <w:t xml:space="preserve"> (1 218 pracovních úrazů na 100 tis. pojištěnců), dále s odstupem odvětví Těžba a dobývání (980) a Zásobování vodou, činnosti související s odpady a sanacemi (959) a teprve poté následuje Zpracovatelský průmysl (736). Průměrně na 100 tis. nemocensky pojištěných připadalo 474 pracovních úrazů s pracovní neschopností delší než 3 dny. Nejméně rizikovými se jeví odvětví Peněžnictví a pojišťovnictví s 32 a Informační a komunikační činnosti s</w:t>
      </w:r>
      <w:r w:rsidR="003E64F4">
        <w:rPr>
          <w:rFonts w:cs="Arial"/>
          <w:bCs/>
          <w:color w:val="000000"/>
          <w:szCs w:val="20"/>
        </w:rPr>
        <w:t> </w:t>
      </w:r>
      <w:r w:rsidRPr="005C064F">
        <w:rPr>
          <w:rFonts w:cs="Arial"/>
          <w:bCs/>
          <w:color w:val="000000"/>
          <w:szCs w:val="20"/>
        </w:rPr>
        <w:t>39</w:t>
      </w:r>
      <w:r w:rsidR="003E64F4">
        <w:rPr>
          <w:rFonts w:cs="Arial"/>
          <w:bCs/>
          <w:color w:val="000000"/>
          <w:szCs w:val="20"/>
        </w:rPr>
        <w:t> </w:t>
      </w:r>
      <w:r w:rsidRPr="005C064F">
        <w:rPr>
          <w:rFonts w:cs="Arial"/>
          <w:bCs/>
          <w:color w:val="000000"/>
          <w:szCs w:val="20"/>
        </w:rPr>
        <w:t>pracovními úrazy, které si vyžádaly 3denní a delší pracovní neschopnost, v přepočtu na 100 tis. pojištěnců.</w:t>
      </w:r>
    </w:p>
    <w:p w14:paraId="3B334AD6" w14:textId="058AF35C" w:rsidR="004C0781" w:rsidRDefault="004C0781">
      <w:pPr>
        <w:spacing w:after="0" w:line="240" w:lineRule="auto"/>
        <w:rPr>
          <w:rFonts w:cs="Arial"/>
          <w:b/>
        </w:rPr>
      </w:pPr>
      <w:r>
        <w:rPr>
          <w:rFonts w:cs="Arial"/>
          <w:b/>
        </w:rPr>
        <w:br w:type="page"/>
      </w:r>
    </w:p>
    <w:p w14:paraId="074197F7" w14:textId="36BFCAF4" w:rsidR="00951947" w:rsidRDefault="00BF4256" w:rsidP="00951947">
      <w:pPr>
        <w:spacing w:after="0"/>
        <w:jc w:val="both"/>
        <w:rPr>
          <w:rFonts w:cs="Arial"/>
          <w:b/>
        </w:rPr>
      </w:pPr>
      <w:r w:rsidRPr="00D92E20">
        <w:rPr>
          <w:rFonts w:cs="Arial"/>
          <w:b/>
        </w:rPr>
        <w:lastRenderedPageBreak/>
        <w:t xml:space="preserve">Graf 5.1: Pracovní úrazy s pracovní neschopností delší než 3 dny na 100 tis. pojištěnců podle pohlaví, </w:t>
      </w:r>
      <w:r w:rsidR="009F34CD" w:rsidRPr="0050059C">
        <w:rPr>
          <w:b/>
          <w:spacing w:val="-2"/>
        </w:rPr>
        <w:t>1. pol. 201</w:t>
      </w:r>
      <w:r w:rsidR="009F34CD">
        <w:rPr>
          <w:b/>
          <w:spacing w:val="-2"/>
        </w:rPr>
        <w:t>2</w:t>
      </w:r>
      <w:r w:rsidR="009F34CD" w:rsidRPr="0050059C">
        <w:rPr>
          <w:b/>
          <w:spacing w:val="-2"/>
        </w:rPr>
        <w:t xml:space="preserve"> až 1. pol. 202</w:t>
      </w:r>
      <w:r w:rsidR="009F34CD">
        <w:rPr>
          <w:b/>
          <w:spacing w:val="-2"/>
        </w:rPr>
        <w:t>2</w:t>
      </w:r>
    </w:p>
    <w:p w14:paraId="34787F9B" w14:textId="2A4EA291" w:rsidR="00F20CF3" w:rsidRPr="00D92E20" w:rsidRDefault="00012105" w:rsidP="00951947">
      <w:pPr>
        <w:spacing w:after="0"/>
        <w:jc w:val="both"/>
        <w:rPr>
          <w:rFonts w:cs="Arial"/>
          <w:b/>
        </w:rPr>
      </w:pPr>
      <w:r>
        <w:rPr>
          <w:noProof/>
        </w:rPr>
        <w:drawing>
          <wp:inline distT="0" distB="0" distL="0" distR="0" wp14:anchorId="25BF6E4B" wp14:editId="586BAA49">
            <wp:extent cx="6124575" cy="2876550"/>
            <wp:effectExtent l="0" t="0" r="9525" b="0"/>
            <wp:docPr id="48" name="Graf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r w:rsidR="00F20CF3" w:rsidRPr="00D92E20">
        <w:rPr>
          <w:rFonts w:cs="Arial"/>
          <w:b/>
        </w:rPr>
        <w:t xml:space="preserve"> </w:t>
      </w:r>
    </w:p>
    <w:p w14:paraId="0DC43427" w14:textId="77777777" w:rsidR="00BF4256" w:rsidRPr="00D92E20" w:rsidRDefault="00BF4256" w:rsidP="00BF4256">
      <w:pPr>
        <w:spacing w:after="120"/>
        <w:jc w:val="both"/>
        <w:rPr>
          <w:sz w:val="16"/>
        </w:rPr>
      </w:pPr>
      <w:r w:rsidRPr="00D92E20">
        <w:rPr>
          <w:sz w:val="16"/>
        </w:rPr>
        <w:t>Zdroj: ČSÚ</w:t>
      </w:r>
    </w:p>
    <w:p w14:paraId="7F540C79" w14:textId="6BEE76C6" w:rsidR="003044AF" w:rsidRDefault="006F40AA" w:rsidP="003044AF">
      <w:pPr>
        <w:spacing w:after="0"/>
        <w:jc w:val="both"/>
        <w:rPr>
          <w:b/>
        </w:rPr>
      </w:pPr>
      <w:r w:rsidRPr="00D92E20">
        <w:rPr>
          <w:b/>
        </w:rPr>
        <w:t xml:space="preserve">Graf 5.2: Pracovní úrazy s pracovní neschopností delší než 3 dny na 100 tis. pojištěnců podle odvětví (sekce CZ-NACE), </w:t>
      </w:r>
      <w:r w:rsidR="005C064F">
        <w:rPr>
          <w:b/>
        </w:rPr>
        <w:t>1. pol. 2022</w:t>
      </w:r>
    </w:p>
    <w:p w14:paraId="065C76EE" w14:textId="7880381B" w:rsidR="006F40AA" w:rsidRPr="00D92E20" w:rsidRDefault="005C064F" w:rsidP="003044AF">
      <w:pPr>
        <w:spacing w:after="0"/>
        <w:jc w:val="both"/>
        <w:rPr>
          <w:b/>
        </w:rPr>
      </w:pPr>
      <w:r>
        <w:rPr>
          <w:noProof/>
        </w:rPr>
        <w:drawing>
          <wp:inline distT="0" distB="0" distL="0" distR="0" wp14:anchorId="69F54F1B" wp14:editId="4BBA0961">
            <wp:extent cx="6120130" cy="4138295"/>
            <wp:effectExtent l="0" t="0" r="13970" b="14605"/>
            <wp:docPr id="49" name="Graf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244B44C8" w14:textId="77777777" w:rsidR="006F40AA" w:rsidRPr="00D92E20" w:rsidRDefault="006F40AA" w:rsidP="006F40AA">
      <w:pPr>
        <w:spacing w:after="120"/>
        <w:jc w:val="both"/>
        <w:rPr>
          <w:sz w:val="16"/>
        </w:rPr>
      </w:pPr>
      <w:r w:rsidRPr="00D92E20">
        <w:rPr>
          <w:sz w:val="16"/>
        </w:rPr>
        <w:t>Zdroj: ČSÚ</w:t>
      </w:r>
    </w:p>
    <w:p w14:paraId="769A6899" w14:textId="594135E7" w:rsidR="006F40AA" w:rsidRPr="00A81C2F" w:rsidRDefault="006F40AA" w:rsidP="00000A90">
      <w:pPr>
        <w:spacing w:before="120" w:after="120"/>
        <w:jc w:val="both"/>
      </w:pPr>
      <w:r w:rsidRPr="005C064F">
        <w:t xml:space="preserve">Z hlediska </w:t>
      </w:r>
      <w:r w:rsidRPr="005C064F">
        <w:rPr>
          <w:b/>
        </w:rPr>
        <w:t>územního členění</w:t>
      </w:r>
      <w:r w:rsidRPr="005C064F">
        <w:t xml:space="preserve"> bylo v</w:t>
      </w:r>
      <w:r w:rsidR="00A81C2F" w:rsidRPr="005C064F">
        <w:t> 1. pol. 202</w:t>
      </w:r>
      <w:r w:rsidR="005C064F" w:rsidRPr="005C064F">
        <w:t>2</w:t>
      </w:r>
      <w:r w:rsidRPr="005C064F">
        <w:t xml:space="preserve"> nejvíce případů pracovních úrazů s pracovní neschopností delší než 3 kalendářní dny na 100 tis. nemocensky pojištěných osob hlášeno v kraji Vysočina (</w:t>
      </w:r>
      <w:r w:rsidR="005C064F" w:rsidRPr="005C064F">
        <w:t>688</w:t>
      </w:r>
      <w:r w:rsidRPr="005C064F">
        <w:t xml:space="preserve">), </w:t>
      </w:r>
      <w:r w:rsidR="00D60D93">
        <w:t xml:space="preserve">Plzeňském (662), </w:t>
      </w:r>
      <w:r w:rsidR="00EB5555" w:rsidRPr="005C064F">
        <w:t>Jihočeském (</w:t>
      </w:r>
      <w:r w:rsidR="005C064F" w:rsidRPr="005C064F">
        <w:t>660</w:t>
      </w:r>
      <w:r w:rsidR="00EB5555" w:rsidRPr="005C064F">
        <w:t xml:space="preserve">) a </w:t>
      </w:r>
      <w:r w:rsidR="00025240">
        <w:t>Karlovarském</w:t>
      </w:r>
      <w:r w:rsidR="00EB5555" w:rsidRPr="005C064F">
        <w:t xml:space="preserve"> kraji (</w:t>
      </w:r>
      <w:r w:rsidR="00A81C2F" w:rsidRPr="005C064F">
        <w:t>6</w:t>
      </w:r>
      <w:r w:rsidR="00025240">
        <w:t>36</w:t>
      </w:r>
      <w:r w:rsidR="00EB5555" w:rsidRPr="005C064F">
        <w:t>)</w:t>
      </w:r>
      <w:r w:rsidRPr="005C064F">
        <w:t xml:space="preserve">. Nejméně neschopností pak bylo </w:t>
      </w:r>
      <w:r w:rsidR="00297326" w:rsidRPr="005C064F">
        <w:t>evidováno</w:t>
      </w:r>
      <w:r w:rsidRPr="005C064F">
        <w:t xml:space="preserve"> v Hlavním městě Praze, a</w:t>
      </w:r>
      <w:r w:rsidR="00A81C2F" w:rsidRPr="005C064F">
        <w:t> </w:t>
      </w:r>
      <w:r w:rsidRPr="005C064F">
        <w:t xml:space="preserve">sice </w:t>
      </w:r>
      <w:r w:rsidR="00A81C2F" w:rsidRPr="005C064F">
        <w:t>28</w:t>
      </w:r>
      <w:r w:rsidR="005C064F" w:rsidRPr="005C064F">
        <w:t>3</w:t>
      </w:r>
      <w:r w:rsidR="00EB5555" w:rsidRPr="005C064F">
        <w:t xml:space="preserve"> případů, což je 2,</w:t>
      </w:r>
      <w:r w:rsidR="005C064F" w:rsidRPr="005C064F">
        <w:t>4</w:t>
      </w:r>
      <w:r w:rsidRPr="005C064F">
        <w:t xml:space="preserve">krát méně než na Vysočině. Klíčovým faktorem ovlivňujícím tuto skutečnost je </w:t>
      </w:r>
      <w:r w:rsidRPr="005C064F">
        <w:rPr>
          <w:b/>
        </w:rPr>
        <w:t>odvětvová struktura</w:t>
      </w:r>
      <w:r w:rsidRPr="005C064F">
        <w:t xml:space="preserve"> v jednotlivých krajích. Zatímco v Praze je vysoký podíl </w:t>
      </w:r>
      <w:r w:rsidRPr="005C064F">
        <w:lastRenderedPageBreak/>
        <w:t>zaměstnaných pracujících ve</w:t>
      </w:r>
      <w:r w:rsidR="00CD63E8" w:rsidRPr="005C064F">
        <w:t> </w:t>
      </w:r>
      <w:r w:rsidRPr="005C064F">
        <w:t xml:space="preserve">službách, nejen na Vysočině, ale i ve zbylých krajích je tento podíl výrazně nižší. Pod </w:t>
      </w:r>
      <w:r w:rsidR="00EB5555" w:rsidRPr="005C064F">
        <w:t>hranicí republikového průměru (</w:t>
      </w:r>
      <w:r w:rsidR="00A81C2F" w:rsidRPr="005C064F">
        <w:t>47</w:t>
      </w:r>
      <w:r w:rsidR="005C064F" w:rsidRPr="005C064F">
        <w:t>4</w:t>
      </w:r>
      <w:r w:rsidRPr="005C064F">
        <w:t xml:space="preserve"> úrazů na 100 tis. nemocensky pojištěných osob) se nachází kraje s největšími českými městy. Kromě již zmiňované Prahy také Jihomoravský kraj (</w:t>
      </w:r>
      <w:r w:rsidR="00A81C2F" w:rsidRPr="005C064F">
        <w:t>4</w:t>
      </w:r>
      <w:r w:rsidR="005C064F" w:rsidRPr="005C064F">
        <w:t>24</w:t>
      </w:r>
      <w:r w:rsidRPr="005C064F">
        <w:t xml:space="preserve"> úrazů)</w:t>
      </w:r>
      <w:r w:rsidR="00941EC8">
        <w:t xml:space="preserve"> a těsně i</w:t>
      </w:r>
      <w:r w:rsidR="003E64F4">
        <w:t> </w:t>
      </w:r>
      <w:r w:rsidR="00941EC8">
        <w:t>Středočeský kraj</w:t>
      </w:r>
      <w:r w:rsidRPr="005C064F">
        <w:t xml:space="preserve">. Na Vysočině a v Jihočeském kraji je z celé republiky nejvyšší podíl pojištěnců v sekci Zemědělství, lesnictví, rybářství, které je z hlediska úrazovosti </w:t>
      </w:r>
      <w:r w:rsidR="00052498" w:rsidRPr="005C064F">
        <w:t xml:space="preserve">dle statistik </w:t>
      </w:r>
      <w:r w:rsidRPr="005C064F">
        <w:t xml:space="preserve">nejrizikovější. Na Vysočině představoval podíl pojištěnců v tomto odvětví 6 %, v Jihočeském kraji necelých 5 %. </w:t>
      </w:r>
      <w:r w:rsidR="00E0329C">
        <w:t>Hlavní město Praha vykazovalo 0,6% podíl a c</w:t>
      </w:r>
      <w:r w:rsidR="00632857">
        <w:t>elorepubliková hodnota</w:t>
      </w:r>
      <w:r w:rsidRPr="005C064F">
        <w:t xml:space="preserve"> činil</w:t>
      </w:r>
      <w:r w:rsidR="00632857">
        <w:t>a</w:t>
      </w:r>
      <w:r w:rsidRPr="005C064F">
        <w:t xml:space="preserve"> 2 %.</w:t>
      </w:r>
    </w:p>
    <w:p w14:paraId="7E75DF49" w14:textId="57A1A4C3" w:rsidR="00000A90" w:rsidRPr="00D92E20" w:rsidRDefault="006F40AA" w:rsidP="004E28A0">
      <w:pPr>
        <w:spacing w:before="120" w:after="120"/>
        <w:jc w:val="both"/>
        <w:rPr>
          <w:b/>
        </w:rPr>
      </w:pPr>
      <w:r w:rsidRPr="005C064F">
        <w:t xml:space="preserve">Rozdíly výskytu pracovních úrazů podle územního členění jsou tedy do značné míry ovlivněny strukturou zaměstnanosti, charakterem převažující ekonomické činnosti a mírou nezaměstnanosti v daném regionu. </w:t>
      </w:r>
      <w:r w:rsidR="00A81C2F" w:rsidRPr="005C064F">
        <w:t>Na</w:t>
      </w:r>
      <w:r w:rsidR="00CD63E8" w:rsidRPr="005C064F">
        <w:t> </w:t>
      </w:r>
      <w:r w:rsidR="00A81C2F" w:rsidRPr="005C064F">
        <w:t>tomto místě j</w:t>
      </w:r>
      <w:r w:rsidRPr="005C064F">
        <w:t xml:space="preserve">e </w:t>
      </w:r>
      <w:r w:rsidR="00A81C2F" w:rsidRPr="005C064F">
        <w:t xml:space="preserve">opět </w:t>
      </w:r>
      <w:r w:rsidRPr="005C064F">
        <w:t>nutné připomenout i metodiku zpracování dat, kdy kraj</w:t>
      </w:r>
      <w:r w:rsidR="00EB5555" w:rsidRPr="005C064F">
        <w:t>ská příslušnost</w:t>
      </w:r>
      <w:r w:rsidRPr="005C064F">
        <w:t xml:space="preserve"> vychází z údaje o</w:t>
      </w:r>
      <w:r w:rsidR="00A81C2F" w:rsidRPr="005C064F">
        <w:t> </w:t>
      </w:r>
      <w:r w:rsidRPr="005C064F">
        <w:t>sídle útvaru, který vede evidenci mezd zaměstnavateli osoby</w:t>
      </w:r>
      <w:r w:rsidR="00297326" w:rsidRPr="005C064F">
        <w:t>, která je</w:t>
      </w:r>
      <w:r w:rsidRPr="005C064F">
        <w:t xml:space="preserve"> v pracovní neschopnosti.</w:t>
      </w:r>
    </w:p>
    <w:p w14:paraId="0B03F30D" w14:textId="0AE90E49" w:rsidR="00EB5555" w:rsidRPr="00542531" w:rsidRDefault="00EB5555" w:rsidP="00000A90">
      <w:pPr>
        <w:spacing w:after="0"/>
        <w:jc w:val="both"/>
        <w:rPr>
          <w:b/>
        </w:rPr>
      </w:pPr>
      <w:r w:rsidRPr="00025240">
        <w:rPr>
          <w:b/>
        </w:rPr>
        <w:t xml:space="preserve">Graf 5.3: Pracovní úrazy s pracovní neschopností delší než 3 dny na 100 tis. pojištěnců podle krajů ČR, </w:t>
      </w:r>
      <w:r w:rsidR="00542531" w:rsidRPr="00025240">
        <w:rPr>
          <w:b/>
        </w:rPr>
        <w:t>1. pol. 202</w:t>
      </w:r>
      <w:r w:rsidR="005C064F" w:rsidRPr="00025240">
        <w:rPr>
          <w:b/>
        </w:rPr>
        <w:t>1 a 2022</w:t>
      </w:r>
    </w:p>
    <w:p w14:paraId="318FF332" w14:textId="57D02A8A" w:rsidR="00EB5555" w:rsidRPr="00D92E20" w:rsidRDefault="00B07661" w:rsidP="006F40AA">
      <w:pPr>
        <w:jc w:val="both"/>
        <w:rPr>
          <w:b/>
        </w:rPr>
      </w:pPr>
      <w:r>
        <w:rPr>
          <w:noProof/>
        </w:rPr>
        <w:drawing>
          <wp:inline distT="0" distB="0" distL="0" distR="0" wp14:anchorId="67FCDF06" wp14:editId="2987FD9E">
            <wp:extent cx="6115050" cy="2609850"/>
            <wp:effectExtent l="0" t="0" r="0" b="0"/>
            <wp:docPr id="60" name="Graf 60"/>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7A7184DA" w14:textId="1774CE06" w:rsidR="000B3C40" w:rsidRDefault="000B3C40" w:rsidP="000B3C40">
      <w:pPr>
        <w:spacing w:after="120"/>
        <w:jc w:val="both"/>
        <w:rPr>
          <w:sz w:val="16"/>
        </w:rPr>
      </w:pPr>
      <w:r w:rsidRPr="00D92E20">
        <w:rPr>
          <w:sz w:val="16"/>
        </w:rPr>
        <w:t>Zdroj: ČSÚ</w:t>
      </w:r>
    </w:p>
    <w:p w14:paraId="7002882B" w14:textId="6465884B" w:rsidR="006F40AA" w:rsidRPr="00D92E20" w:rsidRDefault="006F40AA" w:rsidP="00000A90">
      <w:pPr>
        <w:spacing w:after="120"/>
        <w:jc w:val="both"/>
      </w:pPr>
      <w:r w:rsidRPr="005C064F">
        <w:t xml:space="preserve">Z pohledu </w:t>
      </w:r>
      <w:r w:rsidRPr="005C064F">
        <w:rPr>
          <w:b/>
        </w:rPr>
        <w:t>velikosti podniku</w:t>
      </w:r>
      <w:r w:rsidRPr="005C064F">
        <w:t xml:space="preserve"> se v</w:t>
      </w:r>
      <w:r w:rsidR="00A81C2F" w:rsidRPr="005C064F">
        <w:t> 1. pol. 202</w:t>
      </w:r>
      <w:r w:rsidR="005C064F" w:rsidRPr="005C064F">
        <w:t>2</w:t>
      </w:r>
      <w:r w:rsidRPr="005C064F">
        <w:t xml:space="preserve"> nejvíce pracovních úrazů s pracovní neschopností delší než 3 dny událo v podnicích majících 100–249 zaměstnanců (</w:t>
      </w:r>
      <w:r w:rsidR="00A81C2F" w:rsidRPr="005C064F">
        <w:t>644</w:t>
      </w:r>
      <w:r w:rsidRPr="005C064F">
        <w:t xml:space="preserve"> případů v přepočtu na 100 tis. pojištěnců). Dále </w:t>
      </w:r>
      <w:r w:rsidR="00B67A38" w:rsidRPr="005C064F">
        <w:t>následovali</w:t>
      </w:r>
      <w:r w:rsidRPr="005C064F">
        <w:t xml:space="preserve"> zaměstnavatelé s</w:t>
      </w:r>
      <w:r w:rsidR="002D3899" w:rsidRPr="005C064F">
        <w:t xml:space="preserve"> </w:t>
      </w:r>
      <w:r w:rsidRPr="005C064F">
        <w:t xml:space="preserve">50–99 zaměstnanci, kteří vykázali </w:t>
      </w:r>
      <w:r w:rsidR="005C064F" w:rsidRPr="005C064F">
        <w:t>5</w:t>
      </w:r>
      <w:r w:rsidR="00E0329C">
        <w:t>92</w:t>
      </w:r>
      <w:r w:rsidRPr="005C064F">
        <w:t xml:space="preserve"> pracovních úrazů</w:t>
      </w:r>
      <w:r w:rsidR="005C496F" w:rsidRPr="005C064F">
        <w:t xml:space="preserve"> na 100 tis. pojištěnců. Pro srovnání OSVČ zaznamenaly </w:t>
      </w:r>
      <w:r w:rsidR="00A81C2F" w:rsidRPr="005C064F">
        <w:t>14</w:t>
      </w:r>
      <w:r w:rsidR="005C064F" w:rsidRPr="005C064F">
        <w:t>1</w:t>
      </w:r>
      <w:r w:rsidRPr="005C064F">
        <w:t xml:space="preserve"> </w:t>
      </w:r>
      <w:r w:rsidR="005C496F" w:rsidRPr="005C064F">
        <w:t xml:space="preserve">takovýchto </w:t>
      </w:r>
      <w:r w:rsidRPr="005C064F">
        <w:t>případů</w:t>
      </w:r>
      <w:r w:rsidR="00106B95">
        <w:t xml:space="preserve"> </w:t>
      </w:r>
      <w:r w:rsidR="00106B95" w:rsidRPr="005C064F">
        <w:t>na 100 tis. pojištěnců</w:t>
      </w:r>
      <w:r w:rsidRPr="005C064F">
        <w:t>.</w:t>
      </w:r>
    </w:p>
    <w:p w14:paraId="08B6C192" w14:textId="77777777" w:rsidR="00033735" w:rsidRPr="00D92E20" w:rsidRDefault="00033735">
      <w:pPr>
        <w:spacing w:after="0" w:line="240" w:lineRule="auto"/>
        <w:rPr>
          <w:b/>
        </w:rPr>
      </w:pPr>
      <w:r w:rsidRPr="00D92E20">
        <w:rPr>
          <w:b/>
        </w:rPr>
        <w:br w:type="page"/>
      </w:r>
    </w:p>
    <w:p w14:paraId="4BE1BBEA" w14:textId="77777777" w:rsidR="00B608FE" w:rsidRPr="00632857" w:rsidRDefault="00B608FE" w:rsidP="00277304">
      <w:pPr>
        <w:pStyle w:val="Nadpis3"/>
        <w:numPr>
          <w:ilvl w:val="1"/>
          <w:numId w:val="5"/>
        </w:numPr>
        <w:spacing w:after="100"/>
        <w:ind w:left="284" w:hanging="403"/>
      </w:pPr>
      <w:bookmarkStart w:id="46" w:name="_Toc54262807"/>
      <w:bookmarkStart w:id="47" w:name="_Toc117774435"/>
      <w:r w:rsidRPr="00632857">
        <w:lastRenderedPageBreak/>
        <w:t>Závěrečné shrnutí</w:t>
      </w:r>
      <w:bookmarkEnd w:id="46"/>
      <w:bookmarkEnd w:id="47"/>
    </w:p>
    <w:p w14:paraId="4C4E5F78" w14:textId="29CCEA20" w:rsidR="00483E6B" w:rsidRPr="00CF1C7A" w:rsidRDefault="0087102D" w:rsidP="00107D20">
      <w:pPr>
        <w:pStyle w:val="Odstavecseseznamem"/>
        <w:numPr>
          <w:ilvl w:val="0"/>
          <w:numId w:val="23"/>
        </w:numPr>
        <w:spacing w:after="120"/>
        <w:ind w:left="283" w:hanging="357"/>
        <w:contextualSpacing w:val="0"/>
        <w:jc w:val="both"/>
      </w:pPr>
      <w:r w:rsidRPr="00CF1C7A">
        <w:t>V</w:t>
      </w:r>
      <w:r w:rsidR="002858F4" w:rsidRPr="00CF1C7A">
        <w:t> 1. pol. 202</w:t>
      </w:r>
      <w:r w:rsidR="00CF1C7A" w:rsidRPr="00CF1C7A">
        <w:t>2</w:t>
      </w:r>
      <w:r w:rsidRPr="00CF1C7A">
        <w:t xml:space="preserve"> </w:t>
      </w:r>
      <w:r w:rsidR="00C0303E" w:rsidRPr="00CF1C7A">
        <w:t>bylo v Česku</w:t>
      </w:r>
      <w:r w:rsidRPr="00CF1C7A">
        <w:rPr>
          <w:b/>
        </w:rPr>
        <w:t xml:space="preserve"> </w:t>
      </w:r>
      <w:r w:rsidR="000562AF" w:rsidRPr="00CF1C7A">
        <w:rPr>
          <w:b/>
        </w:rPr>
        <w:t xml:space="preserve">nemocensky pojištěno </w:t>
      </w:r>
      <w:r w:rsidR="000562AF" w:rsidRPr="00CF1C7A">
        <w:t>celkem</w:t>
      </w:r>
      <w:r w:rsidR="000562AF" w:rsidRPr="00CF1C7A">
        <w:rPr>
          <w:b/>
        </w:rPr>
        <w:t xml:space="preserve"> </w:t>
      </w:r>
      <w:r w:rsidR="00CF1C7A" w:rsidRPr="00CF1C7A">
        <w:rPr>
          <w:b/>
        </w:rPr>
        <w:t>4 720</w:t>
      </w:r>
      <w:r w:rsidR="00C0303E" w:rsidRPr="00CF1C7A">
        <w:rPr>
          <w:b/>
        </w:rPr>
        <w:t xml:space="preserve"> tis.</w:t>
      </w:r>
      <w:r w:rsidR="00C0303E" w:rsidRPr="00CF1C7A">
        <w:t xml:space="preserve"> </w:t>
      </w:r>
      <w:r w:rsidRPr="00CF1C7A">
        <w:rPr>
          <w:b/>
        </w:rPr>
        <w:t>osob</w:t>
      </w:r>
      <w:r w:rsidRPr="00CF1C7A">
        <w:t xml:space="preserve">, tedy </w:t>
      </w:r>
      <w:r w:rsidR="002858F4" w:rsidRPr="00CF1C7A">
        <w:t>o </w:t>
      </w:r>
      <w:r w:rsidR="00CF1C7A" w:rsidRPr="00CF1C7A">
        <w:t>3</w:t>
      </w:r>
      <w:r w:rsidR="00E85509">
        <w:t>1,3 tis. více</w:t>
      </w:r>
      <w:r w:rsidRPr="00CF1C7A">
        <w:rPr>
          <w:szCs w:val="20"/>
        </w:rPr>
        <w:t xml:space="preserve"> než před rokem.</w:t>
      </w:r>
      <w:r w:rsidR="00C0303E" w:rsidRPr="00CF1C7A">
        <w:rPr>
          <w:szCs w:val="20"/>
        </w:rPr>
        <w:t xml:space="preserve"> </w:t>
      </w:r>
      <w:r w:rsidR="000562AF" w:rsidRPr="00CF1C7A">
        <w:rPr>
          <w:szCs w:val="20"/>
        </w:rPr>
        <w:t>Meziročně n</w:t>
      </w:r>
      <w:r w:rsidR="00C0303E" w:rsidRPr="00CF1C7A">
        <w:rPr>
          <w:szCs w:val="20"/>
        </w:rPr>
        <w:t xml:space="preserve">ejvýrazněji vzrostl počet pojištěných </w:t>
      </w:r>
      <w:r w:rsidR="000562AF" w:rsidRPr="00CF1C7A">
        <w:rPr>
          <w:szCs w:val="20"/>
        </w:rPr>
        <w:t xml:space="preserve">zaměstnanců </w:t>
      </w:r>
      <w:r w:rsidR="00C0303E" w:rsidRPr="00CF1C7A">
        <w:rPr>
          <w:szCs w:val="20"/>
        </w:rPr>
        <w:t xml:space="preserve">v oblasti </w:t>
      </w:r>
      <w:r w:rsidR="00CF1C7A" w:rsidRPr="00CF1C7A">
        <w:rPr>
          <w:szCs w:val="20"/>
        </w:rPr>
        <w:t>Vzdělávání</w:t>
      </w:r>
      <w:r w:rsidR="00C0303E" w:rsidRPr="00CF1C7A">
        <w:rPr>
          <w:szCs w:val="20"/>
        </w:rPr>
        <w:t xml:space="preserve"> (</w:t>
      </w:r>
      <w:r w:rsidR="002858F4" w:rsidRPr="00CF1C7A">
        <w:rPr>
          <w:szCs w:val="20"/>
        </w:rPr>
        <w:t>o</w:t>
      </w:r>
      <w:r w:rsidR="00CF1C7A">
        <w:rPr>
          <w:szCs w:val="20"/>
        </w:rPr>
        <w:t> </w:t>
      </w:r>
      <w:r w:rsidR="002858F4" w:rsidRPr="00CF1C7A">
        <w:rPr>
          <w:szCs w:val="20"/>
        </w:rPr>
        <w:t>1</w:t>
      </w:r>
      <w:r w:rsidR="00CF1C7A" w:rsidRPr="00CF1C7A">
        <w:rPr>
          <w:szCs w:val="20"/>
        </w:rPr>
        <w:t>3</w:t>
      </w:r>
      <w:r w:rsidR="002858F4" w:rsidRPr="00CF1C7A">
        <w:rPr>
          <w:szCs w:val="20"/>
        </w:rPr>
        <w:t xml:space="preserve"> tis.</w:t>
      </w:r>
      <w:r w:rsidR="00C42F7D">
        <w:rPr>
          <w:szCs w:val="20"/>
        </w:rPr>
        <w:t>;</w:t>
      </w:r>
      <w:r w:rsidR="002858F4" w:rsidRPr="00CF1C7A">
        <w:rPr>
          <w:szCs w:val="20"/>
        </w:rPr>
        <w:t xml:space="preserve"> </w:t>
      </w:r>
      <w:r w:rsidR="00C42F7D">
        <w:rPr>
          <w:szCs w:val="20"/>
        </w:rPr>
        <w:t>tj</w:t>
      </w:r>
      <w:r w:rsidR="002858F4" w:rsidRPr="00CF1C7A">
        <w:rPr>
          <w:szCs w:val="20"/>
        </w:rPr>
        <w:t>.</w:t>
      </w:r>
      <w:r w:rsidR="003E64F4">
        <w:rPr>
          <w:szCs w:val="20"/>
        </w:rPr>
        <w:t> </w:t>
      </w:r>
      <w:r w:rsidR="00CF1C7A" w:rsidRPr="00CF1C7A">
        <w:rPr>
          <w:szCs w:val="20"/>
        </w:rPr>
        <w:t>3</w:t>
      </w:r>
      <w:r w:rsidR="00C42F7D">
        <w:rPr>
          <w:szCs w:val="20"/>
        </w:rPr>
        <w:t> </w:t>
      </w:r>
      <w:r w:rsidR="00C0303E" w:rsidRPr="00CF1C7A">
        <w:rPr>
          <w:szCs w:val="20"/>
        </w:rPr>
        <w:t>%)</w:t>
      </w:r>
      <w:r w:rsidR="00CF1C7A" w:rsidRPr="00CF1C7A">
        <w:rPr>
          <w:szCs w:val="20"/>
        </w:rPr>
        <w:t xml:space="preserve"> a procentuálně v</w:t>
      </w:r>
      <w:r w:rsidR="005962BB">
        <w:rPr>
          <w:szCs w:val="20"/>
        </w:rPr>
        <w:t> sekci ICT</w:t>
      </w:r>
      <w:r w:rsidR="00CF1C7A" w:rsidRPr="00CF1C7A">
        <w:rPr>
          <w:szCs w:val="20"/>
        </w:rPr>
        <w:t xml:space="preserve"> činnosti, kde s</w:t>
      </w:r>
      <w:r w:rsidR="00372CD6">
        <w:rPr>
          <w:szCs w:val="20"/>
        </w:rPr>
        <w:t>e zvýšil počet pojištěnců o 4 %;</w:t>
      </w:r>
      <w:r w:rsidR="005962BB">
        <w:rPr>
          <w:szCs w:val="20"/>
        </w:rPr>
        <w:t xml:space="preserve"> resp. o 6 tis.</w:t>
      </w:r>
    </w:p>
    <w:p w14:paraId="675C5A86" w14:textId="6C392717" w:rsidR="00CF1C7A" w:rsidRPr="00CF1C7A" w:rsidRDefault="005962BB" w:rsidP="000A3F99">
      <w:pPr>
        <w:pStyle w:val="Odstavecseseznamem"/>
        <w:numPr>
          <w:ilvl w:val="0"/>
          <w:numId w:val="23"/>
        </w:numPr>
        <w:spacing w:after="120"/>
        <w:ind w:left="283" w:hanging="357"/>
        <w:contextualSpacing w:val="0"/>
        <w:jc w:val="both"/>
      </w:pPr>
      <w:r>
        <w:rPr>
          <w:rFonts w:cs="Arial"/>
          <w:bCs/>
          <w:color w:val="000000"/>
          <w:szCs w:val="20"/>
        </w:rPr>
        <w:t>P</w:t>
      </w:r>
      <w:r w:rsidR="00CF1C7A" w:rsidRPr="00CF1C7A">
        <w:rPr>
          <w:rFonts w:cs="Arial"/>
          <w:bCs/>
          <w:color w:val="000000"/>
          <w:szCs w:val="20"/>
        </w:rPr>
        <w:t xml:space="preserve">oprvé v desetileté historii bylo mezi pojištěnci více žen (50,2 %) než mužů (49,8 %). V 1. pol. 2022 </w:t>
      </w:r>
      <w:r>
        <w:rPr>
          <w:rFonts w:cs="Arial"/>
          <w:bCs/>
          <w:color w:val="000000"/>
          <w:szCs w:val="20"/>
        </w:rPr>
        <w:t xml:space="preserve">se jednalo o </w:t>
      </w:r>
      <w:r w:rsidR="00CF1C7A" w:rsidRPr="00CF1C7A">
        <w:rPr>
          <w:rFonts w:cs="Arial"/>
          <w:bCs/>
          <w:color w:val="000000"/>
          <w:szCs w:val="20"/>
        </w:rPr>
        <w:t>2 369 tis. žen a 2 351 tis. mužů.</w:t>
      </w:r>
      <w:r w:rsidR="00CD26D6">
        <w:rPr>
          <w:rFonts w:cs="Arial"/>
          <w:bCs/>
          <w:color w:val="000000"/>
          <w:szCs w:val="20"/>
        </w:rPr>
        <w:t xml:space="preserve"> </w:t>
      </w:r>
      <w:r w:rsidR="00CD26D6">
        <w:rPr>
          <w:rFonts w:cs="Arial"/>
          <w:bCs/>
          <w:color w:val="000000"/>
          <w:szCs w:val="20"/>
        </w:rPr>
        <w:t>Ve</w:t>
      </w:r>
      <w:r>
        <w:rPr>
          <w:rFonts w:cs="Arial"/>
          <w:bCs/>
          <w:color w:val="000000"/>
          <w:szCs w:val="20"/>
        </w:rPr>
        <w:t> V</w:t>
      </w:r>
      <w:r w:rsidR="00CD26D6">
        <w:rPr>
          <w:rFonts w:cs="Arial"/>
          <w:bCs/>
          <w:color w:val="000000"/>
          <w:szCs w:val="20"/>
        </w:rPr>
        <w:t xml:space="preserve">zdělávání a ve </w:t>
      </w:r>
      <w:r>
        <w:rPr>
          <w:rFonts w:cs="Arial"/>
          <w:bCs/>
          <w:color w:val="000000"/>
          <w:szCs w:val="20"/>
        </w:rPr>
        <w:t>Z</w:t>
      </w:r>
      <w:r w:rsidR="00CD26D6">
        <w:rPr>
          <w:rFonts w:cs="Arial"/>
          <w:bCs/>
          <w:color w:val="000000"/>
          <w:szCs w:val="20"/>
        </w:rPr>
        <w:t xml:space="preserve">dravotní </w:t>
      </w:r>
      <w:r>
        <w:rPr>
          <w:rFonts w:cs="Arial"/>
          <w:bCs/>
          <w:color w:val="000000"/>
          <w:szCs w:val="20"/>
        </w:rPr>
        <w:t xml:space="preserve">a sociální </w:t>
      </w:r>
      <w:r w:rsidR="00CD26D6">
        <w:rPr>
          <w:rFonts w:cs="Arial"/>
          <w:bCs/>
          <w:color w:val="000000"/>
          <w:szCs w:val="20"/>
        </w:rPr>
        <w:t>péči</w:t>
      </w:r>
      <w:r>
        <w:rPr>
          <w:rFonts w:cs="Arial"/>
          <w:bCs/>
          <w:color w:val="000000"/>
          <w:szCs w:val="20"/>
        </w:rPr>
        <w:t xml:space="preserve"> bylo</w:t>
      </w:r>
      <w:r w:rsidR="00CD26D6">
        <w:rPr>
          <w:rFonts w:cs="Arial"/>
          <w:bCs/>
          <w:color w:val="000000"/>
          <w:szCs w:val="20"/>
        </w:rPr>
        <w:t xml:space="preserve"> </w:t>
      </w:r>
      <w:r>
        <w:rPr>
          <w:rFonts w:cs="Arial"/>
          <w:bCs/>
          <w:color w:val="000000"/>
          <w:szCs w:val="20"/>
        </w:rPr>
        <w:t xml:space="preserve">nemocensky </w:t>
      </w:r>
      <w:r w:rsidR="00CD26D6">
        <w:rPr>
          <w:rFonts w:cs="Arial"/>
          <w:bCs/>
          <w:color w:val="000000"/>
          <w:szCs w:val="20"/>
        </w:rPr>
        <w:t>pojištěn</w:t>
      </w:r>
      <w:r>
        <w:rPr>
          <w:rFonts w:cs="Arial"/>
          <w:bCs/>
          <w:color w:val="000000"/>
          <w:szCs w:val="20"/>
        </w:rPr>
        <w:t xml:space="preserve">ých žen o 472 tis. více než mužů a </w:t>
      </w:r>
      <w:r w:rsidR="00CD26D6">
        <w:rPr>
          <w:rFonts w:cs="Arial"/>
          <w:bCs/>
          <w:color w:val="000000"/>
          <w:szCs w:val="20"/>
        </w:rPr>
        <w:t xml:space="preserve">představovaly </w:t>
      </w:r>
      <w:r>
        <w:rPr>
          <w:rFonts w:cs="Arial"/>
          <w:bCs/>
          <w:color w:val="000000"/>
          <w:szCs w:val="20"/>
        </w:rPr>
        <w:t>téměř 80 % ze všech zaměstnanců.</w:t>
      </w:r>
    </w:p>
    <w:p w14:paraId="34DFD1AF" w14:textId="0369A5A3" w:rsidR="00E85509" w:rsidRPr="00550835" w:rsidRDefault="00483E6B" w:rsidP="00E85509">
      <w:pPr>
        <w:pStyle w:val="Odstavecseseznamem"/>
        <w:numPr>
          <w:ilvl w:val="0"/>
          <w:numId w:val="23"/>
        </w:numPr>
        <w:spacing w:after="120"/>
        <w:ind w:left="283" w:hanging="357"/>
        <w:contextualSpacing w:val="0"/>
        <w:jc w:val="both"/>
        <w:rPr>
          <w:i/>
        </w:rPr>
      </w:pPr>
      <w:r w:rsidRPr="00CF1C7A">
        <w:t>V</w:t>
      </w:r>
      <w:r w:rsidR="00560A04" w:rsidRPr="00CF1C7A">
        <w:t xml:space="preserve"> 1. pol. </w:t>
      </w:r>
      <w:r w:rsidR="00BD10B4" w:rsidRPr="00CF1C7A">
        <w:t xml:space="preserve">tohoto </w:t>
      </w:r>
      <w:r w:rsidR="00560A04" w:rsidRPr="00CF1C7A">
        <w:t>roku</w:t>
      </w:r>
      <w:r w:rsidRPr="00CF1C7A">
        <w:t xml:space="preserve"> </w:t>
      </w:r>
      <w:r w:rsidR="00D45F63" w:rsidRPr="00CF1C7A">
        <w:t xml:space="preserve">bylo nahlášeno </w:t>
      </w:r>
      <w:r w:rsidRPr="00CF1C7A">
        <w:t xml:space="preserve">celkem </w:t>
      </w:r>
      <w:r w:rsidR="00CF1C7A" w:rsidRPr="00CF1C7A">
        <w:rPr>
          <w:b/>
        </w:rPr>
        <w:t>2 054</w:t>
      </w:r>
      <w:r w:rsidR="00D45F63" w:rsidRPr="00CF1C7A">
        <w:rPr>
          <w:b/>
        </w:rPr>
        <w:t xml:space="preserve"> tis.</w:t>
      </w:r>
      <w:r w:rsidR="00D45F63" w:rsidRPr="00CF1C7A">
        <w:t xml:space="preserve"> </w:t>
      </w:r>
      <w:r w:rsidR="00D45F63" w:rsidRPr="00CF1C7A">
        <w:rPr>
          <w:b/>
        </w:rPr>
        <w:t>případů dočasné pracovní neschopnosti</w:t>
      </w:r>
      <w:r w:rsidR="00D45F63" w:rsidRPr="00CF1C7A">
        <w:t xml:space="preserve">. Meziročně </w:t>
      </w:r>
      <w:r w:rsidRPr="00CF1C7A">
        <w:t xml:space="preserve">jejich </w:t>
      </w:r>
      <w:r w:rsidR="00D45F63" w:rsidRPr="00CF1C7A">
        <w:t xml:space="preserve">počet vzrostl </w:t>
      </w:r>
      <w:r w:rsidR="00560A04" w:rsidRPr="00CF1C7A">
        <w:t xml:space="preserve">téměř </w:t>
      </w:r>
      <w:r w:rsidR="00D45F63" w:rsidRPr="00CF1C7A">
        <w:t>o </w:t>
      </w:r>
      <w:r w:rsidR="00CF1C7A" w:rsidRPr="00CF1C7A">
        <w:t xml:space="preserve">47 %, </w:t>
      </w:r>
      <w:r w:rsidR="00D45F63" w:rsidRPr="00CF1C7A">
        <w:t>+</w:t>
      </w:r>
      <w:r w:rsidR="00CF1C7A" w:rsidRPr="00CF1C7A">
        <w:t>655 tis</w:t>
      </w:r>
      <w:r w:rsidR="00D45F63" w:rsidRPr="00CF1C7A">
        <w:t>.</w:t>
      </w:r>
      <w:r w:rsidR="00BF0828" w:rsidRPr="00CF1C7A">
        <w:t xml:space="preserve"> </w:t>
      </w:r>
      <w:r w:rsidR="006C18FF">
        <w:t>Částečně je nárůst způsoben z metodických důvodů</w:t>
      </w:r>
      <w:r w:rsidR="00CD26D6">
        <w:t xml:space="preserve">, </w:t>
      </w:r>
      <w:r w:rsidR="00CD26D6" w:rsidRPr="00550835">
        <w:rPr>
          <w:i/>
        </w:rPr>
        <w:t>podrobněji viz str.</w:t>
      </w:r>
      <w:r w:rsidR="005962BB" w:rsidRPr="00550835">
        <w:rPr>
          <w:i/>
        </w:rPr>
        <w:t xml:space="preserve"> </w:t>
      </w:r>
      <w:r w:rsidR="00550835" w:rsidRPr="00550835">
        <w:rPr>
          <w:i/>
        </w:rPr>
        <w:t>18</w:t>
      </w:r>
      <w:r w:rsidR="006C18FF" w:rsidRPr="00550835">
        <w:rPr>
          <w:i/>
        </w:rPr>
        <w:t>.</w:t>
      </w:r>
    </w:p>
    <w:p w14:paraId="1427D3DB" w14:textId="633AFB19" w:rsidR="00CD26D6" w:rsidRDefault="00CD26D6" w:rsidP="00E061D9">
      <w:pPr>
        <w:pStyle w:val="Odstavecseseznamem"/>
        <w:numPr>
          <w:ilvl w:val="0"/>
          <w:numId w:val="23"/>
        </w:numPr>
        <w:spacing w:after="120"/>
        <w:ind w:left="283" w:hanging="357"/>
        <w:contextualSpacing w:val="0"/>
        <w:jc w:val="both"/>
      </w:pPr>
      <w:r>
        <w:t xml:space="preserve">Výrazně </w:t>
      </w:r>
      <w:r w:rsidRPr="00CD26D6">
        <w:rPr>
          <w:b/>
        </w:rPr>
        <w:t>více neschopenek nahlásily ženy</w:t>
      </w:r>
      <w:r>
        <w:t xml:space="preserve">. V 1. pol. 2022 to bylo 1 108 tis., což je o </w:t>
      </w:r>
      <w:r>
        <w:t>šestinu</w:t>
      </w:r>
      <w:r>
        <w:t xml:space="preserve"> (162 tis.) </w:t>
      </w:r>
      <w:r w:rsidR="00632857">
        <w:t>případů</w:t>
      </w:r>
      <w:r w:rsidR="00632857">
        <w:t xml:space="preserve"> </w:t>
      </w:r>
      <w:r>
        <w:t>více než kolik ve stejném období nahlásili muži (946 tis.)</w:t>
      </w:r>
      <w:r w:rsidR="00632857">
        <w:t>.</w:t>
      </w:r>
      <w:r>
        <w:t xml:space="preserve"> </w:t>
      </w:r>
    </w:p>
    <w:p w14:paraId="41ACBBFE" w14:textId="07DE5688" w:rsidR="00E061D9" w:rsidRDefault="00E85509" w:rsidP="00E061D9">
      <w:pPr>
        <w:pStyle w:val="Odstavecseseznamem"/>
        <w:numPr>
          <w:ilvl w:val="0"/>
          <w:numId w:val="23"/>
        </w:numPr>
        <w:spacing w:after="120"/>
        <w:ind w:left="283" w:hanging="357"/>
        <w:contextualSpacing w:val="0"/>
        <w:jc w:val="both"/>
      </w:pPr>
      <w:r>
        <w:t xml:space="preserve">Srovnáme-li současný stav s obdobím před pandemií (tedy s 1. pol. 2019), počet </w:t>
      </w:r>
      <w:r w:rsidRPr="00E85509">
        <w:rPr>
          <w:b/>
        </w:rPr>
        <w:t>neschopenek</w:t>
      </w:r>
      <w:r>
        <w:t xml:space="preserve"> </w:t>
      </w:r>
      <w:r w:rsidRPr="00E85509">
        <w:rPr>
          <w:b/>
        </w:rPr>
        <w:t>pro nemoc</w:t>
      </w:r>
      <w:r>
        <w:t xml:space="preserve"> se více než </w:t>
      </w:r>
      <w:r w:rsidRPr="00E85509">
        <w:rPr>
          <w:b/>
        </w:rPr>
        <w:t>zdvojnásobil</w:t>
      </w:r>
      <w:r>
        <w:t xml:space="preserve">. </w:t>
      </w:r>
      <w:r w:rsidRPr="00E85509">
        <w:rPr>
          <w:b/>
        </w:rPr>
        <w:t>U mužů</w:t>
      </w:r>
      <w:r>
        <w:t xml:space="preserve"> vzrostl o 125 % (+487 tis.), </w:t>
      </w:r>
      <w:r w:rsidRPr="00E85509">
        <w:rPr>
          <w:b/>
        </w:rPr>
        <w:t>u žen</w:t>
      </w:r>
      <w:r>
        <w:t xml:space="preserve"> o 121 % (+583 tis.).</w:t>
      </w:r>
      <w:r w:rsidR="00C42F7D">
        <w:t xml:space="preserve"> </w:t>
      </w:r>
      <w:r w:rsidRPr="00E85509">
        <w:t xml:space="preserve">Za prvních 6 měsíců roku 2022 bylo nahlášeno </w:t>
      </w:r>
      <w:r>
        <w:t xml:space="preserve">1 942 tis. případů pracovní neschopnosti pro nemoc, tedy </w:t>
      </w:r>
      <w:r w:rsidRPr="006F580E">
        <w:t>více než za celý rok 2019.</w:t>
      </w:r>
    </w:p>
    <w:p w14:paraId="1F48FA1B" w14:textId="2E0125DE" w:rsidR="00E061D9" w:rsidRPr="006F580E" w:rsidRDefault="00E061D9" w:rsidP="00E061D9">
      <w:pPr>
        <w:pStyle w:val="Odstavecseseznamem"/>
        <w:numPr>
          <w:ilvl w:val="0"/>
          <w:numId w:val="23"/>
        </w:numPr>
        <w:spacing w:after="120"/>
        <w:ind w:left="283" w:hanging="357"/>
        <w:contextualSpacing w:val="0"/>
        <w:jc w:val="both"/>
      </w:pPr>
      <w:r w:rsidRPr="00E061D9">
        <w:t>V březnu roku 2022 bylo vydáno více než 100 tis. neschopností pro karanténu či izolaci a l</w:t>
      </w:r>
      <w:r>
        <w:t>ze říci, že 3</w:t>
      </w:r>
      <w:r w:rsidR="003E64F4">
        <w:t> </w:t>
      </w:r>
      <w:r>
        <w:t>z</w:t>
      </w:r>
      <w:r w:rsidR="003E64F4">
        <w:t> </w:t>
      </w:r>
      <w:r>
        <w:t>10</w:t>
      </w:r>
      <w:r w:rsidR="003E64F4">
        <w:t> </w:t>
      </w:r>
      <w:r>
        <w:t xml:space="preserve">neschopenek </w:t>
      </w:r>
      <w:r w:rsidR="00CD26D6">
        <w:t>byl</w:t>
      </w:r>
      <w:r w:rsidR="00632857">
        <w:t>y</w:t>
      </w:r>
      <w:r w:rsidR="00CD26D6">
        <w:t xml:space="preserve"> v tomto měsíci</w:t>
      </w:r>
      <w:r w:rsidRPr="00E061D9">
        <w:t xml:space="preserve"> v</w:t>
      </w:r>
      <w:r w:rsidR="00632857">
        <w:t>ydány</w:t>
      </w:r>
      <w:r w:rsidRPr="00E061D9">
        <w:t xml:space="preserve"> právě za tímto účelem. V březnu 2021 kompenzovala ztrátu příjmu kvůli karanténě či izolaci každá druhá neschopenka.</w:t>
      </w:r>
    </w:p>
    <w:p w14:paraId="24187C5D" w14:textId="4F9C4F72" w:rsidR="006F580E" w:rsidRPr="006F580E" w:rsidRDefault="006F580E" w:rsidP="00C42F7D">
      <w:pPr>
        <w:pStyle w:val="Odstavecseseznamem"/>
        <w:numPr>
          <w:ilvl w:val="0"/>
          <w:numId w:val="23"/>
        </w:numPr>
        <w:spacing w:after="120"/>
        <w:ind w:left="283" w:hanging="357"/>
        <w:contextualSpacing w:val="0"/>
        <w:jc w:val="both"/>
      </w:pPr>
      <w:r w:rsidRPr="006F580E">
        <w:t xml:space="preserve">V 1. pol. 2022 bylo stejně jako před rokem vystaveno 23 tis. neschopenek pro </w:t>
      </w:r>
      <w:r w:rsidRPr="006F580E">
        <w:rPr>
          <w:b/>
        </w:rPr>
        <w:t>pracovní úraz</w:t>
      </w:r>
      <w:r w:rsidRPr="006F580E">
        <w:t xml:space="preserve">. </w:t>
      </w:r>
      <w:r w:rsidR="00C42F7D">
        <w:t>Došlo ke 40</w:t>
      </w:r>
      <w:r w:rsidR="003E64F4">
        <w:t> </w:t>
      </w:r>
      <w:r w:rsidR="00C42F7D" w:rsidRPr="00CD26D6">
        <w:rPr>
          <w:b/>
        </w:rPr>
        <w:t>smrtelným pracovním úrazům</w:t>
      </w:r>
      <w:r w:rsidR="00CD26D6">
        <w:t>, o jeden více než v 1. pol. 2021.</w:t>
      </w:r>
    </w:p>
    <w:p w14:paraId="37230B6D" w14:textId="305D3764" w:rsidR="00B8489E" w:rsidRPr="006F580E" w:rsidRDefault="00AB10AA" w:rsidP="008B7D64">
      <w:pPr>
        <w:pStyle w:val="Odstavecseseznamem"/>
        <w:numPr>
          <w:ilvl w:val="0"/>
          <w:numId w:val="23"/>
        </w:numPr>
        <w:spacing w:after="120"/>
        <w:ind w:left="283" w:hanging="357"/>
        <w:contextualSpacing w:val="0"/>
        <w:jc w:val="both"/>
      </w:pPr>
      <w:r w:rsidRPr="006F580E">
        <w:t>V</w:t>
      </w:r>
      <w:r w:rsidR="00D56CD5" w:rsidRPr="006F580E">
        <w:t xml:space="preserve"> 1. pol. </w:t>
      </w:r>
      <w:r w:rsidRPr="006F580E">
        <w:t>202</w:t>
      </w:r>
      <w:r w:rsidR="006F580E" w:rsidRPr="006F580E">
        <w:t>2</w:t>
      </w:r>
      <w:r w:rsidRPr="006F580E">
        <w:rPr>
          <w:b/>
        </w:rPr>
        <w:t xml:space="preserve"> n</w:t>
      </w:r>
      <w:r w:rsidR="0038632C" w:rsidRPr="006F580E">
        <w:rPr>
          <w:b/>
        </w:rPr>
        <w:t>a 100 pojištěnců</w:t>
      </w:r>
      <w:r w:rsidR="0038632C" w:rsidRPr="006F580E">
        <w:t xml:space="preserve"> připadalo </w:t>
      </w:r>
      <w:r w:rsidR="006F580E" w:rsidRPr="006F580E">
        <w:t>43,5</w:t>
      </w:r>
      <w:r w:rsidR="0038632C" w:rsidRPr="006F580E">
        <w:t xml:space="preserve"> nově hlášených </w:t>
      </w:r>
      <w:r w:rsidR="0038632C" w:rsidRPr="006F580E">
        <w:rPr>
          <w:b/>
        </w:rPr>
        <w:t>případů</w:t>
      </w:r>
      <w:r w:rsidR="0038632C" w:rsidRPr="006F580E">
        <w:t xml:space="preserve"> dočasné </w:t>
      </w:r>
      <w:r w:rsidR="0038632C" w:rsidRPr="006F580E">
        <w:rPr>
          <w:b/>
        </w:rPr>
        <w:t>pracovní neschopnosti</w:t>
      </w:r>
      <w:r w:rsidR="0038632C" w:rsidRPr="006F580E">
        <w:t>. To je o</w:t>
      </w:r>
      <w:r w:rsidR="00C02C40" w:rsidRPr="006F580E">
        <w:t> </w:t>
      </w:r>
      <w:r w:rsidR="006F580E" w:rsidRPr="006F580E">
        <w:t>14</w:t>
      </w:r>
      <w:r w:rsidR="00C02C40" w:rsidRPr="006F580E">
        <w:t> </w:t>
      </w:r>
      <w:r w:rsidR="00D56CD5" w:rsidRPr="006F580E">
        <w:t>více než v</w:t>
      </w:r>
      <w:r w:rsidR="002D3899" w:rsidRPr="006F580E">
        <w:t> 1. pol.</w:t>
      </w:r>
      <w:r w:rsidR="006F580E" w:rsidRPr="006F580E">
        <w:t xml:space="preserve"> 2021</w:t>
      </w:r>
      <w:r w:rsidR="0038632C" w:rsidRPr="006F580E">
        <w:t xml:space="preserve">. </w:t>
      </w:r>
      <w:r w:rsidR="006F580E">
        <w:t>Tento ukazatel vzrostl ve všech odvětvových sekcích. N</w:t>
      </w:r>
      <w:r w:rsidR="00025240">
        <w:t xml:space="preserve">ejvíce </w:t>
      </w:r>
      <w:r w:rsidR="006F580E" w:rsidRPr="006F580E">
        <w:rPr>
          <w:rFonts w:cs="Arial"/>
        </w:rPr>
        <w:t>v oblasti</w:t>
      </w:r>
      <w:r w:rsidR="006F580E" w:rsidRPr="00A979CA">
        <w:rPr>
          <w:rFonts w:cs="Arial"/>
        </w:rPr>
        <w:t xml:space="preserve"> </w:t>
      </w:r>
      <w:r w:rsidR="006F580E" w:rsidRPr="006F580E">
        <w:rPr>
          <w:rFonts w:cs="Arial"/>
          <w:b/>
        </w:rPr>
        <w:t>Vzdělávání</w:t>
      </w:r>
      <w:r w:rsidR="006F580E" w:rsidRPr="00A979CA">
        <w:rPr>
          <w:rFonts w:cs="Arial"/>
        </w:rPr>
        <w:t xml:space="preserve">, a to o </w:t>
      </w:r>
      <w:r w:rsidR="00025240">
        <w:rPr>
          <w:rFonts w:cs="Arial"/>
        </w:rPr>
        <w:t>3</w:t>
      </w:r>
      <w:r w:rsidR="008627B7">
        <w:rPr>
          <w:rFonts w:cs="Arial"/>
        </w:rPr>
        <w:t>3</w:t>
      </w:r>
      <w:r w:rsidR="00025240">
        <w:rPr>
          <w:rFonts w:cs="Arial"/>
        </w:rPr>
        <w:t xml:space="preserve"> případů na 100 pojištěnců, tedy o 1</w:t>
      </w:r>
      <w:r w:rsidR="008627B7">
        <w:rPr>
          <w:rFonts w:cs="Arial"/>
        </w:rPr>
        <w:t>3</w:t>
      </w:r>
      <w:r w:rsidR="00025240">
        <w:rPr>
          <w:rFonts w:cs="Arial"/>
        </w:rPr>
        <w:t>8 %.</w:t>
      </w:r>
    </w:p>
    <w:p w14:paraId="3B994158" w14:textId="2ECBDE9F" w:rsidR="0044667F" w:rsidRPr="006F580E" w:rsidRDefault="0044667F" w:rsidP="008B7D64">
      <w:pPr>
        <w:pStyle w:val="Odstavecseseznamem"/>
        <w:numPr>
          <w:ilvl w:val="0"/>
          <w:numId w:val="23"/>
        </w:numPr>
        <w:spacing w:after="120"/>
        <w:ind w:left="283" w:hanging="357"/>
        <w:contextualSpacing w:val="0"/>
        <w:jc w:val="both"/>
      </w:pPr>
      <w:r w:rsidRPr="006F580E">
        <w:t>Nejvíce případů pracovní neschopnosti na 100 pojištěnců</w:t>
      </w:r>
      <w:r w:rsidR="00F12400" w:rsidRPr="006F580E">
        <w:t xml:space="preserve"> v </w:t>
      </w:r>
      <w:r w:rsidR="00F12400" w:rsidRPr="006F580E">
        <w:rPr>
          <w:b/>
        </w:rPr>
        <w:t>krajském srovnání</w:t>
      </w:r>
      <w:r w:rsidR="00F12400" w:rsidRPr="006F580E">
        <w:t xml:space="preserve"> </w:t>
      </w:r>
      <w:r w:rsidR="007C22C0" w:rsidRPr="006F580E">
        <w:t xml:space="preserve">bylo </w:t>
      </w:r>
      <w:r w:rsidRPr="006F580E">
        <w:t>hlášeno v Libereckém (</w:t>
      </w:r>
      <w:r w:rsidR="006F580E" w:rsidRPr="006F580E">
        <w:t>54</w:t>
      </w:r>
      <w:r w:rsidRPr="006F580E">
        <w:t xml:space="preserve">), </w:t>
      </w:r>
      <w:r w:rsidR="006F580E" w:rsidRPr="006F580E">
        <w:t xml:space="preserve">Plzeňském a Královéhradeckém </w:t>
      </w:r>
      <w:r w:rsidR="003B26E3" w:rsidRPr="006F580E">
        <w:t>kraji (</w:t>
      </w:r>
      <w:r w:rsidR="006F580E" w:rsidRPr="006F580E">
        <w:t>oba shodně 50</w:t>
      </w:r>
      <w:r w:rsidR="003B26E3" w:rsidRPr="006F580E">
        <w:t xml:space="preserve">). </w:t>
      </w:r>
      <w:r w:rsidRPr="006F580E">
        <w:t>Podprůměrné hodnoty vykazovala Praha (</w:t>
      </w:r>
      <w:r w:rsidR="006F580E" w:rsidRPr="006F580E">
        <w:t>33</w:t>
      </w:r>
      <w:r w:rsidRPr="006F580E">
        <w:t>) a</w:t>
      </w:r>
      <w:r w:rsidR="00C02C40" w:rsidRPr="006F580E">
        <w:t> </w:t>
      </w:r>
      <w:r w:rsidRPr="006F580E">
        <w:t>Jihomoravský kraj (</w:t>
      </w:r>
      <w:r w:rsidR="006F580E" w:rsidRPr="006F580E">
        <w:t>43</w:t>
      </w:r>
      <w:r w:rsidRPr="006F580E">
        <w:t xml:space="preserve">). </w:t>
      </w:r>
    </w:p>
    <w:p w14:paraId="41D6D6C8" w14:textId="77777777" w:rsidR="006F580E" w:rsidRDefault="0038632C" w:rsidP="006F580E">
      <w:pPr>
        <w:pStyle w:val="Odstavecseseznamem"/>
        <w:numPr>
          <w:ilvl w:val="0"/>
          <w:numId w:val="23"/>
        </w:numPr>
        <w:spacing w:after="120"/>
        <w:ind w:left="283" w:hanging="357"/>
        <w:contextualSpacing w:val="0"/>
        <w:jc w:val="both"/>
      </w:pPr>
      <w:r w:rsidRPr="006F580E">
        <w:t>Celkově strávili pojištěnci v</w:t>
      </w:r>
      <w:r w:rsidR="003B26E3" w:rsidRPr="006F580E">
        <w:t> 1. pol. 202</w:t>
      </w:r>
      <w:r w:rsidR="006F580E" w:rsidRPr="006F580E">
        <w:t>2</w:t>
      </w:r>
      <w:r w:rsidRPr="006F580E">
        <w:t xml:space="preserve"> </w:t>
      </w:r>
      <w:r w:rsidRPr="006F580E">
        <w:rPr>
          <w:b/>
        </w:rPr>
        <w:t xml:space="preserve">v pracovní neschopnosti </w:t>
      </w:r>
      <w:r w:rsidR="003B26E3" w:rsidRPr="006F580E">
        <w:rPr>
          <w:b/>
        </w:rPr>
        <w:t xml:space="preserve">50 </w:t>
      </w:r>
      <w:r w:rsidR="006F580E" w:rsidRPr="006F580E">
        <w:rPr>
          <w:b/>
        </w:rPr>
        <w:t>3</w:t>
      </w:r>
      <w:r w:rsidR="003B26E3" w:rsidRPr="006F580E">
        <w:rPr>
          <w:b/>
        </w:rPr>
        <w:t>8</w:t>
      </w:r>
      <w:r w:rsidR="006F580E" w:rsidRPr="006F580E">
        <w:rPr>
          <w:b/>
        </w:rPr>
        <w:t>7</w:t>
      </w:r>
      <w:r w:rsidRPr="006F580E">
        <w:rPr>
          <w:b/>
        </w:rPr>
        <w:t xml:space="preserve"> tis. dnů</w:t>
      </w:r>
      <w:r w:rsidRPr="006F580E">
        <w:t xml:space="preserve">, což je o </w:t>
      </w:r>
      <w:r w:rsidR="006F580E" w:rsidRPr="006F580E">
        <w:t>1</w:t>
      </w:r>
      <w:r w:rsidRPr="006F580E">
        <w:t xml:space="preserve"> % </w:t>
      </w:r>
      <w:r w:rsidR="006F580E" w:rsidRPr="006F580E">
        <w:t>méně</w:t>
      </w:r>
      <w:r w:rsidRPr="006F580E">
        <w:t xml:space="preserve"> než před rokem. </w:t>
      </w:r>
      <w:r w:rsidR="003B26E3" w:rsidRPr="006F580E">
        <w:t>V porovnání s 1. pol. 2019 došlo k nárůstu počtu prostonaných dnů o více než pětinu.</w:t>
      </w:r>
    </w:p>
    <w:p w14:paraId="4108BC35" w14:textId="2D646DD5" w:rsidR="00671EEE" w:rsidRPr="006F580E" w:rsidRDefault="00671EEE" w:rsidP="000A3F99">
      <w:pPr>
        <w:pStyle w:val="Odstavecseseznamem"/>
        <w:numPr>
          <w:ilvl w:val="0"/>
          <w:numId w:val="23"/>
        </w:numPr>
        <w:spacing w:after="120"/>
        <w:ind w:left="283" w:hanging="357"/>
        <w:contextualSpacing w:val="0"/>
        <w:jc w:val="both"/>
      </w:pPr>
      <w:r w:rsidRPr="006F580E">
        <w:rPr>
          <w:b/>
        </w:rPr>
        <w:t>Průměrná délka</w:t>
      </w:r>
      <w:r w:rsidRPr="006F580E">
        <w:t xml:space="preserve"> </w:t>
      </w:r>
      <w:r w:rsidRPr="00CD26D6">
        <w:rPr>
          <w:b/>
        </w:rPr>
        <w:t>trvání pracovní neschopnosti</w:t>
      </w:r>
      <w:r w:rsidRPr="006F580E">
        <w:t xml:space="preserve"> meziročně klesla ze </w:t>
      </w:r>
      <w:r w:rsidR="006F580E" w:rsidRPr="006F580E">
        <w:t>36</w:t>
      </w:r>
      <w:r w:rsidR="00107D20" w:rsidRPr="006F580E">
        <w:t>,3</w:t>
      </w:r>
      <w:r w:rsidRPr="006F580E">
        <w:t xml:space="preserve"> dne v</w:t>
      </w:r>
      <w:r w:rsidR="00107D20" w:rsidRPr="006F580E">
        <w:t> 1. pol. 202</w:t>
      </w:r>
      <w:r w:rsidR="006F580E" w:rsidRPr="006F580E">
        <w:t>1</w:t>
      </w:r>
      <w:r w:rsidRPr="006F580E">
        <w:t xml:space="preserve"> na </w:t>
      </w:r>
      <w:r w:rsidR="006F580E" w:rsidRPr="006F580E">
        <w:t>24,5</w:t>
      </w:r>
      <w:r w:rsidRPr="006F580E">
        <w:t> dne v</w:t>
      </w:r>
      <w:r w:rsidR="006F580E" w:rsidRPr="006F580E">
        <w:t> 1. pol. 2022</w:t>
      </w:r>
      <w:r w:rsidRPr="006F580E">
        <w:t xml:space="preserve">. Jedná se o nejkratší dobu za posledních </w:t>
      </w:r>
      <w:r w:rsidR="009407AF">
        <w:t>více než 2</w:t>
      </w:r>
      <w:r w:rsidRPr="006F580E">
        <w:t xml:space="preserve">0 let. </w:t>
      </w:r>
      <w:r w:rsidR="00CD26D6">
        <w:t>Ve srovnání s 1. pol. 2020 poklesla průměrná délka trvání pracovní</w:t>
      </w:r>
      <w:r w:rsidR="005962BB">
        <w:t xml:space="preserve"> neschopnosti dokonce o 20 dní.</w:t>
      </w:r>
    </w:p>
    <w:p w14:paraId="05629303" w14:textId="35D7D9DC" w:rsidR="00107D20" w:rsidRPr="006F580E" w:rsidRDefault="00671EEE" w:rsidP="00107D20">
      <w:pPr>
        <w:pStyle w:val="Odstavecseseznamem"/>
        <w:numPr>
          <w:ilvl w:val="0"/>
          <w:numId w:val="23"/>
        </w:numPr>
        <w:spacing w:after="120"/>
        <w:ind w:left="283" w:hanging="357"/>
        <w:contextualSpacing w:val="0"/>
        <w:jc w:val="both"/>
      </w:pPr>
      <w:r w:rsidRPr="006F580E">
        <w:rPr>
          <w:b/>
        </w:rPr>
        <w:t>Ženy</w:t>
      </w:r>
      <w:r w:rsidRPr="006F580E">
        <w:t xml:space="preserve"> strávily </w:t>
      </w:r>
      <w:r w:rsidR="00392130" w:rsidRPr="006F580E">
        <w:t xml:space="preserve">v pracovní neschopnosti v průměru na 1 případ </w:t>
      </w:r>
      <w:r w:rsidR="006F580E" w:rsidRPr="006F580E">
        <w:t>24,9</w:t>
      </w:r>
      <w:r w:rsidRPr="006F580E">
        <w:t xml:space="preserve"> dne, muži </w:t>
      </w:r>
      <w:r w:rsidR="006F580E" w:rsidRPr="006F580E">
        <w:t>2</w:t>
      </w:r>
      <w:r w:rsidR="00107D20" w:rsidRPr="006F580E">
        <w:t>4,1</w:t>
      </w:r>
      <w:r w:rsidRPr="006F580E">
        <w:t xml:space="preserve"> dne.</w:t>
      </w:r>
      <w:r w:rsidR="00EC5EBA">
        <w:t xml:space="preserve"> Ženám se</w:t>
      </w:r>
      <w:r w:rsidR="00BB0B2B">
        <w:t xml:space="preserve"> meziročně</w:t>
      </w:r>
      <w:r w:rsidR="00EC5EBA">
        <w:t xml:space="preserve"> snížila průměrná délka pobytu v pracovní neschopnosti o necelých 14 dní, mužům o 10.</w:t>
      </w:r>
    </w:p>
    <w:p w14:paraId="4F036203" w14:textId="5DB795FE" w:rsidR="00107D20" w:rsidRPr="00EC5EBA" w:rsidRDefault="00107D20" w:rsidP="00107D20">
      <w:pPr>
        <w:pStyle w:val="Odstavecseseznamem"/>
        <w:numPr>
          <w:ilvl w:val="0"/>
          <w:numId w:val="23"/>
        </w:numPr>
        <w:spacing w:after="120"/>
        <w:ind w:left="283" w:hanging="357"/>
        <w:contextualSpacing w:val="0"/>
        <w:jc w:val="both"/>
      </w:pPr>
      <w:r w:rsidRPr="00EC5EBA">
        <w:t>Nejdelší doba pracovní neschopnost</w:t>
      </w:r>
      <w:r w:rsidR="0083196B" w:rsidRPr="00EC5EBA">
        <w:t>i (</w:t>
      </w:r>
      <w:r w:rsidR="00EC5EBA" w:rsidRPr="00EC5EBA">
        <w:t>3</w:t>
      </w:r>
      <w:r w:rsidR="0083196B" w:rsidRPr="00EC5EBA">
        <w:t>5 dnů) byla</w:t>
      </w:r>
      <w:r w:rsidRPr="00EC5EBA">
        <w:t xml:space="preserve"> v sekci </w:t>
      </w:r>
      <w:r w:rsidR="00EC5EBA" w:rsidRPr="00EC5EBA">
        <w:t>Zemědělství, lesnictví, rybářství a Ubytování</w:t>
      </w:r>
      <w:r w:rsidRPr="00EC5EBA">
        <w:t>, stravování a pohostinství</w:t>
      </w:r>
      <w:r w:rsidR="00EC5EBA" w:rsidRPr="00EC5EBA">
        <w:t xml:space="preserve"> (34).</w:t>
      </w:r>
      <w:r w:rsidR="00CD26D6">
        <w:t xml:space="preserve"> </w:t>
      </w:r>
      <w:r w:rsidR="00CD26D6">
        <w:t>Nejkratší byla naopak ve Vzdělávání (16 dnů) a v </w:t>
      </w:r>
      <w:r w:rsidR="005962BB">
        <w:t>ICT</w:t>
      </w:r>
      <w:r w:rsidR="00CD26D6">
        <w:t xml:space="preserve"> činnostech (17).</w:t>
      </w:r>
    </w:p>
    <w:p w14:paraId="216ACF13" w14:textId="1657505F" w:rsidR="00096B50" w:rsidRPr="00EC5EBA" w:rsidRDefault="00671EEE" w:rsidP="0083196B">
      <w:pPr>
        <w:pStyle w:val="Odstavecseseznamem"/>
        <w:numPr>
          <w:ilvl w:val="0"/>
          <w:numId w:val="23"/>
        </w:numPr>
        <w:spacing w:after="120"/>
        <w:ind w:left="283" w:hanging="357"/>
        <w:contextualSpacing w:val="0"/>
        <w:jc w:val="both"/>
      </w:pPr>
      <w:r w:rsidRPr="00EC5EBA">
        <w:rPr>
          <w:b/>
        </w:rPr>
        <w:t xml:space="preserve">Průměrné procento dočasné pracovní neschopnosti </w:t>
      </w:r>
      <w:r w:rsidRPr="00EC5EBA">
        <w:t>v</w:t>
      </w:r>
      <w:r w:rsidR="00107D20" w:rsidRPr="00EC5EBA">
        <w:t> 1. pol. 202</w:t>
      </w:r>
      <w:r w:rsidR="00EC5EBA" w:rsidRPr="00EC5EBA">
        <w:t>2</w:t>
      </w:r>
      <w:r w:rsidRPr="00EC5EBA">
        <w:t xml:space="preserve"> dosáhlo </w:t>
      </w:r>
      <w:r w:rsidR="00EC5EBA" w:rsidRPr="00EC5EBA">
        <w:t>hodnoty 5,9.</w:t>
      </w:r>
      <w:r w:rsidRPr="00EC5EBA">
        <w:t xml:space="preserve"> V případě mužů činila hodnota </w:t>
      </w:r>
      <w:r w:rsidR="00107D20" w:rsidRPr="00EC5EBA">
        <w:t>5,</w:t>
      </w:r>
      <w:r w:rsidR="00EC5EBA" w:rsidRPr="00EC5EBA">
        <w:t>4</w:t>
      </w:r>
      <w:r w:rsidR="00107D20" w:rsidRPr="00EC5EBA">
        <w:t xml:space="preserve"> </w:t>
      </w:r>
      <w:r w:rsidRPr="00EC5EBA">
        <w:t xml:space="preserve">%, u žen </w:t>
      </w:r>
      <w:r w:rsidR="00107D20" w:rsidRPr="00EC5EBA">
        <w:t>6,</w:t>
      </w:r>
      <w:r w:rsidR="0083196B" w:rsidRPr="00EC5EBA">
        <w:t>4</w:t>
      </w:r>
      <w:r w:rsidRPr="00EC5EBA">
        <w:t xml:space="preserve"> %. Pr</w:t>
      </w:r>
      <w:r w:rsidR="00EC5EBA" w:rsidRPr="00EC5EBA">
        <w:t>ůměrné procento se meziročně snížilo</w:t>
      </w:r>
      <w:r w:rsidRPr="00EC5EBA">
        <w:t xml:space="preserve"> o 0,</w:t>
      </w:r>
      <w:r w:rsidR="00EC5EBA" w:rsidRPr="00EC5EBA">
        <w:t>1</w:t>
      </w:r>
      <w:r w:rsidRPr="00EC5EBA">
        <w:t xml:space="preserve"> p. b.</w:t>
      </w:r>
    </w:p>
    <w:p w14:paraId="2D418B2C" w14:textId="2EA10ABC" w:rsidR="00C42F7D" w:rsidRDefault="00107D20" w:rsidP="000A3F99">
      <w:pPr>
        <w:pStyle w:val="Odstavecseseznamem"/>
        <w:numPr>
          <w:ilvl w:val="0"/>
          <w:numId w:val="23"/>
        </w:numPr>
        <w:spacing w:after="120"/>
        <w:ind w:left="283" w:hanging="357"/>
        <w:contextualSpacing w:val="0"/>
        <w:jc w:val="both"/>
      </w:pPr>
      <w:r w:rsidRPr="00EC5EBA">
        <w:t>Během 1. pol. 202</w:t>
      </w:r>
      <w:r w:rsidR="00EC5EBA" w:rsidRPr="00EC5EBA">
        <w:t>2</w:t>
      </w:r>
      <w:r w:rsidR="00671EEE" w:rsidRPr="00EC5EBA">
        <w:t xml:space="preserve"> v České republice </w:t>
      </w:r>
      <w:r w:rsidR="007C22C0" w:rsidRPr="00EC5EBA">
        <w:t>kvůli</w:t>
      </w:r>
      <w:r w:rsidR="00671EEE" w:rsidRPr="00EC5EBA">
        <w:t xml:space="preserve"> dočasné pracovní neschopnosti </w:t>
      </w:r>
      <w:r w:rsidR="00671EEE" w:rsidRPr="00C42F7D">
        <w:rPr>
          <w:b/>
        </w:rPr>
        <w:t xml:space="preserve">denně na pracovištích </w:t>
      </w:r>
      <w:r w:rsidR="009F421D" w:rsidRPr="00C42F7D">
        <w:rPr>
          <w:b/>
        </w:rPr>
        <w:t xml:space="preserve">chybělo </w:t>
      </w:r>
      <w:r w:rsidR="00EC5EBA" w:rsidRPr="00C42F7D">
        <w:rPr>
          <w:b/>
        </w:rPr>
        <w:t>278 382</w:t>
      </w:r>
      <w:r w:rsidR="00671EEE" w:rsidRPr="00C42F7D">
        <w:rPr>
          <w:b/>
        </w:rPr>
        <w:t xml:space="preserve"> nemocensky pojištěných osob</w:t>
      </w:r>
      <w:r w:rsidR="00671EEE" w:rsidRPr="00EC5EBA">
        <w:t xml:space="preserve">, což bylo ve srovnání </w:t>
      </w:r>
      <w:r w:rsidR="00CD26D6">
        <w:t xml:space="preserve">s 1. pol. roku 2019 o </w:t>
      </w:r>
      <w:r w:rsidR="00E6607F">
        <w:t xml:space="preserve">přibližně </w:t>
      </w:r>
      <w:r w:rsidR="00CD26D6">
        <w:t>50</w:t>
      </w:r>
      <w:r w:rsidR="003E64F4">
        <w:t> </w:t>
      </w:r>
      <w:r w:rsidR="00CD26D6">
        <w:t>tisíc (20 %) zaměstnanců více.</w:t>
      </w:r>
    </w:p>
    <w:p w14:paraId="7CF380F8" w14:textId="04E44ACA" w:rsidR="00FE69C1" w:rsidRPr="00D92E20" w:rsidRDefault="00451F24" w:rsidP="000A3F99">
      <w:pPr>
        <w:pStyle w:val="Odstavecseseznamem"/>
        <w:numPr>
          <w:ilvl w:val="0"/>
          <w:numId w:val="23"/>
        </w:numPr>
        <w:spacing w:after="120"/>
        <w:ind w:left="283" w:hanging="357"/>
        <w:contextualSpacing w:val="0"/>
        <w:jc w:val="both"/>
      </w:pPr>
      <w:r w:rsidRPr="00EC5EBA">
        <w:t xml:space="preserve">Za </w:t>
      </w:r>
      <w:r w:rsidR="00107D20" w:rsidRPr="00EC5EBA">
        <w:t>1. pol. 202</w:t>
      </w:r>
      <w:r w:rsidR="004813AE">
        <w:t>2</w:t>
      </w:r>
      <w:r w:rsidRPr="00EC5EBA">
        <w:t xml:space="preserve"> bylo pojištěncům vyplaceno </w:t>
      </w:r>
      <w:r w:rsidRPr="00C42F7D">
        <w:rPr>
          <w:b/>
        </w:rPr>
        <w:t xml:space="preserve">nemocenské ve výši </w:t>
      </w:r>
      <w:r w:rsidR="00107D20" w:rsidRPr="00C42F7D">
        <w:rPr>
          <w:b/>
        </w:rPr>
        <w:t>1</w:t>
      </w:r>
      <w:r w:rsidR="00EC5EBA" w:rsidRPr="00C42F7D">
        <w:rPr>
          <w:b/>
        </w:rPr>
        <w:t>7,7</w:t>
      </w:r>
      <w:r w:rsidRPr="00C42F7D">
        <w:rPr>
          <w:b/>
        </w:rPr>
        <w:t xml:space="preserve"> mld. Kč</w:t>
      </w:r>
      <w:r w:rsidRPr="00EC5EBA">
        <w:t xml:space="preserve">. Meziročně </w:t>
      </w:r>
      <w:r w:rsidR="007C22C0" w:rsidRPr="00EC5EBA">
        <w:t xml:space="preserve">výdaje </w:t>
      </w:r>
      <w:r w:rsidR="00EC5EBA" w:rsidRPr="00EC5EBA">
        <w:t>klesly</w:t>
      </w:r>
      <w:r w:rsidRPr="00EC5EBA">
        <w:t xml:space="preserve"> o</w:t>
      </w:r>
      <w:r w:rsidR="007C22C0" w:rsidRPr="00EC5EBA">
        <w:t> </w:t>
      </w:r>
      <w:r w:rsidR="00EC5EBA" w:rsidRPr="00EC5EBA">
        <w:t>0,7</w:t>
      </w:r>
      <w:r w:rsidR="007C22C0" w:rsidRPr="00EC5EBA">
        <w:t> </w:t>
      </w:r>
      <w:r w:rsidRPr="00EC5EBA">
        <w:t>mld.</w:t>
      </w:r>
      <w:r w:rsidR="0044667F" w:rsidRPr="00EC5EBA">
        <w:t> </w:t>
      </w:r>
      <w:r w:rsidRPr="00EC5EBA">
        <w:t xml:space="preserve">Kč, tj. o </w:t>
      </w:r>
      <w:r w:rsidR="00EC5EBA" w:rsidRPr="00EC5EBA">
        <w:t>4</w:t>
      </w:r>
      <w:r w:rsidRPr="00EC5EBA">
        <w:t xml:space="preserve"> %. </w:t>
      </w:r>
      <w:r w:rsidR="00EC5EBA" w:rsidRPr="00EC5EBA">
        <w:t>Výdaje na nemocenské v přepočtu na jednoho pojištěnce v 1. pol. 2022 činily 3</w:t>
      </w:r>
      <w:r w:rsidR="00EC5EBA">
        <w:t> </w:t>
      </w:r>
      <w:r w:rsidR="00EC5EBA" w:rsidRPr="00EC5EBA">
        <w:t>740</w:t>
      </w:r>
      <w:r w:rsidR="00EC5EBA">
        <w:t> </w:t>
      </w:r>
      <w:r w:rsidR="00EC5EBA" w:rsidRPr="00EC5EBA">
        <w:t>Kč.</w:t>
      </w:r>
      <w:r w:rsidR="005A3E66" w:rsidRPr="00D92E20">
        <w:br w:type="page"/>
      </w:r>
    </w:p>
    <w:p w14:paraId="3740D763" w14:textId="77777777" w:rsidR="00B608FE" w:rsidRPr="00602326" w:rsidRDefault="00B608FE" w:rsidP="00E31C79">
      <w:pPr>
        <w:pStyle w:val="Nadpis2"/>
        <w:numPr>
          <w:ilvl w:val="0"/>
          <w:numId w:val="18"/>
        </w:numPr>
        <w:spacing w:after="100"/>
        <w:ind w:left="426"/>
      </w:pPr>
      <w:bookmarkStart w:id="48" w:name="_Toc54262808"/>
      <w:bookmarkStart w:id="49" w:name="_Toc117774436"/>
      <w:r w:rsidRPr="00602326">
        <w:lastRenderedPageBreak/>
        <w:t>Použité zkratky a značky</w:t>
      </w:r>
      <w:bookmarkEnd w:id="48"/>
      <w:bookmarkEnd w:id="49"/>
    </w:p>
    <w:p w14:paraId="4D93BB98" w14:textId="77777777" w:rsidR="00B608FE" w:rsidRPr="00602326" w:rsidRDefault="00B608FE" w:rsidP="00B608FE">
      <w:pPr>
        <w:pStyle w:val="Zkladntextodsazen"/>
        <w:ind w:left="0"/>
        <w:jc w:val="both"/>
        <w:rPr>
          <w:rFonts w:cs="Arial"/>
        </w:rPr>
      </w:pPr>
      <w:r w:rsidRPr="00602326">
        <w:rPr>
          <w:rFonts w:cs="Arial"/>
        </w:rPr>
        <w:t>–</w:t>
      </w:r>
      <w:r w:rsidRPr="00602326">
        <w:rPr>
          <w:rFonts w:cs="Arial"/>
        </w:rPr>
        <w:tab/>
      </w:r>
      <w:r w:rsidRPr="00602326">
        <w:rPr>
          <w:rFonts w:cs="Arial"/>
        </w:rPr>
        <w:tab/>
        <w:t>pomlčka na místě čísla značí, že se jev nevyskytoval</w:t>
      </w:r>
    </w:p>
    <w:p w14:paraId="37908CC3" w14:textId="77777777" w:rsidR="00B608FE" w:rsidRPr="00602326" w:rsidRDefault="00B608FE" w:rsidP="00B608FE">
      <w:pPr>
        <w:pStyle w:val="Zkladntextodsazen"/>
        <w:ind w:left="0"/>
        <w:jc w:val="both"/>
        <w:rPr>
          <w:rFonts w:cs="Arial"/>
        </w:rPr>
      </w:pPr>
      <w:r w:rsidRPr="00602326">
        <w:rPr>
          <w:rFonts w:cs="Arial"/>
        </w:rPr>
        <w:t>x</w:t>
      </w:r>
      <w:r w:rsidRPr="00602326">
        <w:rPr>
          <w:rFonts w:cs="Arial"/>
        </w:rPr>
        <w:tab/>
      </w:r>
      <w:r w:rsidRPr="00602326">
        <w:rPr>
          <w:rFonts w:cs="Arial"/>
        </w:rPr>
        <w:tab/>
        <w:t>křížek (písmeno „x“) na místě čísla značí, že zápis není možný z logických důvodů</w:t>
      </w:r>
    </w:p>
    <w:p w14:paraId="3F74E6D0" w14:textId="77777777" w:rsidR="00B608FE" w:rsidRPr="00602326" w:rsidRDefault="00B608FE" w:rsidP="00B608FE">
      <w:pPr>
        <w:pStyle w:val="Zkladntextodsazen"/>
        <w:ind w:left="0"/>
        <w:jc w:val="both"/>
        <w:rPr>
          <w:rFonts w:cs="Arial"/>
        </w:rPr>
      </w:pPr>
      <w:r w:rsidRPr="00602326">
        <w:rPr>
          <w:rFonts w:cs="Arial"/>
        </w:rPr>
        <w:t>0</w:t>
      </w:r>
      <w:r w:rsidRPr="00602326">
        <w:rPr>
          <w:rFonts w:cs="Arial"/>
        </w:rPr>
        <w:tab/>
      </w:r>
      <w:r w:rsidRPr="00602326">
        <w:rPr>
          <w:rFonts w:cs="Arial"/>
        </w:rPr>
        <w:tab/>
        <w:t>nula se používá pro označení číselných údajů menších než polovina zvolené měřicí jednotky</w:t>
      </w:r>
    </w:p>
    <w:p w14:paraId="02C78877" w14:textId="77777777" w:rsidR="00B608FE" w:rsidRPr="00602326" w:rsidRDefault="00B608FE" w:rsidP="00B608FE">
      <w:pPr>
        <w:pStyle w:val="Zkladntextodsazen"/>
        <w:ind w:left="0"/>
        <w:jc w:val="both"/>
        <w:rPr>
          <w:rFonts w:cs="Arial"/>
        </w:rPr>
      </w:pPr>
      <w:r w:rsidRPr="00602326">
        <w:rPr>
          <w:rFonts w:cs="Arial"/>
        </w:rPr>
        <w:t>i. d.</w:t>
      </w:r>
      <w:r w:rsidRPr="00602326">
        <w:rPr>
          <w:rFonts w:cs="Arial"/>
        </w:rPr>
        <w:tab/>
      </w:r>
      <w:r w:rsidRPr="00602326">
        <w:rPr>
          <w:rFonts w:cs="Arial"/>
        </w:rPr>
        <w:tab/>
        <w:t>značí důvěrná data (individuální údaje i důvěrné statistické údaje)</w:t>
      </w:r>
    </w:p>
    <w:p w14:paraId="3BCAFAF9" w14:textId="77777777" w:rsidR="00B608FE" w:rsidRPr="005C064F" w:rsidRDefault="00B608FE" w:rsidP="00B608FE">
      <w:pPr>
        <w:pStyle w:val="Zkladntextodsazen"/>
        <w:ind w:left="0"/>
        <w:jc w:val="both"/>
        <w:rPr>
          <w:rFonts w:cs="Arial"/>
          <w:highlight w:val="yellow"/>
        </w:rPr>
      </w:pPr>
    </w:p>
    <w:p w14:paraId="750AEFB5" w14:textId="77777777" w:rsidR="00B608FE" w:rsidRPr="00602326" w:rsidRDefault="00B608FE" w:rsidP="00B608FE">
      <w:pPr>
        <w:pStyle w:val="Zkladntextodsazen"/>
        <w:ind w:left="0"/>
      </w:pPr>
      <w:r w:rsidRPr="00602326">
        <w:t>CZ-NACE</w:t>
      </w:r>
      <w:r w:rsidRPr="00602326">
        <w:tab/>
        <w:t>Klasifikace ekonomických činností</w:t>
      </w:r>
    </w:p>
    <w:p w14:paraId="3F9AEE03" w14:textId="77777777" w:rsidR="00B608FE" w:rsidRPr="00602326" w:rsidRDefault="00B608FE" w:rsidP="00B608FE">
      <w:pPr>
        <w:pStyle w:val="Zkladntextodsazen"/>
        <w:ind w:left="0"/>
      </w:pPr>
      <w:r w:rsidRPr="00602326">
        <w:t>CZ-NUTS</w:t>
      </w:r>
      <w:r w:rsidRPr="00602326">
        <w:tab/>
        <w:t>Klasifikace územních statistických jednotek</w:t>
      </w:r>
    </w:p>
    <w:p w14:paraId="35A9BB4A" w14:textId="77777777" w:rsidR="00B608FE" w:rsidRPr="00602326" w:rsidRDefault="00B608FE" w:rsidP="00B608FE">
      <w:pPr>
        <w:pStyle w:val="Zkladntextodsazen"/>
        <w:ind w:left="0"/>
      </w:pPr>
      <w:r w:rsidRPr="00602326">
        <w:t>ČR</w:t>
      </w:r>
      <w:r w:rsidRPr="00602326">
        <w:tab/>
      </w:r>
      <w:r w:rsidRPr="00602326">
        <w:tab/>
        <w:t>Česká republika</w:t>
      </w:r>
    </w:p>
    <w:p w14:paraId="4B82C353" w14:textId="77777777" w:rsidR="00B608FE" w:rsidRPr="00602326" w:rsidRDefault="00B608FE" w:rsidP="00B608FE">
      <w:pPr>
        <w:pStyle w:val="Zkladntextodsazen"/>
        <w:ind w:left="0"/>
      </w:pPr>
      <w:r w:rsidRPr="00602326">
        <w:t>ČSSZ</w:t>
      </w:r>
      <w:r w:rsidRPr="00602326">
        <w:tab/>
      </w:r>
      <w:r w:rsidRPr="00602326">
        <w:tab/>
        <w:t>Česká správa sociálního zabezpečení</w:t>
      </w:r>
    </w:p>
    <w:p w14:paraId="728C1EE4" w14:textId="77777777" w:rsidR="00B608FE" w:rsidRPr="00602326" w:rsidRDefault="00B608FE" w:rsidP="00B608FE">
      <w:pPr>
        <w:pStyle w:val="Zkladntextodsazen"/>
        <w:ind w:left="0"/>
      </w:pPr>
      <w:r w:rsidRPr="00602326">
        <w:t>ČSÚ</w:t>
      </w:r>
      <w:r w:rsidRPr="00602326">
        <w:tab/>
      </w:r>
      <w:r w:rsidRPr="00602326">
        <w:tab/>
        <w:t>Český statistický úřad</w:t>
      </w:r>
    </w:p>
    <w:p w14:paraId="048A0592" w14:textId="08B7DEFD" w:rsidR="00B608FE" w:rsidRPr="00602326" w:rsidRDefault="00B608FE" w:rsidP="00B608FE">
      <w:pPr>
        <w:pStyle w:val="Zkladntextodsazen"/>
        <w:ind w:left="0"/>
        <w:jc w:val="both"/>
        <w:rPr>
          <w:rFonts w:cs="Arial"/>
        </w:rPr>
      </w:pPr>
      <w:r w:rsidRPr="00602326">
        <w:rPr>
          <w:rFonts w:cs="Arial"/>
        </w:rPr>
        <w:t>DPN</w:t>
      </w:r>
      <w:r w:rsidRPr="00602326">
        <w:rPr>
          <w:rFonts w:cs="Arial"/>
        </w:rPr>
        <w:tab/>
      </w:r>
      <w:r w:rsidRPr="00602326">
        <w:rPr>
          <w:rFonts w:cs="Arial"/>
        </w:rPr>
        <w:tab/>
        <w:t>dočasná pracovní neschopnost</w:t>
      </w:r>
    </w:p>
    <w:p w14:paraId="10F24F61" w14:textId="39D295E4" w:rsidR="005D5A37" w:rsidRPr="00602326" w:rsidRDefault="005D5A37" w:rsidP="00B608FE">
      <w:pPr>
        <w:pStyle w:val="Zkladntextodsazen"/>
        <w:ind w:left="0"/>
        <w:jc w:val="both"/>
      </w:pPr>
      <w:r w:rsidRPr="00602326">
        <w:rPr>
          <w:rFonts w:cs="Arial"/>
        </w:rPr>
        <w:t>ESA</w:t>
      </w:r>
      <w:r w:rsidRPr="00602326">
        <w:rPr>
          <w:rFonts w:cs="Arial"/>
        </w:rPr>
        <w:tab/>
      </w:r>
      <w:r w:rsidRPr="00602326">
        <w:rPr>
          <w:rFonts w:cs="Arial"/>
        </w:rPr>
        <w:tab/>
        <w:t>Evropský systém účtů</w:t>
      </w:r>
    </w:p>
    <w:p w14:paraId="3E046584" w14:textId="77777777" w:rsidR="00B608FE" w:rsidRPr="00602326" w:rsidRDefault="00B608FE" w:rsidP="00B608FE">
      <w:pPr>
        <w:pStyle w:val="Zkladntextodsazen"/>
        <w:ind w:left="0"/>
      </w:pPr>
      <w:r w:rsidRPr="00602326">
        <w:t>IS KaPr</w:t>
      </w:r>
      <w:r w:rsidRPr="00602326">
        <w:tab/>
      </w:r>
      <w:r w:rsidRPr="00602326">
        <w:tab/>
        <w:t>Informační systém kategorizace prací</w:t>
      </w:r>
    </w:p>
    <w:p w14:paraId="49B74AA0" w14:textId="77777777" w:rsidR="00B608FE" w:rsidRPr="00602326" w:rsidRDefault="00B608FE" w:rsidP="00B608FE">
      <w:pPr>
        <w:pStyle w:val="Zkladntextodsazen"/>
        <w:ind w:left="0"/>
      </w:pPr>
      <w:r w:rsidRPr="00602326">
        <w:t>MKN-10</w:t>
      </w:r>
      <w:r w:rsidRPr="00602326">
        <w:tab/>
        <w:t>Mezinárodní statistická klasifikace nemocí a přidružených zdravotních problémů</w:t>
      </w:r>
    </w:p>
    <w:p w14:paraId="17B6B584" w14:textId="77777777" w:rsidR="00B608FE" w:rsidRPr="00602326" w:rsidRDefault="00B608FE" w:rsidP="00B608FE">
      <w:pPr>
        <w:pStyle w:val="Zkladntextodsazen"/>
        <w:ind w:left="0"/>
      </w:pPr>
      <w:r w:rsidRPr="00602326">
        <w:t>MPSV</w:t>
      </w:r>
      <w:r w:rsidRPr="00602326">
        <w:tab/>
      </w:r>
      <w:r w:rsidRPr="00602326">
        <w:tab/>
        <w:t>Ministerstvo práce a sociálních věcí České republiky</w:t>
      </w:r>
    </w:p>
    <w:p w14:paraId="575E572D" w14:textId="77777777" w:rsidR="00B608FE" w:rsidRPr="00602326" w:rsidRDefault="00B608FE" w:rsidP="00B608FE">
      <w:pPr>
        <w:pStyle w:val="Zkladntextodsazen"/>
        <w:ind w:left="0"/>
        <w:rPr>
          <w:rFonts w:cs="Arial"/>
        </w:rPr>
      </w:pPr>
      <w:r w:rsidRPr="00602326">
        <w:rPr>
          <w:rFonts w:cs="Arial"/>
        </w:rPr>
        <w:t xml:space="preserve">Nem Úr 1–02 </w:t>
      </w:r>
      <w:r w:rsidRPr="00602326">
        <w:rPr>
          <w:rFonts w:cs="Arial"/>
        </w:rPr>
        <w:tab/>
        <w:t>Výkaz o pracovní neschopnosti pro nemoc a úraz</w:t>
      </w:r>
    </w:p>
    <w:p w14:paraId="59434B76" w14:textId="77777777" w:rsidR="00B608FE" w:rsidRPr="00602326" w:rsidRDefault="00B608FE" w:rsidP="00B608FE">
      <w:pPr>
        <w:pStyle w:val="Zkladntextodsazen"/>
        <w:ind w:left="0"/>
      </w:pPr>
      <w:r w:rsidRPr="00602326">
        <w:t>OIP</w:t>
      </w:r>
      <w:r w:rsidRPr="00602326">
        <w:tab/>
      </w:r>
      <w:r w:rsidRPr="00602326">
        <w:tab/>
        <w:t>Oblastní inspektorát práce</w:t>
      </w:r>
    </w:p>
    <w:p w14:paraId="05B2E036" w14:textId="77777777" w:rsidR="00B608FE" w:rsidRPr="00602326" w:rsidRDefault="00B608FE" w:rsidP="00B608FE">
      <w:pPr>
        <w:pStyle w:val="Zkladntextodsazen"/>
        <w:ind w:left="0"/>
      </w:pPr>
      <w:r w:rsidRPr="00602326">
        <w:t>OSSZ</w:t>
      </w:r>
      <w:r w:rsidRPr="00602326">
        <w:tab/>
      </w:r>
      <w:r w:rsidRPr="00602326">
        <w:tab/>
        <w:t>Okresní správa sociálního zabezpečení</w:t>
      </w:r>
    </w:p>
    <w:p w14:paraId="3A503223" w14:textId="77777777" w:rsidR="00B608FE" w:rsidRPr="00602326" w:rsidRDefault="00B608FE" w:rsidP="00B608FE">
      <w:pPr>
        <w:pStyle w:val="Zkladntextodsazen"/>
        <w:ind w:left="0"/>
      </w:pPr>
      <w:r w:rsidRPr="00602326">
        <w:t>OSVČ</w:t>
      </w:r>
      <w:r w:rsidRPr="00602326">
        <w:tab/>
      </w:r>
      <w:r w:rsidRPr="00602326">
        <w:tab/>
        <w:t>osoba samostatně výdělečně činná</w:t>
      </w:r>
    </w:p>
    <w:p w14:paraId="31A03D3C" w14:textId="77777777" w:rsidR="00B608FE" w:rsidRPr="00602326" w:rsidRDefault="00B608FE" w:rsidP="00B608FE">
      <w:pPr>
        <w:pStyle w:val="Zkladntextodsazen"/>
        <w:ind w:left="0"/>
      </w:pPr>
      <w:r w:rsidRPr="00602326">
        <w:t>PN</w:t>
      </w:r>
      <w:r w:rsidRPr="00602326">
        <w:tab/>
      </w:r>
      <w:r w:rsidRPr="00602326">
        <w:tab/>
        <w:t>pracovní neschopnost</w:t>
      </w:r>
    </w:p>
    <w:p w14:paraId="6B59FC70" w14:textId="77777777" w:rsidR="00B608FE" w:rsidRPr="00602326" w:rsidRDefault="00B608FE" w:rsidP="00B608FE">
      <w:pPr>
        <w:pStyle w:val="Zkladntextodsazen"/>
        <w:ind w:left="0"/>
      </w:pPr>
      <w:r w:rsidRPr="00602326">
        <w:t>SÚIP</w:t>
      </w:r>
      <w:r w:rsidRPr="00602326">
        <w:tab/>
      </w:r>
      <w:r w:rsidRPr="00602326">
        <w:tab/>
        <w:t>Státní úřad inspekce práce</w:t>
      </w:r>
    </w:p>
    <w:p w14:paraId="76364620" w14:textId="77777777" w:rsidR="00B608FE" w:rsidRPr="00602326" w:rsidRDefault="00B608FE" w:rsidP="00B608FE">
      <w:pPr>
        <w:pStyle w:val="Zkladntextodsazen"/>
        <w:ind w:left="0"/>
      </w:pPr>
      <w:r w:rsidRPr="00602326">
        <w:t>SZÚ</w:t>
      </w:r>
      <w:r w:rsidRPr="00602326">
        <w:tab/>
      </w:r>
      <w:r w:rsidRPr="00602326">
        <w:tab/>
        <w:t>Státní zdravotní ústav</w:t>
      </w:r>
    </w:p>
    <w:p w14:paraId="1B2D3A21" w14:textId="77777777" w:rsidR="00B608FE" w:rsidRPr="00602326" w:rsidRDefault="00B608FE" w:rsidP="00B608FE">
      <w:pPr>
        <w:pStyle w:val="Zkladntextodsazen"/>
        <w:ind w:left="0"/>
      </w:pPr>
      <w:r w:rsidRPr="00602326">
        <w:rPr>
          <w:rFonts w:cs="Arial"/>
        </w:rPr>
        <w:t>ÚNP 4–01</w:t>
      </w:r>
      <w:r w:rsidRPr="00602326">
        <w:rPr>
          <w:rFonts w:cs="Arial"/>
        </w:rPr>
        <w:tab/>
        <w:t>Výkaz o úplných nákladech práce</w:t>
      </w:r>
    </w:p>
    <w:p w14:paraId="311BCB3F" w14:textId="77777777" w:rsidR="00B608FE" w:rsidRPr="00602326" w:rsidRDefault="00B608FE" w:rsidP="00B608FE">
      <w:pPr>
        <w:pStyle w:val="Zkladntextodsazen"/>
        <w:ind w:left="0"/>
      </w:pPr>
      <w:r w:rsidRPr="00602326">
        <w:t>ÚZIS ČR</w:t>
      </w:r>
      <w:r w:rsidRPr="00602326">
        <w:tab/>
        <w:t>Ústav zdravotnických informací a statistiky České republiky</w:t>
      </w:r>
    </w:p>
    <w:p w14:paraId="1250FFC3" w14:textId="77777777" w:rsidR="00B608FE" w:rsidRPr="00D92E20" w:rsidRDefault="00B608FE" w:rsidP="00B608FE">
      <w:pPr>
        <w:pStyle w:val="Zkladntextodsazen"/>
        <w:ind w:left="0"/>
      </w:pPr>
      <w:r w:rsidRPr="00602326">
        <w:t>VÚBP</w:t>
      </w:r>
      <w:r w:rsidRPr="00602326">
        <w:tab/>
      </w:r>
      <w:r w:rsidRPr="00602326">
        <w:tab/>
        <w:t>Výzkumný ústav bezpečnosti práce</w:t>
      </w:r>
    </w:p>
    <w:p w14:paraId="4870A771" w14:textId="77777777" w:rsidR="00B608FE" w:rsidRPr="00D92E20" w:rsidRDefault="00B608FE">
      <w:pPr>
        <w:spacing w:after="0" w:line="240" w:lineRule="auto"/>
        <w:rPr>
          <w:rFonts w:eastAsia="MS Gothic"/>
          <w:b/>
          <w:bCs/>
          <w:color w:val="BC091B"/>
          <w:sz w:val="28"/>
          <w:szCs w:val="26"/>
        </w:rPr>
      </w:pPr>
      <w:bookmarkStart w:id="50" w:name="_Toc54262809"/>
      <w:r w:rsidRPr="00D92E20">
        <w:br w:type="page"/>
      </w:r>
    </w:p>
    <w:p w14:paraId="24D47E75" w14:textId="77777777" w:rsidR="00B608FE" w:rsidRPr="00E13B88" w:rsidRDefault="00B608FE" w:rsidP="00E31C79">
      <w:pPr>
        <w:pStyle w:val="Nadpis2"/>
        <w:numPr>
          <w:ilvl w:val="0"/>
          <w:numId w:val="18"/>
        </w:numPr>
        <w:spacing w:after="100"/>
        <w:ind w:left="426"/>
      </w:pPr>
      <w:bookmarkStart w:id="51" w:name="_Toc117774437"/>
      <w:r w:rsidRPr="00E13B88">
        <w:lastRenderedPageBreak/>
        <w:t>Tabulková část – seznam tabulek</w:t>
      </w:r>
      <w:bookmarkEnd w:id="50"/>
      <w:bookmarkEnd w:id="51"/>
    </w:p>
    <w:p w14:paraId="07041145" w14:textId="77777777" w:rsidR="00B608FE" w:rsidRPr="00E13B88" w:rsidRDefault="00B608FE" w:rsidP="00B608FE">
      <w:pPr>
        <w:spacing w:after="0"/>
        <w:rPr>
          <w:rFonts w:cs="Arial"/>
          <w:b/>
        </w:rPr>
      </w:pPr>
      <w:r w:rsidRPr="00E13B88">
        <w:rPr>
          <w:rFonts w:cs="Arial"/>
          <w:b/>
        </w:rPr>
        <w:t xml:space="preserve">Pracovní neschopnost pro nemoc a úraz dle velikosti podniku, institucionálních sektorů, </w:t>
      </w:r>
      <w:r w:rsidRPr="00E13B88">
        <w:rPr>
          <w:rFonts w:cs="Arial"/>
          <w:b/>
        </w:rPr>
        <w:br/>
        <w:t>sekcí CZ-NACE a krajů</w:t>
      </w:r>
    </w:p>
    <w:p w14:paraId="42173179" w14:textId="77777777" w:rsidR="00724D4A" w:rsidRPr="00E13B88" w:rsidRDefault="00B608FE" w:rsidP="00B608FE">
      <w:pPr>
        <w:spacing w:after="0"/>
        <w:ind w:left="851" w:hanging="851"/>
      </w:pPr>
      <w:r w:rsidRPr="00E13B88">
        <w:t>Tab. 1: Základní ukazatele dočasné pracovní neschopnosti</w:t>
      </w:r>
    </w:p>
    <w:p w14:paraId="0ED1CBA6" w14:textId="77777777" w:rsidR="00B608FE" w:rsidRPr="00E13B88" w:rsidRDefault="00B608FE" w:rsidP="00B608FE">
      <w:pPr>
        <w:spacing w:after="0"/>
        <w:ind w:left="851" w:hanging="851"/>
      </w:pPr>
      <w:r w:rsidRPr="00E13B88">
        <w:t>Tab. 1.1: Počet nemocensky pojištěných</w:t>
      </w:r>
    </w:p>
    <w:p w14:paraId="217E46DE" w14:textId="77777777" w:rsidR="00B608FE" w:rsidRPr="00E13B88" w:rsidRDefault="00B608FE" w:rsidP="00B608FE">
      <w:pPr>
        <w:spacing w:after="0"/>
        <w:ind w:left="851" w:hanging="851"/>
      </w:pPr>
      <w:r w:rsidRPr="00E13B88">
        <w:t>Tab. 1.2: Počet nově hlášených případů dočasné pracovní neschopnosti</w:t>
      </w:r>
    </w:p>
    <w:p w14:paraId="047188E5" w14:textId="77777777" w:rsidR="00B608FE" w:rsidRPr="00E13B88" w:rsidRDefault="00B608FE" w:rsidP="00B608FE">
      <w:pPr>
        <w:spacing w:after="0"/>
        <w:ind w:left="851" w:hanging="851"/>
      </w:pPr>
      <w:r w:rsidRPr="00E13B88">
        <w:t>Tab. 1.3: Počet kalendářních dnů dočasné pracovní neschopnosti</w:t>
      </w:r>
    </w:p>
    <w:p w14:paraId="129D6F4B" w14:textId="77777777" w:rsidR="00B608FE" w:rsidRPr="00E13B88" w:rsidRDefault="00B608FE" w:rsidP="00B608FE">
      <w:pPr>
        <w:spacing w:after="0"/>
        <w:ind w:left="851" w:hanging="851"/>
      </w:pPr>
      <w:r w:rsidRPr="00E13B88">
        <w:t>Tab. 1.4: Počet nově hlášených případů dočasné pracovní neschopnosti na 100 pojištěnců</w:t>
      </w:r>
    </w:p>
    <w:p w14:paraId="3CC34944" w14:textId="77777777" w:rsidR="00B608FE" w:rsidRPr="00E13B88" w:rsidRDefault="00B608FE" w:rsidP="00B608FE">
      <w:pPr>
        <w:spacing w:after="0"/>
        <w:ind w:left="851" w:hanging="851"/>
      </w:pPr>
      <w:r w:rsidRPr="00E13B88">
        <w:t>Tab. 1.5: Průměrné procento dočasné pracovní neschopnosti</w:t>
      </w:r>
    </w:p>
    <w:p w14:paraId="2ADE984F" w14:textId="77777777" w:rsidR="00B608FE" w:rsidRPr="00E13B88" w:rsidRDefault="00B608FE" w:rsidP="00B608FE">
      <w:pPr>
        <w:spacing w:after="0"/>
        <w:ind w:left="851" w:hanging="851"/>
      </w:pPr>
      <w:r w:rsidRPr="00E13B88">
        <w:t>Tab. 1.6: Počet kalendářních dnů dočasné pracovní neschopnosti na 1 nově hlášený případ</w:t>
      </w:r>
    </w:p>
    <w:p w14:paraId="3885EA0A" w14:textId="77777777" w:rsidR="00B608FE" w:rsidRPr="00E13B88" w:rsidRDefault="00B608FE" w:rsidP="00B608FE">
      <w:pPr>
        <w:spacing w:after="120"/>
        <w:ind w:left="851" w:hanging="851"/>
      </w:pPr>
      <w:r w:rsidRPr="00E13B88">
        <w:t>Tab. 1.7: Průměrný denní stav dočasně práce neschopných</w:t>
      </w:r>
    </w:p>
    <w:p w14:paraId="04704539" w14:textId="77777777" w:rsidR="00B608FE" w:rsidRPr="00E13B88" w:rsidRDefault="00B608FE" w:rsidP="00B608FE">
      <w:pPr>
        <w:spacing w:after="60"/>
        <w:ind w:left="851" w:hanging="851"/>
        <w:rPr>
          <w:rStyle w:val="Siln"/>
          <w:rFonts w:eastAsia="MS Gothic" w:cs="Arial"/>
        </w:rPr>
      </w:pPr>
      <w:r w:rsidRPr="00E13B88">
        <w:rPr>
          <w:rStyle w:val="Siln"/>
          <w:rFonts w:eastAsia="MS Gothic" w:cs="Arial"/>
        </w:rPr>
        <w:t xml:space="preserve">Pracovní neschopnost </w:t>
      </w:r>
      <w:r w:rsidRPr="00E13B88">
        <w:rPr>
          <w:rFonts w:cs="Arial"/>
          <w:b/>
        </w:rPr>
        <w:t>pro nemoc a úraz</w:t>
      </w:r>
      <w:r w:rsidRPr="00E13B88">
        <w:rPr>
          <w:rStyle w:val="Siln"/>
          <w:rFonts w:eastAsia="MS Gothic" w:cs="Arial"/>
        </w:rPr>
        <w:t xml:space="preserve"> dle sekcí a oddílů CZ-NACE</w:t>
      </w:r>
    </w:p>
    <w:p w14:paraId="621C4909" w14:textId="77777777" w:rsidR="00724D4A" w:rsidRPr="00E13B88" w:rsidRDefault="00B608FE" w:rsidP="00724D4A">
      <w:pPr>
        <w:spacing w:after="0"/>
        <w:ind w:left="851" w:hanging="851"/>
        <w:rPr>
          <w:rFonts w:cs="Arial"/>
        </w:rPr>
      </w:pPr>
      <w:r w:rsidRPr="00E13B88">
        <w:rPr>
          <w:rFonts w:cs="Arial"/>
        </w:rPr>
        <w:t>Tab. 2: Základní ukazatele dočasné pracovní neschopnosti</w:t>
      </w:r>
    </w:p>
    <w:p w14:paraId="722ADA59" w14:textId="77777777" w:rsidR="00B608FE" w:rsidRPr="00E13B88" w:rsidRDefault="00B608FE" w:rsidP="00724D4A">
      <w:pPr>
        <w:spacing w:after="0"/>
        <w:ind w:left="851" w:hanging="851"/>
        <w:rPr>
          <w:rFonts w:cs="Arial"/>
        </w:rPr>
      </w:pPr>
      <w:r w:rsidRPr="00E13B88">
        <w:rPr>
          <w:rFonts w:cs="Arial"/>
        </w:rPr>
        <w:t>Tab. 2.1: Počet nemocensky pojištěných</w:t>
      </w:r>
    </w:p>
    <w:p w14:paraId="710780BD" w14:textId="77777777" w:rsidR="00B608FE" w:rsidRPr="00E13B88" w:rsidRDefault="00B608FE" w:rsidP="00B608FE">
      <w:pPr>
        <w:spacing w:after="0"/>
        <w:ind w:left="851" w:hanging="851"/>
        <w:rPr>
          <w:rFonts w:cs="Arial"/>
        </w:rPr>
      </w:pPr>
      <w:r w:rsidRPr="00E13B88">
        <w:rPr>
          <w:rFonts w:cs="Arial"/>
        </w:rPr>
        <w:t>Tab. 2.2: Počet nově hlášených případů dočasné pracovní neschopnosti</w:t>
      </w:r>
    </w:p>
    <w:p w14:paraId="47E2CEF7" w14:textId="77777777" w:rsidR="00B608FE" w:rsidRPr="00E13B88" w:rsidRDefault="00B608FE" w:rsidP="00B608FE">
      <w:pPr>
        <w:spacing w:after="0"/>
        <w:ind w:left="851" w:hanging="851"/>
        <w:rPr>
          <w:rFonts w:cs="Arial"/>
        </w:rPr>
      </w:pPr>
      <w:r w:rsidRPr="00E13B88">
        <w:rPr>
          <w:rFonts w:cs="Arial"/>
        </w:rPr>
        <w:t>Tab. 2.3: Počet kalendářních dnů dočasné pracovní neschopnosti</w:t>
      </w:r>
    </w:p>
    <w:p w14:paraId="632AC0C1" w14:textId="77777777" w:rsidR="00B608FE" w:rsidRPr="00E13B88" w:rsidRDefault="00B608FE" w:rsidP="00B608FE">
      <w:pPr>
        <w:spacing w:after="0"/>
        <w:ind w:left="851" w:hanging="851"/>
        <w:rPr>
          <w:rFonts w:cs="Arial"/>
        </w:rPr>
      </w:pPr>
      <w:r w:rsidRPr="00E13B88">
        <w:rPr>
          <w:rFonts w:cs="Arial"/>
        </w:rPr>
        <w:t>Tab. 2.4: Počet nově hlášených případů dočasné pracovní neschopnosti na 100 pojištěnců</w:t>
      </w:r>
    </w:p>
    <w:p w14:paraId="7A31A2F2" w14:textId="77777777" w:rsidR="00B608FE" w:rsidRPr="00E13B88" w:rsidRDefault="00B608FE" w:rsidP="00B608FE">
      <w:pPr>
        <w:spacing w:after="0"/>
        <w:ind w:left="851" w:hanging="851"/>
        <w:rPr>
          <w:rFonts w:cs="Arial"/>
        </w:rPr>
      </w:pPr>
      <w:r w:rsidRPr="00E13B88">
        <w:rPr>
          <w:rFonts w:cs="Arial"/>
        </w:rPr>
        <w:t>Tab. 2.5: Průměrné procento dočasné pracovní neschopnosti</w:t>
      </w:r>
    </w:p>
    <w:p w14:paraId="5D452143" w14:textId="77777777" w:rsidR="00B608FE" w:rsidRPr="00E13B88" w:rsidRDefault="00B608FE" w:rsidP="00B608FE">
      <w:pPr>
        <w:spacing w:after="0"/>
        <w:ind w:left="851" w:hanging="851"/>
        <w:rPr>
          <w:rFonts w:cs="Arial"/>
        </w:rPr>
      </w:pPr>
      <w:r w:rsidRPr="00E13B88">
        <w:rPr>
          <w:rFonts w:cs="Arial"/>
        </w:rPr>
        <w:t>Tab. 2.6: Počet kalendářních dnů dočasné pracovní neschopnosti na 1 nově hlášený případ</w:t>
      </w:r>
    </w:p>
    <w:p w14:paraId="4019F137" w14:textId="77777777" w:rsidR="00B608FE" w:rsidRPr="00E13B88" w:rsidRDefault="00B608FE" w:rsidP="00B608FE">
      <w:pPr>
        <w:spacing w:after="120"/>
        <w:ind w:left="851" w:hanging="851"/>
        <w:rPr>
          <w:rStyle w:val="Siln"/>
          <w:rFonts w:eastAsia="MS Gothic" w:cs="Arial"/>
          <w:bCs w:val="0"/>
        </w:rPr>
      </w:pPr>
      <w:r w:rsidRPr="00E13B88">
        <w:rPr>
          <w:rFonts w:cs="Arial"/>
        </w:rPr>
        <w:t>Tab. 2.7: Průměrný denní stav dočasně práce neschopných</w:t>
      </w:r>
    </w:p>
    <w:p w14:paraId="3E4797B5" w14:textId="77777777" w:rsidR="00B608FE" w:rsidRPr="00E13B88" w:rsidRDefault="00B608FE" w:rsidP="00B608FE">
      <w:pPr>
        <w:spacing w:after="60"/>
        <w:ind w:left="851" w:hanging="851"/>
        <w:rPr>
          <w:rStyle w:val="Siln"/>
          <w:rFonts w:eastAsia="MS Gothic" w:cs="Arial"/>
          <w:bCs w:val="0"/>
        </w:rPr>
      </w:pPr>
      <w:r w:rsidRPr="00E13B88">
        <w:rPr>
          <w:rStyle w:val="Siln"/>
          <w:rFonts w:eastAsia="MS Gothic" w:cs="Arial"/>
          <w:bCs w:val="0"/>
        </w:rPr>
        <w:t xml:space="preserve">Pracovní neschopnost </w:t>
      </w:r>
      <w:r w:rsidRPr="00E13B88">
        <w:rPr>
          <w:rFonts w:cs="Arial"/>
          <w:b/>
        </w:rPr>
        <w:t xml:space="preserve">pro nemoc a úraz </w:t>
      </w:r>
      <w:r w:rsidRPr="00E13B88">
        <w:rPr>
          <w:rStyle w:val="Siln"/>
          <w:rFonts w:eastAsia="MS Gothic" w:cs="Arial"/>
          <w:bCs w:val="0"/>
        </w:rPr>
        <w:t>dle krajů a okresů</w:t>
      </w:r>
    </w:p>
    <w:p w14:paraId="5B93D497" w14:textId="77777777" w:rsidR="00B608FE" w:rsidRPr="00E13B88" w:rsidRDefault="00B608FE" w:rsidP="00B608FE">
      <w:pPr>
        <w:spacing w:after="0"/>
        <w:ind w:left="851" w:hanging="851"/>
        <w:rPr>
          <w:rFonts w:cs="Arial"/>
        </w:rPr>
      </w:pPr>
      <w:r w:rsidRPr="00E13B88">
        <w:rPr>
          <w:rFonts w:cs="Arial"/>
        </w:rPr>
        <w:t>Tab. 3: Základní ukazatele dočasné pracovní neschopnosti</w:t>
      </w:r>
    </w:p>
    <w:p w14:paraId="514F9CE4" w14:textId="77777777" w:rsidR="00B608FE" w:rsidRPr="00E13B88" w:rsidRDefault="00B608FE" w:rsidP="00B608FE">
      <w:pPr>
        <w:spacing w:after="0"/>
        <w:ind w:left="851" w:hanging="851"/>
        <w:rPr>
          <w:rFonts w:cs="Arial"/>
        </w:rPr>
      </w:pPr>
      <w:r w:rsidRPr="00E13B88">
        <w:rPr>
          <w:rFonts w:cs="Arial"/>
        </w:rPr>
        <w:t>Tab. 3.1: Počet nemocensky pojištěných</w:t>
      </w:r>
    </w:p>
    <w:p w14:paraId="7642B037" w14:textId="77777777" w:rsidR="00B608FE" w:rsidRPr="00E13B88" w:rsidRDefault="00B608FE" w:rsidP="00B608FE">
      <w:pPr>
        <w:spacing w:after="0"/>
        <w:ind w:left="851" w:hanging="851"/>
        <w:rPr>
          <w:rFonts w:cs="Arial"/>
        </w:rPr>
      </w:pPr>
      <w:r w:rsidRPr="00E13B88">
        <w:rPr>
          <w:rFonts w:cs="Arial"/>
        </w:rPr>
        <w:t>Tab. 3.2: Počet nově hlášených případů dočasné pracovní neschopnosti</w:t>
      </w:r>
    </w:p>
    <w:p w14:paraId="776F2291" w14:textId="77777777" w:rsidR="00B608FE" w:rsidRPr="00E13B88" w:rsidRDefault="00B608FE" w:rsidP="00B608FE">
      <w:pPr>
        <w:spacing w:after="0"/>
        <w:ind w:left="851" w:hanging="851"/>
        <w:rPr>
          <w:rFonts w:cs="Arial"/>
        </w:rPr>
      </w:pPr>
      <w:r w:rsidRPr="00E13B88">
        <w:rPr>
          <w:rFonts w:cs="Arial"/>
        </w:rPr>
        <w:t>Tab. 3.3: Počet kalendářních dnů dočasné pracovní neschopnosti</w:t>
      </w:r>
    </w:p>
    <w:p w14:paraId="7D8E06CA" w14:textId="77777777" w:rsidR="00B608FE" w:rsidRPr="00E13B88" w:rsidRDefault="00B608FE" w:rsidP="00B608FE">
      <w:pPr>
        <w:spacing w:after="0"/>
        <w:ind w:left="851" w:hanging="851"/>
        <w:rPr>
          <w:rFonts w:cs="Arial"/>
        </w:rPr>
      </w:pPr>
      <w:r w:rsidRPr="00E13B88">
        <w:rPr>
          <w:rFonts w:cs="Arial"/>
        </w:rPr>
        <w:t>Tab. 3.4: Počet nově hlášených případů dočasné pracovní neschopnosti na 100 pojištěnců</w:t>
      </w:r>
    </w:p>
    <w:p w14:paraId="4CA765CC" w14:textId="77777777" w:rsidR="00B608FE" w:rsidRPr="00E13B88" w:rsidRDefault="00B608FE" w:rsidP="00B608FE">
      <w:pPr>
        <w:spacing w:after="0"/>
        <w:ind w:left="851" w:hanging="851"/>
        <w:rPr>
          <w:rFonts w:cs="Arial"/>
        </w:rPr>
      </w:pPr>
      <w:r w:rsidRPr="00E13B88">
        <w:rPr>
          <w:rFonts w:cs="Arial"/>
        </w:rPr>
        <w:t>Tab. 3.5: Průměrné procento dočasné pracovní neschopnosti</w:t>
      </w:r>
    </w:p>
    <w:p w14:paraId="4CF92B09" w14:textId="77777777" w:rsidR="00B608FE" w:rsidRPr="00E13B88" w:rsidRDefault="00B608FE" w:rsidP="00B608FE">
      <w:pPr>
        <w:spacing w:after="0"/>
        <w:ind w:left="851" w:hanging="851"/>
        <w:rPr>
          <w:rFonts w:cs="Arial"/>
        </w:rPr>
      </w:pPr>
      <w:r w:rsidRPr="00E13B88">
        <w:rPr>
          <w:rFonts w:cs="Arial"/>
        </w:rPr>
        <w:t>Tab. 3.6: Počet kalendářních dnů dočasné pracovní neschopnosti na 1 nově hlášený</w:t>
      </w:r>
      <w:r w:rsidR="004D0233" w:rsidRPr="00E13B88">
        <w:rPr>
          <w:rFonts w:cs="Arial"/>
        </w:rPr>
        <w:t xml:space="preserve"> případ</w:t>
      </w:r>
    </w:p>
    <w:p w14:paraId="0DF4CFA4" w14:textId="77777777" w:rsidR="00B608FE" w:rsidRPr="00E13B88" w:rsidRDefault="00B608FE" w:rsidP="00B608FE">
      <w:pPr>
        <w:spacing w:after="120"/>
        <w:ind w:left="851" w:hanging="851"/>
        <w:rPr>
          <w:rFonts w:cs="Arial"/>
        </w:rPr>
      </w:pPr>
      <w:r w:rsidRPr="00E13B88">
        <w:rPr>
          <w:rFonts w:cs="Arial"/>
        </w:rPr>
        <w:t>Tab. 3.7: Průměrný denní stav dočasně práce neschopných</w:t>
      </w:r>
    </w:p>
    <w:p w14:paraId="03CE721E" w14:textId="77777777" w:rsidR="00B608FE" w:rsidRPr="00E13B88" w:rsidRDefault="00B608FE" w:rsidP="00B608FE">
      <w:pPr>
        <w:spacing w:after="60"/>
        <w:ind w:left="851" w:hanging="851"/>
        <w:rPr>
          <w:rStyle w:val="Siln"/>
          <w:rFonts w:eastAsia="MS Gothic" w:cs="Arial"/>
        </w:rPr>
      </w:pPr>
      <w:r w:rsidRPr="00E13B88">
        <w:rPr>
          <w:rStyle w:val="Siln"/>
          <w:rFonts w:eastAsia="MS Gothic" w:cs="Arial"/>
        </w:rPr>
        <w:t xml:space="preserve">Pracovní neschopnost </w:t>
      </w:r>
      <w:r w:rsidRPr="00E13B88">
        <w:rPr>
          <w:rFonts w:cs="Arial"/>
          <w:b/>
        </w:rPr>
        <w:t xml:space="preserve">pro nemoc a úraz </w:t>
      </w:r>
      <w:r w:rsidRPr="00E13B88">
        <w:rPr>
          <w:rStyle w:val="Siln"/>
          <w:rFonts w:eastAsia="MS Gothic" w:cs="Arial"/>
        </w:rPr>
        <w:t>OSVČ (nemocensky pojištěných) v krajích</w:t>
      </w:r>
    </w:p>
    <w:p w14:paraId="21FC8A78" w14:textId="77777777" w:rsidR="00B608FE" w:rsidRPr="00E13B88" w:rsidRDefault="00B608FE" w:rsidP="00B608FE">
      <w:pPr>
        <w:spacing w:after="0"/>
        <w:ind w:left="851" w:hanging="851"/>
        <w:rPr>
          <w:rFonts w:cs="Arial"/>
        </w:rPr>
      </w:pPr>
      <w:r w:rsidRPr="00E13B88">
        <w:rPr>
          <w:rFonts w:cs="Arial"/>
        </w:rPr>
        <w:t>Tab. 4: Základní ukazatele dočasné pracovní neschopnosti OSVČ</w:t>
      </w:r>
    </w:p>
    <w:p w14:paraId="7058DF74" w14:textId="77777777" w:rsidR="00B608FE" w:rsidRPr="00E13B88" w:rsidRDefault="00B608FE" w:rsidP="00B608FE">
      <w:pPr>
        <w:spacing w:after="0"/>
        <w:ind w:left="851" w:hanging="851"/>
        <w:rPr>
          <w:rFonts w:cs="Arial"/>
        </w:rPr>
      </w:pPr>
      <w:r w:rsidRPr="00E13B88">
        <w:rPr>
          <w:rFonts w:cs="Arial"/>
        </w:rPr>
        <w:t>Tab. 4.1: Počet nemocensky pojištěných OSVČ</w:t>
      </w:r>
    </w:p>
    <w:p w14:paraId="1C815862" w14:textId="77777777" w:rsidR="00B608FE" w:rsidRPr="00E13B88" w:rsidRDefault="00B608FE" w:rsidP="00B608FE">
      <w:pPr>
        <w:spacing w:after="0"/>
        <w:ind w:left="851" w:hanging="851"/>
        <w:rPr>
          <w:rFonts w:cs="Arial"/>
        </w:rPr>
      </w:pPr>
      <w:r w:rsidRPr="00E13B88">
        <w:rPr>
          <w:rFonts w:cs="Arial"/>
        </w:rPr>
        <w:t>Tab. 4.2: Počet nově hlášených případů dočasné pracovní neschopnosti OSVČ</w:t>
      </w:r>
    </w:p>
    <w:p w14:paraId="2928692A" w14:textId="77777777" w:rsidR="00B608FE" w:rsidRPr="00E13B88" w:rsidRDefault="00B608FE" w:rsidP="00B608FE">
      <w:pPr>
        <w:spacing w:after="0"/>
        <w:ind w:left="851" w:hanging="851"/>
        <w:rPr>
          <w:rFonts w:cs="Arial"/>
        </w:rPr>
      </w:pPr>
      <w:r w:rsidRPr="00E13B88">
        <w:rPr>
          <w:rFonts w:cs="Arial"/>
        </w:rPr>
        <w:t>Tab. 4.3: Počet kalendářních dnů dočasné pracovní neschopnosti OSVČ</w:t>
      </w:r>
    </w:p>
    <w:p w14:paraId="0E5747A1" w14:textId="77777777" w:rsidR="00B608FE" w:rsidRPr="00E13B88" w:rsidRDefault="00B608FE" w:rsidP="00B608FE">
      <w:pPr>
        <w:spacing w:after="0"/>
        <w:ind w:left="851" w:hanging="851"/>
        <w:rPr>
          <w:rFonts w:cs="Arial"/>
        </w:rPr>
      </w:pPr>
      <w:r w:rsidRPr="00E13B88">
        <w:rPr>
          <w:rFonts w:cs="Arial"/>
        </w:rPr>
        <w:t>Tab. 4.4: Počet nově hlášených případů dočasné pracovní neschopnosti OSVČ na 100 pojištěných OSVČ</w:t>
      </w:r>
    </w:p>
    <w:p w14:paraId="45639706" w14:textId="77777777" w:rsidR="00B608FE" w:rsidRPr="00E13B88" w:rsidRDefault="00B608FE" w:rsidP="00B608FE">
      <w:pPr>
        <w:spacing w:after="0"/>
        <w:ind w:left="851" w:hanging="851"/>
        <w:rPr>
          <w:rFonts w:cs="Arial"/>
        </w:rPr>
      </w:pPr>
      <w:r w:rsidRPr="00E13B88">
        <w:rPr>
          <w:rFonts w:cs="Arial"/>
        </w:rPr>
        <w:t>Tab. 4.5: Průměrné procento dočasné pracovní neschopnosti OSVČ</w:t>
      </w:r>
    </w:p>
    <w:p w14:paraId="18A5891D" w14:textId="77777777" w:rsidR="00B608FE" w:rsidRPr="00E13B88" w:rsidRDefault="00B608FE" w:rsidP="00B608FE">
      <w:pPr>
        <w:spacing w:after="0"/>
        <w:ind w:left="851" w:hanging="851"/>
        <w:rPr>
          <w:rFonts w:cs="Arial"/>
        </w:rPr>
      </w:pPr>
      <w:r w:rsidRPr="00E13B88">
        <w:rPr>
          <w:rFonts w:cs="Arial"/>
        </w:rPr>
        <w:t>Tab. 4.6: Počet kalendářních dnů dočasné pracovní neschopnosti OSVČ na 1 nově hlášený případ</w:t>
      </w:r>
    </w:p>
    <w:p w14:paraId="2189DF66" w14:textId="77777777" w:rsidR="00B608FE" w:rsidRPr="00E13B88" w:rsidRDefault="00B608FE" w:rsidP="00B608FE">
      <w:pPr>
        <w:spacing w:after="120"/>
        <w:ind w:left="851" w:hanging="851"/>
        <w:rPr>
          <w:rFonts w:cs="Arial"/>
        </w:rPr>
      </w:pPr>
      <w:r w:rsidRPr="00E13B88">
        <w:rPr>
          <w:rFonts w:cs="Arial"/>
        </w:rPr>
        <w:t>Tab. 4.7: Průměrný denní stav dočasně práce neschopných OSVČ</w:t>
      </w:r>
    </w:p>
    <w:p w14:paraId="414C18EE" w14:textId="77777777" w:rsidR="00B608FE" w:rsidRPr="00E13B88" w:rsidRDefault="00B608FE" w:rsidP="00B608FE">
      <w:pPr>
        <w:spacing w:after="60"/>
        <w:rPr>
          <w:rStyle w:val="Siln"/>
          <w:rFonts w:eastAsia="MS Gothic" w:cs="Arial"/>
          <w:bCs w:val="0"/>
        </w:rPr>
      </w:pPr>
      <w:r w:rsidRPr="00E13B88">
        <w:rPr>
          <w:rStyle w:val="Siln"/>
          <w:rFonts w:eastAsia="MS Gothic" w:cs="Arial"/>
          <w:bCs w:val="0"/>
        </w:rPr>
        <w:t>Pracovní úrazovost mladistvých</w:t>
      </w:r>
    </w:p>
    <w:p w14:paraId="1F654A3D" w14:textId="77777777" w:rsidR="00B608FE" w:rsidRPr="00E13B88" w:rsidRDefault="00B608FE" w:rsidP="00B608FE">
      <w:pPr>
        <w:spacing w:after="120" w:line="240" w:lineRule="auto"/>
        <w:ind w:left="851" w:hanging="851"/>
        <w:rPr>
          <w:rFonts w:cs="Arial"/>
        </w:rPr>
      </w:pPr>
      <w:r w:rsidRPr="00E13B88">
        <w:rPr>
          <w:rFonts w:cs="Arial"/>
        </w:rPr>
        <w:t>Tab. 5: Pracovní úrazovost mladistvých</w:t>
      </w:r>
    </w:p>
    <w:p w14:paraId="0BDDCF98" w14:textId="77777777" w:rsidR="00B608FE" w:rsidRPr="00E13B88" w:rsidRDefault="00B608FE" w:rsidP="00B608FE">
      <w:pPr>
        <w:spacing w:after="60"/>
        <w:ind w:left="851" w:hanging="851"/>
        <w:rPr>
          <w:rStyle w:val="Siln"/>
          <w:rFonts w:eastAsia="MS Gothic" w:cs="Arial"/>
        </w:rPr>
      </w:pPr>
      <w:r w:rsidRPr="00E13B88">
        <w:rPr>
          <w:rStyle w:val="Siln"/>
          <w:rFonts w:eastAsia="MS Gothic" w:cs="Arial"/>
        </w:rPr>
        <w:t>Pracovní úrazy s pracovní neschopností delší než 3 dny</w:t>
      </w:r>
    </w:p>
    <w:p w14:paraId="5771ADFE" w14:textId="77777777" w:rsidR="00B608FE" w:rsidRPr="00E13B88" w:rsidRDefault="00B608FE" w:rsidP="00B608FE">
      <w:pPr>
        <w:spacing w:after="120"/>
        <w:ind w:left="851" w:hanging="851"/>
        <w:rPr>
          <w:rFonts w:cs="Arial"/>
        </w:rPr>
      </w:pPr>
      <w:r w:rsidRPr="00E13B88">
        <w:rPr>
          <w:rFonts w:cs="Arial"/>
        </w:rPr>
        <w:t>Tab. 6: Pracovní úrazy s pracovní neschopností delší než 3 dny</w:t>
      </w:r>
    </w:p>
    <w:p w14:paraId="3F2CD6D2" w14:textId="77777777" w:rsidR="00B608FE" w:rsidRPr="00E13B88" w:rsidRDefault="00B608FE" w:rsidP="00B608FE">
      <w:pPr>
        <w:spacing w:after="60"/>
        <w:ind w:left="851" w:hanging="851"/>
        <w:rPr>
          <w:rStyle w:val="Siln"/>
          <w:rFonts w:eastAsia="MS Gothic" w:cs="Arial"/>
          <w:bCs w:val="0"/>
        </w:rPr>
      </w:pPr>
      <w:r w:rsidRPr="00E13B88">
        <w:rPr>
          <w:rStyle w:val="Siln"/>
          <w:rFonts w:eastAsia="MS Gothic" w:cs="Arial"/>
          <w:bCs w:val="0"/>
        </w:rPr>
        <w:t xml:space="preserve">Pracovní neschopnost </w:t>
      </w:r>
      <w:r w:rsidRPr="00E13B88">
        <w:rPr>
          <w:rStyle w:val="Siln"/>
          <w:rFonts w:eastAsia="MS Gothic" w:cs="Arial"/>
        </w:rPr>
        <w:t>pro nemoc a úraz</w:t>
      </w:r>
      <w:r w:rsidRPr="00E13B88">
        <w:rPr>
          <w:rStyle w:val="Siln"/>
          <w:rFonts w:eastAsia="MS Gothic" w:cs="Arial"/>
          <w:bCs w:val="0"/>
        </w:rPr>
        <w:t xml:space="preserve"> v nefinančních podnicích</w:t>
      </w:r>
    </w:p>
    <w:p w14:paraId="3639FF32" w14:textId="77777777" w:rsidR="00B608FE" w:rsidRPr="00E13B88" w:rsidRDefault="00B608FE" w:rsidP="00B608FE">
      <w:pPr>
        <w:spacing w:after="0"/>
        <w:ind w:left="851" w:hanging="851"/>
        <w:rPr>
          <w:rFonts w:cs="Arial"/>
        </w:rPr>
      </w:pPr>
      <w:r w:rsidRPr="00E13B88">
        <w:rPr>
          <w:rFonts w:cs="Arial"/>
        </w:rPr>
        <w:t>Tab. 7: Základní ukazatele dočasné pracovní neschopnosti</w:t>
      </w:r>
    </w:p>
    <w:p w14:paraId="69FFF0E3" w14:textId="77777777" w:rsidR="00B608FE" w:rsidRPr="00E13B88" w:rsidRDefault="00B608FE" w:rsidP="00B608FE">
      <w:pPr>
        <w:spacing w:after="0"/>
        <w:ind w:left="851" w:hanging="851"/>
        <w:rPr>
          <w:rFonts w:cs="Arial"/>
        </w:rPr>
      </w:pPr>
      <w:r w:rsidRPr="00E13B88">
        <w:rPr>
          <w:rFonts w:cs="Arial"/>
        </w:rPr>
        <w:t>Tab. 7.1: Počet nemocensky pojištěných</w:t>
      </w:r>
    </w:p>
    <w:p w14:paraId="1AC9187F" w14:textId="77777777" w:rsidR="00B608FE" w:rsidRPr="00E13B88" w:rsidRDefault="00B608FE" w:rsidP="00B608FE">
      <w:pPr>
        <w:spacing w:after="0"/>
        <w:ind w:left="851" w:hanging="851"/>
        <w:rPr>
          <w:rFonts w:cs="Arial"/>
        </w:rPr>
      </w:pPr>
      <w:r w:rsidRPr="00E13B88">
        <w:rPr>
          <w:rFonts w:cs="Arial"/>
        </w:rPr>
        <w:t>Tab. 7.2: Počet nově hlášených případů dočasné pracovní neschopnosti</w:t>
      </w:r>
    </w:p>
    <w:p w14:paraId="2FBD866C" w14:textId="77777777" w:rsidR="00B608FE" w:rsidRPr="00E13B88" w:rsidRDefault="00B608FE" w:rsidP="00B608FE">
      <w:pPr>
        <w:spacing w:after="0"/>
        <w:ind w:left="851" w:hanging="851"/>
        <w:rPr>
          <w:rFonts w:cs="Arial"/>
        </w:rPr>
      </w:pPr>
      <w:r w:rsidRPr="00E13B88">
        <w:rPr>
          <w:rFonts w:cs="Arial"/>
        </w:rPr>
        <w:t>Tab. 7.3: Počet kalendářních dnů dočasné pracovní neschopnosti</w:t>
      </w:r>
    </w:p>
    <w:p w14:paraId="14DA9F40" w14:textId="77777777" w:rsidR="00B608FE" w:rsidRPr="00E13B88" w:rsidRDefault="00B608FE" w:rsidP="00B608FE">
      <w:pPr>
        <w:spacing w:after="0"/>
        <w:ind w:left="851" w:hanging="851"/>
        <w:rPr>
          <w:rFonts w:cs="Arial"/>
        </w:rPr>
      </w:pPr>
      <w:r w:rsidRPr="00E13B88">
        <w:rPr>
          <w:rFonts w:cs="Arial"/>
        </w:rPr>
        <w:lastRenderedPageBreak/>
        <w:t>Tab. 7.4: Počet nově hlášených případů dočasné pracovní neschopnosti na 100 pojištěnců</w:t>
      </w:r>
    </w:p>
    <w:p w14:paraId="221C0EB4" w14:textId="77777777" w:rsidR="00B608FE" w:rsidRPr="00E13B88" w:rsidRDefault="00B608FE" w:rsidP="00B608FE">
      <w:pPr>
        <w:spacing w:after="0"/>
        <w:ind w:left="851" w:hanging="851"/>
        <w:rPr>
          <w:rFonts w:cs="Arial"/>
        </w:rPr>
      </w:pPr>
      <w:r w:rsidRPr="00E13B88">
        <w:rPr>
          <w:rFonts w:cs="Arial"/>
        </w:rPr>
        <w:t>Tab. 7.5: Průměrné procento dočasné pracovní neschopnosti</w:t>
      </w:r>
    </w:p>
    <w:p w14:paraId="296CC890" w14:textId="77777777" w:rsidR="00B608FE" w:rsidRPr="00E13B88" w:rsidRDefault="00B608FE" w:rsidP="00B608FE">
      <w:pPr>
        <w:spacing w:after="0"/>
        <w:ind w:left="851" w:hanging="851"/>
        <w:rPr>
          <w:rFonts w:cs="Arial"/>
        </w:rPr>
      </w:pPr>
      <w:r w:rsidRPr="00E13B88">
        <w:rPr>
          <w:rFonts w:cs="Arial"/>
        </w:rPr>
        <w:t>Tab. 7.6: Počet kalendářních dnů dočasné pracovní neschopnosti na 1 nově hlášený případ</w:t>
      </w:r>
    </w:p>
    <w:p w14:paraId="4D57067E" w14:textId="77777777" w:rsidR="00B608FE" w:rsidRPr="00E13B88" w:rsidRDefault="00B608FE" w:rsidP="00B608FE">
      <w:pPr>
        <w:spacing w:after="120"/>
        <w:ind w:left="851" w:hanging="851"/>
        <w:rPr>
          <w:rFonts w:cs="Arial"/>
        </w:rPr>
      </w:pPr>
      <w:r w:rsidRPr="00E13B88">
        <w:rPr>
          <w:rFonts w:cs="Arial"/>
        </w:rPr>
        <w:t>Tab. 7.7: Průměrný denní stav dočasně práce neschopných</w:t>
      </w:r>
    </w:p>
    <w:p w14:paraId="1EA0E2DF" w14:textId="77777777" w:rsidR="00B608FE" w:rsidRPr="00E13B88" w:rsidRDefault="00B608FE" w:rsidP="00B608FE">
      <w:pPr>
        <w:spacing w:after="60"/>
        <w:ind w:left="851" w:hanging="851"/>
        <w:rPr>
          <w:rStyle w:val="Siln"/>
          <w:rFonts w:eastAsia="MS Gothic" w:cs="Arial"/>
        </w:rPr>
      </w:pPr>
      <w:r w:rsidRPr="00E13B88">
        <w:rPr>
          <w:rStyle w:val="Siln"/>
          <w:rFonts w:eastAsia="MS Gothic" w:cs="Arial"/>
        </w:rPr>
        <w:t>Pracovní neschopnost pro nemoc a úraz ve zpracovatelském průmyslu</w:t>
      </w:r>
    </w:p>
    <w:p w14:paraId="1D2C4959" w14:textId="77777777" w:rsidR="00B608FE" w:rsidRPr="00E13B88" w:rsidRDefault="00B608FE" w:rsidP="00B608FE">
      <w:pPr>
        <w:spacing w:after="0"/>
        <w:ind w:left="851" w:hanging="851"/>
        <w:rPr>
          <w:rFonts w:cs="Arial"/>
        </w:rPr>
      </w:pPr>
      <w:r w:rsidRPr="00E13B88">
        <w:rPr>
          <w:rFonts w:cs="Arial"/>
        </w:rPr>
        <w:t>Tab. 8: Základní ukazatele dočasné pracovní neschopnosti</w:t>
      </w:r>
    </w:p>
    <w:p w14:paraId="4706A7FC" w14:textId="77777777" w:rsidR="00B608FE" w:rsidRPr="00E13B88" w:rsidRDefault="00B608FE" w:rsidP="00B608FE">
      <w:pPr>
        <w:spacing w:after="0"/>
        <w:ind w:left="851" w:hanging="851"/>
        <w:rPr>
          <w:rFonts w:cs="Arial"/>
        </w:rPr>
      </w:pPr>
      <w:r w:rsidRPr="00E13B88">
        <w:rPr>
          <w:rFonts w:cs="Arial"/>
        </w:rPr>
        <w:t>Tab. 8.1: Počet nemocensky pojištěných</w:t>
      </w:r>
    </w:p>
    <w:p w14:paraId="6567416A" w14:textId="77777777" w:rsidR="00B608FE" w:rsidRPr="00E13B88" w:rsidRDefault="00B608FE" w:rsidP="00B608FE">
      <w:pPr>
        <w:spacing w:after="0"/>
        <w:ind w:left="851" w:hanging="851"/>
        <w:rPr>
          <w:rFonts w:cs="Arial"/>
        </w:rPr>
      </w:pPr>
      <w:r w:rsidRPr="00E13B88">
        <w:rPr>
          <w:rFonts w:cs="Arial"/>
        </w:rPr>
        <w:t>Tab. 8.2: Počet nově hlášených případů dočasné pracovní neschopnosti</w:t>
      </w:r>
    </w:p>
    <w:p w14:paraId="45457BAA" w14:textId="77777777" w:rsidR="00B608FE" w:rsidRPr="00E13B88" w:rsidRDefault="00B608FE" w:rsidP="00B608FE">
      <w:pPr>
        <w:spacing w:after="0"/>
        <w:ind w:left="851" w:hanging="851"/>
        <w:rPr>
          <w:rFonts w:cs="Arial"/>
        </w:rPr>
      </w:pPr>
      <w:r w:rsidRPr="00E13B88">
        <w:rPr>
          <w:rFonts w:cs="Arial"/>
        </w:rPr>
        <w:t>Tab. 8.3: Počet kalendářních dnů dočasné pracovní neschopnosti</w:t>
      </w:r>
    </w:p>
    <w:p w14:paraId="15A601C7" w14:textId="77777777" w:rsidR="00B608FE" w:rsidRPr="00E13B88" w:rsidRDefault="00B608FE" w:rsidP="00B608FE">
      <w:pPr>
        <w:spacing w:after="0"/>
        <w:ind w:left="851" w:hanging="851"/>
        <w:rPr>
          <w:rFonts w:cs="Arial"/>
        </w:rPr>
      </w:pPr>
      <w:r w:rsidRPr="00E13B88">
        <w:rPr>
          <w:rFonts w:cs="Arial"/>
        </w:rPr>
        <w:t>Tab. 8.4: Počet nově hlášených případů dočasné pracovní neschopnosti na 100 pojištěnců</w:t>
      </w:r>
    </w:p>
    <w:p w14:paraId="1C9EDAAE" w14:textId="77777777" w:rsidR="00B608FE" w:rsidRPr="00E13B88" w:rsidRDefault="00B608FE" w:rsidP="00B608FE">
      <w:pPr>
        <w:spacing w:after="0"/>
        <w:ind w:left="851" w:hanging="851"/>
        <w:rPr>
          <w:rFonts w:cs="Arial"/>
        </w:rPr>
      </w:pPr>
      <w:r w:rsidRPr="00E13B88">
        <w:rPr>
          <w:rFonts w:cs="Arial"/>
        </w:rPr>
        <w:t>Tab. 8.5: Průměrné procento dočasné pracovní neschopnosti</w:t>
      </w:r>
    </w:p>
    <w:p w14:paraId="1537FF35" w14:textId="77777777" w:rsidR="00B608FE" w:rsidRPr="00E13B88" w:rsidRDefault="00B608FE" w:rsidP="00B608FE">
      <w:pPr>
        <w:spacing w:after="0"/>
        <w:ind w:left="851" w:hanging="851"/>
        <w:rPr>
          <w:rFonts w:cs="Arial"/>
        </w:rPr>
      </w:pPr>
      <w:r w:rsidRPr="00E13B88">
        <w:rPr>
          <w:rFonts w:cs="Arial"/>
        </w:rPr>
        <w:t>Tab. 8.6: Počet kalendářních dnů dočasné pracovní neschopnosti na 1 nově hlášený případ</w:t>
      </w:r>
    </w:p>
    <w:p w14:paraId="20465E5C" w14:textId="77777777" w:rsidR="00B608FE" w:rsidRPr="00342B28" w:rsidRDefault="00B608FE" w:rsidP="004D0233">
      <w:pPr>
        <w:spacing w:after="0"/>
        <w:ind w:left="851" w:hanging="851"/>
      </w:pPr>
      <w:r w:rsidRPr="00E13B88">
        <w:rPr>
          <w:rFonts w:cs="Arial"/>
        </w:rPr>
        <w:t>Tab. 8.7: Průměrný denní stav dočasně práce neschopných</w:t>
      </w:r>
    </w:p>
    <w:sectPr w:rsidR="00B608FE" w:rsidRPr="00342B28" w:rsidSect="006F5416">
      <w:headerReference w:type="even" r:id="rId43"/>
      <w:headerReference w:type="default" r:id="rId44"/>
      <w:footerReference w:type="even" r:id="rId45"/>
      <w:footerReference w:type="default" r:id="rId46"/>
      <w:pgSz w:w="11906" w:h="16838" w:code="9"/>
      <w:pgMar w:top="1134" w:right="1134" w:bottom="1418" w:left="1134" w:header="680" w:footer="680"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FAEF52" w16cex:dateUtc="2022-10-19T19:49:00Z"/>
  <w16cex:commentExtensible w16cex:durableId="26FAF0B6" w16cex:dateUtc="2022-10-19T19:55:00Z"/>
  <w16cex:commentExtensible w16cex:durableId="26FAF3AF" w16cex:dateUtc="2022-10-19T20:07:00Z"/>
  <w16cex:commentExtensible w16cex:durableId="26FAF347" w16cex:dateUtc="2022-10-19T20:05:00Z"/>
  <w16cex:commentExtensible w16cex:durableId="26FAF659" w16cex:dateUtc="2022-10-19T20:19:00Z"/>
  <w16cex:commentExtensible w16cex:durableId="26FBD402" w16cex:dateUtc="2022-10-20T12:04:00Z"/>
  <w16cex:commentExtensible w16cex:durableId="26FBD5BB" w16cex:dateUtc="2022-10-20T12:12:00Z"/>
  <w16cex:commentExtensible w16cex:durableId="26FBD7A4" w16cex:dateUtc="2022-10-20T12:20:00Z"/>
  <w16cex:commentExtensible w16cex:durableId="26FBDB69" w16cex:dateUtc="2022-10-20T12:36:00Z"/>
  <w16cex:commentExtensible w16cex:durableId="26FC423D" w16cex:dateUtc="2022-10-20T19:55:00Z"/>
  <w16cex:commentExtensible w16cex:durableId="26FC4607" w16cex:dateUtc="2022-10-20T20:11:00Z"/>
  <w16cex:commentExtensible w16cex:durableId="26FC44D0" w16cex:dateUtc="2022-10-20T20:06:00Z"/>
  <w16cex:commentExtensible w16cex:durableId="26FC48AE" w16cex:dateUtc="2022-10-20T20:22:00Z"/>
  <w16cex:commentExtensible w16cex:durableId="26FC4D80" w16cex:dateUtc="2022-10-20T20:43:00Z"/>
  <w16cex:commentExtensible w16cex:durableId="26FCF92B" w16cex:dateUtc="2022-10-21T08:55:00Z"/>
  <w16cex:commentExtensible w16cex:durableId="26FCFC17" w16cex:dateUtc="2022-10-21T09:08:00Z"/>
  <w16cex:commentExtensible w16cex:durableId="26FCFD47" w16cex:dateUtc="2022-10-21T09:13:00Z"/>
  <w16cex:commentExtensible w16cex:durableId="26FD004D" w16cex:dateUtc="2022-10-21T09:26:00Z"/>
  <w16cex:commentExtensible w16cex:durableId="26FD0228" w16cex:dateUtc="2022-10-21T09:34:00Z"/>
  <w16cex:commentExtensible w16cex:durableId="26FD2188" w16cex:dateUtc="2022-10-21T11:47:00Z"/>
  <w16cex:commentExtensible w16cex:durableId="26FD239E" w16cex:dateUtc="2022-10-21T11:56:00Z"/>
  <w16cex:commentExtensible w16cex:durableId="26FD2538" w16cex:dateUtc="2022-10-21T12:03:00Z"/>
  <w16cex:commentExtensible w16cex:durableId="26FD2E3E" w16cex:dateUtc="2022-10-21T12:42:00Z"/>
  <w16cex:commentExtensible w16cex:durableId="26FD34E3" w16cex:dateUtc="2022-10-21T13:10:00Z"/>
  <w16cex:commentExtensible w16cex:durableId="26FD3B9C" w16cex:dateUtc="2022-10-21T13:3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8E3B9BD" w16cid:durableId="26FAEF52"/>
  <w16cid:commentId w16cid:paraId="4D7FD5E9" w16cid:durableId="26FAF0B6"/>
  <w16cid:commentId w16cid:paraId="32EFC6FA" w16cid:durableId="26FAF3AF"/>
  <w16cid:commentId w16cid:paraId="5E0AA3BC" w16cid:durableId="26FAF347"/>
  <w16cid:commentId w16cid:paraId="141BABA6" w16cid:durableId="26FAEDF5"/>
  <w16cid:commentId w16cid:paraId="2607DB3C" w16cid:durableId="26FAF659"/>
  <w16cid:commentId w16cid:paraId="5DF01EEB" w16cid:durableId="26FAEDF6"/>
  <w16cid:commentId w16cid:paraId="41757EE0" w16cid:durableId="26FBD402"/>
  <w16cid:commentId w16cid:paraId="49E18577" w16cid:durableId="26FBD5BB"/>
  <w16cid:commentId w16cid:paraId="3C495BB2" w16cid:durableId="26FBD7A4"/>
  <w16cid:commentId w16cid:paraId="45BE8E69" w16cid:durableId="26FBDB69"/>
  <w16cid:commentId w16cid:paraId="7E0D23BD" w16cid:durableId="26FC423D"/>
  <w16cid:commentId w16cid:paraId="0E368DB9" w16cid:durableId="26FAEDF7"/>
  <w16cid:commentId w16cid:paraId="6CDD9969" w16cid:durableId="26FC4607"/>
  <w16cid:commentId w16cid:paraId="2B050F58" w16cid:durableId="26FC44D0"/>
  <w16cid:commentId w16cid:paraId="1FE2A1AF" w16cid:durableId="26FAEDF8"/>
  <w16cid:commentId w16cid:paraId="09020B69" w16cid:durableId="26FC48AE"/>
  <w16cid:commentId w16cid:paraId="3C4B51C1" w16cid:durableId="26FAEDF9"/>
  <w16cid:commentId w16cid:paraId="244D602C" w16cid:durableId="26FC4D80"/>
  <w16cid:commentId w16cid:paraId="56546AB3" w16cid:durableId="26FCF92B"/>
  <w16cid:commentId w16cid:paraId="48A11A76" w16cid:durableId="26FCFC17"/>
  <w16cid:commentId w16cid:paraId="155D126F" w16cid:durableId="26FCFD47"/>
  <w16cid:commentId w16cid:paraId="66EAC5A0" w16cid:durableId="26FAEDFA"/>
  <w16cid:commentId w16cid:paraId="52B286E3" w16cid:durableId="26FD004D"/>
  <w16cid:commentId w16cid:paraId="2C62D080" w16cid:durableId="26FAEDFB"/>
  <w16cid:commentId w16cid:paraId="3115493D" w16cid:durableId="26FD0228"/>
  <w16cid:commentId w16cid:paraId="64D61055" w16cid:durableId="26FAEDFC"/>
  <w16cid:commentId w16cid:paraId="3DCD3AAC" w16cid:durableId="26FD2188"/>
  <w16cid:commentId w16cid:paraId="2ED2DB03" w16cid:durableId="26FD239E"/>
  <w16cid:commentId w16cid:paraId="2679CF1F" w16cid:durableId="26FD2538"/>
  <w16cid:commentId w16cid:paraId="73E3DEEE" w16cid:durableId="26FD2E3E"/>
  <w16cid:commentId w16cid:paraId="57E5E88B" w16cid:durableId="26FAEDFD"/>
  <w16cid:commentId w16cid:paraId="7B41BFEF" w16cid:durableId="26FD34E3"/>
  <w16cid:commentId w16cid:paraId="29128940" w16cid:durableId="26FD3B9C"/>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7A3CDD3" w14:textId="77777777" w:rsidR="00930F05" w:rsidRDefault="00930F05" w:rsidP="00E71A58">
      <w:r>
        <w:separator/>
      </w:r>
    </w:p>
  </w:endnote>
  <w:endnote w:type="continuationSeparator" w:id="0">
    <w:p w14:paraId="480BBDEA" w14:textId="77777777" w:rsidR="00930F05" w:rsidRDefault="00930F05" w:rsidP="00E71A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Minion Pro">
    <w:charset w:val="00"/>
    <w:family w:val="auto"/>
    <w:pitch w:val="variable"/>
    <w:sig w:usb0="60000287" w:usb1="00000001" w:usb2="00000000" w:usb3="00000000" w:csb0="0000019F" w:csb1="00000000"/>
  </w:font>
  <w:font w:name="MS Mincho">
    <w:altName w:val="Yu Gothic UI"/>
    <w:panose1 w:val="02020609040205080304"/>
    <w:charset w:val="80"/>
    <w:family w:val="roman"/>
    <w:notTrueType/>
    <w:pitch w:val="fixed"/>
    <w:sig w:usb0="00000001" w:usb1="08070000" w:usb2="00000010" w:usb3="00000000" w:csb0="00020000" w:csb1="00000000"/>
  </w:font>
  <w:font w:name="Arial CE">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A58D08" w14:textId="7EA4BCB4" w:rsidR="00790B93" w:rsidRPr="00932443" w:rsidRDefault="00790B93" w:rsidP="00A418BC">
    <w:pPr>
      <w:pStyle w:val="Zpat"/>
      <w:rPr>
        <w:szCs w:val="16"/>
      </w:rPr>
    </w:pPr>
    <w:r>
      <w:rPr>
        <w:szCs w:val="16"/>
        <w:lang w:eastAsia="cs-CZ"/>
      </w:rPr>
      <w:drawing>
        <wp:anchor distT="0" distB="0" distL="114300" distR="114300" simplePos="0" relativeHeight="251658240" behindDoc="0" locked="0" layoutInCell="1" allowOverlap="1" wp14:anchorId="0EEF2B1A" wp14:editId="08552C16">
          <wp:simplePos x="0" y="0"/>
          <wp:positionH relativeFrom="column">
            <wp:align>right</wp:align>
          </wp:positionH>
          <wp:positionV relativeFrom="paragraph">
            <wp:posOffset>-64770</wp:posOffset>
          </wp:positionV>
          <wp:extent cx="428625" cy="201295"/>
          <wp:effectExtent l="0" t="0" r="3175" b="1905"/>
          <wp:wrapNone/>
          <wp:docPr id="11" name="Picture 11" descr="CSU RGB CZ logo-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SU RGB CZ logo-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2012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32443">
      <w:rPr>
        <w:szCs w:val="16"/>
      </w:rPr>
      <w:fldChar w:fldCharType="begin"/>
    </w:r>
    <w:r w:rsidRPr="00932443">
      <w:rPr>
        <w:szCs w:val="16"/>
      </w:rPr>
      <w:instrText>PAGE   \* MERGEFORMAT</w:instrText>
    </w:r>
    <w:r w:rsidRPr="00932443">
      <w:rPr>
        <w:szCs w:val="16"/>
      </w:rPr>
      <w:fldChar w:fldCharType="separate"/>
    </w:r>
    <w:r w:rsidR="00F13B38">
      <w:rPr>
        <w:szCs w:val="16"/>
      </w:rPr>
      <w:t>20</w:t>
    </w:r>
    <w:r w:rsidRPr="00932443">
      <w:rPr>
        <w:szCs w:val="16"/>
      </w:rPr>
      <w:fldChar w:fldCharType="end"/>
    </w:r>
    <w:r w:rsidRPr="00932443">
      <w:rPr>
        <w:szCs w:val="16"/>
      </w:rPr>
      <w:tab/>
    </w:r>
    <w:r>
      <w:rPr>
        <w:szCs w:val="16"/>
      </w:rPr>
      <w:t>1. pol. 2022</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D0DF3B" w14:textId="3A7D817C" w:rsidR="00790B93" w:rsidRPr="00932443" w:rsidRDefault="00790B93" w:rsidP="00A418BC">
    <w:pPr>
      <w:pStyle w:val="Zpat"/>
      <w:rPr>
        <w:szCs w:val="16"/>
      </w:rPr>
    </w:pPr>
    <w:r>
      <w:rPr>
        <w:szCs w:val="16"/>
        <w:lang w:eastAsia="cs-CZ"/>
      </w:rPr>
      <w:drawing>
        <wp:anchor distT="0" distB="0" distL="114300" distR="114300" simplePos="0" relativeHeight="251657216" behindDoc="0" locked="0" layoutInCell="1" allowOverlap="1" wp14:anchorId="4688FED7" wp14:editId="10A55673">
          <wp:simplePos x="0" y="0"/>
          <wp:positionH relativeFrom="column">
            <wp:align>left</wp:align>
          </wp:positionH>
          <wp:positionV relativeFrom="paragraph">
            <wp:posOffset>-122555</wp:posOffset>
          </wp:positionV>
          <wp:extent cx="510540" cy="272415"/>
          <wp:effectExtent l="0" t="0" r="0" b="6985"/>
          <wp:wrapNone/>
          <wp:docPr id="10" name="Picture 10" descr="CSU RGB CZ logo-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SU RGB CZ logo-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10540" cy="2724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32443">
      <w:rPr>
        <w:szCs w:val="16"/>
      </w:rPr>
      <w:tab/>
    </w:r>
    <w:r>
      <w:rPr>
        <w:szCs w:val="16"/>
      </w:rPr>
      <w:t xml:space="preserve">1. pol. </w:t>
    </w:r>
    <w:r>
      <w:rPr>
        <w:rStyle w:val="ZpatChar"/>
        <w:szCs w:val="16"/>
      </w:rPr>
      <w:t>2022</w:t>
    </w:r>
    <w:r w:rsidRPr="00932443">
      <w:rPr>
        <w:szCs w:val="16"/>
      </w:rPr>
      <w:tab/>
    </w:r>
    <w:r w:rsidRPr="00932443">
      <w:rPr>
        <w:rStyle w:val="ZpatChar"/>
        <w:szCs w:val="16"/>
      </w:rPr>
      <w:fldChar w:fldCharType="begin"/>
    </w:r>
    <w:r w:rsidRPr="00932443">
      <w:rPr>
        <w:rStyle w:val="ZpatChar"/>
        <w:szCs w:val="16"/>
      </w:rPr>
      <w:instrText>PAGE   \* MERGEFORMAT</w:instrText>
    </w:r>
    <w:r w:rsidRPr="00932443">
      <w:rPr>
        <w:rStyle w:val="ZpatChar"/>
        <w:szCs w:val="16"/>
      </w:rPr>
      <w:fldChar w:fldCharType="separate"/>
    </w:r>
    <w:r w:rsidR="00F13B38">
      <w:rPr>
        <w:rStyle w:val="ZpatChar"/>
        <w:szCs w:val="16"/>
      </w:rPr>
      <w:t>21</w:t>
    </w:r>
    <w:r w:rsidRPr="00932443">
      <w:rPr>
        <w:rStyle w:val="ZpatChar"/>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E324973" w14:textId="77777777" w:rsidR="00930F05" w:rsidRDefault="00930F05" w:rsidP="00E71A58">
      <w:r>
        <w:separator/>
      </w:r>
    </w:p>
  </w:footnote>
  <w:footnote w:type="continuationSeparator" w:id="0">
    <w:p w14:paraId="7974F6D3" w14:textId="77777777" w:rsidR="00930F05" w:rsidRDefault="00930F05" w:rsidP="00E71A58">
      <w:r>
        <w:continuationSeparator/>
      </w:r>
    </w:p>
  </w:footnote>
  <w:footnote w:id="1">
    <w:p w14:paraId="113A94D3" w14:textId="413DCA65" w:rsidR="00790B93" w:rsidRPr="00B40FC2" w:rsidRDefault="00790B93" w:rsidP="007241C5">
      <w:pPr>
        <w:pStyle w:val="Textpoznpodarou"/>
        <w:spacing w:line="240" w:lineRule="auto"/>
        <w:jc w:val="both"/>
        <w:rPr>
          <w:sz w:val="16"/>
          <w:szCs w:val="16"/>
        </w:rPr>
      </w:pPr>
      <w:r w:rsidRPr="00FB50FB">
        <w:rPr>
          <w:rStyle w:val="Znakapoznpodarou"/>
          <w:sz w:val="16"/>
        </w:rPr>
        <w:footnoteRef/>
      </w:r>
      <w:r w:rsidRPr="00FB50FB">
        <w:rPr>
          <w:sz w:val="16"/>
        </w:rPr>
        <w:t xml:space="preserve"> </w:t>
      </w:r>
      <w:r w:rsidRPr="00A2673E">
        <w:rPr>
          <w:sz w:val="16"/>
          <w:szCs w:val="16"/>
        </w:rPr>
        <w:t xml:space="preserve">Publikaci s daty za </w:t>
      </w:r>
      <w:r>
        <w:rPr>
          <w:sz w:val="16"/>
          <w:szCs w:val="16"/>
        </w:rPr>
        <w:t>rok</w:t>
      </w:r>
      <w:r w:rsidRPr="00A2673E">
        <w:rPr>
          <w:sz w:val="16"/>
          <w:szCs w:val="16"/>
        </w:rPr>
        <w:t xml:space="preserve"> 20</w:t>
      </w:r>
      <w:r>
        <w:rPr>
          <w:sz w:val="16"/>
          <w:szCs w:val="16"/>
        </w:rPr>
        <w:t>21</w:t>
      </w:r>
      <w:r w:rsidRPr="00A2673E">
        <w:rPr>
          <w:sz w:val="16"/>
          <w:szCs w:val="16"/>
        </w:rPr>
        <w:t xml:space="preserve"> lze nalézt na</w:t>
      </w:r>
      <w:r>
        <w:rPr>
          <w:sz w:val="16"/>
          <w:szCs w:val="16"/>
        </w:rPr>
        <w:t>:</w:t>
      </w:r>
      <w:r w:rsidRPr="00A2673E">
        <w:rPr>
          <w:sz w:val="16"/>
          <w:szCs w:val="16"/>
        </w:rPr>
        <w:t xml:space="preserve"> </w:t>
      </w:r>
      <w:hyperlink r:id="rId1" w:history="1">
        <w:r w:rsidRPr="00DC4882">
          <w:rPr>
            <w:rStyle w:val="Hypertextovodkaz"/>
            <w:sz w:val="16"/>
            <w:szCs w:val="16"/>
          </w:rPr>
          <w:t>https://www.czso.cz/</w:t>
        </w:r>
        <w:r w:rsidRPr="00DC4882">
          <w:rPr>
            <w:rStyle w:val="Hypertextovodkaz"/>
            <w:sz w:val="16"/>
            <w:szCs w:val="16"/>
          </w:rPr>
          <w:t>c</w:t>
        </w:r>
        <w:r w:rsidRPr="00DC4882">
          <w:rPr>
            <w:rStyle w:val="Hypertextovodkaz"/>
            <w:sz w:val="16"/>
            <w:szCs w:val="16"/>
          </w:rPr>
          <w:t>su/czso/pracovni-neschopnost-pro-nemoc-a-uraz-v-ceske-republice-rok-2021</w:t>
        </w:r>
      </w:hyperlink>
    </w:p>
  </w:footnote>
  <w:footnote w:id="2">
    <w:p w14:paraId="0E883BCB" w14:textId="77777777" w:rsidR="00790B93" w:rsidRDefault="00790B93" w:rsidP="00FB50FB">
      <w:pPr>
        <w:pStyle w:val="Textpoznpodarou"/>
        <w:jc w:val="both"/>
      </w:pPr>
      <w:r w:rsidRPr="00FB50FB">
        <w:rPr>
          <w:rStyle w:val="Znakapoznpodarou"/>
          <w:sz w:val="16"/>
        </w:rPr>
        <w:footnoteRef/>
      </w:r>
      <w:r w:rsidRPr="0002739E">
        <w:rPr>
          <w:sz w:val="16"/>
        </w:rPr>
        <w:t xml:space="preserve"> eNeschopenka byla přijata zákony č. 259/2017 Sb. a č. 164/2019 Sb. Více o vystavování elektronických neschopenek na </w:t>
      </w:r>
      <w:hyperlink r:id="rId2" w:history="1">
        <w:r w:rsidRPr="0002739E">
          <w:rPr>
            <w:rStyle w:val="Hypertextovodkaz"/>
            <w:sz w:val="16"/>
          </w:rPr>
          <w:t>https://www.cssz.cz/web</w:t>
        </w:r>
        <w:r w:rsidRPr="0002739E">
          <w:rPr>
            <w:rStyle w:val="Hypertextovodkaz"/>
            <w:sz w:val="16"/>
          </w:rPr>
          <w:t>/</w:t>
        </w:r>
        <w:r w:rsidRPr="0002739E">
          <w:rPr>
            <w:rStyle w:val="Hypertextovodkaz"/>
            <w:sz w:val="16"/>
          </w:rPr>
          <w:t>eneschopenka/</w:t>
        </w:r>
      </w:hyperlink>
      <w:r w:rsidRPr="0002739E">
        <w:rPr>
          <w:sz w:val="16"/>
        </w:rPr>
        <w:t>.</w:t>
      </w:r>
    </w:p>
  </w:footnote>
  <w:footnote w:id="3">
    <w:p w14:paraId="354ACF51" w14:textId="06660D49" w:rsidR="00790B93" w:rsidRDefault="00790B93">
      <w:pPr>
        <w:pStyle w:val="Textpoznpodarou"/>
      </w:pPr>
      <w:r>
        <w:rPr>
          <w:rStyle w:val="Znakapoznpodarou"/>
        </w:rPr>
        <w:footnoteRef/>
      </w:r>
      <w:r w:rsidRPr="00F623AA">
        <w:rPr>
          <w:sz w:val="16"/>
          <w:szCs w:val="16"/>
        </w:rPr>
        <w:t xml:space="preserve"> Z důvodu změny metodiky a odlišného sběru a zpracování dat nejsou data od roku 2012 plně srovnatelná s údaji za předchozí období</w:t>
      </w:r>
      <w:r>
        <w:rPr>
          <w:sz w:val="16"/>
          <w:szCs w:val="16"/>
        </w:rPr>
        <w:t>, které jsou uvedené ve starších publikacích</w:t>
      </w:r>
      <w:r w:rsidRPr="00F623AA">
        <w:rPr>
          <w:sz w:val="16"/>
          <w:szCs w:val="16"/>
        </w:rPr>
        <w:t>.</w:t>
      </w:r>
    </w:p>
  </w:footnote>
  <w:footnote w:id="4">
    <w:p w14:paraId="1B6A8FCC" w14:textId="015DF64B" w:rsidR="00790B93" w:rsidRDefault="00790B93" w:rsidP="00370BD6">
      <w:pPr>
        <w:pStyle w:val="Textpoznpodarou"/>
        <w:spacing w:after="60"/>
        <w:jc w:val="both"/>
      </w:pPr>
      <w:r w:rsidRPr="002E2281">
        <w:rPr>
          <w:rStyle w:val="Znakapoznpodarou"/>
          <w:sz w:val="16"/>
        </w:rPr>
        <w:footnoteRef/>
      </w:r>
      <w:r w:rsidRPr="002E2281">
        <w:rPr>
          <w:sz w:val="16"/>
        </w:rPr>
        <w:t xml:space="preserve"> </w:t>
      </w:r>
      <w:r w:rsidRPr="007F4035">
        <w:rPr>
          <w:sz w:val="16"/>
        </w:rPr>
        <w:t>Elektronické zpracování přineslo zjednodušení v předávání informací mezi nemocnými (pojištěnci v dočasné pracovní neschopnosti), ČSSZ, lékaři a zaměstnavateli. Zásadně se tak zjednodušil tok informací, protože eNeschopenka propojila povinně elektronicky tři dotčené subjekty</w:t>
      </w:r>
      <w:r>
        <w:rPr>
          <w:sz w:val="16"/>
        </w:rPr>
        <w:t>:</w:t>
      </w:r>
      <w:r w:rsidRPr="007F4035">
        <w:rPr>
          <w:sz w:val="16"/>
        </w:rPr>
        <w:t xml:space="preserve"> lékaře, zaměstnavatele a ČSSZ.</w:t>
      </w:r>
      <w:r w:rsidRPr="002E2281">
        <w:rPr>
          <w:sz w:val="16"/>
        </w:rPr>
        <w:t xml:space="preserve"> Zaměstnavatelé díky systému eNeschopenka obdrží formou notifikací prakticky okamžitě informace o</w:t>
      </w:r>
      <w:r>
        <w:rPr>
          <w:sz w:val="16"/>
        </w:rPr>
        <w:t> </w:t>
      </w:r>
      <w:r w:rsidRPr="002E2281">
        <w:rPr>
          <w:sz w:val="16"/>
        </w:rPr>
        <w:t>pracovní neschopnosti svých zaměstnanců. Kromě notifikací mohou nahlížet i do ePortálu ČSSZ. Zatímco původní tiskopis měl 5 dílů, nová podoba neschopenky má pouze 3 díly. V případě technických problémů lékař použije papírový třídílný formulář, který obdrží na příslušné správě sociálního zabezpečení.</w:t>
      </w:r>
    </w:p>
  </w:footnote>
  <w:footnote w:id="5">
    <w:p w14:paraId="621B4FA9" w14:textId="77777777" w:rsidR="00790B93" w:rsidRDefault="00790B93" w:rsidP="00FF6E1B">
      <w:pPr>
        <w:pStyle w:val="Textpoznpodarou"/>
        <w:jc w:val="both"/>
      </w:pPr>
      <w:r w:rsidRPr="00A71AB2">
        <w:rPr>
          <w:rStyle w:val="Znakapoznpodarou"/>
          <w:sz w:val="16"/>
        </w:rPr>
        <w:footnoteRef/>
      </w:r>
      <w:r>
        <w:t xml:space="preserve"> </w:t>
      </w:r>
      <w:r w:rsidRPr="006D66F2">
        <w:rPr>
          <w:sz w:val="16"/>
        </w:rPr>
        <w:t xml:space="preserve">V údajích ČSSZ nejsou zahrnuti příslušníci </w:t>
      </w:r>
      <w:r w:rsidRPr="00FF6E1B">
        <w:rPr>
          <w:sz w:val="16"/>
        </w:rPr>
        <w:t>Policie ČR, Hasičského záchranného sboru ČR, Celní správy ČR, Vězeňské služby ČR, Generální inspekce bezpečnostních sborů, Bezpečnostní informační služby, Úřadu pro zahraniční styky a informace, vojáci z povolání,</w:t>
      </w:r>
      <w:r>
        <w:rPr>
          <w:rFonts w:cs="Arial"/>
          <w:sz w:val="16"/>
        </w:rPr>
        <w:t xml:space="preserve"> odsouzení ve výkonu trestu, kteří vykonávají práci ve výkonu trestu, a osoby obviněné vykonávající práci ve vazbě</w:t>
      </w:r>
      <w:r w:rsidRPr="006D66F2">
        <w:rPr>
          <w:rFonts w:cs="Arial"/>
          <w:sz w:val="16"/>
        </w:rPr>
        <w:t xml:space="preserve"> (§ 5 písm. a) bod</w:t>
      </w:r>
      <w:r>
        <w:rPr>
          <w:rFonts w:cs="Arial"/>
          <w:sz w:val="16"/>
        </w:rPr>
        <w:t>y</w:t>
      </w:r>
      <w:r w:rsidRPr="006D66F2">
        <w:rPr>
          <w:rFonts w:cs="Arial"/>
          <w:sz w:val="16"/>
        </w:rPr>
        <w:t xml:space="preserve"> 2</w:t>
      </w:r>
      <w:r>
        <w:rPr>
          <w:rFonts w:cs="Arial"/>
          <w:sz w:val="16"/>
        </w:rPr>
        <w:t> a 14</w:t>
      </w:r>
      <w:r w:rsidRPr="006D66F2">
        <w:rPr>
          <w:rFonts w:cs="Arial"/>
          <w:sz w:val="16"/>
        </w:rPr>
        <w:t xml:space="preserve"> zákona č.187/2006 Sb.). </w:t>
      </w:r>
      <w:r>
        <w:rPr>
          <w:rFonts w:cs="Arial"/>
          <w:sz w:val="16"/>
        </w:rPr>
        <w:t>Správcem registrů těchto příslušníků a odsouzených osob je služební orgán v oborech své působnosti. Služebními orgány jsou Ministerstvo obrany, Ministerstvo vnitra, Vězeňská služba ČR, Generální ředitelství cel, Generální inspekce bezpečnostních sborů, Bezpečnostní informační služba a Úřad pro zahraniční styky a informace.</w:t>
      </w:r>
    </w:p>
  </w:footnote>
  <w:footnote w:id="6">
    <w:p w14:paraId="4CCBFC55" w14:textId="77777777" w:rsidR="00790B93" w:rsidRDefault="00790B93" w:rsidP="00A71AB2">
      <w:pPr>
        <w:pStyle w:val="Textpoznpodarou"/>
      </w:pPr>
      <w:r>
        <w:rPr>
          <w:rStyle w:val="Znakapoznpodarou"/>
        </w:rPr>
        <w:footnoteRef/>
      </w:r>
      <w:r>
        <w:t xml:space="preserve"> </w:t>
      </w:r>
      <w:hyperlink r:id="rId3" w:history="1">
        <w:r w:rsidRPr="003A349C">
          <w:rPr>
            <w:rStyle w:val="Hypertextovodkaz"/>
            <w:rFonts w:cs="Arial"/>
            <w:sz w:val="16"/>
            <w:szCs w:val="22"/>
          </w:rPr>
          <w:t>https://www.czso.cz/csu/czso/klasifikace-instit</w:t>
        </w:r>
        <w:r w:rsidRPr="003A349C">
          <w:rPr>
            <w:rStyle w:val="Hypertextovodkaz"/>
            <w:rFonts w:cs="Arial"/>
            <w:sz w:val="16"/>
            <w:szCs w:val="22"/>
          </w:rPr>
          <w:t>u</w:t>
        </w:r>
        <w:r w:rsidRPr="003A349C">
          <w:rPr>
            <w:rStyle w:val="Hypertextovodkaz"/>
            <w:rFonts w:cs="Arial"/>
            <w:sz w:val="16"/>
            <w:szCs w:val="22"/>
          </w:rPr>
          <w:t>cionalnich-sektoru-a-subsektoru-cz-ciss</w:t>
        </w:r>
      </w:hyperlink>
    </w:p>
  </w:footnote>
  <w:footnote w:id="7">
    <w:p w14:paraId="0DC62EB0" w14:textId="449418E5" w:rsidR="00790B93" w:rsidRDefault="00790B93" w:rsidP="00F35E90">
      <w:pPr>
        <w:pStyle w:val="Textpoznpodarou"/>
        <w:jc w:val="both"/>
      </w:pPr>
      <w:r w:rsidRPr="000547B7">
        <w:rPr>
          <w:rStyle w:val="Znakapoznpodarou"/>
          <w:sz w:val="16"/>
        </w:rPr>
        <w:footnoteRef/>
      </w:r>
      <w:r w:rsidRPr="000547B7">
        <w:rPr>
          <w:sz w:val="16"/>
        </w:rPr>
        <w:t xml:space="preserve"> </w:t>
      </w:r>
      <w:r>
        <w:rPr>
          <w:sz w:val="16"/>
        </w:rPr>
        <w:t>N</w:t>
      </w:r>
      <w:r w:rsidRPr="000547B7">
        <w:rPr>
          <w:sz w:val="16"/>
        </w:rPr>
        <w:t>ezahrnuje vojáky z povolání, příslušníky Policie ČR, Hasičského záchranného sboru ČR, Celní správy ČR, Vězeňské služby ČR, Generální inspekce bezpečnostních sborů, Bezpečnostní informační služby a Úřadu pro zahraniční styky a informace.</w:t>
      </w:r>
      <w:r>
        <w:rPr>
          <w:sz w:val="16"/>
        </w:rPr>
        <w:t xml:space="preserve"> </w:t>
      </w:r>
      <w:r>
        <w:rPr>
          <w:rFonts w:cs="Arial"/>
          <w:sz w:val="16"/>
        </w:rPr>
        <w:t>Správcem registrů těchto příslušníků je služební orgán v oborech své působnosti.</w:t>
      </w:r>
    </w:p>
  </w:footnote>
  <w:footnote w:id="8">
    <w:p w14:paraId="25B81A76" w14:textId="333B5B41" w:rsidR="00790B93" w:rsidRDefault="00790B93">
      <w:pPr>
        <w:pStyle w:val="Textpoznpodarou"/>
      </w:pPr>
      <w:r w:rsidRPr="009F305A">
        <w:rPr>
          <w:rStyle w:val="Znakapoznpodarou"/>
          <w:sz w:val="16"/>
        </w:rPr>
        <w:footnoteRef/>
      </w:r>
      <w:r w:rsidRPr="009F305A">
        <w:rPr>
          <w:sz w:val="16"/>
        </w:rPr>
        <w:t xml:space="preserve"> </w:t>
      </w:r>
      <w:r>
        <w:rPr>
          <w:sz w:val="16"/>
        </w:rPr>
        <w:t>Kromě karantén do počtu neschopností patří také</w:t>
      </w:r>
      <w:r w:rsidRPr="009F305A">
        <w:rPr>
          <w:sz w:val="16"/>
        </w:rPr>
        <w:t xml:space="preserve"> izolace.</w:t>
      </w:r>
      <w:r>
        <w:rPr>
          <w:sz w:val="16"/>
        </w:rPr>
        <w:t xml:space="preserve"> Více informací viz kap. 4.4.1.</w:t>
      </w:r>
    </w:p>
  </w:footnote>
  <w:footnote w:id="9">
    <w:p w14:paraId="3B01F8B5" w14:textId="4C7E562D" w:rsidR="00473D4E" w:rsidRDefault="00473D4E" w:rsidP="00473D4E">
      <w:pPr>
        <w:pStyle w:val="Textpoznpodarou"/>
        <w:jc w:val="both"/>
      </w:pPr>
      <w:r w:rsidRPr="003E42A9">
        <w:rPr>
          <w:rStyle w:val="Znakapoznpodarou"/>
          <w:sz w:val="16"/>
        </w:rPr>
        <w:footnoteRef/>
      </w:r>
      <w:r w:rsidRPr="003E42A9">
        <w:rPr>
          <w:sz w:val="16"/>
        </w:rPr>
        <w:t xml:space="preserve"> </w:t>
      </w:r>
      <w:r w:rsidRPr="00C36BB1">
        <w:rPr>
          <w:sz w:val="16"/>
        </w:rPr>
        <w:t>V Jeseníku se nachází personální útvar Úřadu práce ČR pro osoby pobírající odměnu pěstouna. Profesionální pěstouni zpravidla na neschopenku nechodí, protože i po dobu pracovní neschopnosti musí pečovat o svěřené dítě. Jsou však zahrnuti do jmenovatele ukazatele průměrného procenta pracovní neschopnosti v rámci počtu pojištěnců v okrese. Nicméně novelou zákona č</w:t>
      </w:r>
      <w:r w:rsidRPr="00C75F07">
        <w:rPr>
          <w:sz w:val="16"/>
        </w:rPr>
        <w:t>. 359/1999 Sb., o</w:t>
      </w:r>
      <w:r w:rsidR="003E64F4">
        <w:rPr>
          <w:sz w:val="16"/>
        </w:rPr>
        <w:t> </w:t>
      </w:r>
      <w:r w:rsidRPr="00C75F07">
        <w:rPr>
          <w:sz w:val="16"/>
        </w:rPr>
        <w:t>sociálně-právní ochraně dětí, a souvisejících předpisů, účinnou od 1.</w:t>
      </w:r>
      <w:r>
        <w:rPr>
          <w:sz w:val="16"/>
        </w:rPr>
        <w:t xml:space="preserve"> </w:t>
      </w:r>
      <w:r w:rsidRPr="00C75F07">
        <w:rPr>
          <w:sz w:val="16"/>
        </w:rPr>
        <w:t>1.</w:t>
      </w:r>
      <w:r>
        <w:rPr>
          <w:sz w:val="16"/>
        </w:rPr>
        <w:t xml:space="preserve"> </w:t>
      </w:r>
      <w:r w:rsidRPr="00C75F07">
        <w:rPr>
          <w:sz w:val="16"/>
        </w:rPr>
        <w:t xml:space="preserve">2022 – zákon č. 363/2021 Sb., </w:t>
      </w:r>
      <w:r>
        <w:rPr>
          <w:sz w:val="16"/>
        </w:rPr>
        <w:t>došlo k odlišení tzv. zprostředk</w:t>
      </w:r>
      <w:r w:rsidR="00101676">
        <w:rPr>
          <w:sz w:val="16"/>
        </w:rPr>
        <w:t xml:space="preserve">ovaných („profesionálních“) a </w:t>
      </w:r>
      <w:r>
        <w:rPr>
          <w:sz w:val="16"/>
        </w:rPr>
        <w:t>nezprostředkovaných pěstounů. Nezprostředkovaným pěstounům (obvykle příbuzným nebo blízkým osobám dítěte či rodiny) od ledna 2022 nenáleží odměna pěstouna (příjem ze závislé činnosti), nýbrž netestovaná sociální dávka příspěvek při pěstounské péči. Tím pádem došlo k poklesu nemocensky pojištěných v okrese Jeseník a k nárůstu průměrného procenta.</w:t>
      </w:r>
    </w:p>
  </w:footnote>
  <w:footnote w:id="10">
    <w:p w14:paraId="7DB53FC5" w14:textId="6B4B6AC3" w:rsidR="00790B93" w:rsidRPr="00DC6AB9" w:rsidRDefault="00790B93" w:rsidP="00E061D9">
      <w:pPr>
        <w:pStyle w:val="Textpoznpodarou"/>
        <w:jc w:val="both"/>
        <w:rPr>
          <w:sz w:val="18"/>
        </w:rPr>
      </w:pPr>
      <w:r w:rsidRPr="00DC6AB9">
        <w:rPr>
          <w:rStyle w:val="Znakapoznpodarou"/>
          <w:sz w:val="16"/>
        </w:rPr>
        <w:footnoteRef/>
      </w:r>
      <w:r w:rsidRPr="00DC6AB9">
        <w:rPr>
          <w:sz w:val="16"/>
        </w:rPr>
        <w:t xml:space="preserve"> Platí pro ni stejné podmínky jako pro běžnou pracovní neschopnost z důvodu nemoci či úrazu.</w:t>
      </w:r>
      <w:r>
        <w:rPr>
          <w:sz w:val="16"/>
        </w:rPr>
        <w:t xml:space="preserve"> </w:t>
      </w:r>
      <w:r w:rsidRPr="00B15EBE">
        <w:rPr>
          <w:sz w:val="16"/>
        </w:rPr>
        <w:t>Tato publikace nezahrnuje mimořádný karanténní příspěvek (tzv. izolačku) zaveden</w:t>
      </w:r>
      <w:r>
        <w:rPr>
          <w:sz w:val="16"/>
        </w:rPr>
        <w:t>ý</w:t>
      </w:r>
      <w:r w:rsidRPr="00B15EBE">
        <w:rPr>
          <w:sz w:val="16"/>
        </w:rPr>
        <w:t xml:space="preserve"> v roce 2021</w:t>
      </w:r>
      <w:r w:rsidRPr="00B15EBE">
        <w:rPr>
          <w:sz w:val="16"/>
        </w:rPr>
        <w:t>.</w:t>
      </w:r>
      <w:r>
        <w:rPr>
          <w:sz w:val="16"/>
        </w:rPr>
        <w:t xml:space="preserve"> ČSSZ ho vyplácí</w:t>
      </w:r>
      <w:r w:rsidRPr="00B15EBE">
        <w:rPr>
          <w:sz w:val="16"/>
        </w:rPr>
        <w:t xml:space="preserve"> zaměstnava</w:t>
      </w:r>
      <w:r>
        <w:rPr>
          <w:sz w:val="16"/>
        </w:rPr>
        <w:t>telům, kteří si ho odečtou od povinného odvodu na sociální pojištění na ČSSZ.</w:t>
      </w:r>
      <w:r w:rsidRPr="00B15EBE">
        <w:rPr>
          <w:sz w:val="16"/>
        </w:rPr>
        <w:t xml:space="preserve"> </w:t>
      </w:r>
    </w:p>
  </w:footnote>
  <w:footnote w:id="11">
    <w:p w14:paraId="2D5C68EC" w14:textId="77777777" w:rsidR="00790B93" w:rsidRPr="00F969DD" w:rsidRDefault="00790B93" w:rsidP="00E061D9">
      <w:pPr>
        <w:pStyle w:val="Textpoznpodarou"/>
        <w:spacing w:after="60" w:line="240" w:lineRule="auto"/>
        <w:jc w:val="both"/>
        <w:rPr>
          <w:sz w:val="16"/>
        </w:rPr>
      </w:pPr>
      <w:r w:rsidRPr="00B15EBE">
        <w:rPr>
          <w:rStyle w:val="Znakapoznpodarou"/>
          <w:sz w:val="16"/>
        </w:rPr>
        <w:footnoteRef/>
      </w:r>
      <w:r>
        <w:t xml:space="preserve"> </w:t>
      </w:r>
      <w:r w:rsidRPr="00F969DD">
        <w:rPr>
          <w:b/>
          <w:sz w:val="16"/>
        </w:rPr>
        <w:t>Karanténou</w:t>
      </w:r>
      <w:r w:rsidRPr="00F969DD">
        <w:rPr>
          <w:sz w:val="16"/>
        </w:rPr>
        <w:t xml:space="preserve"> se rozumí oddělení osoby, která sice nevykazuje příznaky onemocnění, ale byla během inkubační doby ve styku s</w:t>
      </w:r>
      <w:r>
        <w:rPr>
          <w:sz w:val="16"/>
        </w:rPr>
        <w:t> </w:t>
      </w:r>
      <w:r w:rsidRPr="00F969DD">
        <w:rPr>
          <w:sz w:val="16"/>
        </w:rPr>
        <w:t>infekčním onemocněním nebo pobývala v ohnisku nákazy, od ostatních fyzických osob, aby se nákaza dále nešířila.</w:t>
      </w:r>
    </w:p>
    <w:p w14:paraId="4D31DF0E" w14:textId="77777777" w:rsidR="00790B93" w:rsidRDefault="00790B93" w:rsidP="00E061D9">
      <w:pPr>
        <w:pStyle w:val="Textpoznpodarou"/>
        <w:spacing w:after="60"/>
        <w:jc w:val="both"/>
      </w:pPr>
      <w:r w:rsidRPr="00F969DD">
        <w:rPr>
          <w:b/>
          <w:sz w:val="16"/>
        </w:rPr>
        <w:t>Izolací</w:t>
      </w:r>
      <w:r w:rsidRPr="00F969DD">
        <w:rPr>
          <w:sz w:val="16"/>
        </w:rPr>
        <w:t xml:space="preserve"> se rozumí oddělení osoby, která onemocněla infekční nemocí nebo jeví příznaky tohoto onemocnění, od ostatn</w:t>
      </w:r>
      <w:r>
        <w:rPr>
          <w:sz w:val="16"/>
        </w:rPr>
        <w:t>ích fyzických osob</w:t>
      </w:r>
      <w:r w:rsidRPr="00F969DD">
        <w:rPr>
          <w:sz w:val="16"/>
        </w:rPr>
        <w:t>, aby se infekční onemocnění dále nešířilo.</w:t>
      </w:r>
    </w:p>
  </w:footnote>
  <w:footnote w:id="12">
    <w:p w14:paraId="19EACB53" w14:textId="77777777" w:rsidR="00790B93" w:rsidRPr="00B15EBE" w:rsidRDefault="00790B93" w:rsidP="001D4AB5">
      <w:pPr>
        <w:pStyle w:val="Textpoznpodarou"/>
        <w:jc w:val="both"/>
        <w:rPr>
          <w:sz w:val="16"/>
        </w:rPr>
      </w:pPr>
      <w:r w:rsidRPr="00B15EBE">
        <w:rPr>
          <w:rStyle w:val="Znakapoznpodarou"/>
          <w:sz w:val="16"/>
        </w:rPr>
        <w:footnoteRef/>
      </w:r>
      <w:r w:rsidRPr="00B15EBE">
        <w:rPr>
          <w:sz w:val="16"/>
        </w:rPr>
        <w:t xml:space="preserve"> </w:t>
      </w:r>
      <w:r>
        <w:rPr>
          <w:sz w:val="16"/>
        </w:rPr>
        <w:t>Údaje o počtu</w:t>
      </w:r>
      <w:r w:rsidRPr="00B15EBE">
        <w:rPr>
          <w:sz w:val="16"/>
          <w:szCs w:val="16"/>
        </w:rPr>
        <w:t xml:space="preserve"> vydaných neschopenek </w:t>
      </w:r>
      <w:r>
        <w:rPr>
          <w:sz w:val="16"/>
          <w:szCs w:val="16"/>
        </w:rPr>
        <w:t xml:space="preserve">(jmenovatel pro podílový ukazatel uvedený v tomto grafu) </w:t>
      </w:r>
      <w:r w:rsidRPr="00B15EBE">
        <w:rPr>
          <w:sz w:val="16"/>
          <w:szCs w:val="16"/>
        </w:rPr>
        <w:t>je dán součtem denních přírůstků počtu nových neschopenek za příslušný měsíc (bez jakéhokoliv rozlišování zaměstnavatele a typu zúčtovatele</w:t>
      </w:r>
      <w:r>
        <w:rPr>
          <w:sz w:val="16"/>
          <w:szCs w:val="16"/>
        </w:rPr>
        <w:t xml:space="preserve"> (tj. buď nemocensky pojištěná OSVČ, zaměstnavatel – fyzická osoba, zaměstnavatel – právnická osoba nebo zahraniční zaměstnanci</w:t>
      </w:r>
      <w:r w:rsidRPr="00B15EBE">
        <w:rPr>
          <w:sz w:val="16"/>
          <w:szCs w:val="16"/>
        </w:rPr>
        <w:t>). Liší se od počtu nově hlášených případů pracovní neschopnosti uvedeného v kap. 4.2, kdy se jedná o celkové počty za dané období z pohledu příslušných zaměstnavatelů a dle typů zúčtovatele.</w:t>
      </w:r>
    </w:p>
  </w:footnote>
  <w:footnote w:id="13">
    <w:p w14:paraId="6D9DE96A" w14:textId="77777777" w:rsidR="00790B93" w:rsidRDefault="00790B93" w:rsidP="00E061D9">
      <w:pPr>
        <w:pStyle w:val="Textpoznpodarou"/>
        <w:spacing w:after="60"/>
      </w:pPr>
      <w:r w:rsidRPr="006054AC">
        <w:rPr>
          <w:rStyle w:val="Znakapoznpodarou"/>
          <w:sz w:val="16"/>
        </w:rPr>
        <w:footnoteRef/>
      </w:r>
      <w:r w:rsidRPr="006054AC">
        <w:rPr>
          <w:sz w:val="16"/>
        </w:rPr>
        <w:t xml:space="preserve"> Platilo do 30. 6. 2021</w:t>
      </w:r>
      <w:r>
        <w:rPr>
          <w:sz w:val="16"/>
        </w:rPr>
        <w:t>.</w:t>
      </w:r>
    </w:p>
  </w:footnote>
  <w:footnote w:id="14">
    <w:p w14:paraId="5E1083E3" w14:textId="77777777" w:rsidR="00790B93" w:rsidRDefault="00790B93" w:rsidP="00E061D9">
      <w:pPr>
        <w:pStyle w:val="Textpoznpodarou"/>
      </w:pPr>
      <w:r w:rsidRPr="00B67A38">
        <w:rPr>
          <w:rStyle w:val="Znakapoznpodarou"/>
          <w:sz w:val="16"/>
        </w:rPr>
        <w:footnoteRef/>
      </w:r>
      <w:r>
        <w:t xml:space="preserve"> </w:t>
      </w:r>
      <w:r w:rsidRPr="00B67A38">
        <w:rPr>
          <w:sz w:val="16"/>
        </w:rPr>
        <w:t>Na jaře 2021 se</w:t>
      </w:r>
      <w:r>
        <w:rPr>
          <w:sz w:val="16"/>
        </w:rPr>
        <w:t xml:space="preserve"> podíl</w:t>
      </w:r>
      <w:r w:rsidRPr="00B67A38">
        <w:rPr>
          <w:sz w:val="16"/>
        </w:rPr>
        <w:t xml:space="preserve"> zvýšil na 80 %.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C4D4B7" w14:textId="1E753912" w:rsidR="00790B93" w:rsidRPr="007241C5" w:rsidRDefault="00790B93" w:rsidP="007241C5">
    <w:pPr>
      <w:pStyle w:val="Zhlav"/>
    </w:pPr>
    <w:r>
      <w:t>Pracovní neschopnost pro nemoc a úraz v České republice za 1. pololetí 2022</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2A4919" w14:textId="383C0087" w:rsidR="00790B93" w:rsidRPr="006F5416" w:rsidRDefault="00790B93" w:rsidP="00937AE2">
    <w:pPr>
      <w:pStyle w:val="Zhlav"/>
    </w:pPr>
    <w:r>
      <w:t>Pracovní neschopnost pro nemoc a úraz v České republice za 1. pololetí 2022</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E1470"/>
    <w:multiLevelType w:val="hybridMultilevel"/>
    <w:tmpl w:val="5C9656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13746EB"/>
    <w:multiLevelType w:val="hybridMultilevel"/>
    <w:tmpl w:val="D616BA42"/>
    <w:lvl w:ilvl="0" w:tplc="04050001">
      <w:start w:val="1"/>
      <w:numFmt w:val="bullet"/>
      <w:lvlText w:val=""/>
      <w:lvlJc w:val="left"/>
      <w:pPr>
        <w:ind w:left="720" w:hanging="360"/>
      </w:pPr>
      <w:rPr>
        <w:rFonts w:ascii="Symbol" w:hAnsi="Symbol"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84E4415"/>
    <w:multiLevelType w:val="hybridMultilevel"/>
    <w:tmpl w:val="189A16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0FF2955"/>
    <w:multiLevelType w:val="hybridMultilevel"/>
    <w:tmpl w:val="D6BA33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D394626"/>
    <w:multiLevelType w:val="hybridMultilevel"/>
    <w:tmpl w:val="C29C83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202556A7"/>
    <w:multiLevelType w:val="hybridMultilevel"/>
    <w:tmpl w:val="3F36775C"/>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6" w15:restartNumberingAfterBreak="0">
    <w:nsid w:val="23C9092A"/>
    <w:multiLevelType w:val="hybridMultilevel"/>
    <w:tmpl w:val="6106A1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27726B5B"/>
    <w:multiLevelType w:val="multilevel"/>
    <w:tmpl w:val="70A84550"/>
    <w:lvl w:ilvl="0">
      <w:start w:val="1"/>
      <w:numFmt w:val="decimal"/>
      <w:lvlText w:val="%1."/>
      <w:lvlJc w:val="left"/>
      <w:pPr>
        <w:ind w:left="720" w:hanging="360"/>
      </w:pPr>
      <w:rPr>
        <w:rFonts w:hint="default"/>
      </w:rPr>
    </w:lvl>
    <w:lvl w:ilvl="1">
      <w:start w:val="2"/>
      <w:numFmt w:val="decimal"/>
      <w:isLgl/>
      <w:suff w:val="space"/>
      <w:lvlText w:val="4.%2"/>
      <w:lvlJc w:val="left"/>
      <w:pPr>
        <w:ind w:left="720" w:hanging="360"/>
      </w:pPr>
      <w:rPr>
        <w:rFonts w:hint="default"/>
      </w:rPr>
    </w:lvl>
    <w:lvl w:ilvl="2">
      <w:start w:val="1"/>
      <w:numFmt w:val="decimal"/>
      <w:isLgl/>
      <w:suff w:val="space"/>
      <w:lvlText w:val="4.%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28AA48F6"/>
    <w:multiLevelType w:val="hybridMultilevel"/>
    <w:tmpl w:val="89FE51B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B8016D3"/>
    <w:multiLevelType w:val="hybridMultilevel"/>
    <w:tmpl w:val="C9B2432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2ECC156E"/>
    <w:multiLevelType w:val="hybridMultilevel"/>
    <w:tmpl w:val="7EECAB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6BA2AA4"/>
    <w:multiLevelType w:val="multilevel"/>
    <w:tmpl w:val="615EED7A"/>
    <w:lvl w:ilvl="0">
      <w:start w:val="1"/>
      <w:numFmt w:val="none"/>
      <w:suff w:val="space"/>
      <w:lvlText w:val="6."/>
      <w:lvlJc w:val="left"/>
      <w:pPr>
        <w:ind w:left="720" w:hanging="360"/>
      </w:pPr>
      <w:rPr>
        <w:rFonts w:hint="default"/>
      </w:rPr>
    </w:lvl>
    <w:lvl w:ilvl="1">
      <w:start w:val="1"/>
      <w:numFmt w:val="none"/>
      <w:isLgl/>
      <w:suff w:val="space"/>
      <w:lvlText w:val="4.7"/>
      <w:lvlJc w:val="left"/>
      <w:pPr>
        <w:ind w:left="720" w:hanging="360"/>
      </w:pPr>
      <w:rPr>
        <w:rFonts w:hint="default"/>
      </w:rPr>
    </w:lvl>
    <w:lvl w:ilvl="2">
      <w:start w:val="1"/>
      <w:numFmt w:val="decimal"/>
      <w:isLgl/>
      <w:suff w:val="space"/>
      <w:lvlText w:val="%1.4%2.%3"/>
      <w:lvlJc w:val="left"/>
      <w:pPr>
        <w:ind w:left="1080" w:hanging="720"/>
      </w:pPr>
      <w:rPr>
        <w:rFonts w:hint="default"/>
      </w:rPr>
    </w:lvl>
    <w:lvl w:ilvl="3">
      <w:start w:val="1"/>
      <w:numFmt w:val="none"/>
      <w:isLgl/>
      <w:suff w:val="space"/>
      <w:lvlText w:val="4.4.1"/>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43AF4090"/>
    <w:multiLevelType w:val="hybridMultilevel"/>
    <w:tmpl w:val="F432E7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4E9A25DD"/>
    <w:multiLevelType w:val="hybridMultilevel"/>
    <w:tmpl w:val="989C032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55363618"/>
    <w:multiLevelType w:val="hybridMultilevel"/>
    <w:tmpl w:val="E3E8EB9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590017F3"/>
    <w:multiLevelType w:val="hybridMultilevel"/>
    <w:tmpl w:val="D4C4002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5BA16842"/>
    <w:multiLevelType w:val="multilevel"/>
    <w:tmpl w:val="3A2CFECA"/>
    <w:lvl w:ilvl="0">
      <w:start w:val="1"/>
      <w:numFmt w:val="none"/>
      <w:suff w:val="space"/>
      <w:lvlText w:val="5."/>
      <w:lvlJc w:val="left"/>
      <w:pPr>
        <w:ind w:left="720" w:hanging="360"/>
      </w:pPr>
      <w:rPr>
        <w:rFonts w:hint="default"/>
      </w:rPr>
    </w:lvl>
    <w:lvl w:ilvl="1">
      <w:start w:val="1"/>
      <w:numFmt w:val="none"/>
      <w:isLgl/>
      <w:suff w:val="space"/>
      <w:lvlText w:val="4.7"/>
      <w:lvlJc w:val="left"/>
      <w:pPr>
        <w:ind w:left="720" w:hanging="360"/>
      </w:pPr>
      <w:rPr>
        <w:rFonts w:hint="default"/>
      </w:rPr>
    </w:lvl>
    <w:lvl w:ilvl="2">
      <w:start w:val="1"/>
      <w:numFmt w:val="decimal"/>
      <w:isLgl/>
      <w:suff w:val="space"/>
      <w:lvlText w:val="%1.4%2.%3"/>
      <w:lvlJc w:val="left"/>
      <w:pPr>
        <w:ind w:left="1080" w:hanging="720"/>
      </w:pPr>
      <w:rPr>
        <w:rFonts w:hint="default"/>
      </w:rPr>
    </w:lvl>
    <w:lvl w:ilvl="3">
      <w:start w:val="1"/>
      <w:numFmt w:val="none"/>
      <w:isLgl/>
      <w:suff w:val="space"/>
      <w:lvlText w:val="4.4.1"/>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5DD50F1A"/>
    <w:multiLevelType w:val="hybridMultilevel"/>
    <w:tmpl w:val="1410E98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5FD41ECA"/>
    <w:multiLevelType w:val="multilevel"/>
    <w:tmpl w:val="24FE976E"/>
    <w:lvl w:ilvl="0">
      <w:start w:val="1"/>
      <w:numFmt w:val="decimal"/>
      <w:lvlText w:val="%1."/>
      <w:lvlJc w:val="left"/>
      <w:pPr>
        <w:ind w:left="720" w:hanging="360"/>
      </w:pPr>
      <w:rPr>
        <w:rFonts w:hint="default"/>
      </w:rPr>
    </w:lvl>
    <w:lvl w:ilvl="1">
      <w:start w:val="1"/>
      <w:numFmt w:val="decimal"/>
      <w:isLgl/>
      <w:suff w:val="space"/>
      <w:lvlText w:val="4.%2"/>
      <w:lvlJc w:val="left"/>
      <w:pPr>
        <w:ind w:left="720" w:hanging="360"/>
      </w:pPr>
      <w:rPr>
        <w:rFonts w:hint="default"/>
      </w:rPr>
    </w:lvl>
    <w:lvl w:ilvl="2">
      <w:start w:val="1"/>
      <w:numFmt w:val="decimal"/>
      <w:isLgl/>
      <w:suff w:val="space"/>
      <w:lvlText w:val="4.%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66AA503E"/>
    <w:multiLevelType w:val="multilevel"/>
    <w:tmpl w:val="2688BBDA"/>
    <w:lvl w:ilvl="0">
      <w:start w:val="1"/>
      <w:numFmt w:val="decimal"/>
      <w:lvlText w:val="%1."/>
      <w:lvlJc w:val="left"/>
      <w:pPr>
        <w:ind w:left="720" w:hanging="360"/>
      </w:pPr>
      <w:rPr>
        <w:rFonts w:hint="default"/>
      </w:rPr>
    </w:lvl>
    <w:lvl w:ilvl="1">
      <w:start w:val="3"/>
      <w:numFmt w:val="decimal"/>
      <w:isLgl/>
      <w:suff w:val="space"/>
      <w:lvlText w:val="4.%2"/>
      <w:lvlJc w:val="left"/>
      <w:pPr>
        <w:ind w:left="720" w:hanging="360"/>
      </w:pPr>
      <w:rPr>
        <w:rFonts w:hint="default"/>
      </w:rPr>
    </w:lvl>
    <w:lvl w:ilvl="2">
      <w:start w:val="1"/>
      <w:numFmt w:val="decimal"/>
      <w:isLgl/>
      <w:suff w:val="space"/>
      <w:lvlText w:val="4.%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686C4312"/>
    <w:multiLevelType w:val="multilevel"/>
    <w:tmpl w:val="A544AB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A157FE1"/>
    <w:multiLevelType w:val="multilevel"/>
    <w:tmpl w:val="EFEA78A6"/>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none"/>
      <w:isLgl/>
      <w:suff w:val="space"/>
      <w:lvlText w:val="4.2.2"/>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6CE71B0D"/>
    <w:multiLevelType w:val="multilevel"/>
    <w:tmpl w:val="5EE4B558"/>
    <w:lvl w:ilvl="0">
      <w:start w:val="1"/>
      <w:numFmt w:val="decimal"/>
      <w:lvlText w:val="%1."/>
      <w:lvlJc w:val="left"/>
      <w:pPr>
        <w:ind w:left="720" w:hanging="360"/>
      </w:pPr>
      <w:rPr>
        <w:rFonts w:hint="default"/>
      </w:rPr>
    </w:lvl>
    <w:lvl w:ilvl="1">
      <w:start w:val="3"/>
      <w:numFmt w:val="decimal"/>
      <w:isLgl/>
      <w:suff w:val="space"/>
      <w:lvlText w:val="4.%2"/>
      <w:lvlJc w:val="left"/>
      <w:pPr>
        <w:ind w:left="720" w:hanging="360"/>
      </w:pPr>
      <w:rPr>
        <w:rFonts w:hint="default"/>
      </w:rPr>
    </w:lvl>
    <w:lvl w:ilvl="2">
      <w:start w:val="1"/>
      <w:numFmt w:val="none"/>
      <w:isLgl/>
      <w:suff w:val="space"/>
      <w:lvlText w:val="4.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71FB04D0"/>
    <w:multiLevelType w:val="hybridMultilevel"/>
    <w:tmpl w:val="A5FC219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77747833"/>
    <w:multiLevelType w:val="multilevel"/>
    <w:tmpl w:val="FAAC5EA8"/>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suff w:val="space"/>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5" w15:restartNumberingAfterBreak="0">
    <w:nsid w:val="7FEF4B85"/>
    <w:multiLevelType w:val="hybridMultilevel"/>
    <w:tmpl w:val="E4FC5E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6"/>
  </w:num>
  <w:num w:numId="2">
    <w:abstractNumId w:val="8"/>
  </w:num>
  <w:num w:numId="3">
    <w:abstractNumId w:val="17"/>
  </w:num>
  <w:num w:numId="4">
    <w:abstractNumId w:val="23"/>
  </w:num>
  <w:num w:numId="5">
    <w:abstractNumId w:val="19"/>
  </w:num>
  <w:num w:numId="6">
    <w:abstractNumId w:val="2"/>
  </w:num>
  <w:num w:numId="7">
    <w:abstractNumId w:val="9"/>
  </w:num>
  <w:num w:numId="8">
    <w:abstractNumId w:val="15"/>
  </w:num>
  <w:num w:numId="9">
    <w:abstractNumId w:val="4"/>
  </w:num>
  <w:num w:numId="10">
    <w:abstractNumId w:val="20"/>
  </w:num>
  <w:num w:numId="11">
    <w:abstractNumId w:val="10"/>
  </w:num>
  <w:num w:numId="12">
    <w:abstractNumId w:val="5"/>
  </w:num>
  <w:num w:numId="13">
    <w:abstractNumId w:val="14"/>
  </w:num>
  <w:num w:numId="14">
    <w:abstractNumId w:val="1"/>
  </w:num>
  <w:num w:numId="15">
    <w:abstractNumId w:val="0"/>
  </w:num>
  <w:num w:numId="16">
    <w:abstractNumId w:val="16"/>
  </w:num>
  <w:num w:numId="17">
    <w:abstractNumId w:val="11"/>
  </w:num>
  <w:num w:numId="18">
    <w:abstractNumId w:val="24"/>
  </w:num>
  <w:num w:numId="19">
    <w:abstractNumId w:val="7"/>
  </w:num>
  <w:num w:numId="20">
    <w:abstractNumId w:val="18"/>
  </w:num>
  <w:num w:numId="21">
    <w:abstractNumId w:val="21"/>
  </w:num>
  <w:num w:numId="22">
    <w:abstractNumId w:val="22"/>
  </w:num>
  <w:num w:numId="23">
    <w:abstractNumId w:val="12"/>
  </w:num>
  <w:num w:numId="24">
    <w:abstractNumId w:val="3"/>
  </w:num>
  <w:num w:numId="25">
    <w:abstractNumId w:val="25"/>
  </w:num>
  <w:num w:numId="26">
    <w:abstractNumId w:val="13"/>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4"/>
  <w:defaultTabStop w:val="708"/>
  <w:hyphenationZone w:val="425"/>
  <w:evenAndOddHeaders/>
  <w:drawingGridHorizontalSpacing w:val="110"/>
  <w:displayHorizontalDrawingGridEvery w:val="2"/>
  <w:characterSpacingControl w:val="doNotCompress"/>
  <w:hdrShapeDefaults>
    <o:shapedefaults v:ext="edit" spidmax="2049">
      <o:colormru v:ext="edit" colors="#ecf4dd,#eaecee,#fcec0a,#fcecdb,#f1daf5"/>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6DC0"/>
    <w:rsid w:val="000003B4"/>
    <w:rsid w:val="00000A90"/>
    <w:rsid w:val="0000209D"/>
    <w:rsid w:val="00002D3C"/>
    <w:rsid w:val="00004237"/>
    <w:rsid w:val="00004D5A"/>
    <w:rsid w:val="000056D5"/>
    <w:rsid w:val="0000767A"/>
    <w:rsid w:val="00010702"/>
    <w:rsid w:val="000107D3"/>
    <w:rsid w:val="00012105"/>
    <w:rsid w:val="0001377E"/>
    <w:rsid w:val="00013A43"/>
    <w:rsid w:val="00014366"/>
    <w:rsid w:val="000158B0"/>
    <w:rsid w:val="00016392"/>
    <w:rsid w:val="00016992"/>
    <w:rsid w:val="000221A2"/>
    <w:rsid w:val="00023479"/>
    <w:rsid w:val="000234D6"/>
    <w:rsid w:val="00023D29"/>
    <w:rsid w:val="00025240"/>
    <w:rsid w:val="00026389"/>
    <w:rsid w:val="000266C3"/>
    <w:rsid w:val="000273BE"/>
    <w:rsid w:val="00027E79"/>
    <w:rsid w:val="00031AE0"/>
    <w:rsid w:val="000322EF"/>
    <w:rsid w:val="00032C2E"/>
    <w:rsid w:val="00033735"/>
    <w:rsid w:val="00033FCD"/>
    <w:rsid w:val="00035B0A"/>
    <w:rsid w:val="0003626A"/>
    <w:rsid w:val="00041CEC"/>
    <w:rsid w:val="0004694F"/>
    <w:rsid w:val="0004774F"/>
    <w:rsid w:val="000522E4"/>
    <w:rsid w:val="00052303"/>
    <w:rsid w:val="00052498"/>
    <w:rsid w:val="000562AF"/>
    <w:rsid w:val="00060225"/>
    <w:rsid w:val="000610E1"/>
    <w:rsid w:val="0006277C"/>
    <w:rsid w:val="00062EC5"/>
    <w:rsid w:val="00062F22"/>
    <w:rsid w:val="000652B4"/>
    <w:rsid w:val="000675AD"/>
    <w:rsid w:val="00071196"/>
    <w:rsid w:val="000712B3"/>
    <w:rsid w:val="000722CF"/>
    <w:rsid w:val="00073AC2"/>
    <w:rsid w:val="00074873"/>
    <w:rsid w:val="0008263E"/>
    <w:rsid w:val="00082C19"/>
    <w:rsid w:val="0008376A"/>
    <w:rsid w:val="00085395"/>
    <w:rsid w:val="00087634"/>
    <w:rsid w:val="00087F2B"/>
    <w:rsid w:val="00096B50"/>
    <w:rsid w:val="000974A8"/>
    <w:rsid w:val="000974D1"/>
    <w:rsid w:val="0009799E"/>
    <w:rsid w:val="000A0257"/>
    <w:rsid w:val="000A1183"/>
    <w:rsid w:val="000A256D"/>
    <w:rsid w:val="000A3A2C"/>
    <w:rsid w:val="000A3F99"/>
    <w:rsid w:val="000B190B"/>
    <w:rsid w:val="000B30FA"/>
    <w:rsid w:val="000B3C40"/>
    <w:rsid w:val="000B3CA5"/>
    <w:rsid w:val="000C25F2"/>
    <w:rsid w:val="000C3408"/>
    <w:rsid w:val="000C6AFD"/>
    <w:rsid w:val="000D5637"/>
    <w:rsid w:val="000D642E"/>
    <w:rsid w:val="000D6CFA"/>
    <w:rsid w:val="000E0772"/>
    <w:rsid w:val="000E43B4"/>
    <w:rsid w:val="000E5351"/>
    <w:rsid w:val="000E6FBD"/>
    <w:rsid w:val="00100F5C"/>
    <w:rsid w:val="00101676"/>
    <w:rsid w:val="0010437D"/>
    <w:rsid w:val="00104C4C"/>
    <w:rsid w:val="00105452"/>
    <w:rsid w:val="00106B95"/>
    <w:rsid w:val="00107D20"/>
    <w:rsid w:val="0012192F"/>
    <w:rsid w:val="00125D69"/>
    <w:rsid w:val="00126E91"/>
    <w:rsid w:val="001359B8"/>
    <w:rsid w:val="001377CB"/>
    <w:rsid w:val="001405FA"/>
    <w:rsid w:val="001425C3"/>
    <w:rsid w:val="00143513"/>
    <w:rsid w:val="00145F42"/>
    <w:rsid w:val="00153C97"/>
    <w:rsid w:val="00155829"/>
    <w:rsid w:val="00161606"/>
    <w:rsid w:val="0016256B"/>
    <w:rsid w:val="00163793"/>
    <w:rsid w:val="00165278"/>
    <w:rsid w:val="001706D6"/>
    <w:rsid w:val="001706EA"/>
    <w:rsid w:val="001714F2"/>
    <w:rsid w:val="00174F62"/>
    <w:rsid w:val="001768ED"/>
    <w:rsid w:val="001771EA"/>
    <w:rsid w:val="00177916"/>
    <w:rsid w:val="00180D78"/>
    <w:rsid w:val="00184B08"/>
    <w:rsid w:val="00184B5C"/>
    <w:rsid w:val="00185010"/>
    <w:rsid w:val="0018528F"/>
    <w:rsid w:val="00185E38"/>
    <w:rsid w:val="001869B8"/>
    <w:rsid w:val="00192BCA"/>
    <w:rsid w:val="001A1912"/>
    <w:rsid w:val="001A2DD0"/>
    <w:rsid w:val="001A552F"/>
    <w:rsid w:val="001A5951"/>
    <w:rsid w:val="001A7621"/>
    <w:rsid w:val="001B2CA9"/>
    <w:rsid w:val="001B3110"/>
    <w:rsid w:val="001B4729"/>
    <w:rsid w:val="001B6C09"/>
    <w:rsid w:val="001C05CD"/>
    <w:rsid w:val="001C0B68"/>
    <w:rsid w:val="001C7D44"/>
    <w:rsid w:val="001D3F1E"/>
    <w:rsid w:val="001D4AB5"/>
    <w:rsid w:val="001D68B2"/>
    <w:rsid w:val="001D7EDB"/>
    <w:rsid w:val="001E0E41"/>
    <w:rsid w:val="001E2AAB"/>
    <w:rsid w:val="001E3265"/>
    <w:rsid w:val="001E3AB8"/>
    <w:rsid w:val="001E4CA4"/>
    <w:rsid w:val="001E57EE"/>
    <w:rsid w:val="001E680C"/>
    <w:rsid w:val="001E73B2"/>
    <w:rsid w:val="001F1B7D"/>
    <w:rsid w:val="001F4597"/>
    <w:rsid w:val="001F7DD3"/>
    <w:rsid w:val="0021138F"/>
    <w:rsid w:val="002118B9"/>
    <w:rsid w:val="00215DAD"/>
    <w:rsid w:val="00216AD5"/>
    <w:rsid w:val="00217C5B"/>
    <w:rsid w:val="00217CCC"/>
    <w:rsid w:val="002203FD"/>
    <w:rsid w:val="0022139E"/>
    <w:rsid w:val="002252E0"/>
    <w:rsid w:val="002255F6"/>
    <w:rsid w:val="00226A0F"/>
    <w:rsid w:val="00227850"/>
    <w:rsid w:val="00227A53"/>
    <w:rsid w:val="00230C6E"/>
    <w:rsid w:val="00231C42"/>
    <w:rsid w:val="00232285"/>
    <w:rsid w:val="00236048"/>
    <w:rsid w:val="00236443"/>
    <w:rsid w:val="002436BA"/>
    <w:rsid w:val="00244A15"/>
    <w:rsid w:val="00245A36"/>
    <w:rsid w:val="00246C9A"/>
    <w:rsid w:val="00247319"/>
    <w:rsid w:val="0024799E"/>
    <w:rsid w:val="00251D95"/>
    <w:rsid w:val="00253C0F"/>
    <w:rsid w:val="00253D4C"/>
    <w:rsid w:val="00256A1C"/>
    <w:rsid w:val="00257036"/>
    <w:rsid w:val="00257662"/>
    <w:rsid w:val="00265606"/>
    <w:rsid w:val="0026728F"/>
    <w:rsid w:val="00270278"/>
    <w:rsid w:val="00271465"/>
    <w:rsid w:val="00277304"/>
    <w:rsid w:val="002773F6"/>
    <w:rsid w:val="00277F3A"/>
    <w:rsid w:val="00282428"/>
    <w:rsid w:val="0028392B"/>
    <w:rsid w:val="00285412"/>
    <w:rsid w:val="002858F4"/>
    <w:rsid w:val="00285F60"/>
    <w:rsid w:val="002961FF"/>
    <w:rsid w:val="00297326"/>
    <w:rsid w:val="002A00BE"/>
    <w:rsid w:val="002A0537"/>
    <w:rsid w:val="002A16D4"/>
    <w:rsid w:val="002A1A8B"/>
    <w:rsid w:val="002A1CEC"/>
    <w:rsid w:val="002A230C"/>
    <w:rsid w:val="002B643E"/>
    <w:rsid w:val="002C05CC"/>
    <w:rsid w:val="002C43BD"/>
    <w:rsid w:val="002D0E59"/>
    <w:rsid w:val="002D1B28"/>
    <w:rsid w:val="002D3899"/>
    <w:rsid w:val="002E02A1"/>
    <w:rsid w:val="002E0A24"/>
    <w:rsid w:val="002E3A02"/>
    <w:rsid w:val="002E4CAA"/>
    <w:rsid w:val="002E4E4C"/>
    <w:rsid w:val="002F0504"/>
    <w:rsid w:val="002F607D"/>
    <w:rsid w:val="00300EE3"/>
    <w:rsid w:val="00302DD9"/>
    <w:rsid w:val="003044AF"/>
    <w:rsid w:val="00304771"/>
    <w:rsid w:val="003052D4"/>
    <w:rsid w:val="00306C5B"/>
    <w:rsid w:val="00311390"/>
    <w:rsid w:val="0031487B"/>
    <w:rsid w:val="00315DF2"/>
    <w:rsid w:val="003209D6"/>
    <w:rsid w:val="00321924"/>
    <w:rsid w:val="00321DDE"/>
    <w:rsid w:val="0032235A"/>
    <w:rsid w:val="00322DC1"/>
    <w:rsid w:val="00324EEC"/>
    <w:rsid w:val="0032643C"/>
    <w:rsid w:val="0032656E"/>
    <w:rsid w:val="00330CDD"/>
    <w:rsid w:val="00332190"/>
    <w:rsid w:val="00335F6A"/>
    <w:rsid w:val="003405F9"/>
    <w:rsid w:val="00344668"/>
    <w:rsid w:val="003462D9"/>
    <w:rsid w:val="00347261"/>
    <w:rsid w:val="0035096A"/>
    <w:rsid w:val="00350B58"/>
    <w:rsid w:val="0035176F"/>
    <w:rsid w:val="003552B6"/>
    <w:rsid w:val="0035708E"/>
    <w:rsid w:val="0036076A"/>
    <w:rsid w:val="003609B8"/>
    <w:rsid w:val="00360C86"/>
    <w:rsid w:val="00361B7D"/>
    <w:rsid w:val="003636A2"/>
    <w:rsid w:val="003657F3"/>
    <w:rsid w:val="003657FA"/>
    <w:rsid w:val="0036651D"/>
    <w:rsid w:val="00370BD6"/>
    <w:rsid w:val="00370D31"/>
    <w:rsid w:val="00372CD6"/>
    <w:rsid w:val="00374543"/>
    <w:rsid w:val="00374F83"/>
    <w:rsid w:val="0037686D"/>
    <w:rsid w:val="0038133B"/>
    <w:rsid w:val="00381389"/>
    <w:rsid w:val="003818DC"/>
    <w:rsid w:val="00381C62"/>
    <w:rsid w:val="0038272E"/>
    <w:rsid w:val="00384289"/>
    <w:rsid w:val="00384327"/>
    <w:rsid w:val="00385D98"/>
    <w:rsid w:val="0038632C"/>
    <w:rsid w:val="0038725E"/>
    <w:rsid w:val="00391FBE"/>
    <w:rsid w:val="00392130"/>
    <w:rsid w:val="0039463A"/>
    <w:rsid w:val="00394C23"/>
    <w:rsid w:val="00396FAF"/>
    <w:rsid w:val="003A2B4D"/>
    <w:rsid w:val="003A2C67"/>
    <w:rsid w:val="003A2D2A"/>
    <w:rsid w:val="003A478C"/>
    <w:rsid w:val="003A5525"/>
    <w:rsid w:val="003A6B38"/>
    <w:rsid w:val="003A78FF"/>
    <w:rsid w:val="003B04F2"/>
    <w:rsid w:val="003B1EAF"/>
    <w:rsid w:val="003B26E3"/>
    <w:rsid w:val="003B5A32"/>
    <w:rsid w:val="003B64A7"/>
    <w:rsid w:val="003C0BA9"/>
    <w:rsid w:val="003C209F"/>
    <w:rsid w:val="003C3490"/>
    <w:rsid w:val="003C38FC"/>
    <w:rsid w:val="003C601B"/>
    <w:rsid w:val="003C6B69"/>
    <w:rsid w:val="003D0F4F"/>
    <w:rsid w:val="003D6920"/>
    <w:rsid w:val="003E3C37"/>
    <w:rsid w:val="003E4C91"/>
    <w:rsid w:val="003E64F4"/>
    <w:rsid w:val="003F1873"/>
    <w:rsid w:val="003F313C"/>
    <w:rsid w:val="003F4B2C"/>
    <w:rsid w:val="003F551C"/>
    <w:rsid w:val="003F7D23"/>
    <w:rsid w:val="003F7F34"/>
    <w:rsid w:val="004022D8"/>
    <w:rsid w:val="00404BB0"/>
    <w:rsid w:val="004066CC"/>
    <w:rsid w:val="004071F1"/>
    <w:rsid w:val="00407C13"/>
    <w:rsid w:val="00410638"/>
    <w:rsid w:val="0041241E"/>
    <w:rsid w:val="00413919"/>
    <w:rsid w:val="00413923"/>
    <w:rsid w:val="00415731"/>
    <w:rsid w:val="00415A36"/>
    <w:rsid w:val="00417B81"/>
    <w:rsid w:val="00422B21"/>
    <w:rsid w:val="00425CDF"/>
    <w:rsid w:val="00432A58"/>
    <w:rsid w:val="00434617"/>
    <w:rsid w:val="004352A4"/>
    <w:rsid w:val="004373DF"/>
    <w:rsid w:val="00437453"/>
    <w:rsid w:val="004377C4"/>
    <w:rsid w:val="00440900"/>
    <w:rsid w:val="0044223A"/>
    <w:rsid w:val="004432B3"/>
    <w:rsid w:val="004440FE"/>
    <w:rsid w:val="004441A0"/>
    <w:rsid w:val="004453B9"/>
    <w:rsid w:val="004460FC"/>
    <w:rsid w:val="0044667F"/>
    <w:rsid w:val="00447329"/>
    <w:rsid w:val="004511CC"/>
    <w:rsid w:val="00451F24"/>
    <w:rsid w:val="004524C4"/>
    <w:rsid w:val="00453B04"/>
    <w:rsid w:val="00460FB3"/>
    <w:rsid w:val="00461007"/>
    <w:rsid w:val="00461B62"/>
    <w:rsid w:val="00462CDB"/>
    <w:rsid w:val="00467F89"/>
    <w:rsid w:val="00471D3F"/>
    <w:rsid w:val="00473D4E"/>
    <w:rsid w:val="00476240"/>
    <w:rsid w:val="00476439"/>
    <w:rsid w:val="0047735C"/>
    <w:rsid w:val="004776BC"/>
    <w:rsid w:val="0048113E"/>
    <w:rsid w:val="0048139F"/>
    <w:rsid w:val="004813AE"/>
    <w:rsid w:val="00481E40"/>
    <w:rsid w:val="0048385E"/>
    <w:rsid w:val="00483E6B"/>
    <w:rsid w:val="00484D52"/>
    <w:rsid w:val="00484ECE"/>
    <w:rsid w:val="004900FF"/>
    <w:rsid w:val="004907AB"/>
    <w:rsid w:val="0049149F"/>
    <w:rsid w:val="004915CB"/>
    <w:rsid w:val="004924DC"/>
    <w:rsid w:val="004A14E4"/>
    <w:rsid w:val="004A31C1"/>
    <w:rsid w:val="004A3212"/>
    <w:rsid w:val="004A37F3"/>
    <w:rsid w:val="004A61C5"/>
    <w:rsid w:val="004A6AC9"/>
    <w:rsid w:val="004A77DF"/>
    <w:rsid w:val="004B0288"/>
    <w:rsid w:val="004B1417"/>
    <w:rsid w:val="004B55B7"/>
    <w:rsid w:val="004B564D"/>
    <w:rsid w:val="004B6468"/>
    <w:rsid w:val="004B79E8"/>
    <w:rsid w:val="004C0781"/>
    <w:rsid w:val="004C0F5E"/>
    <w:rsid w:val="004C36AF"/>
    <w:rsid w:val="004C384C"/>
    <w:rsid w:val="004C3867"/>
    <w:rsid w:val="004C4C4A"/>
    <w:rsid w:val="004C4CD0"/>
    <w:rsid w:val="004C5ABF"/>
    <w:rsid w:val="004C70DC"/>
    <w:rsid w:val="004D0211"/>
    <w:rsid w:val="004D0233"/>
    <w:rsid w:val="004D0495"/>
    <w:rsid w:val="004D0794"/>
    <w:rsid w:val="004D1BAD"/>
    <w:rsid w:val="004E28A0"/>
    <w:rsid w:val="004E3132"/>
    <w:rsid w:val="004E34C7"/>
    <w:rsid w:val="004F04F3"/>
    <w:rsid w:val="004F0527"/>
    <w:rsid w:val="004F06F5"/>
    <w:rsid w:val="004F1E25"/>
    <w:rsid w:val="004F33A0"/>
    <w:rsid w:val="004F3FE2"/>
    <w:rsid w:val="004F44E4"/>
    <w:rsid w:val="0050059C"/>
    <w:rsid w:val="00500A8A"/>
    <w:rsid w:val="00501113"/>
    <w:rsid w:val="00502EDF"/>
    <w:rsid w:val="005108C0"/>
    <w:rsid w:val="00511873"/>
    <w:rsid w:val="00511B87"/>
    <w:rsid w:val="00512A2F"/>
    <w:rsid w:val="00513B7E"/>
    <w:rsid w:val="00515C74"/>
    <w:rsid w:val="00517A58"/>
    <w:rsid w:val="0052007E"/>
    <w:rsid w:val="0052337A"/>
    <w:rsid w:val="00523E81"/>
    <w:rsid w:val="00524B78"/>
    <w:rsid w:val="00525137"/>
    <w:rsid w:val="005251DD"/>
    <w:rsid w:val="005328D3"/>
    <w:rsid w:val="00532CE7"/>
    <w:rsid w:val="00532FD3"/>
    <w:rsid w:val="0053324C"/>
    <w:rsid w:val="00534A28"/>
    <w:rsid w:val="005377DA"/>
    <w:rsid w:val="00537BCC"/>
    <w:rsid w:val="00541508"/>
    <w:rsid w:val="005415A8"/>
    <w:rsid w:val="00542531"/>
    <w:rsid w:val="00543CC2"/>
    <w:rsid w:val="00544286"/>
    <w:rsid w:val="005444C6"/>
    <w:rsid w:val="00550835"/>
    <w:rsid w:val="00551C14"/>
    <w:rsid w:val="0055599F"/>
    <w:rsid w:val="00556D68"/>
    <w:rsid w:val="00560A04"/>
    <w:rsid w:val="00561055"/>
    <w:rsid w:val="005647BF"/>
    <w:rsid w:val="00572177"/>
    <w:rsid w:val="0057277C"/>
    <w:rsid w:val="0057364B"/>
    <w:rsid w:val="00574773"/>
    <w:rsid w:val="00583FFD"/>
    <w:rsid w:val="00586EBB"/>
    <w:rsid w:val="00591005"/>
    <w:rsid w:val="005911BE"/>
    <w:rsid w:val="0059291F"/>
    <w:rsid w:val="00593152"/>
    <w:rsid w:val="005962BB"/>
    <w:rsid w:val="005A10F2"/>
    <w:rsid w:val="005A1638"/>
    <w:rsid w:val="005A21E0"/>
    <w:rsid w:val="005A28FF"/>
    <w:rsid w:val="005A3DF8"/>
    <w:rsid w:val="005A3E66"/>
    <w:rsid w:val="005A5549"/>
    <w:rsid w:val="005A63A4"/>
    <w:rsid w:val="005A73C5"/>
    <w:rsid w:val="005B121D"/>
    <w:rsid w:val="005C064F"/>
    <w:rsid w:val="005C06ED"/>
    <w:rsid w:val="005C0BEE"/>
    <w:rsid w:val="005C496F"/>
    <w:rsid w:val="005C661C"/>
    <w:rsid w:val="005D14C3"/>
    <w:rsid w:val="005D57CF"/>
    <w:rsid w:val="005D5802"/>
    <w:rsid w:val="005D5A37"/>
    <w:rsid w:val="005D7890"/>
    <w:rsid w:val="005E16DB"/>
    <w:rsid w:val="005E46F7"/>
    <w:rsid w:val="005E7C78"/>
    <w:rsid w:val="005F31CD"/>
    <w:rsid w:val="005F3EB1"/>
    <w:rsid w:val="005F5469"/>
    <w:rsid w:val="0060061C"/>
    <w:rsid w:val="00600B22"/>
    <w:rsid w:val="00602326"/>
    <w:rsid w:val="00604307"/>
    <w:rsid w:val="0060487F"/>
    <w:rsid w:val="00604EAD"/>
    <w:rsid w:val="006054AC"/>
    <w:rsid w:val="0061019A"/>
    <w:rsid w:val="006104FB"/>
    <w:rsid w:val="00610CD5"/>
    <w:rsid w:val="00612A2F"/>
    <w:rsid w:val="006145A9"/>
    <w:rsid w:val="00616E05"/>
    <w:rsid w:val="00617700"/>
    <w:rsid w:val="0062225A"/>
    <w:rsid w:val="00624093"/>
    <w:rsid w:val="00626EB8"/>
    <w:rsid w:val="00631FED"/>
    <w:rsid w:val="00632857"/>
    <w:rsid w:val="0063722E"/>
    <w:rsid w:val="006404A7"/>
    <w:rsid w:val="0064296A"/>
    <w:rsid w:val="00642D96"/>
    <w:rsid w:val="0064464A"/>
    <w:rsid w:val="006451E4"/>
    <w:rsid w:val="00645B33"/>
    <w:rsid w:val="00646128"/>
    <w:rsid w:val="00650B10"/>
    <w:rsid w:val="006516CB"/>
    <w:rsid w:val="006575B3"/>
    <w:rsid w:val="00657E87"/>
    <w:rsid w:val="0066068F"/>
    <w:rsid w:val="00661D9C"/>
    <w:rsid w:val="00661F17"/>
    <w:rsid w:val="00661F19"/>
    <w:rsid w:val="00664803"/>
    <w:rsid w:val="006655D4"/>
    <w:rsid w:val="00665BA4"/>
    <w:rsid w:val="006662CA"/>
    <w:rsid w:val="00667AF2"/>
    <w:rsid w:val="00670342"/>
    <w:rsid w:val="00670A6B"/>
    <w:rsid w:val="006710C9"/>
    <w:rsid w:val="00671960"/>
    <w:rsid w:val="00671EEE"/>
    <w:rsid w:val="00673DCF"/>
    <w:rsid w:val="00674D89"/>
    <w:rsid w:val="00675E37"/>
    <w:rsid w:val="00676201"/>
    <w:rsid w:val="00680390"/>
    <w:rsid w:val="0068174E"/>
    <w:rsid w:val="00681DCE"/>
    <w:rsid w:val="0068260E"/>
    <w:rsid w:val="00684AA4"/>
    <w:rsid w:val="00686C69"/>
    <w:rsid w:val="006878BE"/>
    <w:rsid w:val="00693023"/>
    <w:rsid w:val="00695BEF"/>
    <w:rsid w:val="006977F6"/>
    <w:rsid w:val="00697A13"/>
    <w:rsid w:val="006A109C"/>
    <w:rsid w:val="006A14BB"/>
    <w:rsid w:val="006A4068"/>
    <w:rsid w:val="006A7BCA"/>
    <w:rsid w:val="006B344A"/>
    <w:rsid w:val="006B6D44"/>
    <w:rsid w:val="006B78D8"/>
    <w:rsid w:val="006C113F"/>
    <w:rsid w:val="006C123E"/>
    <w:rsid w:val="006C18FF"/>
    <w:rsid w:val="006C42D5"/>
    <w:rsid w:val="006C56D4"/>
    <w:rsid w:val="006C6924"/>
    <w:rsid w:val="006C7CA6"/>
    <w:rsid w:val="006C7D54"/>
    <w:rsid w:val="006D3E8A"/>
    <w:rsid w:val="006D42A0"/>
    <w:rsid w:val="006D618B"/>
    <w:rsid w:val="006D61F6"/>
    <w:rsid w:val="006E279A"/>
    <w:rsid w:val="006E313B"/>
    <w:rsid w:val="006E3982"/>
    <w:rsid w:val="006E5778"/>
    <w:rsid w:val="006E69A1"/>
    <w:rsid w:val="006E6AB3"/>
    <w:rsid w:val="006F113C"/>
    <w:rsid w:val="006F11B0"/>
    <w:rsid w:val="006F40AA"/>
    <w:rsid w:val="006F5416"/>
    <w:rsid w:val="006F580E"/>
    <w:rsid w:val="006F7137"/>
    <w:rsid w:val="00700B3E"/>
    <w:rsid w:val="00700CEF"/>
    <w:rsid w:val="0070383F"/>
    <w:rsid w:val="00703854"/>
    <w:rsid w:val="00704989"/>
    <w:rsid w:val="00705162"/>
    <w:rsid w:val="00706AD4"/>
    <w:rsid w:val="00710F87"/>
    <w:rsid w:val="00711A3B"/>
    <w:rsid w:val="00713C46"/>
    <w:rsid w:val="00713D1B"/>
    <w:rsid w:val="007140BE"/>
    <w:rsid w:val="007211F5"/>
    <w:rsid w:val="007241C5"/>
    <w:rsid w:val="00724A05"/>
    <w:rsid w:val="00724D4A"/>
    <w:rsid w:val="00725BB5"/>
    <w:rsid w:val="00730AE8"/>
    <w:rsid w:val="00736595"/>
    <w:rsid w:val="00741493"/>
    <w:rsid w:val="00752180"/>
    <w:rsid w:val="0075396C"/>
    <w:rsid w:val="00755202"/>
    <w:rsid w:val="00755D3A"/>
    <w:rsid w:val="00757542"/>
    <w:rsid w:val="007578D3"/>
    <w:rsid w:val="007609C6"/>
    <w:rsid w:val="0076175D"/>
    <w:rsid w:val="007622BE"/>
    <w:rsid w:val="0076521E"/>
    <w:rsid w:val="007661E9"/>
    <w:rsid w:val="00767C3C"/>
    <w:rsid w:val="0077346A"/>
    <w:rsid w:val="00775419"/>
    <w:rsid w:val="00776169"/>
    <w:rsid w:val="00776527"/>
    <w:rsid w:val="00776A26"/>
    <w:rsid w:val="00780EF1"/>
    <w:rsid w:val="007872B7"/>
    <w:rsid w:val="00790764"/>
    <w:rsid w:val="00790B93"/>
    <w:rsid w:val="007941AC"/>
    <w:rsid w:val="0079453C"/>
    <w:rsid w:val="00794677"/>
    <w:rsid w:val="00794B90"/>
    <w:rsid w:val="00795664"/>
    <w:rsid w:val="007960ED"/>
    <w:rsid w:val="007A4D36"/>
    <w:rsid w:val="007B03FA"/>
    <w:rsid w:val="007B0701"/>
    <w:rsid w:val="007B36AD"/>
    <w:rsid w:val="007B50D7"/>
    <w:rsid w:val="007B5824"/>
    <w:rsid w:val="007B6689"/>
    <w:rsid w:val="007C22C0"/>
    <w:rsid w:val="007C3147"/>
    <w:rsid w:val="007C6359"/>
    <w:rsid w:val="007D2E78"/>
    <w:rsid w:val="007D333B"/>
    <w:rsid w:val="007D40DF"/>
    <w:rsid w:val="007D4F06"/>
    <w:rsid w:val="007D615C"/>
    <w:rsid w:val="007E06C7"/>
    <w:rsid w:val="007E08BA"/>
    <w:rsid w:val="007E7E61"/>
    <w:rsid w:val="007F0845"/>
    <w:rsid w:val="007F4035"/>
    <w:rsid w:val="0080340D"/>
    <w:rsid w:val="00807C82"/>
    <w:rsid w:val="008126FD"/>
    <w:rsid w:val="00816905"/>
    <w:rsid w:val="00821BA1"/>
    <w:rsid w:val="00821FF6"/>
    <w:rsid w:val="008259FD"/>
    <w:rsid w:val="00825C4D"/>
    <w:rsid w:val="008266C6"/>
    <w:rsid w:val="00831173"/>
    <w:rsid w:val="0083143E"/>
    <w:rsid w:val="0083196B"/>
    <w:rsid w:val="00831CDE"/>
    <w:rsid w:val="00834304"/>
    <w:rsid w:val="00834FAA"/>
    <w:rsid w:val="0083517C"/>
    <w:rsid w:val="00835641"/>
    <w:rsid w:val="00836086"/>
    <w:rsid w:val="00840277"/>
    <w:rsid w:val="00844690"/>
    <w:rsid w:val="00844FBA"/>
    <w:rsid w:val="0084708F"/>
    <w:rsid w:val="00847387"/>
    <w:rsid w:val="008477C8"/>
    <w:rsid w:val="00850A1B"/>
    <w:rsid w:val="0085114D"/>
    <w:rsid w:val="00852217"/>
    <w:rsid w:val="00853033"/>
    <w:rsid w:val="00855408"/>
    <w:rsid w:val="00855978"/>
    <w:rsid w:val="00856D65"/>
    <w:rsid w:val="0086010C"/>
    <w:rsid w:val="008616F7"/>
    <w:rsid w:val="00861B41"/>
    <w:rsid w:val="008627B7"/>
    <w:rsid w:val="00863434"/>
    <w:rsid w:val="00865E4C"/>
    <w:rsid w:val="00867A29"/>
    <w:rsid w:val="00867F67"/>
    <w:rsid w:val="008701E4"/>
    <w:rsid w:val="008703A0"/>
    <w:rsid w:val="0087102D"/>
    <w:rsid w:val="00875A32"/>
    <w:rsid w:val="00876086"/>
    <w:rsid w:val="008769E4"/>
    <w:rsid w:val="00877802"/>
    <w:rsid w:val="0088045B"/>
    <w:rsid w:val="0088375E"/>
    <w:rsid w:val="008873D4"/>
    <w:rsid w:val="00893E85"/>
    <w:rsid w:val="00894031"/>
    <w:rsid w:val="008A3B50"/>
    <w:rsid w:val="008B012A"/>
    <w:rsid w:val="008B4180"/>
    <w:rsid w:val="008B62E3"/>
    <w:rsid w:val="008B7C02"/>
    <w:rsid w:val="008B7D2B"/>
    <w:rsid w:val="008B7D64"/>
    <w:rsid w:val="008C0049"/>
    <w:rsid w:val="008C0BDB"/>
    <w:rsid w:val="008C0E88"/>
    <w:rsid w:val="008C3456"/>
    <w:rsid w:val="008C65CE"/>
    <w:rsid w:val="008D1E6A"/>
    <w:rsid w:val="008D2A16"/>
    <w:rsid w:val="008D2F51"/>
    <w:rsid w:val="008D40A9"/>
    <w:rsid w:val="008D48F1"/>
    <w:rsid w:val="008D7B44"/>
    <w:rsid w:val="008E2C57"/>
    <w:rsid w:val="008E31FF"/>
    <w:rsid w:val="008E59DA"/>
    <w:rsid w:val="008E6F06"/>
    <w:rsid w:val="008E73DA"/>
    <w:rsid w:val="008E7461"/>
    <w:rsid w:val="008F029B"/>
    <w:rsid w:val="008F3FC9"/>
    <w:rsid w:val="008F585B"/>
    <w:rsid w:val="009003A8"/>
    <w:rsid w:val="00902500"/>
    <w:rsid w:val="00902EFF"/>
    <w:rsid w:val="009030AD"/>
    <w:rsid w:val="00903C13"/>
    <w:rsid w:val="00905511"/>
    <w:rsid w:val="00906401"/>
    <w:rsid w:val="0091155E"/>
    <w:rsid w:val="0091261F"/>
    <w:rsid w:val="009128F9"/>
    <w:rsid w:val="00912A92"/>
    <w:rsid w:val="00912DA3"/>
    <w:rsid w:val="00913648"/>
    <w:rsid w:val="00916F74"/>
    <w:rsid w:val="0091728D"/>
    <w:rsid w:val="009208D0"/>
    <w:rsid w:val="0092180B"/>
    <w:rsid w:val="00921C1C"/>
    <w:rsid w:val="00921F14"/>
    <w:rsid w:val="00922D0B"/>
    <w:rsid w:val="00923F2E"/>
    <w:rsid w:val="00924AC8"/>
    <w:rsid w:val="00925157"/>
    <w:rsid w:val="0092597A"/>
    <w:rsid w:val="00930F05"/>
    <w:rsid w:val="00932443"/>
    <w:rsid w:val="009342FC"/>
    <w:rsid w:val="00936F07"/>
    <w:rsid w:val="00937AE2"/>
    <w:rsid w:val="009407AF"/>
    <w:rsid w:val="0094191B"/>
    <w:rsid w:val="00941EC8"/>
    <w:rsid w:val="0094427A"/>
    <w:rsid w:val="00945181"/>
    <w:rsid w:val="00951947"/>
    <w:rsid w:val="0095348F"/>
    <w:rsid w:val="00954E16"/>
    <w:rsid w:val="00956085"/>
    <w:rsid w:val="009562CF"/>
    <w:rsid w:val="0095784F"/>
    <w:rsid w:val="00957C6D"/>
    <w:rsid w:val="009627E0"/>
    <w:rsid w:val="00964EAF"/>
    <w:rsid w:val="00967E2C"/>
    <w:rsid w:val="00974923"/>
    <w:rsid w:val="00980965"/>
    <w:rsid w:val="00980D3D"/>
    <w:rsid w:val="00982C1D"/>
    <w:rsid w:val="00987A30"/>
    <w:rsid w:val="00987D5E"/>
    <w:rsid w:val="00987E13"/>
    <w:rsid w:val="00991A19"/>
    <w:rsid w:val="00992CF3"/>
    <w:rsid w:val="009967C9"/>
    <w:rsid w:val="009968D6"/>
    <w:rsid w:val="009A1CAB"/>
    <w:rsid w:val="009A1D80"/>
    <w:rsid w:val="009A2109"/>
    <w:rsid w:val="009A3306"/>
    <w:rsid w:val="009A60D1"/>
    <w:rsid w:val="009B330C"/>
    <w:rsid w:val="009B37AD"/>
    <w:rsid w:val="009B6FD3"/>
    <w:rsid w:val="009C0542"/>
    <w:rsid w:val="009C1750"/>
    <w:rsid w:val="009C2E29"/>
    <w:rsid w:val="009C3182"/>
    <w:rsid w:val="009C554B"/>
    <w:rsid w:val="009C719E"/>
    <w:rsid w:val="009D3ACD"/>
    <w:rsid w:val="009E2142"/>
    <w:rsid w:val="009E3521"/>
    <w:rsid w:val="009E4AAB"/>
    <w:rsid w:val="009E5273"/>
    <w:rsid w:val="009E5DDB"/>
    <w:rsid w:val="009E707F"/>
    <w:rsid w:val="009E7132"/>
    <w:rsid w:val="009F0058"/>
    <w:rsid w:val="009F0B87"/>
    <w:rsid w:val="009F305A"/>
    <w:rsid w:val="009F34CD"/>
    <w:rsid w:val="009F421D"/>
    <w:rsid w:val="009F4CA7"/>
    <w:rsid w:val="009F67D0"/>
    <w:rsid w:val="009F68D8"/>
    <w:rsid w:val="00A100AA"/>
    <w:rsid w:val="00A101F1"/>
    <w:rsid w:val="00A10BE6"/>
    <w:rsid w:val="00A10D66"/>
    <w:rsid w:val="00A13390"/>
    <w:rsid w:val="00A14114"/>
    <w:rsid w:val="00A16413"/>
    <w:rsid w:val="00A1643E"/>
    <w:rsid w:val="00A23E43"/>
    <w:rsid w:val="00A26AF3"/>
    <w:rsid w:val="00A30F65"/>
    <w:rsid w:val="00A321B6"/>
    <w:rsid w:val="00A416CF"/>
    <w:rsid w:val="00A418BC"/>
    <w:rsid w:val="00A45322"/>
    <w:rsid w:val="00A46DE0"/>
    <w:rsid w:val="00A47BC0"/>
    <w:rsid w:val="00A50D73"/>
    <w:rsid w:val="00A52CAD"/>
    <w:rsid w:val="00A52F24"/>
    <w:rsid w:val="00A53FC7"/>
    <w:rsid w:val="00A55A64"/>
    <w:rsid w:val="00A6186A"/>
    <w:rsid w:val="00A62CE1"/>
    <w:rsid w:val="00A6741E"/>
    <w:rsid w:val="00A71AB2"/>
    <w:rsid w:val="00A75E40"/>
    <w:rsid w:val="00A76157"/>
    <w:rsid w:val="00A771D5"/>
    <w:rsid w:val="00A77D1D"/>
    <w:rsid w:val="00A808DE"/>
    <w:rsid w:val="00A80D3E"/>
    <w:rsid w:val="00A81B9F"/>
    <w:rsid w:val="00A81C2F"/>
    <w:rsid w:val="00A83569"/>
    <w:rsid w:val="00A83595"/>
    <w:rsid w:val="00A857C0"/>
    <w:rsid w:val="00A9119B"/>
    <w:rsid w:val="00A9687B"/>
    <w:rsid w:val="00A979CA"/>
    <w:rsid w:val="00AA0B8D"/>
    <w:rsid w:val="00AA1E11"/>
    <w:rsid w:val="00AA2996"/>
    <w:rsid w:val="00AA52BF"/>
    <w:rsid w:val="00AA559A"/>
    <w:rsid w:val="00AA60F7"/>
    <w:rsid w:val="00AB10AA"/>
    <w:rsid w:val="00AB2AF1"/>
    <w:rsid w:val="00AB3D6B"/>
    <w:rsid w:val="00AC5641"/>
    <w:rsid w:val="00AC6D21"/>
    <w:rsid w:val="00AC7EEB"/>
    <w:rsid w:val="00AD0A47"/>
    <w:rsid w:val="00AD306C"/>
    <w:rsid w:val="00AD40C0"/>
    <w:rsid w:val="00AD5696"/>
    <w:rsid w:val="00AD62A2"/>
    <w:rsid w:val="00AD7EB3"/>
    <w:rsid w:val="00AE09B3"/>
    <w:rsid w:val="00AE1A83"/>
    <w:rsid w:val="00AE3DD0"/>
    <w:rsid w:val="00AE4AEB"/>
    <w:rsid w:val="00AE5AA4"/>
    <w:rsid w:val="00AF2FBF"/>
    <w:rsid w:val="00B00913"/>
    <w:rsid w:val="00B0095F"/>
    <w:rsid w:val="00B01127"/>
    <w:rsid w:val="00B01593"/>
    <w:rsid w:val="00B02687"/>
    <w:rsid w:val="00B07661"/>
    <w:rsid w:val="00B10A4D"/>
    <w:rsid w:val="00B12C5F"/>
    <w:rsid w:val="00B15EBE"/>
    <w:rsid w:val="00B165C1"/>
    <w:rsid w:val="00B17E71"/>
    <w:rsid w:val="00B17FDE"/>
    <w:rsid w:val="00B212D5"/>
    <w:rsid w:val="00B2379C"/>
    <w:rsid w:val="00B23CF8"/>
    <w:rsid w:val="00B2687D"/>
    <w:rsid w:val="00B32DDB"/>
    <w:rsid w:val="00B34528"/>
    <w:rsid w:val="00B34EC0"/>
    <w:rsid w:val="00B402FC"/>
    <w:rsid w:val="00B40FC2"/>
    <w:rsid w:val="00B414A5"/>
    <w:rsid w:val="00B44634"/>
    <w:rsid w:val="00B46604"/>
    <w:rsid w:val="00B527E8"/>
    <w:rsid w:val="00B530CD"/>
    <w:rsid w:val="00B55F5E"/>
    <w:rsid w:val="00B56D19"/>
    <w:rsid w:val="00B5752E"/>
    <w:rsid w:val="00B606BA"/>
    <w:rsid w:val="00B608FE"/>
    <w:rsid w:val="00B63A11"/>
    <w:rsid w:val="00B64C24"/>
    <w:rsid w:val="00B6608F"/>
    <w:rsid w:val="00B679FB"/>
    <w:rsid w:val="00B67A38"/>
    <w:rsid w:val="00B71CB0"/>
    <w:rsid w:val="00B71F7A"/>
    <w:rsid w:val="00B74855"/>
    <w:rsid w:val="00B75B87"/>
    <w:rsid w:val="00B76D1E"/>
    <w:rsid w:val="00B80EC6"/>
    <w:rsid w:val="00B8489E"/>
    <w:rsid w:val="00B9122C"/>
    <w:rsid w:val="00B92D1D"/>
    <w:rsid w:val="00B938C5"/>
    <w:rsid w:val="00B9558B"/>
    <w:rsid w:val="00B95940"/>
    <w:rsid w:val="00B97091"/>
    <w:rsid w:val="00BA0B39"/>
    <w:rsid w:val="00BA34E3"/>
    <w:rsid w:val="00BA6B4E"/>
    <w:rsid w:val="00BB0B2B"/>
    <w:rsid w:val="00BB46F3"/>
    <w:rsid w:val="00BB4CB1"/>
    <w:rsid w:val="00BB4F98"/>
    <w:rsid w:val="00BB534D"/>
    <w:rsid w:val="00BC093C"/>
    <w:rsid w:val="00BC19BE"/>
    <w:rsid w:val="00BC1D43"/>
    <w:rsid w:val="00BC7154"/>
    <w:rsid w:val="00BD10B4"/>
    <w:rsid w:val="00BD366B"/>
    <w:rsid w:val="00BD6D50"/>
    <w:rsid w:val="00BE18B9"/>
    <w:rsid w:val="00BE1C2C"/>
    <w:rsid w:val="00BE2495"/>
    <w:rsid w:val="00BE4399"/>
    <w:rsid w:val="00BE43F5"/>
    <w:rsid w:val="00BF0828"/>
    <w:rsid w:val="00BF1578"/>
    <w:rsid w:val="00BF2411"/>
    <w:rsid w:val="00BF4256"/>
    <w:rsid w:val="00BF6635"/>
    <w:rsid w:val="00BF6EF4"/>
    <w:rsid w:val="00C02C40"/>
    <w:rsid w:val="00C0303E"/>
    <w:rsid w:val="00C035D0"/>
    <w:rsid w:val="00C05AB7"/>
    <w:rsid w:val="00C112EA"/>
    <w:rsid w:val="00C13A9E"/>
    <w:rsid w:val="00C15989"/>
    <w:rsid w:val="00C20DA9"/>
    <w:rsid w:val="00C21F94"/>
    <w:rsid w:val="00C22014"/>
    <w:rsid w:val="00C24683"/>
    <w:rsid w:val="00C27913"/>
    <w:rsid w:val="00C27ECC"/>
    <w:rsid w:val="00C32AD8"/>
    <w:rsid w:val="00C33B68"/>
    <w:rsid w:val="00C34A10"/>
    <w:rsid w:val="00C35DBB"/>
    <w:rsid w:val="00C36087"/>
    <w:rsid w:val="00C36A79"/>
    <w:rsid w:val="00C36BB1"/>
    <w:rsid w:val="00C36F71"/>
    <w:rsid w:val="00C37177"/>
    <w:rsid w:val="00C371A5"/>
    <w:rsid w:val="00C37437"/>
    <w:rsid w:val="00C405D4"/>
    <w:rsid w:val="00C42F7D"/>
    <w:rsid w:val="00C43670"/>
    <w:rsid w:val="00C44482"/>
    <w:rsid w:val="00C4513B"/>
    <w:rsid w:val="00C5031D"/>
    <w:rsid w:val="00C5419A"/>
    <w:rsid w:val="00C54697"/>
    <w:rsid w:val="00C5499E"/>
    <w:rsid w:val="00C56C80"/>
    <w:rsid w:val="00C577E3"/>
    <w:rsid w:val="00C6313F"/>
    <w:rsid w:val="00C73885"/>
    <w:rsid w:val="00C747B1"/>
    <w:rsid w:val="00C75F07"/>
    <w:rsid w:val="00C7753B"/>
    <w:rsid w:val="00C82191"/>
    <w:rsid w:val="00C83A1D"/>
    <w:rsid w:val="00C90CF4"/>
    <w:rsid w:val="00C92EB6"/>
    <w:rsid w:val="00C93050"/>
    <w:rsid w:val="00C93389"/>
    <w:rsid w:val="00C96C0D"/>
    <w:rsid w:val="00C97CF3"/>
    <w:rsid w:val="00CA23A5"/>
    <w:rsid w:val="00CA3130"/>
    <w:rsid w:val="00CA3FFD"/>
    <w:rsid w:val="00CA656C"/>
    <w:rsid w:val="00CB1614"/>
    <w:rsid w:val="00CB4930"/>
    <w:rsid w:val="00CB4EF7"/>
    <w:rsid w:val="00CC2E7D"/>
    <w:rsid w:val="00CD10A5"/>
    <w:rsid w:val="00CD1FD8"/>
    <w:rsid w:val="00CD2076"/>
    <w:rsid w:val="00CD26D6"/>
    <w:rsid w:val="00CD287A"/>
    <w:rsid w:val="00CD63E8"/>
    <w:rsid w:val="00CD6F60"/>
    <w:rsid w:val="00CD7B6E"/>
    <w:rsid w:val="00CE1DDB"/>
    <w:rsid w:val="00CE1E85"/>
    <w:rsid w:val="00CE2C2A"/>
    <w:rsid w:val="00CE53E0"/>
    <w:rsid w:val="00CE670B"/>
    <w:rsid w:val="00CF05FA"/>
    <w:rsid w:val="00CF0B5E"/>
    <w:rsid w:val="00CF1C7A"/>
    <w:rsid w:val="00CF2EE9"/>
    <w:rsid w:val="00CF3713"/>
    <w:rsid w:val="00CF385D"/>
    <w:rsid w:val="00CF51EC"/>
    <w:rsid w:val="00CF6DC0"/>
    <w:rsid w:val="00CF73AE"/>
    <w:rsid w:val="00D01776"/>
    <w:rsid w:val="00D040DD"/>
    <w:rsid w:val="00D042B7"/>
    <w:rsid w:val="00D04AA1"/>
    <w:rsid w:val="00D07285"/>
    <w:rsid w:val="00D12BE0"/>
    <w:rsid w:val="00D13986"/>
    <w:rsid w:val="00D20F57"/>
    <w:rsid w:val="00D235B7"/>
    <w:rsid w:val="00D2519A"/>
    <w:rsid w:val="00D25F28"/>
    <w:rsid w:val="00D27973"/>
    <w:rsid w:val="00D3132C"/>
    <w:rsid w:val="00D35F0C"/>
    <w:rsid w:val="00D45F63"/>
    <w:rsid w:val="00D50F46"/>
    <w:rsid w:val="00D529DD"/>
    <w:rsid w:val="00D56CD5"/>
    <w:rsid w:val="00D56D90"/>
    <w:rsid w:val="00D60D93"/>
    <w:rsid w:val="00D60D97"/>
    <w:rsid w:val="00D62BC0"/>
    <w:rsid w:val="00D63625"/>
    <w:rsid w:val="00D66223"/>
    <w:rsid w:val="00D72727"/>
    <w:rsid w:val="00D8084C"/>
    <w:rsid w:val="00D872A2"/>
    <w:rsid w:val="00D91258"/>
    <w:rsid w:val="00D92E20"/>
    <w:rsid w:val="00D93ABC"/>
    <w:rsid w:val="00D95A86"/>
    <w:rsid w:val="00DA3030"/>
    <w:rsid w:val="00DA5195"/>
    <w:rsid w:val="00DA5329"/>
    <w:rsid w:val="00DA558F"/>
    <w:rsid w:val="00DA7C0C"/>
    <w:rsid w:val="00DB17FF"/>
    <w:rsid w:val="00DB2EC8"/>
    <w:rsid w:val="00DB3BD8"/>
    <w:rsid w:val="00DC0DB3"/>
    <w:rsid w:val="00DC4882"/>
    <w:rsid w:val="00DC4ACC"/>
    <w:rsid w:val="00DC5B3B"/>
    <w:rsid w:val="00DD0824"/>
    <w:rsid w:val="00DD129F"/>
    <w:rsid w:val="00DD31CC"/>
    <w:rsid w:val="00DD6AF4"/>
    <w:rsid w:val="00DE09A0"/>
    <w:rsid w:val="00DE263C"/>
    <w:rsid w:val="00DE42AF"/>
    <w:rsid w:val="00DF07A5"/>
    <w:rsid w:val="00DF284E"/>
    <w:rsid w:val="00DF42FF"/>
    <w:rsid w:val="00DF6387"/>
    <w:rsid w:val="00E01C0E"/>
    <w:rsid w:val="00E0329C"/>
    <w:rsid w:val="00E03841"/>
    <w:rsid w:val="00E03972"/>
    <w:rsid w:val="00E03F9A"/>
    <w:rsid w:val="00E04694"/>
    <w:rsid w:val="00E061D9"/>
    <w:rsid w:val="00E10DD4"/>
    <w:rsid w:val="00E12B1E"/>
    <w:rsid w:val="00E13B88"/>
    <w:rsid w:val="00E14771"/>
    <w:rsid w:val="00E14C0A"/>
    <w:rsid w:val="00E17262"/>
    <w:rsid w:val="00E206F0"/>
    <w:rsid w:val="00E253A2"/>
    <w:rsid w:val="00E3009C"/>
    <w:rsid w:val="00E31C79"/>
    <w:rsid w:val="00E32371"/>
    <w:rsid w:val="00E3309D"/>
    <w:rsid w:val="00E34258"/>
    <w:rsid w:val="00E371CF"/>
    <w:rsid w:val="00E404AC"/>
    <w:rsid w:val="00E44890"/>
    <w:rsid w:val="00E454C5"/>
    <w:rsid w:val="00E45AD8"/>
    <w:rsid w:val="00E45F00"/>
    <w:rsid w:val="00E50156"/>
    <w:rsid w:val="00E50FF6"/>
    <w:rsid w:val="00E53470"/>
    <w:rsid w:val="00E539F6"/>
    <w:rsid w:val="00E57135"/>
    <w:rsid w:val="00E6519D"/>
    <w:rsid w:val="00E65904"/>
    <w:rsid w:val="00E6607F"/>
    <w:rsid w:val="00E67696"/>
    <w:rsid w:val="00E71A58"/>
    <w:rsid w:val="00E72A7A"/>
    <w:rsid w:val="00E73F0C"/>
    <w:rsid w:val="00E75C94"/>
    <w:rsid w:val="00E8019A"/>
    <w:rsid w:val="00E83157"/>
    <w:rsid w:val="00E85509"/>
    <w:rsid w:val="00E863E8"/>
    <w:rsid w:val="00E87615"/>
    <w:rsid w:val="00E9284B"/>
    <w:rsid w:val="00E93820"/>
    <w:rsid w:val="00EA098E"/>
    <w:rsid w:val="00EA0C68"/>
    <w:rsid w:val="00EA0F31"/>
    <w:rsid w:val="00EA20BB"/>
    <w:rsid w:val="00EA2DCF"/>
    <w:rsid w:val="00EA32BC"/>
    <w:rsid w:val="00EA5FF4"/>
    <w:rsid w:val="00EB2AD1"/>
    <w:rsid w:val="00EB4511"/>
    <w:rsid w:val="00EB48F6"/>
    <w:rsid w:val="00EB4EAA"/>
    <w:rsid w:val="00EB5555"/>
    <w:rsid w:val="00EC03D7"/>
    <w:rsid w:val="00EC21A5"/>
    <w:rsid w:val="00EC4C52"/>
    <w:rsid w:val="00EC525E"/>
    <w:rsid w:val="00EC5EBA"/>
    <w:rsid w:val="00EC684E"/>
    <w:rsid w:val="00ED0B23"/>
    <w:rsid w:val="00ED103E"/>
    <w:rsid w:val="00ED62C6"/>
    <w:rsid w:val="00ED64C1"/>
    <w:rsid w:val="00ED6777"/>
    <w:rsid w:val="00EE30F5"/>
    <w:rsid w:val="00EE3446"/>
    <w:rsid w:val="00EE3E78"/>
    <w:rsid w:val="00EE4B1B"/>
    <w:rsid w:val="00EF150D"/>
    <w:rsid w:val="00EF1F5A"/>
    <w:rsid w:val="00EF2129"/>
    <w:rsid w:val="00EF47BF"/>
    <w:rsid w:val="00F00430"/>
    <w:rsid w:val="00F04811"/>
    <w:rsid w:val="00F0488C"/>
    <w:rsid w:val="00F05F5E"/>
    <w:rsid w:val="00F10F11"/>
    <w:rsid w:val="00F12400"/>
    <w:rsid w:val="00F13B38"/>
    <w:rsid w:val="00F15AAA"/>
    <w:rsid w:val="00F15BEF"/>
    <w:rsid w:val="00F163D5"/>
    <w:rsid w:val="00F20CF3"/>
    <w:rsid w:val="00F24407"/>
    <w:rsid w:val="00F24FAA"/>
    <w:rsid w:val="00F25CD1"/>
    <w:rsid w:val="00F27CE9"/>
    <w:rsid w:val="00F3364D"/>
    <w:rsid w:val="00F35E90"/>
    <w:rsid w:val="00F437CC"/>
    <w:rsid w:val="00F45A64"/>
    <w:rsid w:val="00F47067"/>
    <w:rsid w:val="00F50B97"/>
    <w:rsid w:val="00F50CFB"/>
    <w:rsid w:val="00F525EB"/>
    <w:rsid w:val="00F623AA"/>
    <w:rsid w:val="00F63DDE"/>
    <w:rsid w:val="00F63FB7"/>
    <w:rsid w:val="00F649D2"/>
    <w:rsid w:val="00F6602B"/>
    <w:rsid w:val="00F714D1"/>
    <w:rsid w:val="00F71B6A"/>
    <w:rsid w:val="00F71EC4"/>
    <w:rsid w:val="00F7260E"/>
    <w:rsid w:val="00F73A0C"/>
    <w:rsid w:val="00F73A3B"/>
    <w:rsid w:val="00F756DB"/>
    <w:rsid w:val="00F762E2"/>
    <w:rsid w:val="00F8483C"/>
    <w:rsid w:val="00F85066"/>
    <w:rsid w:val="00F86726"/>
    <w:rsid w:val="00F969DD"/>
    <w:rsid w:val="00FA5D4D"/>
    <w:rsid w:val="00FB0EE2"/>
    <w:rsid w:val="00FB19E5"/>
    <w:rsid w:val="00FB3501"/>
    <w:rsid w:val="00FB50FB"/>
    <w:rsid w:val="00FB542E"/>
    <w:rsid w:val="00FB73B2"/>
    <w:rsid w:val="00FC0E5F"/>
    <w:rsid w:val="00FC1A95"/>
    <w:rsid w:val="00FC48E1"/>
    <w:rsid w:val="00FC56DE"/>
    <w:rsid w:val="00FC5D79"/>
    <w:rsid w:val="00FC684B"/>
    <w:rsid w:val="00FC6945"/>
    <w:rsid w:val="00FD28D3"/>
    <w:rsid w:val="00FD3265"/>
    <w:rsid w:val="00FE2F78"/>
    <w:rsid w:val="00FE3858"/>
    <w:rsid w:val="00FE69C1"/>
    <w:rsid w:val="00FF302A"/>
    <w:rsid w:val="00FF3D8E"/>
    <w:rsid w:val="00FF4E21"/>
    <w:rsid w:val="00FF5F37"/>
    <w:rsid w:val="00FF62CF"/>
    <w:rsid w:val="00FF6E1B"/>
    <w:rsid w:val="00FF7B96"/>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ecf4dd,#eaecee,#fcec0a,#fcecdb,#f1daf5"/>
    </o:shapedefaults>
    <o:shapelayout v:ext="edit">
      <o:idmap v:ext="edit" data="1"/>
    </o:shapelayout>
  </w:shapeDefaults>
  <w:decimalSymbol w:val=","/>
  <w:listSeparator w:val=";"/>
  <w14:docId w14:val="18BFED52"/>
  <w15:docId w15:val="{8339DFA1-D011-4BFC-92C4-5BFAFF0DCA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cs-CZ"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DF42FF"/>
    <w:pPr>
      <w:spacing w:after="240" w:line="288" w:lineRule="auto"/>
    </w:pPr>
    <w:rPr>
      <w:rFonts w:ascii="Arial" w:eastAsia="Times New Roman" w:hAnsi="Arial"/>
      <w:szCs w:val="24"/>
      <w:lang w:eastAsia="cs-CZ"/>
    </w:rPr>
  </w:style>
  <w:style w:type="paragraph" w:styleId="Nadpis1">
    <w:name w:val="heading 1"/>
    <w:next w:val="Normln"/>
    <w:link w:val="Nadpis1Char"/>
    <w:uiPriority w:val="9"/>
    <w:qFormat/>
    <w:rsid w:val="004900FF"/>
    <w:pPr>
      <w:keepNext/>
      <w:keepLines/>
      <w:spacing w:after="100" w:line="288" w:lineRule="auto"/>
      <w:contextualSpacing/>
      <w:outlineLvl w:val="0"/>
    </w:pPr>
    <w:rPr>
      <w:rFonts w:ascii="Arial" w:eastAsia="MS Gothic" w:hAnsi="Arial"/>
      <w:b/>
      <w:bCs/>
      <w:color w:val="C00000"/>
      <w:sz w:val="32"/>
      <w:szCs w:val="28"/>
      <w:lang w:eastAsia="cs-CZ"/>
    </w:rPr>
  </w:style>
  <w:style w:type="paragraph" w:styleId="Nadpis2">
    <w:name w:val="heading 2"/>
    <w:next w:val="Normln"/>
    <w:link w:val="Nadpis2Char"/>
    <w:uiPriority w:val="9"/>
    <w:qFormat/>
    <w:rsid w:val="004900FF"/>
    <w:pPr>
      <w:keepNext/>
      <w:keepLines/>
      <w:spacing w:line="288" w:lineRule="auto"/>
      <w:outlineLvl w:val="1"/>
    </w:pPr>
    <w:rPr>
      <w:rFonts w:ascii="Arial" w:eastAsia="MS Gothic" w:hAnsi="Arial"/>
      <w:b/>
      <w:bCs/>
      <w:color w:val="BC091B"/>
      <w:sz w:val="28"/>
      <w:szCs w:val="26"/>
      <w:lang w:eastAsia="cs-CZ"/>
    </w:rPr>
  </w:style>
  <w:style w:type="paragraph" w:styleId="Nadpis3">
    <w:name w:val="heading 3"/>
    <w:next w:val="Normln"/>
    <w:link w:val="Nadpis3Char"/>
    <w:uiPriority w:val="9"/>
    <w:qFormat/>
    <w:rsid w:val="004900FF"/>
    <w:pPr>
      <w:keepNext/>
      <w:keepLines/>
      <w:spacing w:line="288" w:lineRule="auto"/>
      <w:outlineLvl w:val="2"/>
    </w:pPr>
    <w:rPr>
      <w:rFonts w:ascii="Arial" w:eastAsia="MS Gothic" w:hAnsi="Arial"/>
      <w:b/>
      <w:bCs/>
      <w:color w:val="BC091B"/>
      <w:sz w:val="24"/>
      <w:szCs w:val="24"/>
      <w:lang w:eastAsia="cs-CZ"/>
    </w:rPr>
  </w:style>
  <w:style w:type="paragraph" w:styleId="Nadpis4">
    <w:name w:val="heading 4"/>
    <w:next w:val="Normln"/>
    <w:link w:val="Nadpis4Char"/>
    <w:uiPriority w:val="9"/>
    <w:qFormat/>
    <w:rsid w:val="004900FF"/>
    <w:pPr>
      <w:keepNext/>
      <w:keepLines/>
      <w:spacing w:line="288" w:lineRule="auto"/>
      <w:outlineLvl w:val="3"/>
    </w:pPr>
    <w:rPr>
      <w:rFonts w:ascii="Arial" w:eastAsia="MS Gothic" w:hAnsi="Arial"/>
      <w:b/>
      <w:bCs/>
      <w:iCs/>
      <w:color w:val="BC091B"/>
      <w:szCs w:val="24"/>
      <w:lang w:eastAsia="cs-CZ"/>
    </w:rPr>
  </w:style>
  <w:style w:type="paragraph" w:styleId="Nadpis9">
    <w:name w:val="heading 9"/>
    <w:basedOn w:val="Normln"/>
    <w:next w:val="Normln"/>
    <w:link w:val="Nadpis9Char"/>
    <w:uiPriority w:val="9"/>
    <w:semiHidden/>
    <w:unhideWhenUsed/>
    <w:qFormat/>
    <w:rsid w:val="00A30F65"/>
    <w:pPr>
      <w:spacing w:before="240" w:after="60"/>
      <w:outlineLvl w:val="8"/>
    </w:pPr>
    <w:rPr>
      <w:rFonts w:ascii="Cambria" w:hAnsi="Cambria"/>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
    <w:rsid w:val="004900FF"/>
    <w:rPr>
      <w:rFonts w:ascii="Arial" w:eastAsia="MS Gothic" w:hAnsi="Arial"/>
      <w:b/>
      <w:bCs/>
      <w:color w:val="C00000"/>
      <w:sz w:val="32"/>
      <w:szCs w:val="28"/>
    </w:rPr>
  </w:style>
  <w:style w:type="character" w:customStyle="1" w:styleId="Nadpis2Char">
    <w:name w:val="Nadpis 2 Char"/>
    <w:link w:val="Nadpis2"/>
    <w:uiPriority w:val="9"/>
    <w:rsid w:val="004900FF"/>
    <w:rPr>
      <w:rFonts w:ascii="Arial" w:eastAsia="MS Gothic" w:hAnsi="Arial"/>
      <w:b/>
      <w:bCs/>
      <w:color w:val="BC091B"/>
      <w:sz w:val="28"/>
      <w:szCs w:val="26"/>
    </w:rPr>
  </w:style>
  <w:style w:type="character" w:customStyle="1" w:styleId="Nadpis3Char">
    <w:name w:val="Nadpis 3 Char"/>
    <w:link w:val="Nadpis3"/>
    <w:uiPriority w:val="9"/>
    <w:rsid w:val="004900FF"/>
    <w:rPr>
      <w:rFonts w:ascii="Arial" w:eastAsia="MS Gothic" w:hAnsi="Arial"/>
      <w:b/>
      <w:bCs/>
      <w:color w:val="BC091B"/>
      <w:sz w:val="24"/>
      <w:szCs w:val="24"/>
    </w:rPr>
  </w:style>
  <w:style w:type="character" w:customStyle="1" w:styleId="Nadpis4Char">
    <w:name w:val="Nadpis 4 Char"/>
    <w:link w:val="Nadpis4"/>
    <w:uiPriority w:val="9"/>
    <w:rsid w:val="004900FF"/>
    <w:rPr>
      <w:rFonts w:ascii="Arial" w:eastAsia="MS Gothic" w:hAnsi="Arial"/>
      <w:b/>
      <w:bCs/>
      <w:iCs/>
      <w:color w:val="BC091B"/>
      <w:szCs w:val="24"/>
    </w:rPr>
  </w:style>
  <w:style w:type="character" w:customStyle="1" w:styleId="Nadpis9Char">
    <w:name w:val="Nadpis 9 Char"/>
    <w:link w:val="Nadpis9"/>
    <w:uiPriority w:val="9"/>
    <w:semiHidden/>
    <w:rsid w:val="00A30F65"/>
    <w:rPr>
      <w:rFonts w:ascii="Cambria" w:eastAsia="Times New Roman" w:hAnsi="Cambria" w:cs="Times New Roman"/>
      <w:sz w:val="22"/>
      <w:szCs w:val="22"/>
    </w:rPr>
  </w:style>
  <w:style w:type="character" w:styleId="Hypertextovodkaz">
    <w:name w:val="Hyperlink"/>
    <w:uiPriority w:val="99"/>
    <w:rsid w:val="00E71A58"/>
    <w:rPr>
      <w:color w:val="0000FF"/>
      <w:u w:val="single"/>
    </w:rPr>
  </w:style>
  <w:style w:type="paragraph" w:styleId="Zhlav">
    <w:name w:val="header"/>
    <w:link w:val="ZhlavChar"/>
    <w:uiPriority w:val="99"/>
    <w:unhideWhenUsed/>
    <w:qFormat/>
    <w:rsid w:val="00A418BC"/>
    <w:pPr>
      <w:spacing w:line="288" w:lineRule="auto"/>
    </w:pPr>
    <w:rPr>
      <w:rFonts w:ascii="Arial" w:hAnsi="Arial"/>
      <w:sz w:val="16"/>
      <w:szCs w:val="22"/>
    </w:rPr>
  </w:style>
  <w:style w:type="character" w:customStyle="1" w:styleId="ZhlavChar">
    <w:name w:val="Záhlaví Char"/>
    <w:link w:val="Zhlav"/>
    <w:uiPriority w:val="99"/>
    <w:rsid w:val="00A418BC"/>
    <w:rPr>
      <w:rFonts w:ascii="Arial" w:hAnsi="Arial"/>
      <w:sz w:val="16"/>
      <w:szCs w:val="22"/>
      <w:lang w:eastAsia="en-US"/>
    </w:rPr>
  </w:style>
  <w:style w:type="paragraph" w:styleId="Zpat">
    <w:name w:val="footer"/>
    <w:link w:val="ZpatChar"/>
    <w:uiPriority w:val="99"/>
    <w:unhideWhenUsed/>
    <w:qFormat/>
    <w:rsid w:val="00031AE0"/>
    <w:pPr>
      <w:tabs>
        <w:tab w:val="center" w:pos="4820"/>
        <w:tab w:val="right" w:pos="9639"/>
      </w:tabs>
    </w:pPr>
    <w:rPr>
      <w:rFonts w:ascii="Arial" w:hAnsi="Arial" w:cs="Arial"/>
      <w:noProof/>
      <w:sz w:val="16"/>
    </w:rPr>
  </w:style>
  <w:style w:type="character" w:customStyle="1" w:styleId="ZpatChar">
    <w:name w:val="Zápatí Char"/>
    <w:link w:val="Zpat"/>
    <w:uiPriority w:val="99"/>
    <w:rsid w:val="00031AE0"/>
    <w:rPr>
      <w:rFonts w:ascii="Arial" w:hAnsi="Arial" w:cs="Arial"/>
      <w:noProof/>
      <w:sz w:val="16"/>
      <w:lang w:eastAsia="en-US"/>
    </w:rPr>
  </w:style>
  <w:style w:type="paragraph" w:styleId="Textbubliny">
    <w:name w:val="Balloon Text"/>
    <w:basedOn w:val="Normln"/>
    <w:link w:val="TextbublinyChar"/>
    <w:uiPriority w:val="99"/>
    <w:semiHidden/>
    <w:unhideWhenUsed/>
    <w:rsid w:val="00E71A58"/>
    <w:rPr>
      <w:rFonts w:ascii="Tahoma" w:eastAsia="Calibri" w:hAnsi="Tahoma"/>
      <w:sz w:val="16"/>
      <w:szCs w:val="16"/>
      <w:lang w:val="x-none" w:eastAsia="x-none"/>
    </w:rPr>
  </w:style>
  <w:style w:type="character" w:customStyle="1" w:styleId="TextbublinyChar">
    <w:name w:val="Text bubliny Char"/>
    <w:link w:val="Textbubliny"/>
    <w:uiPriority w:val="99"/>
    <w:semiHidden/>
    <w:rsid w:val="00E71A58"/>
    <w:rPr>
      <w:rFonts w:ascii="Tahoma" w:hAnsi="Tahoma" w:cs="Tahoma"/>
      <w:sz w:val="16"/>
      <w:szCs w:val="16"/>
    </w:rPr>
  </w:style>
  <w:style w:type="paragraph" w:customStyle="1" w:styleId="Zkladnodstavec">
    <w:name w:val="[Základní odstavec]"/>
    <w:link w:val="ZkladnodstavecChar"/>
    <w:uiPriority w:val="99"/>
    <w:rsid w:val="0008263E"/>
    <w:pPr>
      <w:autoSpaceDE w:val="0"/>
      <w:autoSpaceDN w:val="0"/>
      <w:adjustRightInd w:val="0"/>
      <w:spacing w:line="276" w:lineRule="auto"/>
      <w:textAlignment w:val="center"/>
    </w:pPr>
    <w:rPr>
      <w:rFonts w:ascii="Arial" w:hAnsi="Arial" w:cs="Minion Pro"/>
      <w:color w:val="000000"/>
      <w:szCs w:val="24"/>
      <w:lang w:eastAsia="cs-CZ"/>
    </w:rPr>
  </w:style>
  <w:style w:type="character" w:customStyle="1" w:styleId="ZkladnodstavecChar">
    <w:name w:val="[Základní odstavec] Char"/>
    <w:link w:val="Zkladnodstavec"/>
    <w:uiPriority w:val="99"/>
    <w:rsid w:val="0008263E"/>
    <w:rPr>
      <w:rFonts w:ascii="Arial" w:hAnsi="Arial" w:cs="Minion Pro"/>
      <w:color w:val="000000"/>
      <w:szCs w:val="24"/>
    </w:rPr>
  </w:style>
  <w:style w:type="paragraph" w:styleId="Obsah1">
    <w:name w:val="toc 1"/>
    <w:basedOn w:val="Obsahpoloky"/>
    <w:next w:val="Obsahpoloky"/>
    <w:autoRedefine/>
    <w:uiPriority w:val="39"/>
    <w:unhideWhenUsed/>
    <w:rsid w:val="004B0288"/>
    <w:pPr>
      <w:tabs>
        <w:tab w:val="left" w:pos="400"/>
      </w:tabs>
      <w:ind w:left="142"/>
    </w:pPr>
  </w:style>
  <w:style w:type="paragraph" w:customStyle="1" w:styleId="TLIdentifikace-sted">
    <w:name w:val="TL Identifikace - střed"/>
    <w:qFormat/>
    <w:rsid w:val="009A60D1"/>
    <w:pPr>
      <w:spacing w:after="200" w:line="288" w:lineRule="auto"/>
    </w:pPr>
    <w:rPr>
      <w:rFonts w:ascii="Arial" w:eastAsia="Times New Roman" w:hAnsi="Arial"/>
      <w:sz w:val="24"/>
      <w:szCs w:val="24"/>
      <w:lang w:eastAsia="cs-CZ"/>
    </w:rPr>
  </w:style>
  <w:style w:type="paragraph" w:customStyle="1" w:styleId="Obsah">
    <w:name w:val="Obsah"/>
    <w:next w:val="Normln"/>
    <w:qFormat/>
    <w:rsid w:val="004900FF"/>
    <w:pPr>
      <w:spacing w:after="80" w:line="288" w:lineRule="auto"/>
    </w:pPr>
    <w:rPr>
      <w:rFonts w:ascii="Arial" w:eastAsia="Times New Roman" w:hAnsi="Arial"/>
      <w:b/>
      <w:color w:val="BC091B"/>
      <w:sz w:val="32"/>
      <w:szCs w:val="24"/>
      <w:lang w:eastAsia="cs-CZ"/>
    </w:rPr>
  </w:style>
  <w:style w:type="paragraph" w:customStyle="1" w:styleId="Obsahpoloky">
    <w:name w:val="Obsah položky"/>
    <w:qFormat/>
    <w:rsid w:val="00616E05"/>
    <w:pPr>
      <w:tabs>
        <w:tab w:val="right" w:leader="dot" w:pos="9639"/>
      </w:tabs>
      <w:spacing w:line="288" w:lineRule="auto"/>
    </w:pPr>
    <w:rPr>
      <w:rFonts w:ascii="Arial" w:eastAsia="Times New Roman" w:hAnsi="Arial"/>
      <w:szCs w:val="24"/>
      <w:lang w:eastAsia="cs-CZ"/>
    </w:rPr>
  </w:style>
  <w:style w:type="paragraph" w:customStyle="1" w:styleId="Box1">
    <w:name w:val="Box 1"/>
    <w:next w:val="Normln"/>
    <w:qFormat/>
    <w:rsid w:val="004900FF"/>
    <w:pPr>
      <w:shd w:val="clear" w:color="auto" w:fill="F5DADD"/>
      <w:spacing w:before="240" w:after="240" w:line="288" w:lineRule="auto"/>
      <w:ind w:left="709"/>
      <w:contextualSpacing/>
    </w:pPr>
    <w:rPr>
      <w:rFonts w:ascii="Arial" w:hAnsi="Arial" w:cs="Arial"/>
      <w:lang w:eastAsia="cs-CZ"/>
    </w:rPr>
  </w:style>
  <w:style w:type="paragraph" w:customStyle="1" w:styleId="Box2">
    <w:name w:val="Box 2"/>
    <w:qFormat/>
    <w:rsid w:val="004900FF"/>
    <w:pPr>
      <w:spacing w:before="240" w:after="240" w:line="288" w:lineRule="auto"/>
      <w:ind w:left="709"/>
      <w:contextualSpacing/>
    </w:pPr>
    <w:rPr>
      <w:rFonts w:ascii="Arial" w:hAnsi="Arial" w:cs="Arial"/>
      <w:color w:val="BC091B"/>
      <w:lang w:eastAsia="cs-CZ"/>
    </w:rPr>
  </w:style>
  <w:style w:type="paragraph" w:styleId="Seznam">
    <w:name w:val="List"/>
    <w:basedOn w:val="Normln"/>
    <w:uiPriority w:val="99"/>
    <w:unhideWhenUsed/>
    <w:qFormat/>
    <w:rsid w:val="00481E40"/>
    <w:pPr>
      <w:contextualSpacing/>
    </w:pPr>
  </w:style>
  <w:style w:type="character" w:styleId="Siln">
    <w:name w:val="Strong"/>
    <w:aliases w:val="Tučné"/>
    <w:uiPriority w:val="22"/>
    <w:qFormat/>
    <w:rsid w:val="00EC03D7"/>
    <w:rPr>
      <w:rFonts w:ascii="Arial" w:hAnsi="Arial"/>
      <w:b/>
      <w:bCs/>
      <w:sz w:val="20"/>
    </w:rPr>
  </w:style>
  <w:style w:type="paragraph" w:customStyle="1" w:styleId="TLKontaktyerven">
    <w:name w:val="TL Kontakty červené"/>
    <w:basedOn w:val="Normln"/>
    <w:qFormat/>
    <w:rsid w:val="00104C4C"/>
    <w:pPr>
      <w:spacing w:after="40"/>
      <w:contextualSpacing/>
    </w:pPr>
    <w:rPr>
      <w:b/>
      <w:caps/>
      <w:color w:val="BD1B21"/>
      <w:sz w:val="24"/>
    </w:rPr>
  </w:style>
  <w:style w:type="paragraph" w:customStyle="1" w:styleId="TLKontakty">
    <w:name w:val="TL Kontakty"/>
    <w:qFormat/>
    <w:rsid w:val="008E6F06"/>
    <w:pPr>
      <w:spacing w:after="160" w:line="259" w:lineRule="auto"/>
      <w:contextualSpacing/>
    </w:pPr>
    <w:rPr>
      <w:rFonts w:ascii="Arial" w:eastAsia="Times New Roman" w:hAnsi="Arial"/>
      <w:b/>
      <w:color w:val="0071BC"/>
      <w:lang w:eastAsia="cs-CZ"/>
    </w:rPr>
  </w:style>
  <w:style w:type="paragraph" w:styleId="Nzev">
    <w:name w:val="Title"/>
    <w:link w:val="NzevChar"/>
    <w:uiPriority w:val="10"/>
    <w:qFormat/>
    <w:rsid w:val="004900FF"/>
    <w:pPr>
      <w:spacing w:line="288" w:lineRule="auto"/>
    </w:pPr>
    <w:rPr>
      <w:rFonts w:ascii="Arial" w:eastAsia="Times New Roman" w:hAnsi="Arial"/>
      <w:b/>
      <w:bCs/>
      <w:caps/>
      <w:color w:val="BC091B"/>
      <w:kern w:val="28"/>
      <w:sz w:val="56"/>
      <w:szCs w:val="32"/>
      <w:lang w:eastAsia="cs-CZ"/>
    </w:rPr>
  </w:style>
  <w:style w:type="character" w:customStyle="1" w:styleId="NzevChar">
    <w:name w:val="Název Char"/>
    <w:link w:val="Nzev"/>
    <w:uiPriority w:val="10"/>
    <w:rsid w:val="004900FF"/>
    <w:rPr>
      <w:rFonts w:ascii="Arial" w:eastAsia="Times New Roman" w:hAnsi="Arial"/>
      <w:b/>
      <w:bCs/>
      <w:caps/>
      <w:color w:val="BC091B"/>
      <w:kern w:val="28"/>
      <w:sz w:val="56"/>
      <w:szCs w:val="32"/>
    </w:rPr>
  </w:style>
  <w:style w:type="paragraph" w:styleId="Podnadpis">
    <w:name w:val="Subtitle"/>
    <w:link w:val="PodnadpisChar"/>
    <w:uiPriority w:val="11"/>
    <w:qFormat/>
    <w:rsid w:val="004900FF"/>
    <w:pPr>
      <w:spacing w:line="288" w:lineRule="auto"/>
    </w:pPr>
    <w:rPr>
      <w:rFonts w:ascii="Arial" w:eastAsia="Times New Roman" w:hAnsi="Arial" w:cs="Arial"/>
      <w:b/>
      <w:color w:val="BC091B"/>
      <w:sz w:val="28"/>
      <w:szCs w:val="24"/>
      <w:lang w:eastAsia="cs-CZ"/>
    </w:rPr>
  </w:style>
  <w:style w:type="character" w:customStyle="1" w:styleId="PodnadpisChar">
    <w:name w:val="Podnadpis Char"/>
    <w:link w:val="Podnadpis"/>
    <w:uiPriority w:val="11"/>
    <w:rsid w:val="004900FF"/>
    <w:rPr>
      <w:rFonts w:ascii="Arial" w:eastAsia="Times New Roman" w:hAnsi="Arial" w:cs="Arial"/>
      <w:b/>
      <w:color w:val="BC091B"/>
      <w:sz w:val="28"/>
      <w:szCs w:val="24"/>
    </w:rPr>
  </w:style>
  <w:style w:type="paragraph" w:styleId="Obsah2">
    <w:name w:val="toc 2"/>
    <w:basedOn w:val="Obsahpoloky"/>
    <w:next w:val="Obsahpoloky"/>
    <w:autoRedefine/>
    <w:uiPriority w:val="39"/>
    <w:unhideWhenUsed/>
    <w:rsid w:val="004B0288"/>
    <w:pPr>
      <w:tabs>
        <w:tab w:val="left" w:pos="600"/>
      </w:tabs>
      <w:ind w:left="200"/>
    </w:pPr>
  </w:style>
  <w:style w:type="paragraph" w:styleId="Obsah3">
    <w:name w:val="toc 3"/>
    <w:basedOn w:val="Obsahpoloky"/>
    <w:next w:val="Obsahpoloky"/>
    <w:autoRedefine/>
    <w:uiPriority w:val="39"/>
    <w:unhideWhenUsed/>
    <w:rsid w:val="002858F4"/>
    <w:pPr>
      <w:tabs>
        <w:tab w:val="left" w:pos="1000"/>
      </w:tabs>
      <w:ind w:left="400"/>
    </w:pPr>
  </w:style>
  <w:style w:type="paragraph" w:styleId="Obsah4">
    <w:name w:val="toc 4"/>
    <w:basedOn w:val="Obsahpoloky"/>
    <w:next w:val="Obsahpoloky"/>
    <w:autoRedefine/>
    <w:uiPriority w:val="39"/>
    <w:unhideWhenUsed/>
    <w:rsid w:val="00FC1A95"/>
    <w:pPr>
      <w:ind w:left="600"/>
    </w:pPr>
  </w:style>
  <w:style w:type="paragraph" w:styleId="Obsah5">
    <w:name w:val="toc 5"/>
    <w:basedOn w:val="Obsahpoloky"/>
    <w:next w:val="Obsahpoloky"/>
    <w:autoRedefine/>
    <w:uiPriority w:val="39"/>
    <w:semiHidden/>
    <w:unhideWhenUsed/>
    <w:rsid w:val="00FC1A95"/>
    <w:pPr>
      <w:ind w:left="800"/>
    </w:pPr>
  </w:style>
  <w:style w:type="paragraph" w:styleId="Obsah6">
    <w:name w:val="toc 6"/>
    <w:basedOn w:val="Obsahpoloky"/>
    <w:next w:val="Obsahpoloky"/>
    <w:autoRedefine/>
    <w:uiPriority w:val="39"/>
    <w:semiHidden/>
    <w:unhideWhenUsed/>
    <w:rsid w:val="00FC1A95"/>
    <w:pPr>
      <w:ind w:left="1000"/>
    </w:pPr>
  </w:style>
  <w:style w:type="paragraph" w:styleId="Obsah7">
    <w:name w:val="toc 7"/>
    <w:basedOn w:val="Obsahpoloky"/>
    <w:next w:val="Obsahpoloky"/>
    <w:autoRedefine/>
    <w:uiPriority w:val="39"/>
    <w:semiHidden/>
    <w:unhideWhenUsed/>
    <w:rsid w:val="00FC1A95"/>
    <w:pPr>
      <w:ind w:left="1200"/>
    </w:pPr>
  </w:style>
  <w:style w:type="paragraph" w:styleId="Obsah8">
    <w:name w:val="toc 8"/>
    <w:basedOn w:val="Obsahpoloky"/>
    <w:next w:val="Obsahpoloky"/>
    <w:autoRedefine/>
    <w:uiPriority w:val="39"/>
    <w:semiHidden/>
    <w:unhideWhenUsed/>
    <w:rsid w:val="00FC1A95"/>
    <w:pPr>
      <w:ind w:left="1400"/>
    </w:pPr>
  </w:style>
  <w:style w:type="paragraph" w:styleId="Obsah9">
    <w:name w:val="toc 9"/>
    <w:basedOn w:val="Obsahpoloky"/>
    <w:next w:val="Obsahpoloky"/>
    <w:autoRedefine/>
    <w:uiPriority w:val="39"/>
    <w:semiHidden/>
    <w:unhideWhenUsed/>
    <w:rsid w:val="00924AC8"/>
    <w:pPr>
      <w:ind w:left="1600"/>
    </w:pPr>
  </w:style>
  <w:style w:type="character" w:styleId="Znakapoznpodarou">
    <w:name w:val="footnote reference"/>
    <w:rsid w:val="007241C5"/>
    <w:rPr>
      <w:vertAlign w:val="superscript"/>
    </w:rPr>
  </w:style>
  <w:style w:type="paragraph" w:styleId="Textpoznpodarou">
    <w:name w:val="footnote text"/>
    <w:basedOn w:val="Normln"/>
    <w:link w:val="TextpoznpodarouChar"/>
    <w:uiPriority w:val="99"/>
    <w:semiHidden/>
    <w:rsid w:val="007241C5"/>
    <w:pPr>
      <w:spacing w:after="0"/>
    </w:pPr>
    <w:rPr>
      <w:szCs w:val="20"/>
    </w:rPr>
  </w:style>
  <w:style w:type="character" w:customStyle="1" w:styleId="TextpoznpodarouChar">
    <w:name w:val="Text pozn. pod čarou Char"/>
    <w:basedOn w:val="Standardnpsmoodstavce"/>
    <w:link w:val="Textpoznpodarou"/>
    <w:uiPriority w:val="99"/>
    <w:semiHidden/>
    <w:rsid w:val="007241C5"/>
    <w:rPr>
      <w:rFonts w:ascii="Arial" w:eastAsia="Times New Roman" w:hAnsi="Arial"/>
      <w:lang w:eastAsia="cs-CZ"/>
    </w:rPr>
  </w:style>
  <w:style w:type="paragraph" w:styleId="Odstavecseseznamem">
    <w:name w:val="List Paragraph"/>
    <w:basedOn w:val="Normln"/>
    <w:uiPriority w:val="99"/>
    <w:qFormat/>
    <w:rsid w:val="007241C5"/>
    <w:pPr>
      <w:ind w:left="720"/>
      <w:contextualSpacing/>
    </w:pPr>
  </w:style>
  <w:style w:type="paragraph" w:styleId="Normlnweb">
    <w:name w:val="Normal (Web)"/>
    <w:basedOn w:val="Normln"/>
    <w:uiPriority w:val="99"/>
    <w:unhideWhenUsed/>
    <w:rsid w:val="0094191B"/>
    <w:pPr>
      <w:spacing w:before="100" w:beforeAutospacing="1" w:after="100" w:afterAutospacing="1" w:line="240" w:lineRule="auto"/>
    </w:pPr>
    <w:rPr>
      <w:rFonts w:ascii="Times New Roman" w:hAnsi="Times New Roman"/>
      <w:sz w:val="24"/>
    </w:rPr>
  </w:style>
  <w:style w:type="character" w:styleId="Sledovanodkaz">
    <w:name w:val="FollowedHyperlink"/>
    <w:basedOn w:val="Standardnpsmoodstavce"/>
    <w:uiPriority w:val="99"/>
    <w:semiHidden/>
    <w:unhideWhenUsed/>
    <w:rsid w:val="000E0772"/>
    <w:rPr>
      <w:color w:val="800080" w:themeColor="followedHyperlink"/>
      <w:u w:val="single"/>
    </w:rPr>
  </w:style>
  <w:style w:type="paragraph" w:customStyle="1" w:styleId="Default">
    <w:name w:val="Default"/>
    <w:rsid w:val="009F0B87"/>
    <w:pPr>
      <w:autoSpaceDE w:val="0"/>
      <w:autoSpaceDN w:val="0"/>
      <w:adjustRightInd w:val="0"/>
    </w:pPr>
    <w:rPr>
      <w:rFonts w:ascii="Arial" w:hAnsi="Arial" w:cs="Arial"/>
      <w:color w:val="000000"/>
      <w:sz w:val="24"/>
      <w:szCs w:val="24"/>
    </w:rPr>
  </w:style>
  <w:style w:type="paragraph" w:styleId="Zkladntextodsazen">
    <w:name w:val="Body Text Indent"/>
    <w:basedOn w:val="Normln"/>
    <w:link w:val="ZkladntextodsazenChar"/>
    <w:uiPriority w:val="99"/>
    <w:rsid w:val="00B608FE"/>
    <w:pPr>
      <w:spacing w:after="0" w:line="240" w:lineRule="auto"/>
      <w:ind w:left="360"/>
    </w:pPr>
    <w:rPr>
      <w:szCs w:val="20"/>
    </w:rPr>
  </w:style>
  <w:style w:type="character" w:customStyle="1" w:styleId="ZkladntextodsazenChar">
    <w:name w:val="Základní text odsazený Char"/>
    <w:basedOn w:val="Standardnpsmoodstavce"/>
    <w:link w:val="Zkladntextodsazen"/>
    <w:uiPriority w:val="99"/>
    <w:rsid w:val="00B608FE"/>
    <w:rPr>
      <w:rFonts w:ascii="Arial" w:eastAsia="Times New Roman" w:hAnsi="Arial"/>
      <w:lang w:eastAsia="cs-CZ"/>
    </w:rPr>
  </w:style>
  <w:style w:type="character" w:styleId="Odkaznakoment">
    <w:name w:val="annotation reference"/>
    <w:basedOn w:val="Standardnpsmoodstavce"/>
    <w:uiPriority w:val="99"/>
    <w:semiHidden/>
    <w:unhideWhenUsed/>
    <w:rsid w:val="00C577E3"/>
    <w:rPr>
      <w:sz w:val="16"/>
      <w:szCs w:val="16"/>
    </w:rPr>
  </w:style>
  <w:style w:type="paragraph" w:styleId="Textkomente">
    <w:name w:val="annotation text"/>
    <w:basedOn w:val="Normln"/>
    <w:link w:val="TextkomenteChar"/>
    <w:uiPriority w:val="99"/>
    <w:unhideWhenUsed/>
    <w:rsid w:val="00C577E3"/>
    <w:pPr>
      <w:spacing w:line="240" w:lineRule="auto"/>
    </w:pPr>
    <w:rPr>
      <w:szCs w:val="20"/>
    </w:rPr>
  </w:style>
  <w:style w:type="character" w:customStyle="1" w:styleId="TextkomenteChar">
    <w:name w:val="Text komentáře Char"/>
    <w:basedOn w:val="Standardnpsmoodstavce"/>
    <w:link w:val="Textkomente"/>
    <w:uiPriority w:val="99"/>
    <w:rsid w:val="00C577E3"/>
    <w:rPr>
      <w:rFonts w:ascii="Arial" w:eastAsia="Times New Roman" w:hAnsi="Arial"/>
      <w:lang w:eastAsia="cs-CZ"/>
    </w:rPr>
  </w:style>
  <w:style w:type="paragraph" w:styleId="Pedmtkomente">
    <w:name w:val="annotation subject"/>
    <w:basedOn w:val="Textkomente"/>
    <w:next w:val="Textkomente"/>
    <w:link w:val="PedmtkomenteChar"/>
    <w:uiPriority w:val="99"/>
    <w:semiHidden/>
    <w:unhideWhenUsed/>
    <w:rsid w:val="00C577E3"/>
    <w:rPr>
      <w:b/>
      <w:bCs/>
    </w:rPr>
  </w:style>
  <w:style w:type="character" w:customStyle="1" w:styleId="PedmtkomenteChar">
    <w:name w:val="Předmět komentáře Char"/>
    <w:basedOn w:val="TextkomenteChar"/>
    <w:link w:val="Pedmtkomente"/>
    <w:uiPriority w:val="99"/>
    <w:semiHidden/>
    <w:rsid w:val="00C577E3"/>
    <w:rPr>
      <w:rFonts w:ascii="Arial" w:eastAsia="Times New Roman" w:hAnsi="Arial"/>
      <w:b/>
      <w:bCs/>
      <w:lang w:eastAsia="cs-CZ"/>
    </w:rPr>
  </w:style>
  <w:style w:type="paragraph" w:styleId="Revize">
    <w:name w:val="Revision"/>
    <w:hidden/>
    <w:uiPriority w:val="99"/>
    <w:semiHidden/>
    <w:rsid w:val="00B71CB0"/>
    <w:rPr>
      <w:rFonts w:ascii="Arial" w:eastAsia="Times New Roman" w:hAnsi="Arial"/>
      <w:szCs w:val="24"/>
      <w:lang w:eastAsia="cs-CZ"/>
    </w:rPr>
  </w:style>
  <w:style w:type="character" w:customStyle="1" w:styleId="content">
    <w:name w:val="content"/>
    <w:basedOn w:val="Standardnpsmoodstavce"/>
    <w:rsid w:val="00DC488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86699">
      <w:bodyDiv w:val="1"/>
      <w:marLeft w:val="0"/>
      <w:marRight w:val="0"/>
      <w:marTop w:val="0"/>
      <w:marBottom w:val="0"/>
      <w:divBdr>
        <w:top w:val="none" w:sz="0" w:space="0" w:color="auto"/>
        <w:left w:val="none" w:sz="0" w:space="0" w:color="auto"/>
        <w:bottom w:val="none" w:sz="0" w:space="0" w:color="auto"/>
        <w:right w:val="none" w:sz="0" w:space="0" w:color="auto"/>
      </w:divBdr>
    </w:div>
    <w:div w:id="163784574">
      <w:bodyDiv w:val="1"/>
      <w:marLeft w:val="0"/>
      <w:marRight w:val="0"/>
      <w:marTop w:val="0"/>
      <w:marBottom w:val="0"/>
      <w:divBdr>
        <w:top w:val="none" w:sz="0" w:space="0" w:color="auto"/>
        <w:left w:val="none" w:sz="0" w:space="0" w:color="auto"/>
        <w:bottom w:val="none" w:sz="0" w:space="0" w:color="auto"/>
        <w:right w:val="none" w:sz="0" w:space="0" w:color="auto"/>
      </w:divBdr>
    </w:div>
    <w:div w:id="164168761">
      <w:bodyDiv w:val="1"/>
      <w:marLeft w:val="0"/>
      <w:marRight w:val="0"/>
      <w:marTop w:val="0"/>
      <w:marBottom w:val="0"/>
      <w:divBdr>
        <w:top w:val="none" w:sz="0" w:space="0" w:color="auto"/>
        <w:left w:val="none" w:sz="0" w:space="0" w:color="auto"/>
        <w:bottom w:val="none" w:sz="0" w:space="0" w:color="auto"/>
        <w:right w:val="none" w:sz="0" w:space="0" w:color="auto"/>
      </w:divBdr>
    </w:div>
    <w:div w:id="187254731">
      <w:bodyDiv w:val="1"/>
      <w:marLeft w:val="0"/>
      <w:marRight w:val="0"/>
      <w:marTop w:val="0"/>
      <w:marBottom w:val="0"/>
      <w:divBdr>
        <w:top w:val="none" w:sz="0" w:space="0" w:color="auto"/>
        <w:left w:val="none" w:sz="0" w:space="0" w:color="auto"/>
        <w:bottom w:val="none" w:sz="0" w:space="0" w:color="auto"/>
        <w:right w:val="none" w:sz="0" w:space="0" w:color="auto"/>
      </w:divBdr>
    </w:div>
    <w:div w:id="194389796">
      <w:bodyDiv w:val="1"/>
      <w:marLeft w:val="0"/>
      <w:marRight w:val="0"/>
      <w:marTop w:val="0"/>
      <w:marBottom w:val="0"/>
      <w:divBdr>
        <w:top w:val="none" w:sz="0" w:space="0" w:color="auto"/>
        <w:left w:val="none" w:sz="0" w:space="0" w:color="auto"/>
        <w:bottom w:val="none" w:sz="0" w:space="0" w:color="auto"/>
        <w:right w:val="none" w:sz="0" w:space="0" w:color="auto"/>
      </w:divBdr>
    </w:div>
    <w:div w:id="200362332">
      <w:bodyDiv w:val="1"/>
      <w:marLeft w:val="0"/>
      <w:marRight w:val="0"/>
      <w:marTop w:val="0"/>
      <w:marBottom w:val="0"/>
      <w:divBdr>
        <w:top w:val="none" w:sz="0" w:space="0" w:color="auto"/>
        <w:left w:val="none" w:sz="0" w:space="0" w:color="auto"/>
        <w:bottom w:val="none" w:sz="0" w:space="0" w:color="auto"/>
        <w:right w:val="none" w:sz="0" w:space="0" w:color="auto"/>
      </w:divBdr>
    </w:div>
    <w:div w:id="211164063">
      <w:bodyDiv w:val="1"/>
      <w:marLeft w:val="0"/>
      <w:marRight w:val="0"/>
      <w:marTop w:val="0"/>
      <w:marBottom w:val="0"/>
      <w:divBdr>
        <w:top w:val="none" w:sz="0" w:space="0" w:color="auto"/>
        <w:left w:val="none" w:sz="0" w:space="0" w:color="auto"/>
        <w:bottom w:val="none" w:sz="0" w:space="0" w:color="auto"/>
        <w:right w:val="none" w:sz="0" w:space="0" w:color="auto"/>
      </w:divBdr>
    </w:div>
    <w:div w:id="241523051">
      <w:bodyDiv w:val="1"/>
      <w:marLeft w:val="0"/>
      <w:marRight w:val="0"/>
      <w:marTop w:val="0"/>
      <w:marBottom w:val="0"/>
      <w:divBdr>
        <w:top w:val="none" w:sz="0" w:space="0" w:color="auto"/>
        <w:left w:val="none" w:sz="0" w:space="0" w:color="auto"/>
        <w:bottom w:val="none" w:sz="0" w:space="0" w:color="auto"/>
        <w:right w:val="none" w:sz="0" w:space="0" w:color="auto"/>
      </w:divBdr>
    </w:div>
    <w:div w:id="253560311">
      <w:bodyDiv w:val="1"/>
      <w:marLeft w:val="0"/>
      <w:marRight w:val="0"/>
      <w:marTop w:val="0"/>
      <w:marBottom w:val="0"/>
      <w:divBdr>
        <w:top w:val="none" w:sz="0" w:space="0" w:color="auto"/>
        <w:left w:val="none" w:sz="0" w:space="0" w:color="auto"/>
        <w:bottom w:val="none" w:sz="0" w:space="0" w:color="auto"/>
        <w:right w:val="none" w:sz="0" w:space="0" w:color="auto"/>
      </w:divBdr>
    </w:div>
    <w:div w:id="258635098">
      <w:bodyDiv w:val="1"/>
      <w:marLeft w:val="0"/>
      <w:marRight w:val="0"/>
      <w:marTop w:val="0"/>
      <w:marBottom w:val="0"/>
      <w:divBdr>
        <w:top w:val="none" w:sz="0" w:space="0" w:color="auto"/>
        <w:left w:val="none" w:sz="0" w:space="0" w:color="auto"/>
        <w:bottom w:val="none" w:sz="0" w:space="0" w:color="auto"/>
        <w:right w:val="none" w:sz="0" w:space="0" w:color="auto"/>
      </w:divBdr>
    </w:div>
    <w:div w:id="264115308">
      <w:bodyDiv w:val="1"/>
      <w:marLeft w:val="0"/>
      <w:marRight w:val="0"/>
      <w:marTop w:val="0"/>
      <w:marBottom w:val="0"/>
      <w:divBdr>
        <w:top w:val="none" w:sz="0" w:space="0" w:color="auto"/>
        <w:left w:val="none" w:sz="0" w:space="0" w:color="auto"/>
        <w:bottom w:val="none" w:sz="0" w:space="0" w:color="auto"/>
        <w:right w:val="none" w:sz="0" w:space="0" w:color="auto"/>
      </w:divBdr>
    </w:div>
    <w:div w:id="278606557">
      <w:bodyDiv w:val="1"/>
      <w:marLeft w:val="0"/>
      <w:marRight w:val="0"/>
      <w:marTop w:val="0"/>
      <w:marBottom w:val="0"/>
      <w:divBdr>
        <w:top w:val="none" w:sz="0" w:space="0" w:color="auto"/>
        <w:left w:val="none" w:sz="0" w:space="0" w:color="auto"/>
        <w:bottom w:val="none" w:sz="0" w:space="0" w:color="auto"/>
        <w:right w:val="none" w:sz="0" w:space="0" w:color="auto"/>
      </w:divBdr>
    </w:div>
    <w:div w:id="320161535">
      <w:bodyDiv w:val="1"/>
      <w:marLeft w:val="0"/>
      <w:marRight w:val="0"/>
      <w:marTop w:val="0"/>
      <w:marBottom w:val="0"/>
      <w:divBdr>
        <w:top w:val="none" w:sz="0" w:space="0" w:color="auto"/>
        <w:left w:val="none" w:sz="0" w:space="0" w:color="auto"/>
        <w:bottom w:val="none" w:sz="0" w:space="0" w:color="auto"/>
        <w:right w:val="none" w:sz="0" w:space="0" w:color="auto"/>
      </w:divBdr>
    </w:div>
    <w:div w:id="370963889">
      <w:bodyDiv w:val="1"/>
      <w:marLeft w:val="0"/>
      <w:marRight w:val="0"/>
      <w:marTop w:val="0"/>
      <w:marBottom w:val="0"/>
      <w:divBdr>
        <w:top w:val="none" w:sz="0" w:space="0" w:color="auto"/>
        <w:left w:val="none" w:sz="0" w:space="0" w:color="auto"/>
        <w:bottom w:val="none" w:sz="0" w:space="0" w:color="auto"/>
        <w:right w:val="none" w:sz="0" w:space="0" w:color="auto"/>
      </w:divBdr>
    </w:div>
    <w:div w:id="378943592">
      <w:bodyDiv w:val="1"/>
      <w:marLeft w:val="0"/>
      <w:marRight w:val="0"/>
      <w:marTop w:val="0"/>
      <w:marBottom w:val="0"/>
      <w:divBdr>
        <w:top w:val="none" w:sz="0" w:space="0" w:color="auto"/>
        <w:left w:val="none" w:sz="0" w:space="0" w:color="auto"/>
        <w:bottom w:val="none" w:sz="0" w:space="0" w:color="auto"/>
        <w:right w:val="none" w:sz="0" w:space="0" w:color="auto"/>
      </w:divBdr>
    </w:div>
    <w:div w:id="380594209">
      <w:bodyDiv w:val="1"/>
      <w:marLeft w:val="0"/>
      <w:marRight w:val="0"/>
      <w:marTop w:val="0"/>
      <w:marBottom w:val="0"/>
      <w:divBdr>
        <w:top w:val="none" w:sz="0" w:space="0" w:color="auto"/>
        <w:left w:val="none" w:sz="0" w:space="0" w:color="auto"/>
        <w:bottom w:val="none" w:sz="0" w:space="0" w:color="auto"/>
        <w:right w:val="none" w:sz="0" w:space="0" w:color="auto"/>
      </w:divBdr>
    </w:div>
    <w:div w:id="382171386">
      <w:bodyDiv w:val="1"/>
      <w:marLeft w:val="0"/>
      <w:marRight w:val="0"/>
      <w:marTop w:val="0"/>
      <w:marBottom w:val="0"/>
      <w:divBdr>
        <w:top w:val="none" w:sz="0" w:space="0" w:color="auto"/>
        <w:left w:val="none" w:sz="0" w:space="0" w:color="auto"/>
        <w:bottom w:val="none" w:sz="0" w:space="0" w:color="auto"/>
        <w:right w:val="none" w:sz="0" w:space="0" w:color="auto"/>
      </w:divBdr>
    </w:div>
    <w:div w:id="384379654">
      <w:bodyDiv w:val="1"/>
      <w:marLeft w:val="0"/>
      <w:marRight w:val="0"/>
      <w:marTop w:val="0"/>
      <w:marBottom w:val="0"/>
      <w:divBdr>
        <w:top w:val="none" w:sz="0" w:space="0" w:color="auto"/>
        <w:left w:val="none" w:sz="0" w:space="0" w:color="auto"/>
        <w:bottom w:val="none" w:sz="0" w:space="0" w:color="auto"/>
        <w:right w:val="none" w:sz="0" w:space="0" w:color="auto"/>
      </w:divBdr>
    </w:div>
    <w:div w:id="444927692">
      <w:bodyDiv w:val="1"/>
      <w:marLeft w:val="0"/>
      <w:marRight w:val="0"/>
      <w:marTop w:val="0"/>
      <w:marBottom w:val="0"/>
      <w:divBdr>
        <w:top w:val="none" w:sz="0" w:space="0" w:color="auto"/>
        <w:left w:val="none" w:sz="0" w:space="0" w:color="auto"/>
        <w:bottom w:val="none" w:sz="0" w:space="0" w:color="auto"/>
        <w:right w:val="none" w:sz="0" w:space="0" w:color="auto"/>
      </w:divBdr>
    </w:div>
    <w:div w:id="486241481">
      <w:bodyDiv w:val="1"/>
      <w:marLeft w:val="0"/>
      <w:marRight w:val="0"/>
      <w:marTop w:val="0"/>
      <w:marBottom w:val="0"/>
      <w:divBdr>
        <w:top w:val="none" w:sz="0" w:space="0" w:color="auto"/>
        <w:left w:val="none" w:sz="0" w:space="0" w:color="auto"/>
        <w:bottom w:val="none" w:sz="0" w:space="0" w:color="auto"/>
        <w:right w:val="none" w:sz="0" w:space="0" w:color="auto"/>
      </w:divBdr>
    </w:div>
    <w:div w:id="488714704">
      <w:bodyDiv w:val="1"/>
      <w:marLeft w:val="0"/>
      <w:marRight w:val="0"/>
      <w:marTop w:val="0"/>
      <w:marBottom w:val="0"/>
      <w:divBdr>
        <w:top w:val="none" w:sz="0" w:space="0" w:color="auto"/>
        <w:left w:val="none" w:sz="0" w:space="0" w:color="auto"/>
        <w:bottom w:val="none" w:sz="0" w:space="0" w:color="auto"/>
        <w:right w:val="none" w:sz="0" w:space="0" w:color="auto"/>
      </w:divBdr>
    </w:div>
    <w:div w:id="493226895">
      <w:bodyDiv w:val="1"/>
      <w:marLeft w:val="0"/>
      <w:marRight w:val="0"/>
      <w:marTop w:val="0"/>
      <w:marBottom w:val="0"/>
      <w:divBdr>
        <w:top w:val="none" w:sz="0" w:space="0" w:color="auto"/>
        <w:left w:val="none" w:sz="0" w:space="0" w:color="auto"/>
        <w:bottom w:val="none" w:sz="0" w:space="0" w:color="auto"/>
        <w:right w:val="none" w:sz="0" w:space="0" w:color="auto"/>
      </w:divBdr>
    </w:div>
    <w:div w:id="509567291">
      <w:bodyDiv w:val="1"/>
      <w:marLeft w:val="0"/>
      <w:marRight w:val="0"/>
      <w:marTop w:val="0"/>
      <w:marBottom w:val="0"/>
      <w:divBdr>
        <w:top w:val="none" w:sz="0" w:space="0" w:color="auto"/>
        <w:left w:val="none" w:sz="0" w:space="0" w:color="auto"/>
        <w:bottom w:val="none" w:sz="0" w:space="0" w:color="auto"/>
        <w:right w:val="none" w:sz="0" w:space="0" w:color="auto"/>
      </w:divBdr>
    </w:div>
    <w:div w:id="531697006">
      <w:bodyDiv w:val="1"/>
      <w:marLeft w:val="0"/>
      <w:marRight w:val="0"/>
      <w:marTop w:val="0"/>
      <w:marBottom w:val="0"/>
      <w:divBdr>
        <w:top w:val="none" w:sz="0" w:space="0" w:color="auto"/>
        <w:left w:val="none" w:sz="0" w:space="0" w:color="auto"/>
        <w:bottom w:val="none" w:sz="0" w:space="0" w:color="auto"/>
        <w:right w:val="none" w:sz="0" w:space="0" w:color="auto"/>
      </w:divBdr>
    </w:div>
    <w:div w:id="533806547">
      <w:bodyDiv w:val="1"/>
      <w:marLeft w:val="0"/>
      <w:marRight w:val="0"/>
      <w:marTop w:val="0"/>
      <w:marBottom w:val="0"/>
      <w:divBdr>
        <w:top w:val="none" w:sz="0" w:space="0" w:color="auto"/>
        <w:left w:val="none" w:sz="0" w:space="0" w:color="auto"/>
        <w:bottom w:val="none" w:sz="0" w:space="0" w:color="auto"/>
        <w:right w:val="none" w:sz="0" w:space="0" w:color="auto"/>
      </w:divBdr>
    </w:div>
    <w:div w:id="551356388">
      <w:bodyDiv w:val="1"/>
      <w:marLeft w:val="0"/>
      <w:marRight w:val="0"/>
      <w:marTop w:val="0"/>
      <w:marBottom w:val="0"/>
      <w:divBdr>
        <w:top w:val="none" w:sz="0" w:space="0" w:color="auto"/>
        <w:left w:val="none" w:sz="0" w:space="0" w:color="auto"/>
        <w:bottom w:val="none" w:sz="0" w:space="0" w:color="auto"/>
        <w:right w:val="none" w:sz="0" w:space="0" w:color="auto"/>
      </w:divBdr>
    </w:div>
    <w:div w:id="560288014">
      <w:bodyDiv w:val="1"/>
      <w:marLeft w:val="0"/>
      <w:marRight w:val="0"/>
      <w:marTop w:val="0"/>
      <w:marBottom w:val="0"/>
      <w:divBdr>
        <w:top w:val="none" w:sz="0" w:space="0" w:color="auto"/>
        <w:left w:val="none" w:sz="0" w:space="0" w:color="auto"/>
        <w:bottom w:val="none" w:sz="0" w:space="0" w:color="auto"/>
        <w:right w:val="none" w:sz="0" w:space="0" w:color="auto"/>
      </w:divBdr>
    </w:div>
    <w:div w:id="588467669">
      <w:bodyDiv w:val="1"/>
      <w:marLeft w:val="0"/>
      <w:marRight w:val="0"/>
      <w:marTop w:val="0"/>
      <w:marBottom w:val="0"/>
      <w:divBdr>
        <w:top w:val="none" w:sz="0" w:space="0" w:color="auto"/>
        <w:left w:val="none" w:sz="0" w:space="0" w:color="auto"/>
        <w:bottom w:val="none" w:sz="0" w:space="0" w:color="auto"/>
        <w:right w:val="none" w:sz="0" w:space="0" w:color="auto"/>
      </w:divBdr>
    </w:div>
    <w:div w:id="663896419">
      <w:bodyDiv w:val="1"/>
      <w:marLeft w:val="0"/>
      <w:marRight w:val="0"/>
      <w:marTop w:val="0"/>
      <w:marBottom w:val="0"/>
      <w:divBdr>
        <w:top w:val="none" w:sz="0" w:space="0" w:color="auto"/>
        <w:left w:val="none" w:sz="0" w:space="0" w:color="auto"/>
        <w:bottom w:val="none" w:sz="0" w:space="0" w:color="auto"/>
        <w:right w:val="none" w:sz="0" w:space="0" w:color="auto"/>
      </w:divBdr>
    </w:div>
    <w:div w:id="683020579">
      <w:bodyDiv w:val="1"/>
      <w:marLeft w:val="0"/>
      <w:marRight w:val="0"/>
      <w:marTop w:val="0"/>
      <w:marBottom w:val="0"/>
      <w:divBdr>
        <w:top w:val="none" w:sz="0" w:space="0" w:color="auto"/>
        <w:left w:val="none" w:sz="0" w:space="0" w:color="auto"/>
        <w:bottom w:val="none" w:sz="0" w:space="0" w:color="auto"/>
        <w:right w:val="none" w:sz="0" w:space="0" w:color="auto"/>
      </w:divBdr>
    </w:div>
    <w:div w:id="712848144">
      <w:bodyDiv w:val="1"/>
      <w:marLeft w:val="0"/>
      <w:marRight w:val="0"/>
      <w:marTop w:val="0"/>
      <w:marBottom w:val="0"/>
      <w:divBdr>
        <w:top w:val="none" w:sz="0" w:space="0" w:color="auto"/>
        <w:left w:val="none" w:sz="0" w:space="0" w:color="auto"/>
        <w:bottom w:val="none" w:sz="0" w:space="0" w:color="auto"/>
        <w:right w:val="none" w:sz="0" w:space="0" w:color="auto"/>
      </w:divBdr>
    </w:div>
    <w:div w:id="782194904">
      <w:bodyDiv w:val="1"/>
      <w:marLeft w:val="0"/>
      <w:marRight w:val="0"/>
      <w:marTop w:val="0"/>
      <w:marBottom w:val="0"/>
      <w:divBdr>
        <w:top w:val="none" w:sz="0" w:space="0" w:color="auto"/>
        <w:left w:val="none" w:sz="0" w:space="0" w:color="auto"/>
        <w:bottom w:val="none" w:sz="0" w:space="0" w:color="auto"/>
        <w:right w:val="none" w:sz="0" w:space="0" w:color="auto"/>
      </w:divBdr>
    </w:div>
    <w:div w:id="783690209">
      <w:bodyDiv w:val="1"/>
      <w:marLeft w:val="0"/>
      <w:marRight w:val="0"/>
      <w:marTop w:val="0"/>
      <w:marBottom w:val="0"/>
      <w:divBdr>
        <w:top w:val="none" w:sz="0" w:space="0" w:color="auto"/>
        <w:left w:val="none" w:sz="0" w:space="0" w:color="auto"/>
        <w:bottom w:val="none" w:sz="0" w:space="0" w:color="auto"/>
        <w:right w:val="none" w:sz="0" w:space="0" w:color="auto"/>
      </w:divBdr>
    </w:div>
    <w:div w:id="811364481">
      <w:bodyDiv w:val="1"/>
      <w:marLeft w:val="0"/>
      <w:marRight w:val="0"/>
      <w:marTop w:val="0"/>
      <w:marBottom w:val="0"/>
      <w:divBdr>
        <w:top w:val="none" w:sz="0" w:space="0" w:color="auto"/>
        <w:left w:val="none" w:sz="0" w:space="0" w:color="auto"/>
        <w:bottom w:val="none" w:sz="0" w:space="0" w:color="auto"/>
        <w:right w:val="none" w:sz="0" w:space="0" w:color="auto"/>
      </w:divBdr>
    </w:div>
    <w:div w:id="820735585">
      <w:bodyDiv w:val="1"/>
      <w:marLeft w:val="0"/>
      <w:marRight w:val="0"/>
      <w:marTop w:val="0"/>
      <w:marBottom w:val="0"/>
      <w:divBdr>
        <w:top w:val="none" w:sz="0" w:space="0" w:color="auto"/>
        <w:left w:val="none" w:sz="0" w:space="0" w:color="auto"/>
        <w:bottom w:val="none" w:sz="0" w:space="0" w:color="auto"/>
        <w:right w:val="none" w:sz="0" w:space="0" w:color="auto"/>
      </w:divBdr>
    </w:div>
    <w:div w:id="831411748">
      <w:bodyDiv w:val="1"/>
      <w:marLeft w:val="0"/>
      <w:marRight w:val="0"/>
      <w:marTop w:val="0"/>
      <w:marBottom w:val="0"/>
      <w:divBdr>
        <w:top w:val="none" w:sz="0" w:space="0" w:color="auto"/>
        <w:left w:val="none" w:sz="0" w:space="0" w:color="auto"/>
        <w:bottom w:val="none" w:sz="0" w:space="0" w:color="auto"/>
        <w:right w:val="none" w:sz="0" w:space="0" w:color="auto"/>
      </w:divBdr>
    </w:div>
    <w:div w:id="876547636">
      <w:bodyDiv w:val="1"/>
      <w:marLeft w:val="0"/>
      <w:marRight w:val="0"/>
      <w:marTop w:val="0"/>
      <w:marBottom w:val="0"/>
      <w:divBdr>
        <w:top w:val="none" w:sz="0" w:space="0" w:color="auto"/>
        <w:left w:val="none" w:sz="0" w:space="0" w:color="auto"/>
        <w:bottom w:val="none" w:sz="0" w:space="0" w:color="auto"/>
        <w:right w:val="none" w:sz="0" w:space="0" w:color="auto"/>
      </w:divBdr>
    </w:div>
    <w:div w:id="951015170">
      <w:bodyDiv w:val="1"/>
      <w:marLeft w:val="0"/>
      <w:marRight w:val="0"/>
      <w:marTop w:val="0"/>
      <w:marBottom w:val="0"/>
      <w:divBdr>
        <w:top w:val="none" w:sz="0" w:space="0" w:color="auto"/>
        <w:left w:val="none" w:sz="0" w:space="0" w:color="auto"/>
        <w:bottom w:val="none" w:sz="0" w:space="0" w:color="auto"/>
        <w:right w:val="none" w:sz="0" w:space="0" w:color="auto"/>
      </w:divBdr>
    </w:div>
    <w:div w:id="987176036">
      <w:bodyDiv w:val="1"/>
      <w:marLeft w:val="0"/>
      <w:marRight w:val="0"/>
      <w:marTop w:val="0"/>
      <w:marBottom w:val="0"/>
      <w:divBdr>
        <w:top w:val="none" w:sz="0" w:space="0" w:color="auto"/>
        <w:left w:val="none" w:sz="0" w:space="0" w:color="auto"/>
        <w:bottom w:val="none" w:sz="0" w:space="0" w:color="auto"/>
        <w:right w:val="none" w:sz="0" w:space="0" w:color="auto"/>
      </w:divBdr>
    </w:div>
    <w:div w:id="994381262">
      <w:bodyDiv w:val="1"/>
      <w:marLeft w:val="0"/>
      <w:marRight w:val="0"/>
      <w:marTop w:val="0"/>
      <w:marBottom w:val="0"/>
      <w:divBdr>
        <w:top w:val="none" w:sz="0" w:space="0" w:color="auto"/>
        <w:left w:val="none" w:sz="0" w:space="0" w:color="auto"/>
        <w:bottom w:val="none" w:sz="0" w:space="0" w:color="auto"/>
        <w:right w:val="none" w:sz="0" w:space="0" w:color="auto"/>
      </w:divBdr>
    </w:div>
    <w:div w:id="999040803">
      <w:bodyDiv w:val="1"/>
      <w:marLeft w:val="0"/>
      <w:marRight w:val="0"/>
      <w:marTop w:val="0"/>
      <w:marBottom w:val="0"/>
      <w:divBdr>
        <w:top w:val="none" w:sz="0" w:space="0" w:color="auto"/>
        <w:left w:val="none" w:sz="0" w:space="0" w:color="auto"/>
        <w:bottom w:val="none" w:sz="0" w:space="0" w:color="auto"/>
        <w:right w:val="none" w:sz="0" w:space="0" w:color="auto"/>
      </w:divBdr>
    </w:div>
    <w:div w:id="999651021">
      <w:bodyDiv w:val="1"/>
      <w:marLeft w:val="0"/>
      <w:marRight w:val="0"/>
      <w:marTop w:val="0"/>
      <w:marBottom w:val="0"/>
      <w:divBdr>
        <w:top w:val="none" w:sz="0" w:space="0" w:color="auto"/>
        <w:left w:val="none" w:sz="0" w:space="0" w:color="auto"/>
        <w:bottom w:val="none" w:sz="0" w:space="0" w:color="auto"/>
        <w:right w:val="none" w:sz="0" w:space="0" w:color="auto"/>
      </w:divBdr>
    </w:div>
    <w:div w:id="1014766576">
      <w:bodyDiv w:val="1"/>
      <w:marLeft w:val="0"/>
      <w:marRight w:val="0"/>
      <w:marTop w:val="0"/>
      <w:marBottom w:val="0"/>
      <w:divBdr>
        <w:top w:val="none" w:sz="0" w:space="0" w:color="auto"/>
        <w:left w:val="none" w:sz="0" w:space="0" w:color="auto"/>
        <w:bottom w:val="none" w:sz="0" w:space="0" w:color="auto"/>
        <w:right w:val="none" w:sz="0" w:space="0" w:color="auto"/>
      </w:divBdr>
    </w:div>
    <w:div w:id="1031145681">
      <w:bodyDiv w:val="1"/>
      <w:marLeft w:val="0"/>
      <w:marRight w:val="0"/>
      <w:marTop w:val="0"/>
      <w:marBottom w:val="0"/>
      <w:divBdr>
        <w:top w:val="none" w:sz="0" w:space="0" w:color="auto"/>
        <w:left w:val="none" w:sz="0" w:space="0" w:color="auto"/>
        <w:bottom w:val="none" w:sz="0" w:space="0" w:color="auto"/>
        <w:right w:val="none" w:sz="0" w:space="0" w:color="auto"/>
      </w:divBdr>
    </w:div>
    <w:div w:id="1079405987">
      <w:bodyDiv w:val="1"/>
      <w:marLeft w:val="0"/>
      <w:marRight w:val="0"/>
      <w:marTop w:val="0"/>
      <w:marBottom w:val="0"/>
      <w:divBdr>
        <w:top w:val="none" w:sz="0" w:space="0" w:color="auto"/>
        <w:left w:val="none" w:sz="0" w:space="0" w:color="auto"/>
        <w:bottom w:val="none" w:sz="0" w:space="0" w:color="auto"/>
        <w:right w:val="none" w:sz="0" w:space="0" w:color="auto"/>
      </w:divBdr>
    </w:div>
    <w:div w:id="1097210496">
      <w:bodyDiv w:val="1"/>
      <w:marLeft w:val="0"/>
      <w:marRight w:val="0"/>
      <w:marTop w:val="0"/>
      <w:marBottom w:val="0"/>
      <w:divBdr>
        <w:top w:val="none" w:sz="0" w:space="0" w:color="auto"/>
        <w:left w:val="none" w:sz="0" w:space="0" w:color="auto"/>
        <w:bottom w:val="none" w:sz="0" w:space="0" w:color="auto"/>
        <w:right w:val="none" w:sz="0" w:space="0" w:color="auto"/>
      </w:divBdr>
    </w:div>
    <w:div w:id="1101334648">
      <w:bodyDiv w:val="1"/>
      <w:marLeft w:val="0"/>
      <w:marRight w:val="0"/>
      <w:marTop w:val="0"/>
      <w:marBottom w:val="0"/>
      <w:divBdr>
        <w:top w:val="none" w:sz="0" w:space="0" w:color="auto"/>
        <w:left w:val="none" w:sz="0" w:space="0" w:color="auto"/>
        <w:bottom w:val="none" w:sz="0" w:space="0" w:color="auto"/>
        <w:right w:val="none" w:sz="0" w:space="0" w:color="auto"/>
      </w:divBdr>
    </w:div>
    <w:div w:id="1112943759">
      <w:bodyDiv w:val="1"/>
      <w:marLeft w:val="0"/>
      <w:marRight w:val="0"/>
      <w:marTop w:val="0"/>
      <w:marBottom w:val="0"/>
      <w:divBdr>
        <w:top w:val="none" w:sz="0" w:space="0" w:color="auto"/>
        <w:left w:val="none" w:sz="0" w:space="0" w:color="auto"/>
        <w:bottom w:val="none" w:sz="0" w:space="0" w:color="auto"/>
        <w:right w:val="none" w:sz="0" w:space="0" w:color="auto"/>
      </w:divBdr>
    </w:div>
    <w:div w:id="1138766779">
      <w:bodyDiv w:val="1"/>
      <w:marLeft w:val="0"/>
      <w:marRight w:val="0"/>
      <w:marTop w:val="0"/>
      <w:marBottom w:val="0"/>
      <w:divBdr>
        <w:top w:val="none" w:sz="0" w:space="0" w:color="auto"/>
        <w:left w:val="none" w:sz="0" w:space="0" w:color="auto"/>
        <w:bottom w:val="none" w:sz="0" w:space="0" w:color="auto"/>
        <w:right w:val="none" w:sz="0" w:space="0" w:color="auto"/>
      </w:divBdr>
    </w:div>
    <w:div w:id="1164587982">
      <w:bodyDiv w:val="1"/>
      <w:marLeft w:val="0"/>
      <w:marRight w:val="0"/>
      <w:marTop w:val="0"/>
      <w:marBottom w:val="0"/>
      <w:divBdr>
        <w:top w:val="none" w:sz="0" w:space="0" w:color="auto"/>
        <w:left w:val="none" w:sz="0" w:space="0" w:color="auto"/>
        <w:bottom w:val="none" w:sz="0" w:space="0" w:color="auto"/>
        <w:right w:val="none" w:sz="0" w:space="0" w:color="auto"/>
      </w:divBdr>
    </w:div>
    <w:div w:id="1177228853">
      <w:bodyDiv w:val="1"/>
      <w:marLeft w:val="0"/>
      <w:marRight w:val="0"/>
      <w:marTop w:val="0"/>
      <w:marBottom w:val="0"/>
      <w:divBdr>
        <w:top w:val="none" w:sz="0" w:space="0" w:color="auto"/>
        <w:left w:val="none" w:sz="0" w:space="0" w:color="auto"/>
        <w:bottom w:val="none" w:sz="0" w:space="0" w:color="auto"/>
        <w:right w:val="none" w:sz="0" w:space="0" w:color="auto"/>
      </w:divBdr>
    </w:div>
    <w:div w:id="1192185585">
      <w:bodyDiv w:val="1"/>
      <w:marLeft w:val="0"/>
      <w:marRight w:val="0"/>
      <w:marTop w:val="0"/>
      <w:marBottom w:val="0"/>
      <w:divBdr>
        <w:top w:val="none" w:sz="0" w:space="0" w:color="auto"/>
        <w:left w:val="none" w:sz="0" w:space="0" w:color="auto"/>
        <w:bottom w:val="none" w:sz="0" w:space="0" w:color="auto"/>
        <w:right w:val="none" w:sz="0" w:space="0" w:color="auto"/>
      </w:divBdr>
    </w:div>
    <w:div w:id="1197309826">
      <w:bodyDiv w:val="1"/>
      <w:marLeft w:val="0"/>
      <w:marRight w:val="0"/>
      <w:marTop w:val="0"/>
      <w:marBottom w:val="0"/>
      <w:divBdr>
        <w:top w:val="none" w:sz="0" w:space="0" w:color="auto"/>
        <w:left w:val="none" w:sz="0" w:space="0" w:color="auto"/>
        <w:bottom w:val="none" w:sz="0" w:space="0" w:color="auto"/>
        <w:right w:val="none" w:sz="0" w:space="0" w:color="auto"/>
      </w:divBdr>
    </w:div>
    <w:div w:id="1200317508">
      <w:bodyDiv w:val="1"/>
      <w:marLeft w:val="0"/>
      <w:marRight w:val="0"/>
      <w:marTop w:val="0"/>
      <w:marBottom w:val="0"/>
      <w:divBdr>
        <w:top w:val="none" w:sz="0" w:space="0" w:color="auto"/>
        <w:left w:val="none" w:sz="0" w:space="0" w:color="auto"/>
        <w:bottom w:val="none" w:sz="0" w:space="0" w:color="auto"/>
        <w:right w:val="none" w:sz="0" w:space="0" w:color="auto"/>
      </w:divBdr>
    </w:div>
    <w:div w:id="1208487203">
      <w:bodyDiv w:val="1"/>
      <w:marLeft w:val="0"/>
      <w:marRight w:val="0"/>
      <w:marTop w:val="0"/>
      <w:marBottom w:val="0"/>
      <w:divBdr>
        <w:top w:val="none" w:sz="0" w:space="0" w:color="auto"/>
        <w:left w:val="none" w:sz="0" w:space="0" w:color="auto"/>
        <w:bottom w:val="none" w:sz="0" w:space="0" w:color="auto"/>
        <w:right w:val="none" w:sz="0" w:space="0" w:color="auto"/>
      </w:divBdr>
    </w:div>
    <w:div w:id="1214080227">
      <w:bodyDiv w:val="1"/>
      <w:marLeft w:val="0"/>
      <w:marRight w:val="0"/>
      <w:marTop w:val="0"/>
      <w:marBottom w:val="0"/>
      <w:divBdr>
        <w:top w:val="none" w:sz="0" w:space="0" w:color="auto"/>
        <w:left w:val="none" w:sz="0" w:space="0" w:color="auto"/>
        <w:bottom w:val="none" w:sz="0" w:space="0" w:color="auto"/>
        <w:right w:val="none" w:sz="0" w:space="0" w:color="auto"/>
      </w:divBdr>
    </w:div>
    <w:div w:id="1221096843">
      <w:bodyDiv w:val="1"/>
      <w:marLeft w:val="0"/>
      <w:marRight w:val="0"/>
      <w:marTop w:val="0"/>
      <w:marBottom w:val="0"/>
      <w:divBdr>
        <w:top w:val="none" w:sz="0" w:space="0" w:color="auto"/>
        <w:left w:val="none" w:sz="0" w:space="0" w:color="auto"/>
        <w:bottom w:val="none" w:sz="0" w:space="0" w:color="auto"/>
        <w:right w:val="none" w:sz="0" w:space="0" w:color="auto"/>
      </w:divBdr>
    </w:div>
    <w:div w:id="1273172406">
      <w:bodyDiv w:val="1"/>
      <w:marLeft w:val="0"/>
      <w:marRight w:val="0"/>
      <w:marTop w:val="0"/>
      <w:marBottom w:val="0"/>
      <w:divBdr>
        <w:top w:val="none" w:sz="0" w:space="0" w:color="auto"/>
        <w:left w:val="none" w:sz="0" w:space="0" w:color="auto"/>
        <w:bottom w:val="none" w:sz="0" w:space="0" w:color="auto"/>
        <w:right w:val="none" w:sz="0" w:space="0" w:color="auto"/>
      </w:divBdr>
    </w:div>
    <w:div w:id="1286547837">
      <w:bodyDiv w:val="1"/>
      <w:marLeft w:val="0"/>
      <w:marRight w:val="0"/>
      <w:marTop w:val="0"/>
      <w:marBottom w:val="0"/>
      <w:divBdr>
        <w:top w:val="none" w:sz="0" w:space="0" w:color="auto"/>
        <w:left w:val="none" w:sz="0" w:space="0" w:color="auto"/>
        <w:bottom w:val="none" w:sz="0" w:space="0" w:color="auto"/>
        <w:right w:val="none" w:sz="0" w:space="0" w:color="auto"/>
      </w:divBdr>
    </w:div>
    <w:div w:id="1292134449">
      <w:bodyDiv w:val="1"/>
      <w:marLeft w:val="0"/>
      <w:marRight w:val="0"/>
      <w:marTop w:val="0"/>
      <w:marBottom w:val="0"/>
      <w:divBdr>
        <w:top w:val="none" w:sz="0" w:space="0" w:color="auto"/>
        <w:left w:val="none" w:sz="0" w:space="0" w:color="auto"/>
        <w:bottom w:val="none" w:sz="0" w:space="0" w:color="auto"/>
        <w:right w:val="none" w:sz="0" w:space="0" w:color="auto"/>
      </w:divBdr>
    </w:div>
    <w:div w:id="1295715576">
      <w:bodyDiv w:val="1"/>
      <w:marLeft w:val="0"/>
      <w:marRight w:val="0"/>
      <w:marTop w:val="0"/>
      <w:marBottom w:val="0"/>
      <w:divBdr>
        <w:top w:val="none" w:sz="0" w:space="0" w:color="auto"/>
        <w:left w:val="none" w:sz="0" w:space="0" w:color="auto"/>
        <w:bottom w:val="none" w:sz="0" w:space="0" w:color="auto"/>
        <w:right w:val="none" w:sz="0" w:space="0" w:color="auto"/>
      </w:divBdr>
    </w:div>
    <w:div w:id="1350133187">
      <w:bodyDiv w:val="1"/>
      <w:marLeft w:val="0"/>
      <w:marRight w:val="0"/>
      <w:marTop w:val="0"/>
      <w:marBottom w:val="0"/>
      <w:divBdr>
        <w:top w:val="none" w:sz="0" w:space="0" w:color="auto"/>
        <w:left w:val="none" w:sz="0" w:space="0" w:color="auto"/>
        <w:bottom w:val="none" w:sz="0" w:space="0" w:color="auto"/>
        <w:right w:val="none" w:sz="0" w:space="0" w:color="auto"/>
      </w:divBdr>
    </w:div>
    <w:div w:id="1365205297">
      <w:bodyDiv w:val="1"/>
      <w:marLeft w:val="0"/>
      <w:marRight w:val="0"/>
      <w:marTop w:val="0"/>
      <w:marBottom w:val="0"/>
      <w:divBdr>
        <w:top w:val="none" w:sz="0" w:space="0" w:color="auto"/>
        <w:left w:val="none" w:sz="0" w:space="0" w:color="auto"/>
        <w:bottom w:val="none" w:sz="0" w:space="0" w:color="auto"/>
        <w:right w:val="none" w:sz="0" w:space="0" w:color="auto"/>
      </w:divBdr>
    </w:div>
    <w:div w:id="1405689476">
      <w:bodyDiv w:val="1"/>
      <w:marLeft w:val="0"/>
      <w:marRight w:val="0"/>
      <w:marTop w:val="0"/>
      <w:marBottom w:val="0"/>
      <w:divBdr>
        <w:top w:val="none" w:sz="0" w:space="0" w:color="auto"/>
        <w:left w:val="none" w:sz="0" w:space="0" w:color="auto"/>
        <w:bottom w:val="none" w:sz="0" w:space="0" w:color="auto"/>
        <w:right w:val="none" w:sz="0" w:space="0" w:color="auto"/>
      </w:divBdr>
    </w:div>
    <w:div w:id="1444500963">
      <w:bodyDiv w:val="1"/>
      <w:marLeft w:val="0"/>
      <w:marRight w:val="0"/>
      <w:marTop w:val="0"/>
      <w:marBottom w:val="0"/>
      <w:divBdr>
        <w:top w:val="none" w:sz="0" w:space="0" w:color="auto"/>
        <w:left w:val="none" w:sz="0" w:space="0" w:color="auto"/>
        <w:bottom w:val="none" w:sz="0" w:space="0" w:color="auto"/>
        <w:right w:val="none" w:sz="0" w:space="0" w:color="auto"/>
      </w:divBdr>
    </w:div>
    <w:div w:id="1457791053">
      <w:bodyDiv w:val="1"/>
      <w:marLeft w:val="0"/>
      <w:marRight w:val="0"/>
      <w:marTop w:val="0"/>
      <w:marBottom w:val="0"/>
      <w:divBdr>
        <w:top w:val="none" w:sz="0" w:space="0" w:color="auto"/>
        <w:left w:val="none" w:sz="0" w:space="0" w:color="auto"/>
        <w:bottom w:val="none" w:sz="0" w:space="0" w:color="auto"/>
        <w:right w:val="none" w:sz="0" w:space="0" w:color="auto"/>
      </w:divBdr>
    </w:div>
    <w:div w:id="1458794530">
      <w:bodyDiv w:val="1"/>
      <w:marLeft w:val="0"/>
      <w:marRight w:val="0"/>
      <w:marTop w:val="0"/>
      <w:marBottom w:val="0"/>
      <w:divBdr>
        <w:top w:val="none" w:sz="0" w:space="0" w:color="auto"/>
        <w:left w:val="none" w:sz="0" w:space="0" w:color="auto"/>
        <w:bottom w:val="none" w:sz="0" w:space="0" w:color="auto"/>
        <w:right w:val="none" w:sz="0" w:space="0" w:color="auto"/>
      </w:divBdr>
    </w:div>
    <w:div w:id="1474786422">
      <w:bodyDiv w:val="1"/>
      <w:marLeft w:val="0"/>
      <w:marRight w:val="0"/>
      <w:marTop w:val="0"/>
      <w:marBottom w:val="0"/>
      <w:divBdr>
        <w:top w:val="none" w:sz="0" w:space="0" w:color="auto"/>
        <w:left w:val="none" w:sz="0" w:space="0" w:color="auto"/>
        <w:bottom w:val="none" w:sz="0" w:space="0" w:color="auto"/>
        <w:right w:val="none" w:sz="0" w:space="0" w:color="auto"/>
      </w:divBdr>
    </w:div>
    <w:div w:id="1486582325">
      <w:bodyDiv w:val="1"/>
      <w:marLeft w:val="0"/>
      <w:marRight w:val="0"/>
      <w:marTop w:val="0"/>
      <w:marBottom w:val="0"/>
      <w:divBdr>
        <w:top w:val="none" w:sz="0" w:space="0" w:color="auto"/>
        <w:left w:val="none" w:sz="0" w:space="0" w:color="auto"/>
        <w:bottom w:val="none" w:sz="0" w:space="0" w:color="auto"/>
        <w:right w:val="none" w:sz="0" w:space="0" w:color="auto"/>
      </w:divBdr>
    </w:div>
    <w:div w:id="1499613676">
      <w:bodyDiv w:val="1"/>
      <w:marLeft w:val="0"/>
      <w:marRight w:val="0"/>
      <w:marTop w:val="0"/>
      <w:marBottom w:val="0"/>
      <w:divBdr>
        <w:top w:val="none" w:sz="0" w:space="0" w:color="auto"/>
        <w:left w:val="none" w:sz="0" w:space="0" w:color="auto"/>
        <w:bottom w:val="none" w:sz="0" w:space="0" w:color="auto"/>
        <w:right w:val="none" w:sz="0" w:space="0" w:color="auto"/>
      </w:divBdr>
    </w:div>
    <w:div w:id="1504541705">
      <w:bodyDiv w:val="1"/>
      <w:marLeft w:val="0"/>
      <w:marRight w:val="0"/>
      <w:marTop w:val="0"/>
      <w:marBottom w:val="0"/>
      <w:divBdr>
        <w:top w:val="none" w:sz="0" w:space="0" w:color="auto"/>
        <w:left w:val="none" w:sz="0" w:space="0" w:color="auto"/>
        <w:bottom w:val="none" w:sz="0" w:space="0" w:color="auto"/>
        <w:right w:val="none" w:sz="0" w:space="0" w:color="auto"/>
      </w:divBdr>
    </w:div>
    <w:div w:id="1507598354">
      <w:bodyDiv w:val="1"/>
      <w:marLeft w:val="0"/>
      <w:marRight w:val="0"/>
      <w:marTop w:val="0"/>
      <w:marBottom w:val="0"/>
      <w:divBdr>
        <w:top w:val="none" w:sz="0" w:space="0" w:color="auto"/>
        <w:left w:val="none" w:sz="0" w:space="0" w:color="auto"/>
        <w:bottom w:val="none" w:sz="0" w:space="0" w:color="auto"/>
        <w:right w:val="none" w:sz="0" w:space="0" w:color="auto"/>
      </w:divBdr>
    </w:div>
    <w:div w:id="1511480554">
      <w:bodyDiv w:val="1"/>
      <w:marLeft w:val="0"/>
      <w:marRight w:val="0"/>
      <w:marTop w:val="0"/>
      <w:marBottom w:val="0"/>
      <w:divBdr>
        <w:top w:val="none" w:sz="0" w:space="0" w:color="auto"/>
        <w:left w:val="none" w:sz="0" w:space="0" w:color="auto"/>
        <w:bottom w:val="none" w:sz="0" w:space="0" w:color="auto"/>
        <w:right w:val="none" w:sz="0" w:space="0" w:color="auto"/>
      </w:divBdr>
    </w:div>
    <w:div w:id="1529102467">
      <w:bodyDiv w:val="1"/>
      <w:marLeft w:val="0"/>
      <w:marRight w:val="0"/>
      <w:marTop w:val="0"/>
      <w:marBottom w:val="0"/>
      <w:divBdr>
        <w:top w:val="none" w:sz="0" w:space="0" w:color="auto"/>
        <w:left w:val="none" w:sz="0" w:space="0" w:color="auto"/>
        <w:bottom w:val="none" w:sz="0" w:space="0" w:color="auto"/>
        <w:right w:val="none" w:sz="0" w:space="0" w:color="auto"/>
      </w:divBdr>
    </w:div>
    <w:div w:id="1574117382">
      <w:bodyDiv w:val="1"/>
      <w:marLeft w:val="0"/>
      <w:marRight w:val="0"/>
      <w:marTop w:val="0"/>
      <w:marBottom w:val="0"/>
      <w:divBdr>
        <w:top w:val="none" w:sz="0" w:space="0" w:color="auto"/>
        <w:left w:val="none" w:sz="0" w:space="0" w:color="auto"/>
        <w:bottom w:val="none" w:sz="0" w:space="0" w:color="auto"/>
        <w:right w:val="none" w:sz="0" w:space="0" w:color="auto"/>
      </w:divBdr>
    </w:div>
    <w:div w:id="1585650562">
      <w:bodyDiv w:val="1"/>
      <w:marLeft w:val="0"/>
      <w:marRight w:val="0"/>
      <w:marTop w:val="0"/>
      <w:marBottom w:val="0"/>
      <w:divBdr>
        <w:top w:val="none" w:sz="0" w:space="0" w:color="auto"/>
        <w:left w:val="none" w:sz="0" w:space="0" w:color="auto"/>
        <w:bottom w:val="none" w:sz="0" w:space="0" w:color="auto"/>
        <w:right w:val="none" w:sz="0" w:space="0" w:color="auto"/>
      </w:divBdr>
    </w:div>
    <w:div w:id="1595016659">
      <w:bodyDiv w:val="1"/>
      <w:marLeft w:val="0"/>
      <w:marRight w:val="0"/>
      <w:marTop w:val="0"/>
      <w:marBottom w:val="0"/>
      <w:divBdr>
        <w:top w:val="none" w:sz="0" w:space="0" w:color="auto"/>
        <w:left w:val="none" w:sz="0" w:space="0" w:color="auto"/>
        <w:bottom w:val="none" w:sz="0" w:space="0" w:color="auto"/>
        <w:right w:val="none" w:sz="0" w:space="0" w:color="auto"/>
      </w:divBdr>
    </w:div>
    <w:div w:id="1602372653">
      <w:bodyDiv w:val="1"/>
      <w:marLeft w:val="0"/>
      <w:marRight w:val="0"/>
      <w:marTop w:val="0"/>
      <w:marBottom w:val="0"/>
      <w:divBdr>
        <w:top w:val="none" w:sz="0" w:space="0" w:color="auto"/>
        <w:left w:val="none" w:sz="0" w:space="0" w:color="auto"/>
        <w:bottom w:val="none" w:sz="0" w:space="0" w:color="auto"/>
        <w:right w:val="none" w:sz="0" w:space="0" w:color="auto"/>
      </w:divBdr>
    </w:div>
    <w:div w:id="1608654044">
      <w:bodyDiv w:val="1"/>
      <w:marLeft w:val="0"/>
      <w:marRight w:val="0"/>
      <w:marTop w:val="0"/>
      <w:marBottom w:val="0"/>
      <w:divBdr>
        <w:top w:val="none" w:sz="0" w:space="0" w:color="auto"/>
        <w:left w:val="none" w:sz="0" w:space="0" w:color="auto"/>
        <w:bottom w:val="none" w:sz="0" w:space="0" w:color="auto"/>
        <w:right w:val="none" w:sz="0" w:space="0" w:color="auto"/>
      </w:divBdr>
    </w:div>
    <w:div w:id="1639409536">
      <w:bodyDiv w:val="1"/>
      <w:marLeft w:val="0"/>
      <w:marRight w:val="0"/>
      <w:marTop w:val="0"/>
      <w:marBottom w:val="0"/>
      <w:divBdr>
        <w:top w:val="none" w:sz="0" w:space="0" w:color="auto"/>
        <w:left w:val="none" w:sz="0" w:space="0" w:color="auto"/>
        <w:bottom w:val="none" w:sz="0" w:space="0" w:color="auto"/>
        <w:right w:val="none" w:sz="0" w:space="0" w:color="auto"/>
      </w:divBdr>
    </w:div>
    <w:div w:id="1707679545">
      <w:bodyDiv w:val="1"/>
      <w:marLeft w:val="0"/>
      <w:marRight w:val="0"/>
      <w:marTop w:val="0"/>
      <w:marBottom w:val="0"/>
      <w:divBdr>
        <w:top w:val="none" w:sz="0" w:space="0" w:color="auto"/>
        <w:left w:val="none" w:sz="0" w:space="0" w:color="auto"/>
        <w:bottom w:val="none" w:sz="0" w:space="0" w:color="auto"/>
        <w:right w:val="none" w:sz="0" w:space="0" w:color="auto"/>
      </w:divBdr>
    </w:div>
    <w:div w:id="1744377146">
      <w:bodyDiv w:val="1"/>
      <w:marLeft w:val="0"/>
      <w:marRight w:val="0"/>
      <w:marTop w:val="0"/>
      <w:marBottom w:val="0"/>
      <w:divBdr>
        <w:top w:val="none" w:sz="0" w:space="0" w:color="auto"/>
        <w:left w:val="none" w:sz="0" w:space="0" w:color="auto"/>
        <w:bottom w:val="none" w:sz="0" w:space="0" w:color="auto"/>
        <w:right w:val="none" w:sz="0" w:space="0" w:color="auto"/>
      </w:divBdr>
    </w:div>
    <w:div w:id="1759209375">
      <w:bodyDiv w:val="1"/>
      <w:marLeft w:val="0"/>
      <w:marRight w:val="0"/>
      <w:marTop w:val="0"/>
      <w:marBottom w:val="0"/>
      <w:divBdr>
        <w:top w:val="none" w:sz="0" w:space="0" w:color="auto"/>
        <w:left w:val="none" w:sz="0" w:space="0" w:color="auto"/>
        <w:bottom w:val="none" w:sz="0" w:space="0" w:color="auto"/>
        <w:right w:val="none" w:sz="0" w:space="0" w:color="auto"/>
      </w:divBdr>
    </w:div>
    <w:div w:id="1761757049">
      <w:bodyDiv w:val="1"/>
      <w:marLeft w:val="0"/>
      <w:marRight w:val="0"/>
      <w:marTop w:val="0"/>
      <w:marBottom w:val="0"/>
      <w:divBdr>
        <w:top w:val="none" w:sz="0" w:space="0" w:color="auto"/>
        <w:left w:val="none" w:sz="0" w:space="0" w:color="auto"/>
        <w:bottom w:val="none" w:sz="0" w:space="0" w:color="auto"/>
        <w:right w:val="none" w:sz="0" w:space="0" w:color="auto"/>
      </w:divBdr>
    </w:div>
    <w:div w:id="1762674352">
      <w:bodyDiv w:val="1"/>
      <w:marLeft w:val="0"/>
      <w:marRight w:val="0"/>
      <w:marTop w:val="0"/>
      <w:marBottom w:val="0"/>
      <w:divBdr>
        <w:top w:val="none" w:sz="0" w:space="0" w:color="auto"/>
        <w:left w:val="none" w:sz="0" w:space="0" w:color="auto"/>
        <w:bottom w:val="none" w:sz="0" w:space="0" w:color="auto"/>
        <w:right w:val="none" w:sz="0" w:space="0" w:color="auto"/>
      </w:divBdr>
    </w:div>
    <w:div w:id="1799059453">
      <w:bodyDiv w:val="1"/>
      <w:marLeft w:val="0"/>
      <w:marRight w:val="0"/>
      <w:marTop w:val="0"/>
      <w:marBottom w:val="0"/>
      <w:divBdr>
        <w:top w:val="none" w:sz="0" w:space="0" w:color="auto"/>
        <w:left w:val="none" w:sz="0" w:space="0" w:color="auto"/>
        <w:bottom w:val="none" w:sz="0" w:space="0" w:color="auto"/>
        <w:right w:val="none" w:sz="0" w:space="0" w:color="auto"/>
      </w:divBdr>
    </w:div>
    <w:div w:id="1830437499">
      <w:bodyDiv w:val="1"/>
      <w:marLeft w:val="0"/>
      <w:marRight w:val="0"/>
      <w:marTop w:val="0"/>
      <w:marBottom w:val="0"/>
      <w:divBdr>
        <w:top w:val="none" w:sz="0" w:space="0" w:color="auto"/>
        <w:left w:val="none" w:sz="0" w:space="0" w:color="auto"/>
        <w:bottom w:val="none" w:sz="0" w:space="0" w:color="auto"/>
        <w:right w:val="none" w:sz="0" w:space="0" w:color="auto"/>
      </w:divBdr>
    </w:div>
    <w:div w:id="1837184548">
      <w:bodyDiv w:val="1"/>
      <w:marLeft w:val="0"/>
      <w:marRight w:val="0"/>
      <w:marTop w:val="0"/>
      <w:marBottom w:val="0"/>
      <w:divBdr>
        <w:top w:val="none" w:sz="0" w:space="0" w:color="auto"/>
        <w:left w:val="none" w:sz="0" w:space="0" w:color="auto"/>
        <w:bottom w:val="none" w:sz="0" w:space="0" w:color="auto"/>
        <w:right w:val="none" w:sz="0" w:space="0" w:color="auto"/>
      </w:divBdr>
    </w:div>
    <w:div w:id="1886402493">
      <w:bodyDiv w:val="1"/>
      <w:marLeft w:val="0"/>
      <w:marRight w:val="0"/>
      <w:marTop w:val="0"/>
      <w:marBottom w:val="0"/>
      <w:divBdr>
        <w:top w:val="none" w:sz="0" w:space="0" w:color="auto"/>
        <w:left w:val="none" w:sz="0" w:space="0" w:color="auto"/>
        <w:bottom w:val="none" w:sz="0" w:space="0" w:color="auto"/>
        <w:right w:val="none" w:sz="0" w:space="0" w:color="auto"/>
      </w:divBdr>
    </w:div>
    <w:div w:id="1893350832">
      <w:bodyDiv w:val="1"/>
      <w:marLeft w:val="0"/>
      <w:marRight w:val="0"/>
      <w:marTop w:val="0"/>
      <w:marBottom w:val="0"/>
      <w:divBdr>
        <w:top w:val="none" w:sz="0" w:space="0" w:color="auto"/>
        <w:left w:val="none" w:sz="0" w:space="0" w:color="auto"/>
        <w:bottom w:val="none" w:sz="0" w:space="0" w:color="auto"/>
        <w:right w:val="none" w:sz="0" w:space="0" w:color="auto"/>
      </w:divBdr>
    </w:div>
    <w:div w:id="1895046911">
      <w:bodyDiv w:val="1"/>
      <w:marLeft w:val="0"/>
      <w:marRight w:val="0"/>
      <w:marTop w:val="0"/>
      <w:marBottom w:val="0"/>
      <w:divBdr>
        <w:top w:val="none" w:sz="0" w:space="0" w:color="auto"/>
        <w:left w:val="none" w:sz="0" w:space="0" w:color="auto"/>
        <w:bottom w:val="none" w:sz="0" w:space="0" w:color="auto"/>
        <w:right w:val="none" w:sz="0" w:space="0" w:color="auto"/>
      </w:divBdr>
    </w:div>
    <w:div w:id="1909340369">
      <w:bodyDiv w:val="1"/>
      <w:marLeft w:val="0"/>
      <w:marRight w:val="0"/>
      <w:marTop w:val="0"/>
      <w:marBottom w:val="0"/>
      <w:divBdr>
        <w:top w:val="none" w:sz="0" w:space="0" w:color="auto"/>
        <w:left w:val="none" w:sz="0" w:space="0" w:color="auto"/>
        <w:bottom w:val="none" w:sz="0" w:space="0" w:color="auto"/>
        <w:right w:val="none" w:sz="0" w:space="0" w:color="auto"/>
      </w:divBdr>
    </w:div>
    <w:div w:id="1943872845">
      <w:bodyDiv w:val="1"/>
      <w:marLeft w:val="0"/>
      <w:marRight w:val="0"/>
      <w:marTop w:val="0"/>
      <w:marBottom w:val="0"/>
      <w:divBdr>
        <w:top w:val="none" w:sz="0" w:space="0" w:color="auto"/>
        <w:left w:val="none" w:sz="0" w:space="0" w:color="auto"/>
        <w:bottom w:val="none" w:sz="0" w:space="0" w:color="auto"/>
        <w:right w:val="none" w:sz="0" w:space="0" w:color="auto"/>
      </w:divBdr>
    </w:div>
    <w:div w:id="1961102858">
      <w:bodyDiv w:val="1"/>
      <w:marLeft w:val="0"/>
      <w:marRight w:val="0"/>
      <w:marTop w:val="0"/>
      <w:marBottom w:val="0"/>
      <w:divBdr>
        <w:top w:val="none" w:sz="0" w:space="0" w:color="auto"/>
        <w:left w:val="none" w:sz="0" w:space="0" w:color="auto"/>
        <w:bottom w:val="none" w:sz="0" w:space="0" w:color="auto"/>
        <w:right w:val="none" w:sz="0" w:space="0" w:color="auto"/>
      </w:divBdr>
    </w:div>
    <w:div w:id="1981223737">
      <w:bodyDiv w:val="1"/>
      <w:marLeft w:val="0"/>
      <w:marRight w:val="0"/>
      <w:marTop w:val="0"/>
      <w:marBottom w:val="0"/>
      <w:divBdr>
        <w:top w:val="none" w:sz="0" w:space="0" w:color="auto"/>
        <w:left w:val="none" w:sz="0" w:space="0" w:color="auto"/>
        <w:bottom w:val="none" w:sz="0" w:space="0" w:color="auto"/>
        <w:right w:val="none" w:sz="0" w:space="0" w:color="auto"/>
      </w:divBdr>
    </w:div>
    <w:div w:id="2049333105">
      <w:bodyDiv w:val="1"/>
      <w:marLeft w:val="0"/>
      <w:marRight w:val="0"/>
      <w:marTop w:val="0"/>
      <w:marBottom w:val="0"/>
      <w:divBdr>
        <w:top w:val="none" w:sz="0" w:space="0" w:color="auto"/>
        <w:left w:val="none" w:sz="0" w:space="0" w:color="auto"/>
        <w:bottom w:val="none" w:sz="0" w:space="0" w:color="auto"/>
        <w:right w:val="none" w:sz="0" w:space="0" w:color="auto"/>
      </w:divBdr>
    </w:div>
    <w:div w:id="2067216400">
      <w:bodyDiv w:val="1"/>
      <w:marLeft w:val="0"/>
      <w:marRight w:val="0"/>
      <w:marTop w:val="0"/>
      <w:marBottom w:val="0"/>
      <w:divBdr>
        <w:top w:val="none" w:sz="0" w:space="0" w:color="auto"/>
        <w:left w:val="none" w:sz="0" w:space="0" w:color="auto"/>
        <w:bottom w:val="none" w:sz="0" w:space="0" w:color="auto"/>
        <w:right w:val="none" w:sz="0" w:space="0" w:color="auto"/>
      </w:divBdr>
    </w:div>
    <w:div w:id="2079933287">
      <w:bodyDiv w:val="1"/>
      <w:marLeft w:val="0"/>
      <w:marRight w:val="0"/>
      <w:marTop w:val="0"/>
      <w:marBottom w:val="0"/>
      <w:divBdr>
        <w:top w:val="none" w:sz="0" w:space="0" w:color="auto"/>
        <w:left w:val="none" w:sz="0" w:space="0" w:color="auto"/>
        <w:bottom w:val="none" w:sz="0" w:space="0" w:color="auto"/>
        <w:right w:val="none" w:sz="0" w:space="0" w:color="auto"/>
      </w:divBdr>
    </w:div>
    <w:div w:id="2085684578">
      <w:bodyDiv w:val="1"/>
      <w:marLeft w:val="0"/>
      <w:marRight w:val="0"/>
      <w:marTop w:val="0"/>
      <w:marBottom w:val="0"/>
      <w:divBdr>
        <w:top w:val="none" w:sz="0" w:space="0" w:color="auto"/>
        <w:left w:val="none" w:sz="0" w:space="0" w:color="auto"/>
        <w:bottom w:val="none" w:sz="0" w:space="0" w:color="auto"/>
        <w:right w:val="none" w:sz="0" w:space="0" w:color="auto"/>
      </w:divBdr>
    </w:div>
    <w:div w:id="2088262363">
      <w:bodyDiv w:val="1"/>
      <w:marLeft w:val="0"/>
      <w:marRight w:val="0"/>
      <w:marTop w:val="0"/>
      <w:marBottom w:val="0"/>
      <w:divBdr>
        <w:top w:val="none" w:sz="0" w:space="0" w:color="auto"/>
        <w:left w:val="none" w:sz="0" w:space="0" w:color="auto"/>
        <w:bottom w:val="none" w:sz="0" w:space="0" w:color="auto"/>
        <w:right w:val="none" w:sz="0" w:space="0" w:color="auto"/>
      </w:divBdr>
    </w:div>
    <w:div w:id="2094546436">
      <w:bodyDiv w:val="1"/>
      <w:marLeft w:val="0"/>
      <w:marRight w:val="0"/>
      <w:marTop w:val="0"/>
      <w:marBottom w:val="0"/>
      <w:divBdr>
        <w:top w:val="none" w:sz="0" w:space="0" w:color="auto"/>
        <w:left w:val="none" w:sz="0" w:space="0" w:color="auto"/>
        <w:bottom w:val="none" w:sz="0" w:space="0" w:color="auto"/>
        <w:right w:val="none" w:sz="0" w:space="0" w:color="auto"/>
      </w:divBdr>
    </w:div>
    <w:div w:id="2110923503">
      <w:bodyDiv w:val="1"/>
      <w:marLeft w:val="0"/>
      <w:marRight w:val="0"/>
      <w:marTop w:val="0"/>
      <w:marBottom w:val="0"/>
      <w:divBdr>
        <w:top w:val="none" w:sz="0" w:space="0" w:color="auto"/>
        <w:left w:val="none" w:sz="0" w:space="0" w:color="auto"/>
        <w:bottom w:val="none" w:sz="0" w:space="0" w:color="auto"/>
        <w:right w:val="none" w:sz="0" w:space="0" w:color="auto"/>
      </w:divBdr>
    </w:div>
    <w:div w:id="21402212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cssz.cz/web/cz/nemocenska-statistika" TargetMode="External"/><Relationship Id="rId18" Type="http://schemas.openxmlformats.org/officeDocument/2006/relationships/chart" Target="charts/chart4.xml"/><Relationship Id="rId26" Type="http://schemas.openxmlformats.org/officeDocument/2006/relationships/chart" Target="charts/chart12.xml"/><Relationship Id="rId39" Type="http://schemas.openxmlformats.org/officeDocument/2006/relationships/chart" Target="charts/chart22.xml"/><Relationship Id="rId21" Type="http://schemas.openxmlformats.org/officeDocument/2006/relationships/chart" Target="charts/chart7.xml"/><Relationship Id="rId34" Type="http://schemas.openxmlformats.org/officeDocument/2006/relationships/image" Target="media/image2.png"/><Relationship Id="rId42" Type="http://schemas.openxmlformats.org/officeDocument/2006/relationships/chart" Target="charts/chart25.xml"/><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2.xml"/><Relationship Id="rId29" Type="http://schemas.openxmlformats.org/officeDocument/2006/relationships/chart" Target="charts/chart15.xml"/><Relationship Id="rId11" Type="http://schemas.openxmlformats.org/officeDocument/2006/relationships/hyperlink" Target="https://www.mpsv.cz/web/cz/nemocenske-pojisteni" TargetMode="External"/><Relationship Id="rId24" Type="http://schemas.openxmlformats.org/officeDocument/2006/relationships/chart" Target="charts/chart10.xml"/><Relationship Id="rId32" Type="http://schemas.openxmlformats.org/officeDocument/2006/relationships/chart" Target="charts/chart17.xml"/><Relationship Id="rId37" Type="http://schemas.openxmlformats.org/officeDocument/2006/relationships/chart" Target="charts/chart20.xml"/><Relationship Id="rId40" Type="http://schemas.openxmlformats.org/officeDocument/2006/relationships/chart" Target="charts/chart23.xml"/><Relationship Id="rId45" Type="http://schemas.openxmlformats.org/officeDocument/2006/relationships/footer" Target="footer1.xml"/><Relationship Id="rId58" Type="http://schemas.microsoft.com/office/2018/08/relationships/commentsExtensible" Target="commentsExtensible.xml"/><Relationship Id="rId5" Type="http://schemas.openxmlformats.org/officeDocument/2006/relationships/webSettings" Target="webSettings.xml"/><Relationship Id="rId15" Type="http://schemas.openxmlformats.org/officeDocument/2006/relationships/chart" Target="charts/chart1.xml"/><Relationship Id="rId23" Type="http://schemas.openxmlformats.org/officeDocument/2006/relationships/chart" Target="charts/chart9.xml"/><Relationship Id="rId28" Type="http://schemas.openxmlformats.org/officeDocument/2006/relationships/chart" Target="charts/chart14.xml"/><Relationship Id="rId36" Type="http://schemas.openxmlformats.org/officeDocument/2006/relationships/hyperlink" Target="https://www.mpsv.cz/documents/20142/225490/Anal%C3%BDza+NP_2022.pdf/cdd09219-aa75-cf4a-e039-5d65aafb28ab" TargetMode="External"/><Relationship Id="rId10" Type="http://schemas.openxmlformats.org/officeDocument/2006/relationships/hyperlink" Target="https://www.mpsv.cz/web/cz/kalkulacka-pro-vypocet-davek-v-roce-2022" TargetMode="External"/><Relationship Id="rId19" Type="http://schemas.openxmlformats.org/officeDocument/2006/relationships/chart" Target="charts/chart5.xml"/><Relationship Id="rId31" Type="http://schemas.openxmlformats.org/officeDocument/2006/relationships/chart" Target="charts/chart16.xml"/><Relationship Id="rId44"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s://www.cssz.cz/web/cz/osvc-nemocenske-pojisteni-ucast-na-pojisteni" TargetMode="External"/><Relationship Id="rId14" Type="http://schemas.openxmlformats.org/officeDocument/2006/relationships/hyperlink" Target="https://www.uzis.cz/index.php?pg=vystupy--statistika-vybranych-ekonomickych-temat--pracovni-neschopnost" TargetMode="External"/><Relationship Id="rId22" Type="http://schemas.openxmlformats.org/officeDocument/2006/relationships/chart" Target="charts/chart8.xml"/><Relationship Id="rId27" Type="http://schemas.openxmlformats.org/officeDocument/2006/relationships/chart" Target="charts/chart13.xml"/><Relationship Id="rId30" Type="http://schemas.openxmlformats.org/officeDocument/2006/relationships/image" Target="media/image1.png"/><Relationship Id="rId35" Type="http://schemas.openxmlformats.org/officeDocument/2006/relationships/chart" Target="charts/chart19.xml"/><Relationship Id="rId43" Type="http://schemas.openxmlformats.org/officeDocument/2006/relationships/header" Target="header1.xml"/><Relationship Id="rId48" Type="http://schemas.openxmlformats.org/officeDocument/2006/relationships/theme" Target="theme/theme1.xml"/><Relationship Id="rId8" Type="http://schemas.openxmlformats.org/officeDocument/2006/relationships/hyperlink" Target="http://www.cssz.cz/cz/nemocenske-pojisteni/ucast-na-pojisteni/" TargetMode="External"/><Relationship Id="rId3" Type="http://schemas.openxmlformats.org/officeDocument/2006/relationships/styles" Target="styles.xml"/><Relationship Id="rId12" Type="http://schemas.openxmlformats.org/officeDocument/2006/relationships/hyperlink" Target="https://www.cssz.cz/web/cz/nemocenske" TargetMode="External"/><Relationship Id="rId17" Type="http://schemas.openxmlformats.org/officeDocument/2006/relationships/chart" Target="charts/chart3.xml"/><Relationship Id="rId25" Type="http://schemas.openxmlformats.org/officeDocument/2006/relationships/chart" Target="charts/chart11.xml"/><Relationship Id="rId33" Type="http://schemas.openxmlformats.org/officeDocument/2006/relationships/chart" Target="charts/chart18.xml"/><Relationship Id="rId38" Type="http://schemas.openxmlformats.org/officeDocument/2006/relationships/chart" Target="charts/chart21.xml"/><Relationship Id="rId46" Type="http://schemas.openxmlformats.org/officeDocument/2006/relationships/footer" Target="footer2.xml"/><Relationship Id="rId59" Type="http://schemas.microsoft.com/office/2016/09/relationships/commentsIds" Target="commentsIds.xml"/><Relationship Id="rId20" Type="http://schemas.openxmlformats.org/officeDocument/2006/relationships/chart" Target="charts/chart6.xml"/><Relationship Id="rId41" Type="http://schemas.openxmlformats.org/officeDocument/2006/relationships/chart" Target="charts/chart24.xml"/><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notes.xml.rels><?xml version="1.0" encoding="UTF-8" standalone="yes"?>
<Relationships xmlns="http://schemas.openxmlformats.org/package/2006/relationships"><Relationship Id="rId3" Type="http://schemas.openxmlformats.org/officeDocument/2006/relationships/hyperlink" Target="https://www.czso.cz/csu/czso/klasifikace-institucionalnich-sektoru-a-subsektoru-cz-ciss" TargetMode="External"/><Relationship Id="rId2" Type="http://schemas.openxmlformats.org/officeDocument/2006/relationships/hyperlink" Target="https://www.cssz.cz/web/eneschopenka/" TargetMode="External"/><Relationship Id="rId1" Type="http://schemas.openxmlformats.org/officeDocument/2006/relationships/hyperlink" Target="https://www.czso.cz/csu/czso/pracovni-neschopnost-pro-nemoc-a-uraz-v-ceske-republice-rok-2021"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ykysova23070\AppData\Local\Temp\Publikace%20bar%20CZ_lide%20a%20spolecnost_2017-08-14.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chartUserShapes" Target="../drawings/drawing1.xml"/></Relationships>
</file>

<file path=word/charts/_rels/chart5.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chartUserShapes" Target="../drawings/drawing2.xml"/></Relationships>
</file>

<file path=word/charts/_rels/chart6.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13.xml"/><Relationship Id="rId1" Type="http://schemas.microsoft.com/office/2011/relationships/chartStyle" Target="style13.xml"/></Relationships>
</file>

<file path=word/charts/_rels/chart14.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14.xml"/><Relationship Id="rId1" Type="http://schemas.microsoft.com/office/2011/relationships/chartStyle" Target="style14.xml"/></Relationships>
</file>

<file path=word/charts/_rels/chart15.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15.xml"/><Relationship Id="rId1" Type="http://schemas.microsoft.com/office/2011/relationships/chartStyle" Target="style15.xml"/></Relationships>
</file>

<file path=word/charts/_rels/chart16.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16.xml"/><Relationship Id="rId1" Type="http://schemas.microsoft.com/office/2011/relationships/chartStyle" Target="style16.xml"/></Relationships>
</file>

<file path=word/charts/_rels/chart17.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17.xml"/><Relationship Id="rId1" Type="http://schemas.microsoft.com/office/2011/relationships/chartStyle" Target="style17.xml"/></Relationships>
</file>

<file path=word/charts/_rels/chart18.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18.xml"/><Relationship Id="rId1" Type="http://schemas.microsoft.com/office/2011/relationships/chartStyle" Target="style18.xml"/></Relationships>
</file>

<file path=word/charts/_rels/chart19.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19.xml"/><Relationship Id="rId1" Type="http://schemas.microsoft.com/office/2011/relationships/chartStyle" Target="style19.xml"/></Relationships>
</file>

<file path=word/charts/_rels/chart20.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20.xml"/><Relationship Id="rId1" Type="http://schemas.microsoft.com/office/2011/relationships/chartStyle" Target="style20.xml"/></Relationships>
</file>

<file path=word/charts/_rels/chart21.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21.xml"/><Relationship Id="rId1" Type="http://schemas.microsoft.com/office/2011/relationships/chartStyle" Target="style21.xml"/></Relationships>
</file>

<file path=word/charts/_rels/chart22.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22.xml"/><Relationship Id="rId1" Type="http://schemas.microsoft.com/office/2011/relationships/chartStyle" Target="style22.xml"/></Relationships>
</file>

<file path=word/charts/_rels/chart23.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23.xml"/><Relationship Id="rId1" Type="http://schemas.microsoft.com/office/2011/relationships/chartStyle" Target="style23.xml"/></Relationships>
</file>

<file path=word/charts/_rels/chart24.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24.xml"/><Relationship Id="rId1" Type="http://schemas.microsoft.com/office/2011/relationships/chartStyle" Target="style24.xml"/></Relationships>
</file>

<file path=word/charts/_rels/chart25.xml.rels><?xml version="1.0" encoding="UTF-8" standalone="yes"?>
<Relationships xmlns="http://schemas.openxmlformats.org/package/2006/relationships"><Relationship Id="rId3" Type="http://schemas.openxmlformats.org/officeDocument/2006/relationships/oleObject" Target="file:///D:\hykysova23070\Documents\PN\2022\1.%20pol\publ\GRAFY_1.pol.22.xlsx" TargetMode="External"/><Relationship Id="rId2" Type="http://schemas.microsoft.com/office/2011/relationships/chartColorStyle" Target="colors25.xml"/><Relationship Id="rId1" Type="http://schemas.microsoft.com/office/2011/relationships/chartStyle" Target="style25.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percentStacked"/>
        <c:varyColors val="0"/>
        <c:ser>
          <c:idx val="4"/>
          <c:order val="0"/>
          <c:tx>
            <c:strRef>
              <c:f>'1.1'!$A$19</c:f>
              <c:strCache>
                <c:ptCount val="1"/>
                <c:pt idx="0">
                  <c:v> 500 a více zaměstnanců</c:v>
                </c:pt>
              </c:strCache>
            </c:strRef>
          </c:tx>
          <c:spPr>
            <a:solidFill>
              <a:srgbClr val="E8C1BE"/>
            </a:solidFill>
            <a:ln>
              <a:noFill/>
            </a:ln>
            <a:effectLst/>
          </c:spPr>
          <c:invertIfNegative val="0"/>
          <c:dLbls>
            <c:numFmt formatCode="0.0\ %"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'1.1'!$B$14:$D$14</c:f>
              <c:strCache>
                <c:ptCount val="3"/>
                <c:pt idx="0">
                  <c:v>1. pol. 2012</c:v>
                </c:pt>
                <c:pt idx="1">
                  <c:v>1. pol. 2017</c:v>
                </c:pt>
                <c:pt idx="2">
                  <c:v>1. pol. 2022</c:v>
                </c:pt>
              </c:strCache>
            </c:strRef>
          </c:cat>
          <c:val>
            <c:numRef>
              <c:f>'1.1'!$B$19:$D$19</c:f>
              <c:numCache>
                <c:formatCode>0.0%</c:formatCode>
                <c:ptCount val="3"/>
                <c:pt idx="0">
                  <c:v>0.31470987558247132</c:v>
                </c:pt>
                <c:pt idx="1">
                  <c:v>0.33681587258691403</c:v>
                </c:pt>
                <c:pt idx="2">
                  <c:v>0.32433808866822711</c:v>
                </c:pt>
              </c:numCache>
            </c:numRef>
          </c:val>
          <c:extLst>
            <c:ext xmlns:c16="http://schemas.microsoft.com/office/drawing/2014/chart" uri="{C3380CC4-5D6E-409C-BE32-E72D297353CC}">
              <c16:uniqueId val="{00000000-3168-4240-A50D-1F18A93D9C51}"/>
            </c:ext>
          </c:extLst>
        </c:ser>
        <c:ser>
          <c:idx val="3"/>
          <c:order val="1"/>
          <c:tx>
            <c:strRef>
              <c:f>'1.1'!$A$18</c:f>
              <c:strCache>
                <c:ptCount val="1"/>
                <c:pt idx="0">
                  <c:v> 250–499 zaměstnanců</c:v>
                </c:pt>
              </c:strCache>
            </c:strRef>
          </c:tx>
          <c:spPr>
            <a:solidFill>
              <a:srgbClr val="F07373"/>
            </a:solidFill>
            <a:ln>
              <a:noFill/>
            </a:ln>
            <a:effectLst/>
          </c:spPr>
          <c:invertIfNegative val="0"/>
          <c:dLbls>
            <c:numFmt formatCode="0.0\ %"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'1.1'!$B$14:$D$14</c:f>
              <c:strCache>
                <c:ptCount val="3"/>
                <c:pt idx="0">
                  <c:v>1. pol. 2012</c:v>
                </c:pt>
                <c:pt idx="1">
                  <c:v>1. pol. 2017</c:v>
                </c:pt>
                <c:pt idx="2">
                  <c:v>1. pol. 2022</c:v>
                </c:pt>
              </c:strCache>
            </c:strRef>
          </c:cat>
          <c:val>
            <c:numRef>
              <c:f>'1.1'!$B$18:$D$18</c:f>
              <c:numCache>
                <c:formatCode>0.0%</c:formatCode>
                <c:ptCount val="3"/>
                <c:pt idx="0">
                  <c:v>9.1999852882405947E-2</c:v>
                </c:pt>
                <c:pt idx="1">
                  <c:v>9.481171953194012E-2</c:v>
                </c:pt>
                <c:pt idx="2">
                  <c:v>9.5246339857649784E-2</c:v>
                </c:pt>
              </c:numCache>
            </c:numRef>
          </c:val>
          <c:extLst>
            <c:ext xmlns:c16="http://schemas.microsoft.com/office/drawing/2014/chart" uri="{C3380CC4-5D6E-409C-BE32-E72D297353CC}">
              <c16:uniqueId val="{00000001-3168-4240-A50D-1F18A93D9C51}"/>
            </c:ext>
          </c:extLst>
        </c:ser>
        <c:ser>
          <c:idx val="2"/>
          <c:order val="2"/>
          <c:tx>
            <c:strRef>
              <c:f>'1.1'!$A$17</c:f>
              <c:strCache>
                <c:ptCount val="1"/>
                <c:pt idx="0">
                  <c:v>  50–249 zaměstnanců</c:v>
                </c:pt>
              </c:strCache>
            </c:strRef>
          </c:tx>
          <c:spPr>
            <a:solidFill>
              <a:srgbClr val="C36969"/>
            </a:solidFill>
            <a:ln>
              <a:noFill/>
            </a:ln>
            <a:effectLst/>
          </c:spPr>
          <c:invertIfNegative val="0"/>
          <c:dLbls>
            <c:numFmt formatCode="0.0\ %"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'1.1'!$B$14:$D$14</c:f>
              <c:strCache>
                <c:ptCount val="3"/>
                <c:pt idx="0">
                  <c:v>1. pol. 2012</c:v>
                </c:pt>
                <c:pt idx="1">
                  <c:v>1. pol. 2017</c:v>
                </c:pt>
                <c:pt idx="2">
                  <c:v>1. pol. 2022</c:v>
                </c:pt>
              </c:strCache>
            </c:strRef>
          </c:cat>
          <c:val>
            <c:numRef>
              <c:f>'1.1'!$B$17:$D$17</c:f>
              <c:numCache>
                <c:formatCode>0.0%</c:formatCode>
                <c:ptCount val="3"/>
                <c:pt idx="0">
                  <c:v>0.23847829275414451</c:v>
                </c:pt>
                <c:pt idx="1">
                  <c:v>0.2320176553302446</c:v>
                </c:pt>
                <c:pt idx="2">
                  <c:v>0.24159504853995573</c:v>
                </c:pt>
              </c:numCache>
            </c:numRef>
          </c:val>
          <c:extLst>
            <c:ext xmlns:c16="http://schemas.microsoft.com/office/drawing/2014/chart" uri="{C3380CC4-5D6E-409C-BE32-E72D297353CC}">
              <c16:uniqueId val="{00000002-3168-4240-A50D-1F18A93D9C51}"/>
            </c:ext>
          </c:extLst>
        </c:ser>
        <c:ser>
          <c:idx val="1"/>
          <c:order val="3"/>
          <c:tx>
            <c:strRef>
              <c:f>'1.1'!$A$16</c:f>
              <c:strCache>
                <c:ptCount val="1"/>
                <c:pt idx="0">
                  <c:v>  1–49 zaměstnanců</c:v>
                </c:pt>
              </c:strCache>
            </c:strRef>
          </c:tx>
          <c:spPr>
            <a:solidFill>
              <a:srgbClr val="9A403C"/>
            </a:solidFill>
            <a:ln>
              <a:noFill/>
            </a:ln>
            <a:effectLst/>
          </c:spPr>
          <c:invertIfNegative val="0"/>
          <c:dLbls>
            <c:numFmt formatCode="0.0\ %"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'1.1'!$B$14:$D$14</c:f>
              <c:strCache>
                <c:ptCount val="3"/>
                <c:pt idx="0">
                  <c:v>1. pol. 2012</c:v>
                </c:pt>
                <c:pt idx="1">
                  <c:v>1. pol. 2017</c:v>
                </c:pt>
                <c:pt idx="2">
                  <c:v>1. pol. 2022</c:v>
                </c:pt>
              </c:strCache>
            </c:strRef>
          </c:cat>
          <c:val>
            <c:numRef>
              <c:f>'1.1'!$B$16:$D$16</c:f>
              <c:numCache>
                <c:formatCode>0.0%</c:formatCode>
                <c:ptCount val="3"/>
                <c:pt idx="0">
                  <c:v>0.32912784832893699</c:v>
                </c:pt>
                <c:pt idx="1">
                  <c:v>0.31732805356317018</c:v>
                </c:pt>
                <c:pt idx="2">
                  <c:v>0.31755528030309665</c:v>
                </c:pt>
              </c:numCache>
            </c:numRef>
          </c:val>
          <c:extLst>
            <c:ext xmlns:c16="http://schemas.microsoft.com/office/drawing/2014/chart" uri="{C3380CC4-5D6E-409C-BE32-E72D297353CC}">
              <c16:uniqueId val="{00000003-3168-4240-A50D-1F18A93D9C51}"/>
            </c:ext>
          </c:extLst>
        </c:ser>
        <c:ser>
          <c:idx val="0"/>
          <c:order val="4"/>
          <c:tx>
            <c:strRef>
              <c:f>'1.1'!$A$15</c:f>
              <c:strCache>
                <c:ptCount val="1"/>
                <c:pt idx="0">
                  <c:v> OSVČ</c:v>
                </c:pt>
              </c:strCache>
            </c:strRef>
          </c:tx>
          <c:spPr>
            <a:solidFill>
              <a:srgbClr val="4E201E"/>
            </a:solidFill>
            <a:ln>
              <a:noFill/>
            </a:ln>
            <a:effectLst/>
          </c:spPr>
          <c:invertIfNegative val="0"/>
          <c:dLbls>
            <c:numFmt formatCode="0.0\ %"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'1.1'!$B$14:$D$14</c:f>
              <c:strCache>
                <c:ptCount val="3"/>
                <c:pt idx="0">
                  <c:v>1. pol. 2012</c:v>
                </c:pt>
                <c:pt idx="1">
                  <c:v>1. pol. 2017</c:v>
                </c:pt>
                <c:pt idx="2">
                  <c:v>1. pol. 2022</c:v>
                </c:pt>
              </c:strCache>
            </c:strRef>
          </c:cat>
          <c:val>
            <c:numRef>
              <c:f>'1.1'!$B$15:$D$15</c:f>
              <c:numCache>
                <c:formatCode>0.0%</c:formatCode>
                <c:ptCount val="3"/>
                <c:pt idx="0">
                  <c:v>2.5684130452041234E-2</c:v>
                </c:pt>
                <c:pt idx="1">
                  <c:v>1.9026698987730899E-2</c:v>
                </c:pt>
                <c:pt idx="2">
                  <c:v>2.1265242631070741E-2</c:v>
                </c:pt>
              </c:numCache>
            </c:numRef>
          </c:val>
          <c:extLst>
            <c:ext xmlns:c16="http://schemas.microsoft.com/office/drawing/2014/chart" uri="{C3380CC4-5D6E-409C-BE32-E72D297353CC}">
              <c16:uniqueId val="{00000004-3168-4240-A50D-1F18A93D9C51}"/>
            </c:ext>
          </c:extLst>
        </c:ser>
        <c:dLbls>
          <c:showLegendKey val="0"/>
          <c:showVal val="0"/>
          <c:showCatName val="0"/>
          <c:showSerName val="0"/>
          <c:showPercent val="0"/>
          <c:showBubbleSize val="0"/>
        </c:dLbls>
        <c:gapWidth val="54"/>
        <c:overlap val="100"/>
        <c:axId val="1985728400"/>
        <c:axId val="1985730064"/>
      </c:barChart>
      <c:catAx>
        <c:axId val="19857284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985730064"/>
        <c:crosses val="autoZero"/>
        <c:auto val="1"/>
        <c:lblAlgn val="ctr"/>
        <c:lblOffset val="100"/>
        <c:noMultiLvlLbl val="0"/>
      </c:catAx>
      <c:valAx>
        <c:axId val="1985730064"/>
        <c:scaling>
          <c:orientation val="minMax"/>
        </c:scaling>
        <c:delete val="1"/>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1985728400"/>
        <c:crosses val="autoZero"/>
        <c:crossBetween val="between"/>
      </c:valAx>
      <c:spPr>
        <a:noFill/>
        <a:ln>
          <a:noFill/>
        </a:ln>
        <a:effectLst/>
      </c:spPr>
    </c:plotArea>
    <c:legend>
      <c:legendPos val="l"/>
      <c:layout>
        <c:manualLayout>
          <c:xMode val="edge"/>
          <c:yMode val="edge"/>
          <c:x val="2.1917808219178082E-2"/>
          <c:y val="5.0137153908393017E-2"/>
          <c:w val="0.27970891309819146"/>
          <c:h val="0.89972569218321397"/>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4"/>
          <c:order val="0"/>
          <c:tx>
            <c:strRef>
              <c:f>'1.1'!$A$10</c:f>
              <c:strCache>
                <c:ptCount val="1"/>
                <c:pt idx="0">
                  <c:v> 500 a více zaměstnanců</c:v>
                </c:pt>
              </c:strCache>
            </c:strRef>
          </c:tx>
          <c:spPr>
            <a:solidFill>
              <a:srgbClr val="E8C1BE"/>
            </a:solidFill>
            <a:ln>
              <a:noFill/>
            </a:ln>
            <a:effectLst/>
          </c:spPr>
          <c:invertIfNegative val="0"/>
          <c:dLbls>
            <c:numFmt formatCode="#,##0.0" sourceLinked="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'1.1'!$B$5:$D$5</c:f>
              <c:strCache>
                <c:ptCount val="3"/>
                <c:pt idx="0">
                  <c:v>1. pol. 2012</c:v>
                </c:pt>
                <c:pt idx="1">
                  <c:v>1. pol. 2017</c:v>
                </c:pt>
                <c:pt idx="2">
                  <c:v>1. pol. 2022</c:v>
                </c:pt>
              </c:strCache>
            </c:strRef>
          </c:cat>
          <c:val>
            <c:numRef>
              <c:f>'1.1'!$B$10:$D$10</c:f>
              <c:numCache>
                <c:formatCode>#\ ###\ ###\ ##0.0</c:formatCode>
                <c:ptCount val="3"/>
                <c:pt idx="0">
                  <c:v>1403.297</c:v>
                </c:pt>
                <c:pt idx="1">
                  <c:v>1560.1675653</c:v>
                </c:pt>
                <c:pt idx="2">
                  <c:v>1530.8357080999999</c:v>
                </c:pt>
              </c:numCache>
            </c:numRef>
          </c:val>
          <c:extLst>
            <c:ext xmlns:c16="http://schemas.microsoft.com/office/drawing/2014/chart" uri="{C3380CC4-5D6E-409C-BE32-E72D297353CC}">
              <c16:uniqueId val="{00000000-3AE8-4D3E-9BBC-2A12B2150CD8}"/>
            </c:ext>
          </c:extLst>
        </c:ser>
        <c:ser>
          <c:idx val="3"/>
          <c:order val="1"/>
          <c:tx>
            <c:strRef>
              <c:f>'1.1'!$A$9</c:f>
              <c:strCache>
                <c:ptCount val="1"/>
                <c:pt idx="0">
                  <c:v> 250–499 zaměstnanců</c:v>
                </c:pt>
              </c:strCache>
            </c:strRef>
          </c:tx>
          <c:spPr>
            <a:solidFill>
              <a:srgbClr val="F07373"/>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'1.1'!$B$5:$D$5</c:f>
              <c:strCache>
                <c:ptCount val="3"/>
                <c:pt idx="0">
                  <c:v>1. pol. 2012</c:v>
                </c:pt>
                <c:pt idx="1">
                  <c:v>1. pol. 2017</c:v>
                </c:pt>
                <c:pt idx="2">
                  <c:v>1. pol. 2022</c:v>
                </c:pt>
              </c:strCache>
            </c:strRef>
          </c:cat>
          <c:val>
            <c:numRef>
              <c:f>'1.1'!$B$9:$D$9</c:f>
              <c:numCache>
                <c:formatCode>#\ ###\ ###\ ##0.0</c:formatCode>
                <c:ptCount val="3"/>
                <c:pt idx="0">
                  <c:v>410.22899999999998</c:v>
                </c:pt>
                <c:pt idx="1">
                  <c:v>439.17814350000003</c:v>
                </c:pt>
                <c:pt idx="2">
                  <c:v>449.55095690000002</c:v>
                </c:pt>
              </c:numCache>
            </c:numRef>
          </c:val>
          <c:extLst>
            <c:ext xmlns:c16="http://schemas.microsoft.com/office/drawing/2014/chart" uri="{C3380CC4-5D6E-409C-BE32-E72D297353CC}">
              <c16:uniqueId val="{00000001-3AE8-4D3E-9BBC-2A12B2150CD8}"/>
            </c:ext>
          </c:extLst>
        </c:ser>
        <c:ser>
          <c:idx val="2"/>
          <c:order val="2"/>
          <c:tx>
            <c:strRef>
              <c:f>'1.1'!$A$8</c:f>
              <c:strCache>
                <c:ptCount val="1"/>
                <c:pt idx="0">
                  <c:v> 50–249 zaměstnanců</c:v>
                </c:pt>
              </c:strCache>
            </c:strRef>
          </c:tx>
          <c:spPr>
            <a:solidFill>
              <a:srgbClr val="C36969"/>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'1.1'!$B$5:$D$5</c:f>
              <c:strCache>
                <c:ptCount val="3"/>
                <c:pt idx="0">
                  <c:v>1. pol. 2012</c:v>
                </c:pt>
                <c:pt idx="1">
                  <c:v>1. pol. 2017</c:v>
                </c:pt>
                <c:pt idx="2">
                  <c:v>1. pol. 2022</c:v>
                </c:pt>
              </c:strCache>
            </c:strRef>
          </c:cat>
          <c:val>
            <c:numRef>
              <c:f>'1.1'!$B$8:$D$8</c:f>
              <c:numCache>
                <c:formatCode>#\ ###\ ###\ ##0.0</c:formatCode>
                <c:ptCount val="3"/>
                <c:pt idx="0">
                  <c:v>1063.3789999999999</c:v>
                </c:pt>
                <c:pt idx="1">
                  <c:v>1074.7308837999999</c:v>
                </c:pt>
                <c:pt idx="2">
                  <c:v>1140.2987812000001</c:v>
                </c:pt>
              </c:numCache>
            </c:numRef>
          </c:val>
          <c:extLst>
            <c:ext xmlns:c16="http://schemas.microsoft.com/office/drawing/2014/chart" uri="{C3380CC4-5D6E-409C-BE32-E72D297353CC}">
              <c16:uniqueId val="{00000002-3AE8-4D3E-9BBC-2A12B2150CD8}"/>
            </c:ext>
          </c:extLst>
        </c:ser>
        <c:ser>
          <c:idx val="1"/>
          <c:order val="3"/>
          <c:tx>
            <c:strRef>
              <c:f>'1.1'!$A$7</c:f>
              <c:strCache>
                <c:ptCount val="1"/>
                <c:pt idx="0">
                  <c:v> 1–49 zaměstnanců</c:v>
                </c:pt>
              </c:strCache>
            </c:strRef>
          </c:tx>
          <c:spPr>
            <a:solidFill>
              <a:srgbClr val="9A403C"/>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'1.1'!$B$5:$D$5</c:f>
              <c:strCache>
                <c:ptCount val="3"/>
                <c:pt idx="0">
                  <c:v>1. pol. 2012</c:v>
                </c:pt>
                <c:pt idx="1">
                  <c:v>1. pol. 2017</c:v>
                </c:pt>
                <c:pt idx="2">
                  <c:v>1. pol. 2022</c:v>
                </c:pt>
              </c:strCache>
            </c:strRef>
          </c:cat>
          <c:val>
            <c:numRef>
              <c:f>'1.1'!$B$7:$D$7</c:f>
              <c:numCache>
                <c:formatCode>#\ ###\ ###\ ##0.0</c:formatCode>
                <c:ptCount val="3"/>
                <c:pt idx="0">
                  <c:v>1467.587</c:v>
                </c:pt>
                <c:pt idx="1">
                  <c:v>1469.8978789999999</c:v>
                </c:pt>
                <c:pt idx="2">
                  <c:v>1498.8216906</c:v>
                </c:pt>
              </c:numCache>
            </c:numRef>
          </c:val>
          <c:extLst>
            <c:ext xmlns:c16="http://schemas.microsoft.com/office/drawing/2014/chart" uri="{C3380CC4-5D6E-409C-BE32-E72D297353CC}">
              <c16:uniqueId val="{00000003-3AE8-4D3E-9BBC-2A12B2150CD8}"/>
            </c:ext>
          </c:extLst>
        </c:ser>
        <c:ser>
          <c:idx val="0"/>
          <c:order val="4"/>
          <c:tx>
            <c:strRef>
              <c:f>'1.1'!$A$6</c:f>
              <c:strCache>
                <c:ptCount val="1"/>
                <c:pt idx="0">
                  <c:v> OSVČ</c:v>
                </c:pt>
              </c:strCache>
            </c:strRef>
          </c:tx>
          <c:spPr>
            <a:solidFill>
              <a:srgbClr val="4E201E"/>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'1.1'!$B$5:$D$5</c:f>
              <c:strCache>
                <c:ptCount val="3"/>
                <c:pt idx="0">
                  <c:v>1. pol. 2012</c:v>
                </c:pt>
                <c:pt idx="1">
                  <c:v>1. pol. 2017</c:v>
                </c:pt>
                <c:pt idx="2">
                  <c:v>1. pol. 2022</c:v>
                </c:pt>
              </c:strCache>
            </c:strRef>
          </c:cat>
          <c:val>
            <c:numRef>
              <c:f>'1.1'!$B$6:$D$6</c:f>
              <c:numCache>
                <c:formatCode>#\ ###\ ###\ ##0.0</c:formatCode>
                <c:ptCount val="3"/>
                <c:pt idx="0">
                  <c:v>114.526</c:v>
                </c:pt>
                <c:pt idx="1">
                  <c:v>88.13372840000001</c:v>
                </c:pt>
                <c:pt idx="2">
                  <c:v>100.36931799999999</c:v>
                </c:pt>
              </c:numCache>
            </c:numRef>
          </c:val>
          <c:extLst>
            <c:ext xmlns:c16="http://schemas.microsoft.com/office/drawing/2014/chart" uri="{C3380CC4-5D6E-409C-BE32-E72D297353CC}">
              <c16:uniqueId val="{00000004-3AE8-4D3E-9BBC-2A12B2150CD8}"/>
            </c:ext>
          </c:extLst>
        </c:ser>
        <c:dLbls>
          <c:showLegendKey val="0"/>
          <c:showVal val="0"/>
          <c:showCatName val="0"/>
          <c:showSerName val="0"/>
          <c:showPercent val="0"/>
          <c:showBubbleSize val="0"/>
        </c:dLbls>
        <c:gapWidth val="54"/>
        <c:overlap val="100"/>
        <c:axId val="2028034928"/>
        <c:axId val="2028039504"/>
      </c:barChart>
      <c:catAx>
        <c:axId val="20280349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2028039504"/>
        <c:crosses val="autoZero"/>
        <c:auto val="1"/>
        <c:lblAlgn val="ctr"/>
        <c:lblOffset val="100"/>
        <c:noMultiLvlLbl val="0"/>
      </c:catAx>
      <c:valAx>
        <c:axId val="202803950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202803492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9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1058555945707029"/>
          <c:y val="2.9100529100529099E-2"/>
          <c:w val="0.48941444054292965"/>
          <c:h val="0.90772374827192404"/>
        </c:manualLayout>
      </c:layout>
      <c:barChart>
        <c:barDir val="bar"/>
        <c:grouping val="clustered"/>
        <c:varyColors val="0"/>
        <c:ser>
          <c:idx val="0"/>
          <c:order val="0"/>
          <c:tx>
            <c:strRef>
              <c:f>'1.2'!$G$34</c:f>
              <c:strCache>
                <c:ptCount val="1"/>
                <c:pt idx="0">
                  <c:v> 1. pol. 2012</c:v>
                </c:pt>
              </c:strCache>
            </c:strRef>
          </c:tx>
          <c:spPr>
            <a:solidFill>
              <a:srgbClr val="B44946"/>
            </a:solidFill>
            <a:ln>
              <a:noFill/>
            </a:ln>
            <a:effectLst/>
          </c:spPr>
          <c:invertIfNegative val="0"/>
          <c:dLbls>
            <c:dLbl>
              <c:idx val="0"/>
              <c:layout>
                <c:manualLayout>
                  <c:x val="-7.0153514698721815E-3"/>
                  <c:y val="0"/>
                </c:manualLayout>
              </c:layout>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7E7-4578-8B39-1A9893C315AA}"/>
                </c:ext>
              </c:extLst>
            </c:dLbl>
            <c:dLbl>
              <c:idx val="1"/>
              <c:layout>
                <c:manualLayout>
                  <c:x val="-8.4850089055927627E-3"/>
                  <c:y val="0"/>
                </c:manualLayout>
              </c:layout>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7E7-4578-8B39-1A9893C315AA}"/>
                </c:ext>
              </c:extLst>
            </c:dLbl>
            <c:dLbl>
              <c:idx val="2"/>
              <c:layout>
                <c:manualLayout>
                  <c:x val="-5.2416138139845407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37E7-4578-8B39-1A9893C315AA}"/>
                </c:ext>
              </c:extLst>
            </c:dLbl>
            <c:dLbl>
              <c:idx val="3"/>
              <c:layout>
                <c:manualLayout>
                  <c:x val="-4.8092586986810945E-2"/>
                  <c:y val="-8.1344965269212601E-17"/>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7E7-4578-8B39-1A9893C315AA}"/>
                </c:ext>
              </c:extLst>
            </c:dLbl>
            <c:dLbl>
              <c:idx val="4"/>
              <c:layout>
                <c:manualLayout>
                  <c:x val="-5.4818270073692846E-2"/>
                  <c:y val="-2.2185246810871584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37E7-4578-8B39-1A9893C315AA}"/>
                </c:ext>
              </c:extLst>
            </c:dLbl>
            <c:dLbl>
              <c:idx val="5"/>
              <c:layout>
                <c:manualLayout>
                  <c:x val="-4.8335806623050447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7E7-4578-8B39-1A9893C315AA}"/>
                </c:ext>
              </c:extLst>
            </c:dLbl>
            <c:dLbl>
              <c:idx val="18"/>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7E7-4578-8B39-1A9893C315AA}"/>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'1.2'!$F$35:$F$53</c:f>
              <c:strCache>
                <c:ptCount val="19"/>
                <c:pt idx="0">
                  <c:v>B – Těžba a dobývání</c:v>
                </c:pt>
                <c:pt idx="1">
                  <c:v>D – Výroba a rozvod elektřiny, plynu, tepla a klimatiz. vzduchu</c:v>
                </c:pt>
                <c:pt idx="2">
                  <c:v>E – Zásobování vodou; činnosti související s odpady a sanacemi</c:v>
                </c:pt>
                <c:pt idx="3">
                  <c:v>R – Kulturní, zábavní a rekreační činnosti</c:v>
                </c:pt>
                <c:pt idx="4">
                  <c:v>L – Činnosti v oblasti nemovitostí</c:v>
                </c:pt>
                <c:pt idx="5">
                  <c:v>S – Ostatní činnosti</c:v>
                </c:pt>
                <c:pt idx="6">
                  <c:v>K – Peněžnictví a pojišťovnictví</c:v>
                </c:pt>
                <c:pt idx="7">
                  <c:v>A – Zemědělství, lesnictví, rybářství</c:v>
                </c:pt>
                <c:pt idx="8">
                  <c:v>I – Ubytování, stravování a pohostinství</c:v>
                </c:pt>
                <c:pt idx="9">
                  <c:v>J – Informační a komunikační činnosti</c:v>
                </c:pt>
                <c:pt idx="10">
                  <c:v>M – Profesní, vědecké a technické činnosti</c:v>
                </c:pt>
                <c:pt idx="11">
                  <c:v>N – Administrativní a podpůrné činnosti</c:v>
                </c:pt>
                <c:pt idx="12">
                  <c:v>F – Stavebnictví</c:v>
                </c:pt>
                <c:pt idx="13">
                  <c:v>O – Veřejná správa a obrana; povinné sociální zabezpečení</c:v>
                </c:pt>
                <c:pt idx="14">
                  <c:v>H – Doprava a skladování</c:v>
                </c:pt>
                <c:pt idx="15">
                  <c:v>P – Vzdělávání</c:v>
                </c:pt>
                <c:pt idx="16">
                  <c:v>Q – Zdravotní a sociální péče</c:v>
                </c:pt>
                <c:pt idx="17">
                  <c:v>G – Velkoobchod a maloobchod; opravy a údržba motor. vozidel</c:v>
                </c:pt>
                <c:pt idx="18">
                  <c:v>C – Zpracovatelský průmysl</c:v>
                </c:pt>
              </c:strCache>
            </c:strRef>
          </c:cat>
          <c:val>
            <c:numRef>
              <c:f>'1.2'!$G$35:$G$53</c:f>
              <c:numCache>
                <c:formatCode>#\ ###\ ###\ ##0</c:formatCode>
                <c:ptCount val="19"/>
                <c:pt idx="0">
                  <c:v>36.197000000000003</c:v>
                </c:pt>
                <c:pt idx="1">
                  <c:v>32.182000000000002</c:v>
                </c:pt>
                <c:pt idx="2">
                  <c:v>56.621000000000002</c:v>
                </c:pt>
                <c:pt idx="3">
                  <c:v>65.644000000000005</c:v>
                </c:pt>
                <c:pt idx="4">
                  <c:v>69.837999999999994</c:v>
                </c:pt>
                <c:pt idx="5">
                  <c:v>66.024000000000001</c:v>
                </c:pt>
                <c:pt idx="6">
                  <c:v>92.09</c:v>
                </c:pt>
                <c:pt idx="7">
                  <c:v>112.91200000000001</c:v>
                </c:pt>
                <c:pt idx="8">
                  <c:v>140.571</c:v>
                </c:pt>
                <c:pt idx="9">
                  <c:v>113.84399999999999</c:v>
                </c:pt>
                <c:pt idx="10">
                  <c:v>197.36699999999999</c:v>
                </c:pt>
                <c:pt idx="11">
                  <c:v>231.363</c:v>
                </c:pt>
                <c:pt idx="12">
                  <c:v>261.59899999999999</c:v>
                </c:pt>
                <c:pt idx="13">
                  <c:v>236.44</c:v>
                </c:pt>
                <c:pt idx="14">
                  <c:v>280.40100000000001</c:v>
                </c:pt>
                <c:pt idx="15">
                  <c:v>338.88799999999998</c:v>
                </c:pt>
                <c:pt idx="16">
                  <c:v>325.21199999999999</c:v>
                </c:pt>
                <c:pt idx="17">
                  <c:v>614.37199999999996</c:v>
                </c:pt>
                <c:pt idx="18">
                  <c:v>1167.404</c:v>
                </c:pt>
              </c:numCache>
            </c:numRef>
          </c:val>
          <c:extLst>
            <c:ext xmlns:c16="http://schemas.microsoft.com/office/drawing/2014/chart" uri="{C3380CC4-5D6E-409C-BE32-E72D297353CC}">
              <c16:uniqueId val="{00000007-37E7-4578-8B39-1A9893C315AA}"/>
            </c:ext>
          </c:extLst>
        </c:ser>
        <c:ser>
          <c:idx val="1"/>
          <c:order val="1"/>
          <c:tx>
            <c:strRef>
              <c:f>'1.2'!$H$34</c:f>
              <c:strCache>
                <c:ptCount val="1"/>
                <c:pt idx="0">
                  <c:v> 1. pol. 2022</c:v>
                </c:pt>
              </c:strCache>
            </c:strRef>
          </c:tx>
          <c:spPr>
            <a:solidFill>
              <a:srgbClr val="632827"/>
            </a:solidFill>
            <a:ln>
              <a:noFill/>
            </a:ln>
            <a:effectLst/>
          </c:spPr>
          <c:invertIfNegative val="0"/>
          <c:dLbls>
            <c:dLbl>
              <c:idx val="0"/>
              <c:layout>
                <c:manualLayout>
                  <c:x val="1.9902969840606033E-3"/>
                  <c:y val="0"/>
                </c:manualLayout>
              </c:layout>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37E7-4578-8B39-1A9893C315AA}"/>
                </c:ext>
              </c:extLst>
            </c:dLbl>
            <c:dLbl>
              <c:idx val="1"/>
              <c:layout>
                <c:manualLayout>
                  <c:x val="-6.18547779932837E-3"/>
                  <c:y val="0"/>
                </c:manualLayout>
              </c:layout>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37E7-4578-8B39-1A9893C315AA}"/>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'1.2'!$F$35:$F$53</c:f>
              <c:strCache>
                <c:ptCount val="19"/>
                <c:pt idx="0">
                  <c:v>B – Těžba a dobývání</c:v>
                </c:pt>
                <c:pt idx="1">
                  <c:v>D – Výroba a rozvod elektřiny, plynu, tepla a klimatiz. vzduchu</c:v>
                </c:pt>
                <c:pt idx="2">
                  <c:v>E – Zásobování vodou; činnosti související s odpady a sanacemi</c:v>
                </c:pt>
                <c:pt idx="3">
                  <c:v>R – Kulturní, zábavní a rekreační činnosti</c:v>
                </c:pt>
                <c:pt idx="4">
                  <c:v>L – Činnosti v oblasti nemovitostí</c:v>
                </c:pt>
                <c:pt idx="5">
                  <c:v>S – Ostatní činnosti</c:v>
                </c:pt>
                <c:pt idx="6">
                  <c:v>K – Peněžnictví a pojišťovnictví</c:v>
                </c:pt>
                <c:pt idx="7">
                  <c:v>A – Zemědělství, lesnictví, rybářství</c:v>
                </c:pt>
                <c:pt idx="8">
                  <c:v>I – Ubytování, stravování a pohostinství</c:v>
                </c:pt>
                <c:pt idx="9">
                  <c:v>J – Informační a komunikační činnosti</c:v>
                </c:pt>
                <c:pt idx="10">
                  <c:v>M – Profesní, vědecké a technické činnosti</c:v>
                </c:pt>
                <c:pt idx="11">
                  <c:v>N – Administrativní a podpůrné činnosti</c:v>
                </c:pt>
                <c:pt idx="12">
                  <c:v>F – Stavebnictví</c:v>
                </c:pt>
                <c:pt idx="13">
                  <c:v>O – Veřejná správa a obrana; povinné sociální zabezpečení</c:v>
                </c:pt>
                <c:pt idx="14">
                  <c:v>H – Doprava a skladování</c:v>
                </c:pt>
                <c:pt idx="15">
                  <c:v>P – Vzdělávání</c:v>
                </c:pt>
                <c:pt idx="16">
                  <c:v>Q – Zdravotní a sociální péče</c:v>
                </c:pt>
                <c:pt idx="17">
                  <c:v>G – Velkoobchod a maloobchod; opravy a údržba motor. vozidel</c:v>
                </c:pt>
                <c:pt idx="18">
                  <c:v>C – Zpracovatelský průmysl</c:v>
                </c:pt>
              </c:strCache>
            </c:strRef>
          </c:cat>
          <c:val>
            <c:numRef>
              <c:f>'1.2'!$H$35:$H$53</c:f>
              <c:numCache>
                <c:formatCode>#,##0</c:formatCode>
                <c:ptCount val="19"/>
                <c:pt idx="0">
                  <c:v>18.977199299999999</c:v>
                </c:pt>
                <c:pt idx="1">
                  <c:v>38.056095900000003</c:v>
                </c:pt>
                <c:pt idx="2">
                  <c:v>57.953620900000004</c:v>
                </c:pt>
                <c:pt idx="3">
                  <c:v>64.155146900000005</c:v>
                </c:pt>
                <c:pt idx="4">
                  <c:v>72.256687200000002</c:v>
                </c:pt>
                <c:pt idx="5">
                  <c:v>74.043541099999999</c:v>
                </c:pt>
                <c:pt idx="6">
                  <c:v>91.411763999999991</c:v>
                </c:pt>
                <c:pt idx="7">
                  <c:v>107.272383</c:v>
                </c:pt>
                <c:pt idx="8">
                  <c:v>136.15221260000001</c:v>
                </c:pt>
                <c:pt idx="9">
                  <c:v>155.69655</c:v>
                </c:pt>
                <c:pt idx="10">
                  <c:v>227.38166290000001</c:v>
                </c:pt>
                <c:pt idx="11">
                  <c:v>239.56933050000001</c:v>
                </c:pt>
                <c:pt idx="12">
                  <c:v>244.17746450000001</c:v>
                </c:pt>
                <c:pt idx="13">
                  <c:v>259.87729999999999</c:v>
                </c:pt>
                <c:pt idx="14">
                  <c:v>292.85303199999998</c:v>
                </c:pt>
                <c:pt idx="15">
                  <c:v>405.84858059999999</c:v>
                </c:pt>
                <c:pt idx="16">
                  <c:v>406.32920460000003</c:v>
                </c:pt>
                <c:pt idx="17">
                  <c:v>630.23792379999998</c:v>
                </c:pt>
                <c:pt idx="18">
                  <c:v>1197.5724346</c:v>
                </c:pt>
              </c:numCache>
            </c:numRef>
          </c:val>
          <c:extLst>
            <c:ext xmlns:c16="http://schemas.microsoft.com/office/drawing/2014/chart" uri="{C3380CC4-5D6E-409C-BE32-E72D297353CC}">
              <c16:uniqueId val="{0000000A-37E7-4578-8B39-1A9893C315AA}"/>
            </c:ext>
          </c:extLst>
        </c:ser>
        <c:dLbls>
          <c:showLegendKey val="0"/>
          <c:showVal val="0"/>
          <c:showCatName val="0"/>
          <c:showSerName val="0"/>
          <c:showPercent val="0"/>
          <c:showBubbleSize val="0"/>
        </c:dLbls>
        <c:gapWidth val="57"/>
        <c:axId val="895602015"/>
        <c:axId val="895596191"/>
      </c:barChart>
      <c:catAx>
        <c:axId val="895602015"/>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895596191"/>
        <c:crosses val="autoZero"/>
        <c:auto val="1"/>
        <c:lblAlgn val="ctr"/>
        <c:lblOffset val="100"/>
        <c:noMultiLvlLbl val="0"/>
      </c:catAx>
      <c:valAx>
        <c:axId val="895596191"/>
        <c:scaling>
          <c:orientation val="minMax"/>
          <c:max val="800"/>
        </c:scaling>
        <c:delete val="1"/>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cs-CZ">
                    <a:solidFill>
                      <a:sysClr val="windowText" lastClr="000000"/>
                    </a:solidFill>
                  </a:rPr>
                  <a:t>počet osob</a:t>
                </a:r>
                <a:endParaRPr lang="en-US">
                  <a:solidFill>
                    <a:sysClr val="windowText" lastClr="000000"/>
                  </a:solidFill>
                </a:endParaRPr>
              </a:p>
            </c:rich>
          </c:tx>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 ###\ ###\ ##0" sourceLinked="1"/>
        <c:majorTickMark val="out"/>
        <c:minorTickMark val="none"/>
        <c:tickLblPos val="nextTo"/>
        <c:crossAx val="895602015"/>
        <c:crosses val="autoZero"/>
        <c:crossBetween val="between"/>
      </c:valAx>
      <c:spPr>
        <a:noFill/>
        <a:ln>
          <a:noFill/>
        </a:ln>
        <a:effectLst/>
      </c:spPr>
    </c:plotArea>
    <c:legend>
      <c:legendPos val="r"/>
      <c:layout>
        <c:manualLayout>
          <c:xMode val="edge"/>
          <c:yMode val="edge"/>
          <c:x val="0.77961262699636158"/>
          <c:y val="0.46706460361340024"/>
          <c:w val="0.11735705358419686"/>
          <c:h val="6.5870618086216762E-2"/>
        </c:manualLayout>
      </c:layout>
      <c:overlay val="0"/>
      <c:spPr>
        <a:solidFill>
          <a:schemeClr val="bg1"/>
        </a:solidFill>
        <a:ln>
          <a:solidFill>
            <a:schemeClr val="bg1">
              <a:lumMod val="75000"/>
            </a:schemeClr>
          </a:solid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r>
              <a:rPr lang="en-US" b="1"/>
              <a:t>ženy</a:t>
            </a:r>
          </a:p>
        </c:rich>
      </c:tx>
      <c:layout>
        <c:manualLayout>
          <c:xMode val="edge"/>
          <c:yMode val="edge"/>
          <c:x val="0.11093594069972022"/>
          <c:y val="5.4655911913449859E-2"/>
        </c:manualLayout>
      </c:layout>
      <c:overlay val="0"/>
      <c:spPr>
        <a:noFill/>
        <a:ln>
          <a:noFill/>
        </a:ln>
        <a:effectLst/>
      </c:spPr>
      <c:txPr>
        <a:bodyPr rot="0" spcFirstLastPara="1" vertOverflow="ellipsis" vert="horz" wrap="square" anchor="ctr" anchorCtr="1"/>
        <a:lstStyle/>
        <a:p>
          <a:pPr>
            <a:defRPr sz="100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endParaRPr lang="cs-CZ"/>
        </a:p>
      </c:txPr>
    </c:title>
    <c:autoTitleDeleted val="0"/>
    <c:plotArea>
      <c:layout>
        <c:manualLayout>
          <c:layoutTarget val="inner"/>
          <c:xMode val="edge"/>
          <c:yMode val="edge"/>
          <c:x val="0.48956995760145372"/>
          <c:y val="0.2018654375520133"/>
          <c:w val="0.40660321305990593"/>
          <c:h val="0.60164052664148682"/>
        </c:manualLayout>
      </c:layout>
      <c:doughnutChart>
        <c:varyColors val="1"/>
        <c:ser>
          <c:idx val="0"/>
          <c:order val="0"/>
          <c:tx>
            <c:strRef>
              <c:f>'2.1'!$A$20</c:f>
              <c:strCache>
                <c:ptCount val="1"/>
                <c:pt idx="0">
                  <c:v>ženy</c:v>
                </c:pt>
              </c:strCache>
            </c:strRef>
          </c:tx>
          <c:dPt>
            <c:idx val="0"/>
            <c:bubble3D val="0"/>
            <c:spPr>
              <a:solidFill>
                <a:srgbClr val="632827"/>
              </a:solidFill>
              <a:ln w="19050">
                <a:solidFill>
                  <a:schemeClr val="lt1"/>
                </a:solidFill>
              </a:ln>
              <a:effectLst/>
            </c:spPr>
            <c:extLst>
              <c:ext xmlns:c16="http://schemas.microsoft.com/office/drawing/2014/chart" uri="{C3380CC4-5D6E-409C-BE32-E72D297353CC}">
                <c16:uniqueId val="{00000001-FBC2-496A-AAE9-1172E6D60A6A}"/>
              </c:ext>
            </c:extLst>
          </c:dPt>
          <c:dPt>
            <c:idx val="1"/>
            <c:bubble3D val="0"/>
            <c:spPr>
              <a:solidFill>
                <a:srgbClr val="C46A68"/>
              </a:solidFill>
              <a:ln w="19050">
                <a:solidFill>
                  <a:schemeClr val="lt1"/>
                </a:solidFill>
              </a:ln>
              <a:effectLst/>
            </c:spPr>
            <c:extLst>
              <c:ext xmlns:c16="http://schemas.microsoft.com/office/drawing/2014/chart" uri="{C3380CC4-5D6E-409C-BE32-E72D297353CC}">
                <c16:uniqueId val="{00000003-FBC2-496A-AAE9-1172E6D60A6A}"/>
              </c:ext>
            </c:extLst>
          </c:dPt>
          <c:dPt>
            <c:idx val="2"/>
            <c:bubble3D val="0"/>
            <c:spPr>
              <a:solidFill>
                <a:srgbClr val="B44946"/>
              </a:solidFill>
              <a:ln w="19050">
                <a:solidFill>
                  <a:schemeClr val="lt1"/>
                </a:solidFill>
              </a:ln>
              <a:effectLst/>
            </c:spPr>
            <c:extLst>
              <c:ext xmlns:c16="http://schemas.microsoft.com/office/drawing/2014/chart" uri="{C3380CC4-5D6E-409C-BE32-E72D297353CC}">
                <c16:uniqueId val="{00000005-FBC2-496A-AAE9-1172E6D60A6A}"/>
              </c:ext>
            </c:extLst>
          </c:dPt>
          <c:dLbls>
            <c:dLbl>
              <c:idx val="0"/>
              <c:layout>
                <c:manualLayout>
                  <c:x val="5.5555555555555558E-3"/>
                  <c:y val="-4.499186205076321E-3"/>
                </c:manualLayout>
              </c:layout>
              <c:tx>
                <c:rich>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fld id="{395325EF-C4F3-4C48-9FFC-CC78A6A38548}" type="CELLRANGE">
                      <a:rPr lang="en-US"/>
                      <a:pPr>
                        <a:defRPr>
                          <a:solidFill>
                            <a:schemeClr val="bg1"/>
                          </a:solidFill>
                        </a:defRPr>
                      </a:pPr>
                      <a:t>[OBLAST BUNĚK]</a:t>
                    </a:fld>
                    <a:endParaRPr lang="cs-CZ"/>
                  </a:p>
                </c:rich>
              </c:tx>
              <c:numFmt formatCode="#,##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0"/>
              <c:showCatName val="0"/>
              <c:showSerName val="0"/>
              <c:showPercent val="0"/>
              <c:showBubbleSize val="0"/>
              <c:separator>
</c:separator>
              <c:extLst>
                <c:ext xmlns:c15="http://schemas.microsoft.com/office/drawing/2012/chart" uri="{CE6537A1-D6FC-4f65-9D91-7224C49458BB}">
                  <c15:dlblFieldTable/>
                  <c15:showDataLabelsRange val="1"/>
                </c:ext>
                <c:ext xmlns:c16="http://schemas.microsoft.com/office/drawing/2014/chart" uri="{C3380CC4-5D6E-409C-BE32-E72D297353CC}">
                  <c16:uniqueId val="{00000001-FBC2-496A-AAE9-1172E6D60A6A}"/>
                </c:ext>
              </c:extLst>
            </c:dLbl>
            <c:dLbl>
              <c:idx val="1"/>
              <c:layout>
                <c:manualLayout>
                  <c:x val="-8.9407862478728617E-2"/>
                  <c:y val="-0.11082090348462539"/>
                </c:manualLayout>
              </c:layout>
              <c:tx>
                <c:rich>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fld id="{B80F698B-9539-415C-AF88-CB26B695BD2B}" type="CELLRANGE">
                      <a:rPr lang="en-US"/>
                      <a:pPr>
                        <a:defRPr>
                          <a:solidFill>
                            <a:sysClr val="windowText" lastClr="000000"/>
                          </a:solidFill>
                        </a:defRPr>
                      </a:pPr>
                      <a:t>[OBLAST BUNĚK]</a:t>
                    </a:fld>
                    <a:endParaRPr lang="cs-CZ"/>
                  </a:p>
                </c:rich>
              </c:tx>
              <c:numFmt formatCode="#,##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0"/>
              <c:showCatName val="0"/>
              <c:showSerName val="0"/>
              <c:showPercent val="0"/>
              <c:showBubbleSize val="0"/>
              <c:separator>
</c:separator>
              <c:extLst>
                <c:ext xmlns:c15="http://schemas.microsoft.com/office/drawing/2012/chart" uri="{CE6537A1-D6FC-4f65-9D91-7224C49458BB}">
                  <c15:dlblFieldTable/>
                  <c15:showDataLabelsRange val="1"/>
                </c:ext>
                <c:ext xmlns:c16="http://schemas.microsoft.com/office/drawing/2014/chart" uri="{C3380CC4-5D6E-409C-BE32-E72D297353CC}">
                  <c16:uniqueId val="{00000003-FBC2-496A-AAE9-1172E6D60A6A}"/>
                </c:ext>
              </c:extLst>
            </c:dLbl>
            <c:dLbl>
              <c:idx val="2"/>
              <c:layout>
                <c:manualLayout>
                  <c:x val="1.3369963369963369E-2"/>
                  <c:y val="-0.15466316710411199"/>
                </c:manualLayout>
              </c:layout>
              <c:tx>
                <c:rich>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fld id="{71437E55-D94A-4794-B645-9C974E6A8F93}" type="CELLRANGE">
                      <a:rPr lang="en-US"/>
                      <a:pPr>
                        <a:defRPr>
                          <a:solidFill>
                            <a:sysClr val="windowText" lastClr="000000"/>
                          </a:solidFill>
                        </a:defRPr>
                      </a:pPr>
                      <a:t>[OBLAST BUNĚK]</a:t>
                    </a:fld>
                    <a:endParaRPr lang="cs-CZ"/>
                  </a:p>
                </c:rich>
              </c:tx>
              <c:numFmt formatCode="#,##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0"/>
              <c:showCatName val="0"/>
              <c:showSerName val="0"/>
              <c:showPercent val="0"/>
              <c:showBubbleSize val="0"/>
              <c:separator>
</c:separator>
              <c:extLst>
                <c:ext xmlns:c15="http://schemas.microsoft.com/office/drawing/2012/chart" uri="{CE6537A1-D6FC-4f65-9D91-7224C49458BB}">
                  <c15:dlblFieldTable/>
                  <c15:showDataLabelsRange val="1"/>
                </c:ext>
                <c:ext xmlns:c16="http://schemas.microsoft.com/office/drawing/2014/chart" uri="{C3380CC4-5D6E-409C-BE32-E72D297353CC}">
                  <c16:uniqueId val="{00000005-FBC2-496A-AAE9-1172E6D60A6A}"/>
                </c:ext>
              </c:extLst>
            </c:dLbl>
            <c:numFmt formatCode="#,##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cs-CZ"/>
              </a:p>
            </c:txPr>
            <c:showLegendKey val="0"/>
            <c:showVal val="0"/>
            <c:showCatName val="0"/>
            <c:showSerName val="0"/>
            <c:showPercent val="0"/>
            <c:showBubbleSize val="0"/>
            <c:separator>
</c:separator>
            <c:showLeaderLines val="0"/>
            <c:extLst>
              <c:ext xmlns:c15="http://schemas.microsoft.com/office/drawing/2012/chart" uri="{CE6537A1-D6FC-4f65-9D91-7224C49458BB}">
                <c15:showDataLabelsRange val="1"/>
              </c:ext>
            </c:extLst>
          </c:dLbls>
          <c:cat>
            <c:strRef>
              <c:f>'2.1'!$B$10:$D$10</c:f>
              <c:strCache>
                <c:ptCount val="3"/>
                <c:pt idx="0">
                  <c:v> nemoc</c:v>
                </c:pt>
                <c:pt idx="1">
                  <c:v> pracovní úraz</c:v>
                </c:pt>
                <c:pt idx="2">
                  <c:v> ostatní úraz</c:v>
                </c:pt>
              </c:strCache>
            </c:strRef>
          </c:cat>
          <c:val>
            <c:numRef>
              <c:f>'2.1'!$B$20:$D$20</c:f>
              <c:numCache>
                <c:formatCode>#\ ##0.0</c:formatCode>
                <c:ptCount val="3"/>
                <c:pt idx="0">
                  <c:v>1065.829</c:v>
                </c:pt>
                <c:pt idx="1">
                  <c:v>7.6619999999999999</c:v>
                </c:pt>
                <c:pt idx="2">
                  <c:v>34.402999999999999</c:v>
                </c:pt>
              </c:numCache>
            </c:numRef>
          </c:val>
          <c:extLst>
            <c:ext xmlns:c15="http://schemas.microsoft.com/office/drawing/2012/chart" uri="{02D57815-91ED-43cb-92C2-25804820EDAC}">
              <c15:datalabelsRange>
                <c15:f>'2.1'!$F$25:$F$27</c15:f>
                <c15:dlblRangeCache>
                  <c:ptCount val="3"/>
                  <c:pt idx="0">
                    <c:v>1 065,8 tis.
96 %</c:v>
                  </c:pt>
                  <c:pt idx="1">
                    <c:v>7,7 tis.
1 %</c:v>
                  </c:pt>
                  <c:pt idx="2">
                    <c:v>34,4 tis.
3 %</c:v>
                  </c:pt>
                </c15:dlblRangeCache>
              </c15:datalabelsRange>
            </c:ext>
            <c:ext xmlns:c16="http://schemas.microsoft.com/office/drawing/2014/chart" uri="{C3380CC4-5D6E-409C-BE32-E72D297353CC}">
              <c16:uniqueId val="{00000006-FBC2-496A-AAE9-1172E6D60A6A}"/>
            </c:ext>
          </c:extLst>
        </c:ser>
        <c:dLbls>
          <c:showLegendKey val="0"/>
          <c:showVal val="0"/>
          <c:showCatName val="0"/>
          <c:showSerName val="0"/>
          <c:showPercent val="0"/>
          <c:showBubbleSize val="0"/>
          <c:showLeaderLines val="0"/>
        </c:dLbls>
        <c:firstSliceAng val="0"/>
        <c:holeSize val="50"/>
      </c:doughnutChart>
      <c:spPr>
        <a:noFill/>
        <a:ln>
          <a:noFill/>
        </a:ln>
        <a:effectLst/>
      </c:spPr>
    </c:plotArea>
    <c:legend>
      <c:legendPos val="l"/>
      <c:layout>
        <c:manualLayout>
          <c:xMode val="edge"/>
          <c:yMode val="edge"/>
          <c:x val="8.4249084249084255E-2"/>
          <c:y val="0.40233915882465909"/>
          <c:w val="0.23716737330910559"/>
          <c:h val="0.24139171627936751"/>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userShapes r:id="rId4"/>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r>
              <a:rPr lang="en-US" b="1"/>
              <a:t>muži</a:t>
            </a:r>
          </a:p>
        </c:rich>
      </c:tx>
      <c:layout>
        <c:manualLayout>
          <c:xMode val="edge"/>
          <c:yMode val="edge"/>
          <c:x val="5.4796829326100124E-2"/>
          <c:y val="4.1611932654759612E-2"/>
        </c:manualLayout>
      </c:layout>
      <c:overlay val="0"/>
      <c:spPr>
        <a:noFill/>
        <a:ln>
          <a:noFill/>
        </a:ln>
        <a:effectLst/>
      </c:spPr>
      <c:txPr>
        <a:bodyPr rot="0" spcFirstLastPara="1" vertOverflow="ellipsis" vert="horz" wrap="square" anchor="ctr" anchorCtr="1"/>
        <a:lstStyle/>
        <a:p>
          <a:pPr>
            <a:defRPr sz="100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endParaRPr lang="cs-CZ"/>
        </a:p>
      </c:txPr>
    </c:title>
    <c:autoTitleDeleted val="0"/>
    <c:plotArea>
      <c:layout>
        <c:manualLayout>
          <c:layoutTarget val="inner"/>
          <c:xMode val="edge"/>
          <c:yMode val="edge"/>
          <c:x val="0.17625860285379638"/>
          <c:y val="0.20279772720717604"/>
          <c:w val="0.54387476809698465"/>
          <c:h val="0.61161008720063836"/>
        </c:manualLayout>
      </c:layout>
      <c:doughnutChart>
        <c:varyColors val="1"/>
        <c:ser>
          <c:idx val="0"/>
          <c:order val="0"/>
          <c:tx>
            <c:strRef>
              <c:f>'2.1'!$A$23</c:f>
              <c:strCache>
                <c:ptCount val="1"/>
                <c:pt idx="0">
                  <c:v>muži</c:v>
                </c:pt>
              </c:strCache>
            </c:strRef>
          </c:tx>
          <c:dPt>
            <c:idx val="0"/>
            <c:bubble3D val="0"/>
            <c:spPr>
              <a:solidFill>
                <a:srgbClr val="632827"/>
              </a:solidFill>
              <a:ln w="19050">
                <a:solidFill>
                  <a:schemeClr val="lt1"/>
                </a:solidFill>
              </a:ln>
              <a:effectLst/>
            </c:spPr>
            <c:extLst>
              <c:ext xmlns:c16="http://schemas.microsoft.com/office/drawing/2014/chart" uri="{C3380CC4-5D6E-409C-BE32-E72D297353CC}">
                <c16:uniqueId val="{00000001-5403-42F4-BB69-D7DB27BE5711}"/>
              </c:ext>
            </c:extLst>
          </c:dPt>
          <c:dPt>
            <c:idx val="1"/>
            <c:bubble3D val="0"/>
            <c:spPr>
              <a:solidFill>
                <a:srgbClr val="C46A68"/>
              </a:solidFill>
              <a:ln w="19050">
                <a:solidFill>
                  <a:schemeClr val="lt1"/>
                </a:solidFill>
              </a:ln>
              <a:effectLst/>
            </c:spPr>
            <c:extLst>
              <c:ext xmlns:c16="http://schemas.microsoft.com/office/drawing/2014/chart" uri="{C3380CC4-5D6E-409C-BE32-E72D297353CC}">
                <c16:uniqueId val="{00000003-5403-42F4-BB69-D7DB27BE5711}"/>
              </c:ext>
            </c:extLst>
          </c:dPt>
          <c:dPt>
            <c:idx val="2"/>
            <c:bubble3D val="0"/>
            <c:spPr>
              <a:solidFill>
                <a:srgbClr val="B44946"/>
              </a:solidFill>
              <a:ln w="19050">
                <a:solidFill>
                  <a:schemeClr val="lt1"/>
                </a:solidFill>
              </a:ln>
              <a:effectLst/>
            </c:spPr>
            <c:extLst>
              <c:ext xmlns:c16="http://schemas.microsoft.com/office/drawing/2014/chart" uri="{C3380CC4-5D6E-409C-BE32-E72D297353CC}">
                <c16:uniqueId val="{00000005-5403-42F4-BB69-D7DB27BE5711}"/>
              </c:ext>
            </c:extLst>
          </c:dPt>
          <c:dLbls>
            <c:dLbl>
              <c:idx val="0"/>
              <c:tx>
                <c:rich>
                  <a:bodyPr/>
                  <a:lstStyle/>
                  <a:p>
                    <a:fld id="{717408C7-4D5C-4FAB-9CED-53C2B1A9EDF1}" type="CELLRANGE">
                      <a:rPr lang="en-US"/>
                      <a:pPr/>
                      <a:t>[OBLAST BUNĚK]</a:t>
                    </a:fld>
                    <a:endParaRPr lang="cs-CZ"/>
                  </a:p>
                </c:rich>
              </c:tx>
              <c:showLegendKey val="0"/>
              <c:showVal val="1"/>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1-5403-42F4-BB69-D7DB27BE5711}"/>
                </c:ext>
              </c:extLst>
            </c:dLbl>
            <c:dLbl>
              <c:idx val="1"/>
              <c:layout>
                <c:manualLayout>
                  <c:x val="-8.8963210702341131E-2"/>
                  <c:y val="-0.12737127371273715"/>
                </c:manualLayout>
              </c:layout>
              <c:tx>
                <c:rich>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fld id="{E6FDDEB6-9B76-4806-9487-C2932E9F090D}" type="CELLRANGE">
                      <a:rPr lang="en-US">
                        <a:solidFill>
                          <a:sysClr val="windowText" lastClr="000000"/>
                        </a:solidFill>
                      </a:rPr>
                      <a:pPr>
                        <a:defRPr>
                          <a:solidFill>
                            <a:sysClr val="windowText" lastClr="000000"/>
                          </a:solidFill>
                        </a:defRPr>
                      </a:pPr>
                      <a:t>[OBLAST BUNĚK]</a:t>
                    </a:fld>
                    <a:endParaRPr lang="cs-CZ"/>
                  </a:p>
                </c:rich>
              </c:tx>
              <c:numFmt formatCode="#,##0.0" sourceLinked="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3-5403-42F4-BB69-D7DB27BE5711}"/>
                </c:ext>
              </c:extLst>
            </c:dLbl>
            <c:dLbl>
              <c:idx val="2"/>
              <c:layout>
                <c:manualLayout>
                  <c:x val="2.1200326547810285E-2"/>
                  <c:y val="-0.15176151761517614"/>
                </c:manualLayout>
              </c:layout>
              <c:tx>
                <c:rich>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fld id="{25FA99C6-4008-4DD8-884D-9E7E4CB57DDD}" type="CELLRANGE">
                      <a:rPr lang="en-US">
                        <a:solidFill>
                          <a:sysClr val="windowText" lastClr="000000"/>
                        </a:solidFill>
                      </a:rPr>
                      <a:pPr>
                        <a:defRPr>
                          <a:solidFill>
                            <a:sysClr val="windowText" lastClr="000000"/>
                          </a:solidFill>
                        </a:defRPr>
                      </a:pPr>
                      <a:t>[OBLAST BUNĚK]</a:t>
                    </a:fld>
                    <a:endParaRPr lang="cs-CZ"/>
                  </a:p>
                </c:rich>
              </c:tx>
              <c:numFmt formatCode="#,##0.0" sourceLinked="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5-5403-42F4-BB69-D7DB27BE5711}"/>
                </c:ext>
              </c:extLst>
            </c:dLbl>
            <c:numFmt formatCode="#,##0.0" sourceLinked="0"/>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0"/>
            <c:showCatName val="0"/>
            <c:showSerName val="0"/>
            <c:showPercent val="0"/>
            <c:showBubbleSize val="0"/>
            <c:showLeaderLines val="0"/>
            <c:extLst>
              <c:ext xmlns:c15="http://schemas.microsoft.com/office/drawing/2012/chart" uri="{CE6537A1-D6FC-4f65-9D91-7224C49458BB}">
                <c15:showDataLabelsRange val="1"/>
              </c:ext>
            </c:extLst>
          </c:dLbls>
          <c:cat>
            <c:strRef>
              <c:f>'2.1'!$B$14:$D$14</c:f>
              <c:strCache>
                <c:ptCount val="3"/>
                <c:pt idx="0">
                  <c:v>nemoc</c:v>
                </c:pt>
                <c:pt idx="1">
                  <c:v>pracovní úraz</c:v>
                </c:pt>
                <c:pt idx="2">
                  <c:v>ostatní úraz</c:v>
                </c:pt>
              </c:strCache>
            </c:strRef>
          </c:cat>
          <c:val>
            <c:numRef>
              <c:f>'2.1'!$B$23:$D$23</c:f>
              <c:numCache>
                <c:formatCode>#\ ##0.0</c:formatCode>
                <c:ptCount val="3"/>
                <c:pt idx="0">
                  <c:v>876.58799999999997</c:v>
                </c:pt>
                <c:pt idx="1">
                  <c:v>15.616</c:v>
                </c:pt>
                <c:pt idx="2">
                  <c:v>53.828000000000003</c:v>
                </c:pt>
              </c:numCache>
            </c:numRef>
          </c:val>
          <c:extLst>
            <c:ext xmlns:c15="http://schemas.microsoft.com/office/drawing/2012/chart" uri="{02D57815-91ED-43cb-92C2-25804820EDAC}">
              <c15:datalabelsRange>
                <c15:f>'2.1'!$D$26:$D$28</c15:f>
                <c15:dlblRangeCache>
                  <c:ptCount val="3"/>
                  <c:pt idx="0">
                    <c:v>876,6 tis.
93 %</c:v>
                  </c:pt>
                  <c:pt idx="1">
                    <c:v>15,6 tis.
2 %</c:v>
                  </c:pt>
                  <c:pt idx="2">
                    <c:v>53,8 tis.
6 %</c:v>
                  </c:pt>
                </c15:dlblRangeCache>
              </c15:datalabelsRange>
            </c:ext>
            <c:ext xmlns:c16="http://schemas.microsoft.com/office/drawing/2014/chart" uri="{C3380CC4-5D6E-409C-BE32-E72D297353CC}">
              <c16:uniqueId val="{00000006-5403-42F4-BB69-D7DB27BE5711}"/>
            </c:ext>
          </c:extLst>
        </c:ser>
        <c:dLbls>
          <c:showLegendKey val="0"/>
          <c:showVal val="0"/>
          <c:showCatName val="0"/>
          <c:showSerName val="0"/>
          <c:showPercent val="0"/>
          <c:showBubbleSize val="0"/>
          <c:showLeaderLines val="0"/>
        </c:dLbls>
        <c:firstSliceAng val="0"/>
        <c:holeSize val="50"/>
      </c:doughnut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userShapes r:id="rId4"/>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'2.2'!$A$5</c:f>
              <c:strCache>
                <c:ptCount val="1"/>
                <c:pt idx="0">
                  <c:v> 1. pololetí</c:v>
                </c:pt>
              </c:strCache>
            </c:strRef>
          </c:tx>
          <c:spPr>
            <a:solidFill>
              <a:srgbClr val="632827"/>
            </a:solidFill>
            <a:ln>
              <a:noFill/>
            </a:ln>
            <a:effectLst/>
          </c:spPr>
          <c:invertIfNegative val="0"/>
          <c:dLbls>
            <c:dLbl>
              <c:idx val="0"/>
              <c:layout>
                <c:manualLayout>
                  <c:x val="-2.4330900243309003E-3"/>
                  <c:y val="7.876640419947506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79F-48F3-909D-AE68D341ADC1}"/>
                </c:ext>
              </c:extLst>
            </c:dLbl>
            <c:dLbl>
              <c:idx val="1"/>
              <c:layout>
                <c:manualLayout>
                  <c:x val="-7.2992700729927005E-3"/>
                  <c:y val="7.876640419947499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79F-48F3-909D-AE68D341ADC1}"/>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'2.2'!$B$4:$G$4</c:f>
              <c:numCache>
                <c:formatCode>General</c:formatCode>
                <c:ptCount val="6"/>
                <c:pt idx="0">
                  <c:v>2017</c:v>
                </c:pt>
                <c:pt idx="1">
                  <c:v>2018</c:v>
                </c:pt>
                <c:pt idx="2">
                  <c:v>2019</c:v>
                </c:pt>
                <c:pt idx="3">
                  <c:v>2020</c:v>
                </c:pt>
                <c:pt idx="4">
                  <c:v>2021</c:v>
                </c:pt>
                <c:pt idx="5">
                  <c:v>2022</c:v>
                </c:pt>
              </c:numCache>
            </c:numRef>
          </c:cat>
          <c:val>
            <c:numRef>
              <c:f>'2.2'!$B$5:$G$5</c:f>
              <c:numCache>
                <c:formatCode>_-* #\ ##0_-;\-* #\ ##0_-;_-* "-"??_-;_-@_-</c:formatCode>
                <c:ptCount val="6"/>
                <c:pt idx="0">
                  <c:v>841.59900000000005</c:v>
                </c:pt>
                <c:pt idx="1">
                  <c:v>937.75099999999998</c:v>
                </c:pt>
                <c:pt idx="2">
                  <c:v>872.71400000000006</c:v>
                </c:pt>
                <c:pt idx="3" formatCode="#,##0">
                  <c:v>976.90099999999995</c:v>
                </c:pt>
                <c:pt idx="4" formatCode="#,##0">
                  <c:v>1300.2139999999999</c:v>
                </c:pt>
                <c:pt idx="5" formatCode="#,##0">
                  <c:v>1942.4169999999999</c:v>
                </c:pt>
              </c:numCache>
            </c:numRef>
          </c:val>
          <c:extLst>
            <c:ext xmlns:c16="http://schemas.microsoft.com/office/drawing/2014/chart" uri="{C3380CC4-5D6E-409C-BE32-E72D297353CC}">
              <c16:uniqueId val="{00000002-479F-48F3-909D-AE68D341ADC1}"/>
            </c:ext>
          </c:extLst>
        </c:ser>
        <c:ser>
          <c:idx val="1"/>
          <c:order val="1"/>
          <c:tx>
            <c:strRef>
              <c:f>'2.2'!$A$6</c:f>
              <c:strCache>
                <c:ptCount val="1"/>
                <c:pt idx="0">
                  <c:v> 2. pololetí</c:v>
                </c:pt>
              </c:strCache>
            </c:strRef>
          </c:tx>
          <c:spPr>
            <a:solidFill>
              <a:srgbClr val="B44946"/>
            </a:solidFill>
            <a:ln>
              <a:noFill/>
            </a:ln>
            <a:effectLst/>
          </c:spPr>
          <c:invertIfNegative val="0"/>
          <c:dLbls>
            <c:dLbl>
              <c:idx val="0"/>
              <c:layout>
                <c:manualLayout>
                  <c:x val="-9.7323600973236897E-3"/>
                  <c:y val="7.876640419947506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79F-48F3-909D-AE68D341ADC1}"/>
                </c:ext>
              </c:extLst>
            </c:dLbl>
            <c:dLbl>
              <c:idx val="1"/>
              <c:layout>
                <c:manualLayout>
                  <c:x val="-2.4330900243309003E-3"/>
                  <c:y val="7.876640419947499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79F-48F3-909D-AE68D341ADC1}"/>
                </c:ext>
              </c:extLst>
            </c:dLbl>
            <c:dLbl>
              <c:idx val="2"/>
              <c:layout>
                <c:manualLayout>
                  <c:x val="-7.2992700729927005E-3"/>
                  <c:y val="7.876640419947506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79F-48F3-909D-AE68D341ADC1}"/>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'2.2'!$B$4:$G$4</c:f>
              <c:numCache>
                <c:formatCode>General</c:formatCode>
                <c:ptCount val="6"/>
                <c:pt idx="0">
                  <c:v>2017</c:v>
                </c:pt>
                <c:pt idx="1">
                  <c:v>2018</c:v>
                </c:pt>
                <c:pt idx="2">
                  <c:v>2019</c:v>
                </c:pt>
                <c:pt idx="3">
                  <c:v>2020</c:v>
                </c:pt>
                <c:pt idx="4">
                  <c:v>2021</c:v>
                </c:pt>
                <c:pt idx="5">
                  <c:v>2022</c:v>
                </c:pt>
              </c:numCache>
            </c:numRef>
          </c:cat>
          <c:val>
            <c:numRef>
              <c:f>'2.2'!$B$6:$G$6</c:f>
              <c:numCache>
                <c:formatCode>_-* #\ ##0_-;\-* #\ ##0_-;_-* "-"??_-;_-@_-</c:formatCode>
                <c:ptCount val="6"/>
                <c:pt idx="0">
                  <c:v>669.27800000000002</c:v>
                </c:pt>
                <c:pt idx="1">
                  <c:v>712.51800000000003</c:v>
                </c:pt>
                <c:pt idx="2">
                  <c:v>838.52499999999998</c:v>
                </c:pt>
                <c:pt idx="3" formatCode="#,##0">
                  <c:v>1225.809</c:v>
                </c:pt>
                <c:pt idx="4" formatCode="#,##0">
                  <c:v>1249.5349999999999</c:v>
                </c:pt>
              </c:numCache>
            </c:numRef>
          </c:val>
          <c:extLst>
            <c:ext xmlns:c16="http://schemas.microsoft.com/office/drawing/2014/chart" uri="{C3380CC4-5D6E-409C-BE32-E72D297353CC}">
              <c16:uniqueId val="{00000006-479F-48F3-909D-AE68D341ADC1}"/>
            </c:ext>
          </c:extLst>
        </c:ser>
        <c:dLbls>
          <c:showLegendKey val="0"/>
          <c:showVal val="0"/>
          <c:showCatName val="0"/>
          <c:showSerName val="0"/>
          <c:showPercent val="0"/>
          <c:showBubbleSize val="0"/>
        </c:dLbls>
        <c:gapWidth val="33"/>
        <c:overlap val="-11"/>
        <c:axId val="1315640191"/>
        <c:axId val="1315654751"/>
      </c:barChart>
      <c:catAx>
        <c:axId val="131564019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15654751"/>
        <c:crosses val="autoZero"/>
        <c:auto val="1"/>
        <c:lblAlgn val="ctr"/>
        <c:lblOffset val="100"/>
        <c:noMultiLvlLbl val="0"/>
      </c:catAx>
      <c:valAx>
        <c:axId val="1315654751"/>
        <c:scaling>
          <c:orientation val="minMax"/>
          <c:max val="2000"/>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tisíce</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15640191"/>
        <c:crosses val="autoZero"/>
        <c:crossBetween val="between"/>
        <c:majorUnit val="200"/>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243285214348206"/>
          <c:y val="5.0925925925925923E-2"/>
          <c:w val="0.8148425196850394"/>
          <c:h val="0.72545239136774575"/>
        </c:manualLayout>
      </c:layout>
      <c:barChart>
        <c:barDir val="col"/>
        <c:grouping val="stacked"/>
        <c:varyColors val="0"/>
        <c:ser>
          <c:idx val="0"/>
          <c:order val="0"/>
          <c:tx>
            <c:strRef>
              <c:f>'2.3'!$I$3</c:f>
              <c:strCache>
                <c:ptCount val="1"/>
                <c:pt idx="0">
                  <c:v>  nemoc</c:v>
                </c:pt>
              </c:strCache>
            </c:strRef>
          </c:tx>
          <c:spPr>
            <a:solidFill>
              <a:srgbClr val="632827"/>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'2.3'!$H$5:$H$15</c:f>
              <c:strCache>
                <c:ptCount val="11"/>
                <c:pt idx="0">
                  <c:v>1. pol. 
2012</c:v>
                </c:pt>
                <c:pt idx="1">
                  <c:v>1. pol. 
2013</c:v>
                </c:pt>
                <c:pt idx="2">
                  <c:v>1. pol. 
2014</c:v>
                </c:pt>
                <c:pt idx="3">
                  <c:v>1. pol. 
2015</c:v>
                </c:pt>
                <c:pt idx="4">
                  <c:v>1. pol. 
2016</c:v>
                </c:pt>
                <c:pt idx="5">
                  <c:v>1. pol. 
2017</c:v>
                </c:pt>
                <c:pt idx="6">
                  <c:v>1. pol. 
2018</c:v>
                </c:pt>
                <c:pt idx="7">
                  <c:v>1. pol. 
2019</c:v>
                </c:pt>
                <c:pt idx="8">
                  <c:v>1. pol. 2020</c:v>
                </c:pt>
                <c:pt idx="9">
                  <c:v>1. pol. 2021</c:v>
                </c:pt>
                <c:pt idx="10">
                  <c:v>1. pol. 2022</c:v>
                </c:pt>
              </c:strCache>
            </c:strRef>
          </c:cat>
          <c:val>
            <c:numRef>
              <c:f>'2.3'!$I$5:$I$15</c:f>
              <c:numCache>
                <c:formatCode>#\ ##0.0</c:formatCode>
                <c:ptCount val="11"/>
                <c:pt idx="0">
                  <c:v>11.93368136212951</c:v>
                </c:pt>
                <c:pt idx="1">
                  <c:v>15.22353919027414</c:v>
                </c:pt>
                <c:pt idx="2">
                  <c:v>13.124563413687495</c:v>
                </c:pt>
                <c:pt idx="3">
                  <c:v>17.529538058975476</c:v>
                </c:pt>
                <c:pt idx="4">
                  <c:v>17.118336039193487</c:v>
                </c:pt>
                <c:pt idx="5">
                  <c:v>18.168811341669436</c:v>
                </c:pt>
                <c:pt idx="6">
                  <c:v>19.906457263625533</c:v>
                </c:pt>
                <c:pt idx="7">
                  <c:v>18.423758849983905</c:v>
                </c:pt>
                <c:pt idx="8">
                  <c:v>20.841404631389988</c:v>
                </c:pt>
                <c:pt idx="9">
                  <c:v>27.731349386863791</c:v>
                </c:pt>
                <c:pt idx="10">
                  <c:v>41.153979740817341</c:v>
                </c:pt>
              </c:numCache>
            </c:numRef>
          </c:val>
          <c:extLst>
            <c:ext xmlns:c16="http://schemas.microsoft.com/office/drawing/2014/chart" uri="{C3380CC4-5D6E-409C-BE32-E72D297353CC}">
              <c16:uniqueId val="{00000000-1C81-4846-BAE4-4C312A0392EA}"/>
            </c:ext>
          </c:extLst>
        </c:ser>
        <c:ser>
          <c:idx val="1"/>
          <c:order val="1"/>
          <c:tx>
            <c:strRef>
              <c:f>'2.3'!$J$3</c:f>
              <c:strCache>
                <c:ptCount val="1"/>
                <c:pt idx="0">
                  <c:v> pracovní úrazy</c:v>
                </c:pt>
              </c:strCache>
            </c:strRef>
          </c:tx>
          <c:spPr>
            <a:solidFill>
              <a:srgbClr val="B44946"/>
            </a:solidFill>
            <a:ln>
              <a:noFill/>
            </a:ln>
            <a:effectLst/>
          </c:spPr>
          <c:invertIfNegative val="0"/>
          <c:cat>
            <c:strRef>
              <c:f>'2.3'!$H$5:$H$15</c:f>
              <c:strCache>
                <c:ptCount val="11"/>
                <c:pt idx="0">
                  <c:v>1. pol. 
2012</c:v>
                </c:pt>
                <c:pt idx="1">
                  <c:v>1. pol. 
2013</c:v>
                </c:pt>
                <c:pt idx="2">
                  <c:v>1. pol. 
2014</c:v>
                </c:pt>
                <c:pt idx="3">
                  <c:v>1. pol. 
2015</c:v>
                </c:pt>
                <c:pt idx="4">
                  <c:v>1. pol. 
2016</c:v>
                </c:pt>
                <c:pt idx="5">
                  <c:v>1. pol. 
2017</c:v>
                </c:pt>
                <c:pt idx="6">
                  <c:v>1. pol. 
2018</c:v>
                </c:pt>
                <c:pt idx="7">
                  <c:v>1. pol. 
2019</c:v>
                </c:pt>
                <c:pt idx="8">
                  <c:v>1. pol. 2020</c:v>
                </c:pt>
                <c:pt idx="9">
                  <c:v>1. pol. 2021</c:v>
                </c:pt>
                <c:pt idx="10">
                  <c:v>1. pol. 2022</c:v>
                </c:pt>
              </c:strCache>
            </c:strRef>
          </c:cat>
          <c:val>
            <c:numRef>
              <c:f>'2.3'!$J$5:$J$15</c:f>
              <c:numCache>
                <c:formatCode>#,##0.00</c:formatCode>
                <c:ptCount val="11"/>
                <c:pt idx="0">
                  <c:v>0.48925570607698826</c:v>
                </c:pt>
                <c:pt idx="1">
                  <c:v>0.49677892035797072</c:v>
                </c:pt>
                <c:pt idx="2">
                  <c:v>0.5035229385818929</c:v>
                </c:pt>
                <c:pt idx="3">
                  <c:v>0.52469612085835371</c:v>
                </c:pt>
                <c:pt idx="4">
                  <c:v>0.54785407299874656</c:v>
                </c:pt>
                <c:pt idx="5">
                  <c:v>0.53392535174372657</c:v>
                </c:pt>
                <c:pt idx="6">
                  <c:v>0.51078503214324233</c:v>
                </c:pt>
                <c:pt idx="7">
                  <c:v>0.49015236718893734</c:v>
                </c:pt>
                <c:pt idx="8">
                  <c:v>0.436988488152598</c:v>
                </c:pt>
                <c:pt idx="9">
                  <c:v>0.49750383844350604</c:v>
                </c:pt>
                <c:pt idx="10" formatCode="#\ ##0.0">
                  <c:v>0.49319087528926392</c:v>
                </c:pt>
              </c:numCache>
            </c:numRef>
          </c:val>
          <c:extLst>
            <c:ext xmlns:c16="http://schemas.microsoft.com/office/drawing/2014/chart" uri="{C3380CC4-5D6E-409C-BE32-E72D297353CC}">
              <c16:uniqueId val="{00000001-1C81-4846-BAE4-4C312A0392EA}"/>
            </c:ext>
          </c:extLst>
        </c:ser>
        <c:ser>
          <c:idx val="2"/>
          <c:order val="2"/>
          <c:tx>
            <c:strRef>
              <c:f>'2.3'!$K$3</c:f>
              <c:strCache>
                <c:ptCount val="1"/>
                <c:pt idx="0">
                  <c:v> ostatní úrazy</c:v>
                </c:pt>
              </c:strCache>
            </c:strRef>
          </c:tx>
          <c:spPr>
            <a:solidFill>
              <a:srgbClr val="C46A68"/>
            </a:solidFill>
            <a:ln>
              <a:noFill/>
            </a:ln>
            <a:effectLst/>
          </c:spPr>
          <c:invertIfNegative val="0"/>
          <c:cat>
            <c:strRef>
              <c:f>'2.3'!$H$5:$H$15</c:f>
              <c:strCache>
                <c:ptCount val="11"/>
                <c:pt idx="0">
                  <c:v>1. pol. 
2012</c:v>
                </c:pt>
                <c:pt idx="1">
                  <c:v>1. pol. 
2013</c:v>
                </c:pt>
                <c:pt idx="2">
                  <c:v>1. pol. 
2014</c:v>
                </c:pt>
                <c:pt idx="3">
                  <c:v>1. pol. 
2015</c:v>
                </c:pt>
                <c:pt idx="4">
                  <c:v>1. pol. 
2016</c:v>
                </c:pt>
                <c:pt idx="5">
                  <c:v>1. pol. 
2017</c:v>
                </c:pt>
                <c:pt idx="6">
                  <c:v>1. pol. 
2018</c:v>
                </c:pt>
                <c:pt idx="7">
                  <c:v>1. pol. 
2019</c:v>
                </c:pt>
                <c:pt idx="8">
                  <c:v>1. pol. 2020</c:v>
                </c:pt>
                <c:pt idx="9">
                  <c:v>1. pol. 2021</c:v>
                </c:pt>
                <c:pt idx="10">
                  <c:v>1. pol. 2022</c:v>
                </c:pt>
              </c:strCache>
            </c:strRef>
          </c:cat>
          <c:val>
            <c:numRef>
              <c:f>'2.3'!$K$5:$K$15</c:f>
              <c:numCache>
                <c:formatCode>#,##0.00</c:formatCode>
                <c:ptCount val="11"/>
                <c:pt idx="0">
                  <c:v>1.1980664801084004</c:v>
                </c:pt>
                <c:pt idx="1">
                  <c:v>1.3692391140643809</c:v>
                </c:pt>
                <c:pt idx="2">
                  <c:v>1.41934875766483</c:v>
                </c:pt>
                <c:pt idx="3">
                  <c:v>1.4892593959318774</c:v>
                </c:pt>
                <c:pt idx="4">
                  <c:v>1.6412271755005474</c:v>
                </c:pt>
                <c:pt idx="5">
                  <c:v>1.6923611585756999</c:v>
                </c:pt>
                <c:pt idx="6">
                  <c:v>1.6646259606673024</c:v>
                </c:pt>
                <c:pt idx="7">
                  <c:v>1.6686460249525363</c:v>
                </c:pt>
                <c:pt idx="8">
                  <c:v>1.5506339054042513</c:v>
                </c:pt>
                <c:pt idx="9">
                  <c:v>1.61868971597494</c:v>
                </c:pt>
                <c:pt idx="10" formatCode="#\ ##0.0">
                  <c:v>1.8693497773712109</c:v>
                </c:pt>
              </c:numCache>
            </c:numRef>
          </c:val>
          <c:extLst>
            <c:ext xmlns:c16="http://schemas.microsoft.com/office/drawing/2014/chart" uri="{C3380CC4-5D6E-409C-BE32-E72D297353CC}">
              <c16:uniqueId val="{00000002-1C81-4846-BAE4-4C312A0392EA}"/>
            </c:ext>
          </c:extLst>
        </c:ser>
        <c:dLbls>
          <c:showLegendKey val="0"/>
          <c:showVal val="0"/>
          <c:showCatName val="0"/>
          <c:showSerName val="0"/>
          <c:showPercent val="0"/>
          <c:showBubbleSize val="0"/>
        </c:dLbls>
        <c:gapWidth val="45"/>
        <c:overlap val="100"/>
        <c:axId val="870931312"/>
        <c:axId val="870925488"/>
      </c:barChart>
      <c:scatterChart>
        <c:scatterStyle val="lineMarker"/>
        <c:varyColors val="0"/>
        <c:ser>
          <c:idx val="3"/>
          <c:order val="3"/>
          <c:tx>
            <c:strRef>
              <c:f>'2.3'!$L$3</c:f>
              <c:strCache>
                <c:ptCount val="1"/>
                <c:pt idx="0">
                  <c:v> celkem</c:v>
                </c:pt>
              </c:strCache>
            </c:strRef>
          </c:tx>
          <c:spPr>
            <a:ln w="25400" cap="rnd">
              <a:no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xVal>
            <c:strRef>
              <c:f>'2.3'!$H$5:$H$15</c:f>
              <c:strCache>
                <c:ptCount val="11"/>
                <c:pt idx="0">
                  <c:v>1. pol. 
2012</c:v>
                </c:pt>
                <c:pt idx="1">
                  <c:v>1. pol. 
2013</c:v>
                </c:pt>
                <c:pt idx="2">
                  <c:v>1. pol. 
2014</c:v>
                </c:pt>
                <c:pt idx="3">
                  <c:v>1. pol. 
2015</c:v>
                </c:pt>
                <c:pt idx="4">
                  <c:v>1. pol. 
2016</c:v>
                </c:pt>
                <c:pt idx="5">
                  <c:v>1. pol. 
2017</c:v>
                </c:pt>
                <c:pt idx="6">
                  <c:v>1. pol. 
2018</c:v>
                </c:pt>
                <c:pt idx="7">
                  <c:v>1. pol. 
2019</c:v>
                </c:pt>
                <c:pt idx="8">
                  <c:v>1. pol. 2020</c:v>
                </c:pt>
                <c:pt idx="9">
                  <c:v>1. pol. 2021</c:v>
                </c:pt>
                <c:pt idx="10">
                  <c:v>1. pol. 2022</c:v>
                </c:pt>
              </c:strCache>
            </c:strRef>
          </c:xVal>
          <c:yVal>
            <c:numRef>
              <c:f>'2.3'!$L$5:$L$15</c:f>
              <c:numCache>
                <c:formatCode>#\ ##0.0</c:formatCode>
                <c:ptCount val="11"/>
                <c:pt idx="0">
                  <c:v>13.621003548314897</c:v>
                </c:pt>
                <c:pt idx="1">
                  <c:v>17.089557224696492</c:v>
                </c:pt>
                <c:pt idx="2">
                  <c:v>15.047435109934218</c:v>
                </c:pt>
                <c:pt idx="3">
                  <c:v>19.543493575765709</c:v>
                </c:pt>
                <c:pt idx="4">
                  <c:v>19.307439316405002</c:v>
                </c:pt>
                <c:pt idx="5">
                  <c:v>20.395097851988865</c:v>
                </c:pt>
                <c:pt idx="6">
                  <c:v>22.081868256436078</c:v>
                </c:pt>
                <c:pt idx="7">
                  <c:v>20.582557242125375</c:v>
                </c:pt>
                <c:pt idx="8">
                  <c:v>22.829027024946836</c:v>
                </c:pt>
                <c:pt idx="9">
                  <c:v>29.847542941282235</c:v>
                </c:pt>
                <c:pt idx="10">
                  <c:v>43.516520393477819</c:v>
                </c:pt>
              </c:numCache>
            </c:numRef>
          </c:yVal>
          <c:smooth val="0"/>
          <c:extLst>
            <c:ext xmlns:c16="http://schemas.microsoft.com/office/drawing/2014/chart" uri="{C3380CC4-5D6E-409C-BE32-E72D297353CC}">
              <c16:uniqueId val="{00000003-1C81-4846-BAE4-4C312A0392EA}"/>
            </c:ext>
          </c:extLst>
        </c:ser>
        <c:dLbls>
          <c:showLegendKey val="0"/>
          <c:showVal val="0"/>
          <c:showCatName val="0"/>
          <c:showSerName val="0"/>
          <c:showPercent val="0"/>
          <c:showBubbleSize val="0"/>
        </c:dLbls>
        <c:axId val="1911943232"/>
        <c:axId val="1911937408"/>
      </c:scatterChart>
      <c:catAx>
        <c:axId val="8709313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870925488"/>
        <c:crosses val="autoZero"/>
        <c:auto val="1"/>
        <c:lblAlgn val="ctr"/>
        <c:lblOffset val="100"/>
        <c:noMultiLvlLbl val="0"/>
      </c:catAx>
      <c:valAx>
        <c:axId val="870925488"/>
        <c:scaling>
          <c:orientation val="minMax"/>
          <c:max val="45"/>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případů</a:t>
                </a:r>
                <a:r>
                  <a:rPr lang="cs-CZ"/>
                  <a:t> na 100 pojištěnců</a:t>
                </a:r>
                <a:endParaRPr lang="en-US"/>
              </a:p>
            </c:rich>
          </c:tx>
          <c:layout>
            <c:manualLayout>
              <c:xMode val="edge"/>
              <c:yMode val="edge"/>
              <c:x val="3.8267020746118069E-2"/>
              <c:y val="0.1244693429714728"/>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870931312"/>
        <c:crosses val="autoZero"/>
        <c:crossBetween val="between"/>
      </c:valAx>
      <c:valAx>
        <c:axId val="1911937408"/>
        <c:scaling>
          <c:orientation val="minMax"/>
          <c:max val="45"/>
        </c:scaling>
        <c:delete val="0"/>
        <c:axPos val="r"/>
        <c:numFmt formatCode="#\ ##0.0" sourceLinked="1"/>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crossAx val="1911943232"/>
        <c:crosses val="max"/>
        <c:crossBetween val="midCat"/>
      </c:valAx>
      <c:valAx>
        <c:axId val="1911943232"/>
        <c:scaling>
          <c:orientation val="minMax"/>
        </c:scaling>
        <c:delete val="1"/>
        <c:axPos val="b"/>
        <c:numFmt formatCode="General" sourceLinked="1"/>
        <c:majorTickMark val="out"/>
        <c:minorTickMark val="none"/>
        <c:tickLblPos val="nextTo"/>
        <c:crossAx val="1911937408"/>
        <c:crosses val="autoZero"/>
        <c:crossBetween val="midCat"/>
      </c:valAx>
      <c:spPr>
        <a:noFill/>
        <a:ln>
          <a:noFill/>
        </a:ln>
        <a:effectLst/>
      </c:spPr>
    </c:plotArea>
    <c:legend>
      <c:legendPos val="b"/>
      <c:legendEntry>
        <c:idx val="3"/>
        <c:delete val="1"/>
      </c:legendEntry>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2609617769557171"/>
          <c:y val="3.2840722495894911E-2"/>
          <c:w val="0.44184322882030286"/>
          <c:h val="0.84443276878791407"/>
        </c:manualLayout>
      </c:layout>
      <c:barChart>
        <c:barDir val="bar"/>
        <c:grouping val="clustered"/>
        <c:varyColors val="0"/>
        <c:ser>
          <c:idx val="0"/>
          <c:order val="0"/>
          <c:tx>
            <c:strRef>
              <c:f>'2.4'!$J$3</c:f>
              <c:strCache>
                <c:ptCount val="1"/>
                <c:pt idx="0">
                  <c:v> 1. pol. 2019</c:v>
                </c:pt>
              </c:strCache>
            </c:strRef>
          </c:tx>
          <c:spPr>
            <a:solidFill>
              <a:srgbClr val="B44946"/>
            </a:solidFill>
            <a:ln>
              <a:noFill/>
            </a:ln>
            <a:effectLst/>
          </c:spPr>
          <c:invertIfNegative val="0"/>
          <c:cat>
            <c:strRef>
              <c:f>'2.4'!$G$4:$G$23</c:f>
              <c:strCache>
                <c:ptCount val="20"/>
                <c:pt idx="0">
                  <c:v>L – Činnosti v oblasti nemovitostí</c:v>
                </c:pt>
                <c:pt idx="1">
                  <c:v>J – Informační a komunikační činnosti</c:v>
                </c:pt>
                <c:pt idx="2">
                  <c:v>K – Peněžnictví a pojišťovnictví</c:v>
                </c:pt>
                <c:pt idx="3">
                  <c:v>M – Profesní, vědecké a technické činnosti</c:v>
                </c:pt>
                <c:pt idx="4">
                  <c:v>D – Výroba a rozvod elektřiny, plynu, tepla a klimatiz. vzduchu</c:v>
                </c:pt>
                <c:pt idx="5">
                  <c:v>I – Ubytování, stravování a pohostinství</c:v>
                </c:pt>
                <c:pt idx="6">
                  <c:v>F – Stavebnictví</c:v>
                </c:pt>
                <c:pt idx="7">
                  <c:v>S – Ostatní činnosti</c:v>
                </c:pt>
                <c:pt idx="8">
                  <c:v>R – Kulturní, zábavní a rekreační činnosti</c:v>
                </c:pt>
                <c:pt idx="9">
                  <c:v>A – Zemědělství, lesnictví, rybářství</c:v>
                </c:pt>
                <c:pt idx="10">
                  <c:v>N – Administrativní a podpůrné činnosti</c:v>
                </c:pt>
                <c:pt idx="11">
                  <c:v>H – Doprava a skladování</c:v>
                </c:pt>
                <c:pt idx="12">
                  <c:v>G – Velkoobchod a maloobchod; opravy a údržba motor. vozidel</c:v>
                </c:pt>
                <c:pt idx="13">
                  <c:v>Q – Zdravotní a sociální péče</c:v>
                </c:pt>
                <c:pt idx="14">
                  <c:v>CELKEM</c:v>
                </c:pt>
                <c:pt idx="15">
                  <c:v>E – Zásobování vodou; činnosti související s odpady a sanacemi</c:v>
                </c:pt>
                <c:pt idx="16">
                  <c:v>B – Těžba a dobývání</c:v>
                </c:pt>
                <c:pt idx="17">
                  <c:v>O – Veřejná správa a obrana; povinné sociální zabezpečení</c:v>
                </c:pt>
                <c:pt idx="18">
                  <c:v>C – Zpracovatelský průmysl</c:v>
                </c:pt>
                <c:pt idx="19">
                  <c:v>P – Vzdělávání</c:v>
                </c:pt>
              </c:strCache>
            </c:strRef>
          </c:cat>
          <c:val>
            <c:numRef>
              <c:f>'2.4'!$J$4:$J$23</c:f>
              <c:numCache>
                <c:formatCode>0.00</c:formatCode>
                <c:ptCount val="20"/>
                <c:pt idx="0">
                  <c:v>9.2297135669999992</c:v>
                </c:pt>
                <c:pt idx="1">
                  <c:v>13.5372292738</c:v>
                </c:pt>
                <c:pt idx="2">
                  <c:v>14.970705157599999</c:v>
                </c:pt>
                <c:pt idx="3">
                  <c:v>11.5954346093</c:v>
                </c:pt>
                <c:pt idx="4">
                  <c:v>15.7330079975</c:v>
                </c:pt>
                <c:pt idx="5">
                  <c:v>15.7685325512</c:v>
                </c:pt>
                <c:pt idx="6">
                  <c:v>17.238029836799999</c:v>
                </c:pt>
                <c:pt idx="7">
                  <c:v>16.151619930999999</c:v>
                </c:pt>
                <c:pt idx="8">
                  <c:v>14.6777903195</c:v>
                </c:pt>
                <c:pt idx="9">
                  <c:v>18.106071715900001</c:v>
                </c:pt>
                <c:pt idx="10">
                  <c:v>23.525716510199999</c:v>
                </c:pt>
                <c:pt idx="11">
                  <c:v>20.1726852223</c:v>
                </c:pt>
                <c:pt idx="12">
                  <c:v>20.408255940499998</c:v>
                </c:pt>
                <c:pt idx="13">
                  <c:v>18.4770092959</c:v>
                </c:pt>
                <c:pt idx="14">
                  <c:v>20.582557242099998</c:v>
                </c:pt>
                <c:pt idx="15">
                  <c:v>21.308281770200001</c:v>
                </c:pt>
                <c:pt idx="16">
                  <c:v>22.000516627</c:v>
                </c:pt>
                <c:pt idx="17">
                  <c:v>18.008724815600001</c:v>
                </c:pt>
                <c:pt idx="18">
                  <c:v>27.048496434400001</c:v>
                </c:pt>
                <c:pt idx="19">
                  <c:v>20.262612829399998</c:v>
                </c:pt>
              </c:numCache>
            </c:numRef>
          </c:val>
          <c:extLst>
            <c:ext xmlns:c16="http://schemas.microsoft.com/office/drawing/2014/chart" uri="{C3380CC4-5D6E-409C-BE32-E72D297353CC}">
              <c16:uniqueId val="{00000000-E56C-4045-BBB5-7865425B5204}"/>
            </c:ext>
          </c:extLst>
        </c:ser>
        <c:ser>
          <c:idx val="1"/>
          <c:order val="1"/>
          <c:tx>
            <c:strRef>
              <c:f>'2.4'!$I$3</c:f>
              <c:strCache>
                <c:ptCount val="1"/>
                <c:pt idx="0">
                  <c:v> 1. pol. 2022</c:v>
                </c:pt>
              </c:strCache>
            </c:strRef>
          </c:tx>
          <c:spPr>
            <a:solidFill>
              <a:srgbClr val="632827"/>
            </a:solidFill>
            <a:ln>
              <a:noFill/>
            </a:ln>
            <a:effectLst/>
          </c:spPr>
          <c:invertIfNegative val="0"/>
          <c:dPt>
            <c:idx val="14"/>
            <c:invertIfNegative val="0"/>
            <c:bubble3D val="0"/>
            <c:spPr>
              <a:solidFill>
                <a:srgbClr val="632827"/>
              </a:solidFill>
              <a:ln w="15875">
                <a:solidFill>
                  <a:srgbClr val="00B0F0"/>
                </a:solidFill>
              </a:ln>
              <a:effectLst/>
            </c:spPr>
            <c:extLst>
              <c:ext xmlns:c16="http://schemas.microsoft.com/office/drawing/2014/chart" uri="{C3380CC4-5D6E-409C-BE32-E72D297353CC}">
                <c16:uniqueId val="{00000002-E56C-4045-BBB5-7865425B5204}"/>
              </c:ext>
            </c:extLst>
          </c:dPt>
          <c:cat>
            <c:strRef>
              <c:f>'2.4'!$G$4:$G$23</c:f>
              <c:strCache>
                <c:ptCount val="20"/>
                <c:pt idx="0">
                  <c:v>L – Činnosti v oblasti nemovitostí</c:v>
                </c:pt>
                <c:pt idx="1">
                  <c:v>J – Informační a komunikační činnosti</c:v>
                </c:pt>
                <c:pt idx="2">
                  <c:v>K – Peněžnictví a pojišťovnictví</c:v>
                </c:pt>
                <c:pt idx="3">
                  <c:v>M – Profesní, vědecké a technické činnosti</c:v>
                </c:pt>
                <c:pt idx="4">
                  <c:v>D – Výroba a rozvod elektřiny, plynu, tepla a klimatiz. vzduchu</c:v>
                </c:pt>
                <c:pt idx="5">
                  <c:v>I – Ubytování, stravování a pohostinství</c:v>
                </c:pt>
                <c:pt idx="6">
                  <c:v>F – Stavebnictví</c:v>
                </c:pt>
                <c:pt idx="7">
                  <c:v>S – Ostatní činnosti</c:v>
                </c:pt>
                <c:pt idx="8">
                  <c:v>R – Kulturní, zábavní a rekreační činnosti</c:v>
                </c:pt>
                <c:pt idx="9">
                  <c:v>A – Zemědělství, lesnictví, rybářství</c:v>
                </c:pt>
                <c:pt idx="10">
                  <c:v>N – Administrativní a podpůrné činnosti</c:v>
                </c:pt>
                <c:pt idx="11">
                  <c:v>H – Doprava a skladování</c:v>
                </c:pt>
                <c:pt idx="12">
                  <c:v>G – Velkoobchod a maloobchod; opravy a údržba motor. vozidel</c:v>
                </c:pt>
                <c:pt idx="13">
                  <c:v>Q – Zdravotní a sociální péče</c:v>
                </c:pt>
                <c:pt idx="14">
                  <c:v>CELKEM</c:v>
                </c:pt>
                <c:pt idx="15">
                  <c:v>E – Zásobování vodou; činnosti související s odpady a sanacemi</c:v>
                </c:pt>
                <c:pt idx="16">
                  <c:v>B – Těžba a dobývání</c:v>
                </c:pt>
                <c:pt idx="17">
                  <c:v>O – Veřejná správa a obrana; povinné sociální zabezpečení</c:v>
                </c:pt>
                <c:pt idx="18">
                  <c:v>C – Zpracovatelský průmysl</c:v>
                </c:pt>
                <c:pt idx="19">
                  <c:v>P – Vzdělávání</c:v>
                </c:pt>
              </c:strCache>
            </c:strRef>
          </c:cat>
          <c:val>
            <c:numRef>
              <c:f>'2.4'!$I$4:$I$23</c:f>
              <c:numCache>
                <c:formatCode>0.00</c:formatCode>
                <c:ptCount val="20"/>
                <c:pt idx="0">
                  <c:v>20.114401259200001</c:v>
                </c:pt>
                <c:pt idx="1">
                  <c:v>21.440423696</c:v>
                </c:pt>
                <c:pt idx="2">
                  <c:v>22.719176494599999</c:v>
                </c:pt>
                <c:pt idx="3">
                  <c:v>23.437246135100001</c:v>
                </c:pt>
                <c:pt idx="4">
                  <c:v>30.347306329999999</c:v>
                </c:pt>
                <c:pt idx="5">
                  <c:v>30.558445731799999</c:v>
                </c:pt>
                <c:pt idx="6">
                  <c:v>33.022293914400002</c:v>
                </c:pt>
                <c:pt idx="7">
                  <c:v>33.677481694599997</c:v>
                </c:pt>
                <c:pt idx="8">
                  <c:v>34.468006182700002</c:v>
                </c:pt>
                <c:pt idx="9">
                  <c:v>34.828162622199997</c:v>
                </c:pt>
                <c:pt idx="10">
                  <c:v>39.651152258000003</c:v>
                </c:pt>
                <c:pt idx="11">
                  <c:v>40.215393774699997</c:v>
                </c:pt>
                <c:pt idx="12">
                  <c:v>42.267212102000002</c:v>
                </c:pt>
                <c:pt idx="13">
                  <c:v>42.721024734300002</c:v>
                </c:pt>
                <c:pt idx="14">
                  <c:v>43.516520393500002</c:v>
                </c:pt>
                <c:pt idx="15">
                  <c:v>44.204313038899997</c:v>
                </c:pt>
                <c:pt idx="16">
                  <c:v>45.691673797200004</c:v>
                </c:pt>
                <c:pt idx="17">
                  <c:v>46.1510104961</c:v>
                </c:pt>
                <c:pt idx="18">
                  <c:v>56.436085239900002</c:v>
                </c:pt>
                <c:pt idx="19">
                  <c:v>56.8988068552</c:v>
                </c:pt>
              </c:numCache>
            </c:numRef>
          </c:val>
          <c:extLst>
            <c:ext xmlns:c16="http://schemas.microsoft.com/office/drawing/2014/chart" uri="{C3380CC4-5D6E-409C-BE32-E72D297353CC}">
              <c16:uniqueId val="{00000003-E56C-4045-BBB5-7865425B5204}"/>
            </c:ext>
          </c:extLst>
        </c:ser>
        <c:dLbls>
          <c:showLegendKey val="0"/>
          <c:showVal val="0"/>
          <c:showCatName val="0"/>
          <c:showSerName val="0"/>
          <c:showPercent val="0"/>
          <c:showBubbleSize val="0"/>
        </c:dLbls>
        <c:gapWidth val="182"/>
        <c:axId val="1351571983"/>
        <c:axId val="1351561167"/>
      </c:barChart>
      <c:catAx>
        <c:axId val="1351571983"/>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51561167"/>
        <c:crosses val="autoZero"/>
        <c:auto val="1"/>
        <c:lblAlgn val="ctr"/>
        <c:lblOffset val="100"/>
        <c:noMultiLvlLbl val="0"/>
      </c:catAx>
      <c:valAx>
        <c:axId val="1351561167"/>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cs-CZ"/>
                  <a:t>počet případů na 100 pojištěnců</a:t>
                </a:r>
              </a:p>
            </c:rich>
          </c:tx>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51571983"/>
        <c:crosses val="autoZero"/>
        <c:crossBetween val="between"/>
        <c:majorUnit val="5"/>
      </c:valAx>
      <c:spPr>
        <a:noFill/>
        <a:ln>
          <a:noFill/>
        </a:ln>
        <a:effectLst/>
      </c:spPr>
    </c:plotArea>
    <c:legend>
      <c:legendPos val="b"/>
      <c:layout>
        <c:manualLayout>
          <c:xMode val="edge"/>
          <c:yMode val="edge"/>
          <c:x val="0.37235924727089131"/>
          <c:y val="0.95567818912918012"/>
          <c:w val="0.25943174409693914"/>
          <c:h val="4.4321810870819829E-2"/>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2849449814222538"/>
          <c:y val="3.1473540710247647E-2"/>
          <c:w val="0.43237101885103013"/>
          <c:h val="0.83539773079546165"/>
        </c:manualLayout>
      </c:layout>
      <c:barChart>
        <c:barDir val="bar"/>
        <c:grouping val="clustered"/>
        <c:varyColors val="0"/>
        <c:ser>
          <c:idx val="0"/>
          <c:order val="0"/>
          <c:tx>
            <c:strRef>
              <c:f>'2.5'!$G$3</c:f>
              <c:strCache>
                <c:ptCount val="1"/>
                <c:pt idx="0">
                  <c:v> 1. pol. 2021</c:v>
                </c:pt>
              </c:strCache>
            </c:strRef>
          </c:tx>
          <c:spPr>
            <a:solidFill>
              <a:srgbClr val="B44946"/>
            </a:solidFill>
            <a:ln>
              <a:noFill/>
            </a:ln>
            <a:effectLst/>
          </c:spPr>
          <c:invertIfNegative val="0"/>
          <c:dPt>
            <c:idx val="15"/>
            <c:invertIfNegative val="0"/>
            <c:bubble3D val="0"/>
            <c:spPr>
              <a:solidFill>
                <a:srgbClr val="B44946"/>
              </a:solidFill>
              <a:ln w="15875">
                <a:solidFill>
                  <a:srgbClr val="00B0F0"/>
                </a:solidFill>
              </a:ln>
              <a:effectLst/>
            </c:spPr>
            <c:extLst>
              <c:ext xmlns:c16="http://schemas.microsoft.com/office/drawing/2014/chart" uri="{C3380CC4-5D6E-409C-BE32-E72D297353CC}">
                <c16:uniqueId val="{00000001-2ABC-48AF-A6FB-0775544098C4}"/>
              </c:ext>
            </c:extLst>
          </c:dPt>
          <c:cat>
            <c:strRef>
              <c:f>'2.5'!$F$4:$F$23</c:f>
              <c:strCache>
                <c:ptCount val="20"/>
                <c:pt idx="0">
                  <c:v>L – Činnosti v oblasti nemovitostí</c:v>
                </c:pt>
                <c:pt idx="1">
                  <c:v>J – Informační a komunikační činnosti</c:v>
                </c:pt>
                <c:pt idx="2">
                  <c:v>K – Peněžnictví a pojišťovnictví</c:v>
                </c:pt>
                <c:pt idx="3">
                  <c:v>M – Profesní, vědecké a technické činnosti</c:v>
                </c:pt>
                <c:pt idx="4">
                  <c:v>I – Ubytování, stravování a pohostinství</c:v>
                </c:pt>
                <c:pt idx="5">
                  <c:v>D – Výroba a rozvod elektřiny, plynu, tepla a klimatiz. vzduchu</c:v>
                </c:pt>
                <c:pt idx="6">
                  <c:v>F – Stavebnictví</c:v>
                </c:pt>
                <c:pt idx="7">
                  <c:v>A – Zemědělství, lesnictví, rybářství</c:v>
                </c:pt>
                <c:pt idx="8">
                  <c:v>S – Ostatní činnosti</c:v>
                </c:pt>
                <c:pt idx="9">
                  <c:v>R – Kulturní, zábavní a rekreační činnosti</c:v>
                </c:pt>
                <c:pt idx="10">
                  <c:v>N – Administrativní a podpůrné činnosti</c:v>
                </c:pt>
                <c:pt idx="11">
                  <c:v>H – Doprava a skladování</c:v>
                </c:pt>
                <c:pt idx="12">
                  <c:v>G – Velkoobchod a maloobchod; opravy a údržba motor. vozidel</c:v>
                </c:pt>
                <c:pt idx="13">
                  <c:v>Q – Zdravotní a sociální péče</c:v>
                </c:pt>
                <c:pt idx="14">
                  <c:v>E – Zásobování vodou; činnosti související s odpady a sanacemi</c:v>
                </c:pt>
                <c:pt idx="15">
                  <c:v>CELKEM</c:v>
                </c:pt>
                <c:pt idx="16">
                  <c:v>B – Těžba a dobývání</c:v>
                </c:pt>
                <c:pt idx="17">
                  <c:v>O – Veřejná správa a obrana; povinné sociální zabezpečení</c:v>
                </c:pt>
                <c:pt idx="18">
                  <c:v>C – Zpracovatelský průmysl</c:v>
                </c:pt>
                <c:pt idx="19">
                  <c:v>P – Vzdělávání</c:v>
                </c:pt>
              </c:strCache>
            </c:strRef>
          </c:cat>
          <c:val>
            <c:numRef>
              <c:f>'2.5'!$G$4:$G$23</c:f>
              <c:numCache>
                <c:formatCode>0.00</c:formatCode>
                <c:ptCount val="20"/>
                <c:pt idx="0">
                  <c:v>13.1075781894</c:v>
                </c:pt>
                <c:pt idx="1">
                  <c:v>12.6362255792</c:v>
                </c:pt>
                <c:pt idx="2">
                  <c:v>14.3433543296</c:v>
                </c:pt>
                <c:pt idx="3">
                  <c:v>14.4945226641</c:v>
                </c:pt>
                <c:pt idx="4">
                  <c:v>15.385548032699999</c:v>
                </c:pt>
                <c:pt idx="5">
                  <c:v>20.6075909184</c:v>
                </c:pt>
                <c:pt idx="6">
                  <c:v>25.490627867699999</c:v>
                </c:pt>
                <c:pt idx="7">
                  <c:v>26.175353243099998</c:v>
                </c:pt>
                <c:pt idx="8">
                  <c:v>19.925568461299999</c:v>
                </c:pt>
                <c:pt idx="9">
                  <c:v>14.851070200700001</c:v>
                </c:pt>
                <c:pt idx="10">
                  <c:v>32.723412024399998</c:v>
                </c:pt>
                <c:pt idx="11">
                  <c:v>29.416788456799999</c:v>
                </c:pt>
                <c:pt idx="12">
                  <c:v>26.6144092153</c:v>
                </c:pt>
                <c:pt idx="13">
                  <c:v>24.666918343900001</c:v>
                </c:pt>
                <c:pt idx="14">
                  <c:v>31.594074008500002</c:v>
                </c:pt>
                <c:pt idx="15">
                  <c:v>27.7313493869</c:v>
                </c:pt>
                <c:pt idx="16">
                  <c:v>37.577279288100002</c:v>
                </c:pt>
                <c:pt idx="17">
                  <c:v>26.027023538200002</c:v>
                </c:pt>
                <c:pt idx="18">
                  <c:v>39.135252074599997</c:v>
                </c:pt>
                <c:pt idx="19">
                  <c:v>22.839104846400001</c:v>
                </c:pt>
              </c:numCache>
            </c:numRef>
          </c:val>
          <c:extLst>
            <c:ext xmlns:c16="http://schemas.microsoft.com/office/drawing/2014/chart" uri="{C3380CC4-5D6E-409C-BE32-E72D297353CC}">
              <c16:uniqueId val="{00000002-2ABC-48AF-A6FB-0775544098C4}"/>
            </c:ext>
          </c:extLst>
        </c:ser>
        <c:ser>
          <c:idx val="1"/>
          <c:order val="1"/>
          <c:tx>
            <c:strRef>
              <c:f>'2.5'!$H$3</c:f>
              <c:strCache>
                <c:ptCount val="1"/>
                <c:pt idx="0">
                  <c:v> 1. pol. 2022</c:v>
                </c:pt>
              </c:strCache>
            </c:strRef>
          </c:tx>
          <c:spPr>
            <a:solidFill>
              <a:srgbClr val="632827"/>
            </a:solidFill>
            <a:ln>
              <a:noFill/>
            </a:ln>
            <a:effectLst/>
          </c:spPr>
          <c:invertIfNegative val="0"/>
          <c:dPt>
            <c:idx val="15"/>
            <c:invertIfNegative val="0"/>
            <c:bubble3D val="0"/>
            <c:spPr>
              <a:solidFill>
                <a:srgbClr val="632827"/>
              </a:solidFill>
              <a:ln w="15875">
                <a:solidFill>
                  <a:srgbClr val="00B0F0"/>
                </a:solidFill>
              </a:ln>
              <a:effectLst/>
            </c:spPr>
            <c:extLst>
              <c:ext xmlns:c16="http://schemas.microsoft.com/office/drawing/2014/chart" uri="{C3380CC4-5D6E-409C-BE32-E72D297353CC}">
                <c16:uniqueId val="{00000004-2ABC-48AF-A6FB-0775544098C4}"/>
              </c:ext>
            </c:extLst>
          </c:dPt>
          <c:cat>
            <c:strRef>
              <c:f>'2.5'!$F$4:$F$23</c:f>
              <c:strCache>
                <c:ptCount val="20"/>
                <c:pt idx="0">
                  <c:v>L – Činnosti v oblasti nemovitostí</c:v>
                </c:pt>
                <c:pt idx="1">
                  <c:v>J – Informační a komunikační činnosti</c:v>
                </c:pt>
                <c:pt idx="2">
                  <c:v>K – Peněžnictví a pojišťovnictví</c:v>
                </c:pt>
                <c:pt idx="3">
                  <c:v>M – Profesní, vědecké a technické činnosti</c:v>
                </c:pt>
                <c:pt idx="4">
                  <c:v>I – Ubytování, stravování a pohostinství</c:v>
                </c:pt>
                <c:pt idx="5">
                  <c:v>D – Výroba a rozvod elektřiny, plynu, tepla a klimatiz. vzduchu</c:v>
                </c:pt>
                <c:pt idx="6">
                  <c:v>F – Stavebnictví</c:v>
                </c:pt>
                <c:pt idx="7">
                  <c:v>A – Zemědělství, lesnictví, rybářství</c:v>
                </c:pt>
                <c:pt idx="8">
                  <c:v>S – Ostatní činnosti</c:v>
                </c:pt>
                <c:pt idx="9">
                  <c:v>R – Kulturní, zábavní a rekreační činnosti</c:v>
                </c:pt>
                <c:pt idx="10">
                  <c:v>N – Administrativní a podpůrné činnosti</c:v>
                </c:pt>
                <c:pt idx="11">
                  <c:v>H – Doprava a skladování</c:v>
                </c:pt>
                <c:pt idx="12">
                  <c:v>G – Velkoobchod a maloobchod; opravy a údržba motor. vozidel</c:v>
                </c:pt>
                <c:pt idx="13">
                  <c:v>Q – Zdravotní a sociální péče</c:v>
                </c:pt>
                <c:pt idx="14">
                  <c:v>E – Zásobování vodou; činnosti související s odpady a sanacemi</c:v>
                </c:pt>
                <c:pt idx="15">
                  <c:v>CELKEM</c:v>
                </c:pt>
                <c:pt idx="16">
                  <c:v>B – Těžba a dobývání</c:v>
                </c:pt>
                <c:pt idx="17">
                  <c:v>O – Veřejná správa a obrana; povinné sociální zabezpečení</c:v>
                </c:pt>
                <c:pt idx="18">
                  <c:v>C – Zpracovatelský průmysl</c:v>
                </c:pt>
                <c:pt idx="19">
                  <c:v>P – Vzdělávání</c:v>
                </c:pt>
              </c:strCache>
            </c:strRef>
          </c:cat>
          <c:val>
            <c:numRef>
              <c:f>'2.5'!$H$4:$H$23</c:f>
              <c:numCache>
                <c:formatCode>0.00</c:formatCode>
                <c:ptCount val="20"/>
                <c:pt idx="0">
                  <c:v>18.951879100300001</c:v>
                </c:pt>
                <c:pt idx="1">
                  <c:v>20.738417132599999</c:v>
                </c:pt>
                <c:pt idx="2">
                  <c:v>22.027799397900001</c:v>
                </c:pt>
                <c:pt idx="3">
                  <c:v>22.515008179199999</c:v>
                </c:pt>
                <c:pt idx="4">
                  <c:v>28.355763937100001</c:v>
                </c:pt>
                <c:pt idx="5">
                  <c:v>28.783824879899999</c:v>
                </c:pt>
                <c:pt idx="6">
                  <c:v>30.088771767099999</c:v>
                </c:pt>
                <c:pt idx="7">
                  <c:v>31.519762174</c:v>
                </c:pt>
                <c:pt idx="8">
                  <c:v>32.231035476499997</c:v>
                </c:pt>
                <c:pt idx="9">
                  <c:v>32.9466941023</c:v>
                </c:pt>
                <c:pt idx="10">
                  <c:v>37.222210294600004</c:v>
                </c:pt>
                <c:pt idx="11">
                  <c:v>37.425257048399999</c:v>
                </c:pt>
                <c:pt idx="12">
                  <c:v>40.005209219999998</c:v>
                </c:pt>
                <c:pt idx="13">
                  <c:v>40.843236991399998</c:v>
                </c:pt>
                <c:pt idx="14">
                  <c:v>40.880965903499998</c:v>
                </c:pt>
                <c:pt idx="15">
                  <c:v>41.153979740799997</c:v>
                </c:pt>
                <c:pt idx="16">
                  <c:v>42.213816029199997</c:v>
                </c:pt>
                <c:pt idx="17">
                  <c:v>44.631062428299998</c:v>
                </c:pt>
                <c:pt idx="18">
                  <c:v>52.929658506400003</c:v>
                </c:pt>
                <c:pt idx="19">
                  <c:v>55.398247215200001</c:v>
                </c:pt>
              </c:numCache>
            </c:numRef>
          </c:val>
          <c:extLst>
            <c:ext xmlns:c16="http://schemas.microsoft.com/office/drawing/2014/chart" uri="{C3380CC4-5D6E-409C-BE32-E72D297353CC}">
              <c16:uniqueId val="{00000005-2ABC-48AF-A6FB-0775544098C4}"/>
            </c:ext>
          </c:extLst>
        </c:ser>
        <c:dLbls>
          <c:showLegendKey val="0"/>
          <c:showVal val="0"/>
          <c:showCatName val="0"/>
          <c:showSerName val="0"/>
          <c:showPercent val="0"/>
          <c:showBubbleSize val="0"/>
        </c:dLbls>
        <c:gapWidth val="182"/>
        <c:axId val="704834064"/>
        <c:axId val="704822416"/>
      </c:barChart>
      <c:catAx>
        <c:axId val="70483406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704822416"/>
        <c:crosses val="autoZero"/>
        <c:auto val="1"/>
        <c:lblAlgn val="ctr"/>
        <c:lblOffset val="100"/>
        <c:noMultiLvlLbl val="0"/>
      </c:catAx>
      <c:valAx>
        <c:axId val="704822416"/>
        <c:scaling>
          <c:orientation val="minMax"/>
          <c:max val="6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případů na 100 pojištěnců</a:t>
                </a:r>
              </a:p>
            </c:rich>
          </c:tx>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704834064"/>
        <c:crosses val="autoZero"/>
        <c:crossBetween val="between"/>
        <c:majorUnit val="5"/>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'2.6'!$F$3</c:f>
              <c:strCache>
                <c:ptCount val="1"/>
                <c:pt idx="0">
                  <c:v> 1. pol. 2022</c:v>
                </c:pt>
              </c:strCache>
            </c:strRef>
          </c:tx>
          <c:spPr>
            <a:solidFill>
              <a:srgbClr val="632827"/>
            </a:solidFill>
            <a:ln>
              <a:noFill/>
            </a:ln>
            <a:effectLst/>
          </c:spPr>
          <c:invertIfNegative val="0"/>
          <c:dPt>
            <c:idx val="2"/>
            <c:invertIfNegative val="0"/>
            <c:bubble3D val="0"/>
            <c:spPr>
              <a:solidFill>
                <a:srgbClr val="632827"/>
              </a:solidFill>
              <a:ln>
                <a:noFill/>
              </a:ln>
              <a:effectLst/>
            </c:spPr>
            <c:extLst>
              <c:ext xmlns:c16="http://schemas.microsoft.com/office/drawing/2014/chart" uri="{C3380CC4-5D6E-409C-BE32-E72D297353CC}">
                <c16:uniqueId val="{00000001-41A7-439C-B222-CBF5750933DA}"/>
              </c:ext>
            </c:extLst>
          </c:dPt>
          <c:dPt>
            <c:idx val="12"/>
            <c:invertIfNegative val="0"/>
            <c:bubble3D val="0"/>
            <c:spPr>
              <a:solidFill>
                <a:srgbClr val="632827"/>
              </a:solidFill>
              <a:ln w="15875">
                <a:solidFill>
                  <a:srgbClr val="00B0F0"/>
                </a:solidFill>
              </a:ln>
              <a:effectLst/>
            </c:spPr>
            <c:extLst>
              <c:ext xmlns:c16="http://schemas.microsoft.com/office/drawing/2014/chart" uri="{C3380CC4-5D6E-409C-BE32-E72D297353CC}">
                <c16:uniqueId val="{00000003-41A7-439C-B222-CBF5750933DA}"/>
              </c:ext>
            </c:extLst>
          </c:dPt>
          <c:cat>
            <c:strRef>
              <c:f>'2.6'!$H$4:$H$18</c:f>
              <c:strCache>
                <c:ptCount val="15"/>
                <c:pt idx="0">
                  <c:v>LBK</c:v>
                </c:pt>
                <c:pt idx="1">
                  <c:v>PLK</c:v>
                </c:pt>
                <c:pt idx="2">
                  <c:v>HKK</c:v>
                </c:pt>
                <c:pt idx="3">
                  <c:v>PAK</c:v>
                </c:pt>
                <c:pt idx="4">
                  <c:v>ULK</c:v>
                </c:pt>
                <c:pt idx="5">
                  <c:v>ZLK</c:v>
                </c:pt>
                <c:pt idx="6">
                  <c:v>STC</c:v>
                </c:pt>
                <c:pt idx="7">
                  <c:v>VYS</c:v>
                </c:pt>
                <c:pt idx="8">
                  <c:v>MSK</c:v>
                </c:pt>
                <c:pt idx="9">
                  <c:v>JHC</c:v>
                </c:pt>
                <c:pt idx="10">
                  <c:v>KVK</c:v>
                </c:pt>
                <c:pt idx="11">
                  <c:v>OLK</c:v>
                </c:pt>
                <c:pt idx="12">
                  <c:v>ČR</c:v>
                </c:pt>
                <c:pt idx="13">
                  <c:v>JHM</c:v>
                </c:pt>
                <c:pt idx="14">
                  <c:v>PHA</c:v>
                </c:pt>
              </c:strCache>
            </c:strRef>
          </c:cat>
          <c:val>
            <c:numRef>
              <c:f>'2.6'!$F$4:$F$18</c:f>
              <c:numCache>
                <c:formatCode>0.00</c:formatCode>
                <c:ptCount val="15"/>
                <c:pt idx="0">
                  <c:v>53.979799878599998</c:v>
                </c:pt>
                <c:pt idx="1">
                  <c:v>50.410465961100002</c:v>
                </c:pt>
                <c:pt idx="2">
                  <c:v>49.840675669900001</c:v>
                </c:pt>
                <c:pt idx="3">
                  <c:v>48.938326770800003</c:v>
                </c:pt>
                <c:pt idx="4">
                  <c:v>48.903543976400002</c:v>
                </c:pt>
                <c:pt idx="5">
                  <c:v>48.160513354000003</c:v>
                </c:pt>
                <c:pt idx="6">
                  <c:v>47.167083120599997</c:v>
                </c:pt>
                <c:pt idx="7">
                  <c:v>47.163127845299996</c:v>
                </c:pt>
                <c:pt idx="8">
                  <c:v>47.072019346799998</c:v>
                </c:pt>
                <c:pt idx="9">
                  <c:v>47.062828031599999</c:v>
                </c:pt>
                <c:pt idx="10">
                  <c:v>46.885208807600002</c:v>
                </c:pt>
                <c:pt idx="11">
                  <c:v>46.323398106500001</c:v>
                </c:pt>
                <c:pt idx="12">
                  <c:v>43.516520393500002</c:v>
                </c:pt>
                <c:pt idx="13">
                  <c:v>42.577847657100001</c:v>
                </c:pt>
                <c:pt idx="14">
                  <c:v>33.083009218800001</c:v>
                </c:pt>
              </c:numCache>
            </c:numRef>
          </c:val>
          <c:extLst>
            <c:ext xmlns:c16="http://schemas.microsoft.com/office/drawing/2014/chart" uri="{C3380CC4-5D6E-409C-BE32-E72D297353CC}">
              <c16:uniqueId val="{00000004-41A7-439C-B222-CBF5750933DA}"/>
            </c:ext>
          </c:extLst>
        </c:ser>
        <c:ser>
          <c:idx val="1"/>
          <c:order val="1"/>
          <c:tx>
            <c:strRef>
              <c:f>'2.6'!$G$3</c:f>
              <c:strCache>
                <c:ptCount val="1"/>
                <c:pt idx="0">
                  <c:v> 1. pol. 2019</c:v>
                </c:pt>
              </c:strCache>
            </c:strRef>
          </c:tx>
          <c:spPr>
            <a:solidFill>
              <a:srgbClr val="B44946"/>
            </a:solidFill>
            <a:ln>
              <a:noFill/>
            </a:ln>
            <a:effectLst/>
          </c:spPr>
          <c:invertIfNegative val="0"/>
          <c:dPt>
            <c:idx val="12"/>
            <c:invertIfNegative val="0"/>
            <c:bubble3D val="0"/>
            <c:spPr>
              <a:solidFill>
                <a:srgbClr val="B44946"/>
              </a:solidFill>
              <a:ln w="15875">
                <a:solidFill>
                  <a:srgbClr val="00B0F0"/>
                </a:solidFill>
              </a:ln>
              <a:effectLst/>
            </c:spPr>
            <c:extLst>
              <c:ext xmlns:c16="http://schemas.microsoft.com/office/drawing/2014/chart" uri="{C3380CC4-5D6E-409C-BE32-E72D297353CC}">
                <c16:uniqueId val="{00000006-41A7-439C-B222-CBF5750933DA}"/>
              </c:ext>
            </c:extLst>
          </c:dPt>
          <c:cat>
            <c:strRef>
              <c:f>'2.6'!$H$4:$H$18</c:f>
              <c:strCache>
                <c:ptCount val="15"/>
                <c:pt idx="0">
                  <c:v>LBK</c:v>
                </c:pt>
                <c:pt idx="1">
                  <c:v>PLK</c:v>
                </c:pt>
                <c:pt idx="2">
                  <c:v>HKK</c:v>
                </c:pt>
                <c:pt idx="3">
                  <c:v>PAK</c:v>
                </c:pt>
                <c:pt idx="4">
                  <c:v>ULK</c:v>
                </c:pt>
                <c:pt idx="5">
                  <c:v>ZLK</c:v>
                </c:pt>
                <c:pt idx="6">
                  <c:v>STC</c:v>
                </c:pt>
                <c:pt idx="7">
                  <c:v>VYS</c:v>
                </c:pt>
                <c:pt idx="8">
                  <c:v>MSK</c:v>
                </c:pt>
                <c:pt idx="9">
                  <c:v>JHC</c:v>
                </c:pt>
                <c:pt idx="10">
                  <c:v>KVK</c:v>
                </c:pt>
                <c:pt idx="11">
                  <c:v>OLK</c:v>
                </c:pt>
                <c:pt idx="12">
                  <c:v>ČR</c:v>
                </c:pt>
                <c:pt idx="13">
                  <c:v>JHM</c:v>
                </c:pt>
                <c:pt idx="14">
                  <c:v>PHA</c:v>
                </c:pt>
              </c:strCache>
            </c:strRef>
          </c:cat>
          <c:val>
            <c:numRef>
              <c:f>'2.6'!$G$4:$G$18</c:f>
              <c:numCache>
                <c:formatCode>General</c:formatCode>
                <c:ptCount val="15"/>
                <c:pt idx="0">
                  <c:v>25.143577818899999</c:v>
                </c:pt>
                <c:pt idx="1">
                  <c:v>24.087065974000001</c:v>
                </c:pt>
                <c:pt idx="2">
                  <c:v>23.583670675600001</c:v>
                </c:pt>
                <c:pt idx="3">
                  <c:v>22.080192067399999</c:v>
                </c:pt>
                <c:pt idx="4">
                  <c:v>22.540256962800001</c:v>
                </c:pt>
                <c:pt idx="5">
                  <c:v>21.3421812944</c:v>
                </c:pt>
                <c:pt idx="6">
                  <c:v>22.088831174999999</c:v>
                </c:pt>
                <c:pt idx="7">
                  <c:v>22.503696683400001</c:v>
                </c:pt>
                <c:pt idx="8">
                  <c:v>22.041629765300002</c:v>
                </c:pt>
                <c:pt idx="9">
                  <c:v>22.6211835808</c:v>
                </c:pt>
                <c:pt idx="10">
                  <c:v>23.340594642100001</c:v>
                </c:pt>
                <c:pt idx="11">
                  <c:v>20.263627657800001</c:v>
                </c:pt>
                <c:pt idx="12">
                  <c:v>20.582557242099998</c:v>
                </c:pt>
                <c:pt idx="13">
                  <c:v>19.719659031999999</c:v>
                </c:pt>
                <c:pt idx="14">
                  <c:v>16.6203329143</c:v>
                </c:pt>
              </c:numCache>
            </c:numRef>
          </c:val>
          <c:extLst>
            <c:ext xmlns:c16="http://schemas.microsoft.com/office/drawing/2014/chart" uri="{C3380CC4-5D6E-409C-BE32-E72D297353CC}">
              <c16:uniqueId val="{00000007-41A7-439C-B222-CBF5750933DA}"/>
            </c:ext>
          </c:extLst>
        </c:ser>
        <c:dLbls>
          <c:showLegendKey val="0"/>
          <c:showVal val="0"/>
          <c:showCatName val="0"/>
          <c:showSerName val="0"/>
          <c:showPercent val="0"/>
          <c:showBubbleSize val="0"/>
        </c:dLbls>
        <c:gapWidth val="182"/>
        <c:axId val="807591664"/>
        <c:axId val="807577936"/>
      </c:barChart>
      <c:catAx>
        <c:axId val="8075916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807577936"/>
        <c:crosses val="autoZero"/>
        <c:auto val="1"/>
        <c:lblAlgn val="ctr"/>
        <c:lblOffset val="100"/>
        <c:noMultiLvlLbl val="0"/>
      </c:catAx>
      <c:valAx>
        <c:axId val="807577936"/>
        <c:scaling>
          <c:orientation val="minMax"/>
          <c:max val="55"/>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cs-CZ"/>
                  <a:t>počet případů na 100 pojištěnců</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807591664"/>
        <c:crosses val="autoZero"/>
        <c:crossBetween val="between"/>
        <c:majorUnit val="5"/>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'2.7'!$A$4</c:f>
              <c:strCache>
                <c:ptCount val="1"/>
                <c:pt idx="0">
                  <c:v> 1. pololetí</c:v>
                </c:pt>
              </c:strCache>
            </c:strRef>
          </c:tx>
          <c:spPr>
            <a:solidFill>
              <a:srgbClr val="632827"/>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'2.7'!$C$3:$H$3</c:f>
              <c:numCache>
                <c:formatCode>General</c:formatCode>
                <c:ptCount val="6"/>
                <c:pt idx="0">
                  <c:v>2017</c:v>
                </c:pt>
                <c:pt idx="1">
                  <c:v>2018</c:v>
                </c:pt>
                <c:pt idx="2">
                  <c:v>2019</c:v>
                </c:pt>
                <c:pt idx="3">
                  <c:v>2020</c:v>
                </c:pt>
                <c:pt idx="4">
                  <c:v>2021</c:v>
                </c:pt>
                <c:pt idx="5">
                  <c:v>2022</c:v>
                </c:pt>
              </c:numCache>
            </c:numRef>
          </c:cat>
          <c:val>
            <c:numRef>
              <c:f>'2.7'!$C$4:$H$4</c:f>
              <c:numCache>
                <c:formatCode>#,##0</c:formatCode>
                <c:ptCount val="6"/>
                <c:pt idx="0">
                  <c:v>33258915</c:v>
                </c:pt>
                <c:pt idx="1">
                  <c:v>35167407</c:v>
                </c:pt>
                <c:pt idx="2">
                  <c:v>35860458</c:v>
                </c:pt>
                <c:pt idx="3">
                  <c:v>41551126</c:v>
                </c:pt>
                <c:pt idx="4">
                  <c:v>45205015</c:v>
                </c:pt>
                <c:pt idx="5">
                  <c:v>44375655</c:v>
                </c:pt>
              </c:numCache>
            </c:numRef>
          </c:val>
          <c:extLst>
            <c:ext xmlns:c16="http://schemas.microsoft.com/office/drawing/2014/chart" uri="{C3380CC4-5D6E-409C-BE32-E72D297353CC}">
              <c16:uniqueId val="{00000000-3D8D-454F-8161-9DD4E7E372FF}"/>
            </c:ext>
          </c:extLst>
        </c:ser>
        <c:ser>
          <c:idx val="1"/>
          <c:order val="1"/>
          <c:tx>
            <c:strRef>
              <c:f>'2.7'!$A$5</c:f>
              <c:strCache>
                <c:ptCount val="1"/>
                <c:pt idx="0">
                  <c:v> 2. pololetí</c:v>
                </c:pt>
              </c:strCache>
            </c:strRef>
          </c:tx>
          <c:spPr>
            <a:solidFill>
              <a:srgbClr val="B44946"/>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'2.7'!$C$3:$H$3</c:f>
              <c:numCache>
                <c:formatCode>General</c:formatCode>
                <c:ptCount val="6"/>
                <c:pt idx="0">
                  <c:v>2017</c:v>
                </c:pt>
                <c:pt idx="1">
                  <c:v>2018</c:v>
                </c:pt>
                <c:pt idx="2">
                  <c:v>2019</c:v>
                </c:pt>
                <c:pt idx="3">
                  <c:v>2020</c:v>
                </c:pt>
                <c:pt idx="4">
                  <c:v>2021</c:v>
                </c:pt>
                <c:pt idx="5">
                  <c:v>2022</c:v>
                </c:pt>
              </c:numCache>
            </c:numRef>
          </c:cat>
          <c:val>
            <c:numRef>
              <c:f>'2.7'!$C$5:$G$5</c:f>
              <c:numCache>
                <c:formatCode>#,##0</c:formatCode>
                <c:ptCount val="5"/>
                <c:pt idx="0">
                  <c:v>28853900.999999996</c:v>
                </c:pt>
                <c:pt idx="1">
                  <c:v>31055960</c:v>
                </c:pt>
                <c:pt idx="2">
                  <c:v>34042075</c:v>
                </c:pt>
                <c:pt idx="3">
                  <c:v>40736349.000000007</c:v>
                </c:pt>
                <c:pt idx="4">
                  <c:v>38157901</c:v>
                </c:pt>
              </c:numCache>
            </c:numRef>
          </c:val>
          <c:extLst>
            <c:ext xmlns:c16="http://schemas.microsoft.com/office/drawing/2014/chart" uri="{C3380CC4-5D6E-409C-BE32-E72D297353CC}">
              <c16:uniqueId val="{00000001-3D8D-454F-8161-9DD4E7E372FF}"/>
            </c:ext>
          </c:extLst>
        </c:ser>
        <c:dLbls>
          <c:showLegendKey val="0"/>
          <c:showVal val="0"/>
          <c:showCatName val="0"/>
          <c:showSerName val="0"/>
          <c:showPercent val="0"/>
          <c:showBubbleSize val="0"/>
        </c:dLbls>
        <c:gapWidth val="81"/>
        <c:overlap val="-27"/>
        <c:axId val="612142767"/>
        <c:axId val="612139023"/>
      </c:barChart>
      <c:catAx>
        <c:axId val="61214276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612139023"/>
        <c:crosses val="autoZero"/>
        <c:auto val="1"/>
        <c:lblAlgn val="ctr"/>
        <c:lblOffset val="100"/>
        <c:noMultiLvlLbl val="0"/>
      </c:catAx>
      <c:valAx>
        <c:axId val="612139023"/>
        <c:scaling>
          <c:orientation val="minMax"/>
          <c:max val="48000000"/>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612142767"/>
        <c:crosses val="autoZero"/>
        <c:crossBetween val="between"/>
        <c:majorUnit val="4000000"/>
        <c:dispUnits>
          <c:builtInUnit val="millions"/>
          <c:dispUnitsLbl>
            <c:layout>
              <c:manualLayout>
                <c:xMode val="edge"/>
                <c:yMode val="edge"/>
                <c:x val="1.7610062893081761E-2"/>
                <c:y val="0.43981481481481483"/>
              </c:manualLayout>
            </c:layout>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cs-CZ"/>
                    <a:t>m</a:t>
                  </a:r>
                  <a:r>
                    <a:rPr lang="en-US"/>
                    <a:t>iliony</a:t>
                  </a:r>
                </a:p>
              </c:rich>
            </c:tx>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ispUnitsLbl>
        </c:dispUnits>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'2.8'!$A$4</c:f>
              <c:strCache>
                <c:ptCount val="1"/>
                <c:pt idx="0">
                  <c:v> 1. pololetí</c:v>
                </c:pt>
              </c:strCache>
            </c:strRef>
          </c:tx>
          <c:spPr>
            <a:solidFill>
              <a:srgbClr val="632827"/>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'2.8'!$C$3:$H$3</c:f>
              <c:numCache>
                <c:formatCode>General</c:formatCode>
                <c:ptCount val="6"/>
                <c:pt idx="0">
                  <c:v>2017</c:v>
                </c:pt>
                <c:pt idx="1">
                  <c:v>2018</c:v>
                </c:pt>
                <c:pt idx="2">
                  <c:v>2019</c:v>
                </c:pt>
                <c:pt idx="3">
                  <c:v>2020</c:v>
                </c:pt>
                <c:pt idx="4">
                  <c:v>2021</c:v>
                </c:pt>
                <c:pt idx="5">
                  <c:v>2022</c:v>
                </c:pt>
              </c:numCache>
            </c:numRef>
          </c:cat>
          <c:val>
            <c:numRef>
              <c:f>'2.8'!$C$4:$H$4</c:f>
              <c:numCache>
                <c:formatCode>General</c:formatCode>
                <c:ptCount val="6"/>
                <c:pt idx="0">
                  <c:v>39.518719722813358</c:v>
                </c:pt>
                <c:pt idx="1">
                  <c:v>37.50186030193516</c:v>
                </c:pt>
                <c:pt idx="2">
                  <c:v>41.090733046565084</c:v>
                </c:pt>
                <c:pt idx="3">
                  <c:v>42.533609854017961</c:v>
                </c:pt>
                <c:pt idx="4">
                  <c:v>34.7673652183</c:v>
                </c:pt>
                <c:pt idx="5" formatCode="0.00">
                  <c:v>22.845586194900001</c:v>
                </c:pt>
              </c:numCache>
            </c:numRef>
          </c:val>
          <c:extLst>
            <c:ext xmlns:c16="http://schemas.microsoft.com/office/drawing/2014/chart" uri="{C3380CC4-5D6E-409C-BE32-E72D297353CC}">
              <c16:uniqueId val="{00000000-1A51-4081-A51C-8844B37F0BB5}"/>
            </c:ext>
          </c:extLst>
        </c:ser>
        <c:ser>
          <c:idx val="1"/>
          <c:order val="1"/>
          <c:tx>
            <c:strRef>
              <c:f>'2.8'!$A$5</c:f>
              <c:strCache>
                <c:ptCount val="1"/>
                <c:pt idx="0">
                  <c:v> 2. pololetí</c:v>
                </c:pt>
              </c:strCache>
            </c:strRef>
          </c:tx>
          <c:spPr>
            <a:solidFill>
              <a:srgbClr val="B44946"/>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'2.8'!$C$3:$H$3</c:f>
              <c:numCache>
                <c:formatCode>General</c:formatCode>
                <c:ptCount val="6"/>
                <c:pt idx="0">
                  <c:v>2017</c:v>
                </c:pt>
                <c:pt idx="1">
                  <c:v>2018</c:v>
                </c:pt>
                <c:pt idx="2">
                  <c:v>2019</c:v>
                </c:pt>
                <c:pt idx="3">
                  <c:v>2020</c:v>
                </c:pt>
                <c:pt idx="4">
                  <c:v>2021</c:v>
                </c:pt>
                <c:pt idx="5">
                  <c:v>2022</c:v>
                </c:pt>
              </c:numCache>
            </c:numRef>
          </c:cat>
          <c:val>
            <c:numRef>
              <c:f>'2.8'!$C$5:$G$5</c:f>
              <c:numCache>
                <c:formatCode>General</c:formatCode>
                <c:ptCount val="5"/>
                <c:pt idx="0">
                  <c:v>43.111981867026856</c:v>
                </c:pt>
                <c:pt idx="1">
                  <c:v>43.586211155367302</c:v>
                </c:pt>
                <c:pt idx="2">
                  <c:v>40.597567156614296</c:v>
                </c:pt>
                <c:pt idx="3">
                  <c:v>33.232215622499098</c:v>
                </c:pt>
                <c:pt idx="4">
                  <c:v>30.537680817264022</c:v>
                </c:pt>
              </c:numCache>
            </c:numRef>
          </c:val>
          <c:extLst>
            <c:ext xmlns:c16="http://schemas.microsoft.com/office/drawing/2014/chart" uri="{C3380CC4-5D6E-409C-BE32-E72D297353CC}">
              <c16:uniqueId val="{00000001-1A51-4081-A51C-8844B37F0BB5}"/>
            </c:ext>
          </c:extLst>
        </c:ser>
        <c:dLbls>
          <c:showLegendKey val="0"/>
          <c:showVal val="0"/>
          <c:showCatName val="0"/>
          <c:showSerName val="0"/>
          <c:showPercent val="0"/>
          <c:showBubbleSize val="0"/>
        </c:dLbls>
        <c:gapWidth val="94"/>
        <c:overlap val="-10"/>
        <c:axId val="1237737583"/>
        <c:axId val="1237740911"/>
      </c:barChart>
      <c:catAx>
        <c:axId val="123773758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237740911"/>
        <c:crosses val="autoZero"/>
        <c:auto val="1"/>
        <c:lblAlgn val="ctr"/>
        <c:lblOffset val="100"/>
        <c:noMultiLvlLbl val="0"/>
      </c:catAx>
      <c:valAx>
        <c:axId val="1237740911"/>
        <c:scaling>
          <c:orientation val="minMax"/>
          <c:max val="45"/>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dnů</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237737583"/>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'2.9'!$B$3</c:f>
              <c:strCache>
                <c:ptCount val="1"/>
                <c:pt idx="0">
                  <c:v> muži</c:v>
                </c:pt>
              </c:strCache>
            </c:strRef>
          </c:tx>
          <c:spPr>
            <a:solidFill>
              <a:srgbClr val="632827"/>
            </a:solidFill>
            <a:ln>
              <a:noFill/>
            </a:ln>
            <a:effectLst/>
          </c:spPr>
          <c:invertIfNegative val="0"/>
          <c:cat>
            <c:strRef>
              <c:f>'2.9'!$A$5:$A$15</c:f>
              <c:strCache>
                <c:ptCount val="11"/>
                <c:pt idx="0">
                  <c:v>1. pol. 2012</c:v>
                </c:pt>
                <c:pt idx="1">
                  <c:v>1. pol. 2013</c:v>
                </c:pt>
                <c:pt idx="2">
                  <c:v>1. pol. 2014</c:v>
                </c:pt>
                <c:pt idx="3">
                  <c:v>1. pol. 2015</c:v>
                </c:pt>
                <c:pt idx="4">
                  <c:v>1. pol. 2016</c:v>
                </c:pt>
                <c:pt idx="5">
                  <c:v>1. pol. 2017</c:v>
                </c:pt>
                <c:pt idx="6">
                  <c:v>1. pol. 2018</c:v>
                </c:pt>
                <c:pt idx="7">
                  <c:v>1. pol. 2019</c:v>
                </c:pt>
                <c:pt idx="8">
                  <c:v>1. pol. 2020</c:v>
                </c:pt>
                <c:pt idx="9">
                  <c:v>1. pol. 2021</c:v>
                </c:pt>
                <c:pt idx="10">
                  <c:v>1. pol. 2022</c:v>
                </c:pt>
              </c:strCache>
            </c:strRef>
          </c:cat>
          <c:val>
            <c:numRef>
              <c:f>'2.9'!$B$5:$B$15</c:f>
              <c:numCache>
                <c:formatCode>General</c:formatCode>
                <c:ptCount val="11"/>
                <c:pt idx="0">
                  <c:v>46.309226338471738</c:v>
                </c:pt>
                <c:pt idx="1">
                  <c:v>41.648443843031117</c:v>
                </c:pt>
                <c:pt idx="2">
                  <c:v>44.369332844223997</c:v>
                </c:pt>
                <c:pt idx="3">
                  <c:v>38.512040612976676</c:v>
                </c:pt>
                <c:pt idx="4">
                  <c:v>40.213732148761729</c:v>
                </c:pt>
                <c:pt idx="5">
                  <c:v>39.560644848976111</c:v>
                </c:pt>
                <c:pt idx="6">
                  <c:v>38.078554728484917</c:v>
                </c:pt>
                <c:pt idx="7">
                  <c:v>41.476622667113119</c:v>
                </c:pt>
                <c:pt idx="8">
                  <c:v>42.520543784148188</c:v>
                </c:pt>
                <c:pt idx="9">
                  <c:v>34.109682565047912</c:v>
                </c:pt>
                <c:pt idx="10">
                  <c:v>24.148536201735247</c:v>
                </c:pt>
              </c:numCache>
            </c:numRef>
          </c:val>
          <c:extLst>
            <c:ext xmlns:c16="http://schemas.microsoft.com/office/drawing/2014/chart" uri="{C3380CC4-5D6E-409C-BE32-E72D297353CC}">
              <c16:uniqueId val="{00000000-2E62-49A4-9F4F-57C525C30067}"/>
            </c:ext>
          </c:extLst>
        </c:ser>
        <c:ser>
          <c:idx val="1"/>
          <c:order val="1"/>
          <c:tx>
            <c:strRef>
              <c:f>'2.9'!$C$3</c:f>
              <c:strCache>
                <c:ptCount val="1"/>
                <c:pt idx="0">
                  <c:v> ženy</c:v>
                </c:pt>
              </c:strCache>
            </c:strRef>
          </c:tx>
          <c:spPr>
            <a:solidFill>
              <a:srgbClr val="C46A68"/>
            </a:solidFill>
            <a:ln>
              <a:noFill/>
            </a:ln>
            <a:effectLst/>
          </c:spPr>
          <c:invertIfNegative val="0"/>
          <c:cat>
            <c:strRef>
              <c:f>'2.9'!$A$5:$A$15</c:f>
              <c:strCache>
                <c:ptCount val="11"/>
                <c:pt idx="0">
                  <c:v>1. pol. 2012</c:v>
                </c:pt>
                <c:pt idx="1">
                  <c:v>1. pol. 2013</c:v>
                </c:pt>
                <c:pt idx="2">
                  <c:v>1. pol. 2014</c:v>
                </c:pt>
                <c:pt idx="3">
                  <c:v>1. pol. 2015</c:v>
                </c:pt>
                <c:pt idx="4">
                  <c:v>1. pol. 2016</c:v>
                </c:pt>
                <c:pt idx="5">
                  <c:v>1. pol. 2017</c:v>
                </c:pt>
                <c:pt idx="6">
                  <c:v>1. pol. 2018</c:v>
                </c:pt>
                <c:pt idx="7">
                  <c:v>1. pol. 2019</c:v>
                </c:pt>
                <c:pt idx="8">
                  <c:v>1. pol. 2020</c:v>
                </c:pt>
                <c:pt idx="9">
                  <c:v>1. pol. 2021</c:v>
                </c:pt>
                <c:pt idx="10">
                  <c:v>1. pol. 2022</c:v>
                </c:pt>
              </c:strCache>
            </c:strRef>
          </c:cat>
          <c:val>
            <c:numRef>
              <c:f>'2.9'!$C$5:$C$15</c:f>
              <c:numCache>
                <c:formatCode>General</c:formatCode>
                <c:ptCount val="11"/>
                <c:pt idx="0">
                  <c:v>48.97222598094902</c:v>
                </c:pt>
                <c:pt idx="1">
                  <c:v>42.769681888661026</c:v>
                </c:pt>
                <c:pt idx="2">
                  <c:v>47.351635940494653</c:v>
                </c:pt>
                <c:pt idx="3">
                  <c:v>41.541888555829374</c:v>
                </c:pt>
                <c:pt idx="4">
                  <c:v>43.547922707404688</c:v>
                </c:pt>
                <c:pt idx="5">
                  <c:v>42.227270729621964</c:v>
                </c:pt>
                <c:pt idx="6">
                  <c:v>39.901001334393179</c:v>
                </c:pt>
                <c:pt idx="7">
                  <c:v>43.663270828934998</c:v>
                </c:pt>
                <c:pt idx="8">
                  <c:v>45.918585686443691</c:v>
                </c:pt>
                <c:pt idx="9">
                  <c:v>38.578608177323261</c:v>
                </c:pt>
                <c:pt idx="10">
                  <c:v>24.859640904274237</c:v>
                </c:pt>
              </c:numCache>
            </c:numRef>
          </c:val>
          <c:extLst>
            <c:ext xmlns:c16="http://schemas.microsoft.com/office/drawing/2014/chart" uri="{C3380CC4-5D6E-409C-BE32-E72D297353CC}">
              <c16:uniqueId val="{00000001-2E62-49A4-9F4F-57C525C30067}"/>
            </c:ext>
          </c:extLst>
        </c:ser>
        <c:dLbls>
          <c:showLegendKey val="0"/>
          <c:showVal val="0"/>
          <c:showCatName val="0"/>
          <c:showSerName val="0"/>
          <c:showPercent val="0"/>
          <c:showBubbleSize val="0"/>
        </c:dLbls>
        <c:gapWidth val="124"/>
        <c:overlap val="-27"/>
        <c:axId val="807622032"/>
        <c:axId val="807614960"/>
      </c:barChart>
      <c:catAx>
        <c:axId val="8076220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807614960"/>
        <c:crosses val="autoZero"/>
        <c:auto val="1"/>
        <c:lblAlgn val="ctr"/>
        <c:lblOffset val="100"/>
        <c:noMultiLvlLbl val="0"/>
      </c:catAx>
      <c:valAx>
        <c:axId val="807614960"/>
        <c:scaling>
          <c:orientation val="minMax"/>
          <c:max val="5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dnů</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8076220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49503577075977984"/>
          <c:y val="3.2234432234432238E-2"/>
          <c:w val="0.47930986904108164"/>
          <c:h val="0.87258346874053061"/>
        </c:manualLayout>
      </c:layout>
      <c:barChart>
        <c:barDir val="bar"/>
        <c:grouping val="clustered"/>
        <c:varyColors val="0"/>
        <c:ser>
          <c:idx val="0"/>
          <c:order val="0"/>
          <c:spPr>
            <a:solidFill>
              <a:srgbClr val="C46A68"/>
            </a:solidFill>
            <a:ln>
              <a:noFill/>
            </a:ln>
            <a:effectLst/>
          </c:spPr>
          <c:invertIfNegative val="0"/>
          <c:dPt>
            <c:idx val="8"/>
            <c:invertIfNegative val="0"/>
            <c:bubble3D val="0"/>
            <c:spPr>
              <a:solidFill>
                <a:srgbClr val="632827"/>
              </a:solidFill>
              <a:ln>
                <a:noFill/>
              </a:ln>
              <a:effectLst/>
            </c:spPr>
            <c:extLst>
              <c:ext xmlns:c16="http://schemas.microsoft.com/office/drawing/2014/chart" uri="{C3380CC4-5D6E-409C-BE32-E72D297353CC}">
                <c16:uniqueId val="{00000001-23E0-4153-91AF-575FC7FBFAB5}"/>
              </c:ext>
            </c:extLst>
          </c:dPt>
          <c:cat>
            <c:strRef>
              <c:f>'2.10'!$D$3:$D$22</c:f>
              <c:strCache>
                <c:ptCount val="20"/>
                <c:pt idx="0">
                  <c:v>P – Vzdělávání</c:v>
                </c:pt>
                <c:pt idx="1">
                  <c:v>J – Informační a komunikační činnosti</c:v>
                </c:pt>
                <c:pt idx="2">
                  <c:v>O – Veřejná správa a obrana; povinné sociální zabezpečení</c:v>
                </c:pt>
                <c:pt idx="3">
                  <c:v>K – Peněžnictví a pojišťovnictví</c:v>
                </c:pt>
                <c:pt idx="4">
                  <c:v>M – Profesní, vědecké a technické činnosti</c:v>
                </c:pt>
                <c:pt idx="5">
                  <c:v>R – Kulturní, zábavní a rekreační činnosti</c:v>
                </c:pt>
                <c:pt idx="6">
                  <c:v>D – Výroba a rozvod elektřiny, plynu, tepla a klimatiz. vzduchu</c:v>
                </c:pt>
                <c:pt idx="7">
                  <c:v>C – Zpracovatelský průmysl</c:v>
                </c:pt>
                <c:pt idx="8">
                  <c:v>CELKEM</c:v>
                </c:pt>
                <c:pt idx="9">
                  <c:v>Q – Zdravotní a sociální péče</c:v>
                </c:pt>
                <c:pt idx="10">
                  <c:v>G – Velkoobchod a maloobchod; opravy a údržba motor. vozidel</c:v>
                </c:pt>
                <c:pt idx="11">
                  <c:v>S – Ostatní činnosti</c:v>
                </c:pt>
                <c:pt idx="12">
                  <c:v>E – Zásobování vodou; činnosti související s odpady a sanacemi</c:v>
                </c:pt>
                <c:pt idx="13">
                  <c:v>H – Doprava a skladování</c:v>
                </c:pt>
                <c:pt idx="14">
                  <c:v>B – Těžba a dobývání</c:v>
                </c:pt>
                <c:pt idx="15">
                  <c:v>L – Činnosti v oblasti nemovitostí</c:v>
                </c:pt>
                <c:pt idx="16">
                  <c:v>N – Administrativní a podpůrné činnosti</c:v>
                </c:pt>
                <c:pt idx="17">
                  <c:v>F – Stavebnictví</c:v>
                </c:pt>
                <c:pt idx="18">
                  <c:v>I – Ubytování, stravování a pohostinství</c:v>
                </c:pt>
                <c:pt idx="19">
                  <c:v>A – Zemědělství, lesnictví, rybářství</c:v>
                </c:pt>
              </c:strCache>
            </c:strRef>
          </c:cat>
          <c:val>
            <c:numRef>
              <c:f>'2.10'!$E$3:$E$22</c:f>
              <c:numCache>
                <c:formatCode>0.00</c:formatCode>
                <c:ptCount val="20"/>
                <c:pt idx="0">
                  <c:v>15.559346622</c:v>
                </c:pt>
                <c:pt idx="1">
                  <c:v>16.884458690300001</c:v>
                </c:pt>
                <c:pt idx="2">
                  <c:v>19.5601737593</c:v>
                </c:pt>
                <c:pt idx="3">
                  <c:v>21.431962634800001</c:v>
                </c:pt>
                <c:pt idx="4">
                  <c:v>21.9195376417</c:v>
                </c:pt>
                <c:pt idx="5">
                  <c:v>22.137973138</c:v>
                </c:pt>
                <c:pt idx="6">
                  <c:v>22.663087713199999</c:v>
                </c:pt>
                <c:pt idx="7">
                  <c:v>24.3516333932</c:v>
                </c:pt>
                <c:pt idx="8">
                  <c:v>24.5321082649</c:v>
                </c:pt>
                <c:pt idx="9">
                  <c:v>25.576894716200002</c:v>
                </c:pt>
                <c:pt idx="10">
                  <c:v>26.186475163699999</c:v>
                </c:pt>
                <c:pt idx="11">
                  <c:v>27.010506897700001</c:v>
                </c:pt>
                <c:pt idx="12">
                  <c:v>27.380201420900001</c:v>
                </c:pt>
                <c:pt idx="13">
                  <c:v>28.187625241999999</c:v>
                </c:pt>
                <c:pt idx="14">
                  <c:v>28.728866336100001</c:v>
                </c:pt>
                <c:pt idx="15">
                  <c:v>28.8652814091</c:v>
                </c:pt>
                <c:pt idx="16">
                  <c:v>31.152275981100001</c:v>
                </c:pt>
                <c:pt idx="17">
                  <c:v>32.502374958099999</c:v>
                </c:pt>
                <c:pt idx="18">
                  <c:v>33.874080661400001</c:v>
                </c:pt>
                <c:pt idx="19">
                  <c:v>34.6177029523</c:v>
                </c:pt>
              </c:numCache>
            </c:numRef>
          </c:val>
          <c:extLst>
            <c:ext xmlns:c16="http://schemas.microsoft.com/office/drawing/2014/chart" uri="{C3380CC4-5D6E-409C-BE32-E72D297353CC}">
              <c16:uniqueId val="{00000002-23E0-4153-91AF-575FC7FBFAB5}"/>
            </c:ext>
          </c:extLst>
        </c:ser>
        <c:dLbls>
          <c:showLegendKey val="0"/>
          <c:showVal val="0"/>
          <c:showCatName val="0"/>
          <c:showSerName val="0"/>
          <c:showPercent val="0"/>
          <c:showBubbleSize val="0"/>
        </c:dLbls>
        <c:gapWidth val="182"/>
        <c:axId val="807607472"/>
        <c:axId val="807612464"/>
      </c:barChart>
      <c:catAx>
        <c:axId val="80760747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807612464"/>
        <c:crosses val="autoZero"/>
        <c:auto val="1"/>
        <c:lblAlgn val="ctr"/>
        <c:lblOffset val="100"/>
        <c:noMultiLvlLbl val="0"/>
      </c:catAx>
      <c:valAx>
        <c:axId val="807612464"/>
        <c:scaling>
          <c:orientation val="minMax"/>
          <c:max val="35"/>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dnů</a:t>
                </a:r>
              </a:p>
            </c:rich>
          </c:tx>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807607472"/>
        <c:crosses val="autoZero"/>
        <c:crossBetween val="between"/>
        <c:majorUnit val="5"/>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'2.11'!$I$3</c:f>
              <c:strCache>
                <c:ptCount val="1"/>
                <c:pt idx="0">
                  <c:v> 1. pol. 2022</c:v>
                </c:pt>
              </c:strCache>
            </c:strRef>
          </c:tx>
          <c:spPr>
            <a:solidFill>
              <a:srgbClr val="632827"/>
            </a:solidFill>
            <a:ln>
              <a:noFill/>
            </a:ln>
            <a:effectLst/>
          </c:spPr>
          <c:invertIfNegative val="0"/>
          <c:dPt>
            <c:idx val="7"/>
            <c:invertIfNegative val="0"/>
            <c:bubble3D val="0"/>
            <c:spPr>
              <a:solidFill>
                <a:srgbClr val="632827"/>
              </a:solidFill>
              <a:ln w="15875">
                <a:solidFill>
                  <a:srgbClr val="00B0F0"/>
                </a:solidFill>
              </a:ln>
              <a:effectLst/>
            </c:spPr>
            <c:extLst>
              <c:ext xmlns:c16="http://schemas.microsoft.com/office/drawing/2014/chart" uri="{C3380CC4-5D6E-409C-BE32-E72D297353CC}">
                <c16:uniqueId val="{00000001-5D85-47BA-A5B5-24C437739236}"/>
              </c:ext>
            </c:extLst>
          </c:dPt>
          <c:dPt>
            <c:idx val="14"/>
            <c:invertIfNegative val="0"/>
            <c:bubble3D val="0"/>
            <c:spPr>
              <a:solidFill>
                <a:srgbClr val="632827"/>
              </a:solidFill>
              <a:ln w="15875">
                <a:noFill/>
              </a:ln>
              <a:effectLst/>
            </c:spPr>
            <c:extLst>
              <c:ext xmlns:c16="http://schemas.microsoft.com/office/drawing/2014/chart" uri="{C3380CC4-5D6E-409C-BE32-E72D297353CC}">
                <c16:uniqueId val="{00000003-5D85-47BA-A5B5-24C437739236}"/>
              </c:ext>
            </c:extLst>
          </c:dPt>
          <c:cat>
            <c:strRef>
              <c:f>'2.11'!$F$4:$F$18</c:f>
              <c:strCache>
                <c:ptCount val="15"/>
                <c:pt idx="0">
                  <c:v>MSK</c:v>
                </c:pt>
                <c:pt idx="1">
                  <c:v>ZLK</c:v>
                </c:pt>
                <c:pt idx="2">
                  <c:v>OLK</c:v>
                </c:pt>
                <c:pt idx="3">
                  <c:v>VYS</c:v>
                </c:pt>
                <c:pt idx="4">
                  <c:v>JHC</c:v>
                </c:pt>
                <c:pt idx="5">
                  <c:v>JHM</c:v>
                </c:pt>
                <c:pt idx="6">
                  <c:v>KVK</c:v>
                </c:pt>
                <c:pt idx="7">
                  <c:v>ČR</c:v>
                </c:pt>
                <c:pt idx="8">
                  <c:v>ULK</c:v>
                </c:pt>
                <c:pt idx="9">
                  <c:v>PAK</c:v>
                </c:pt>
                <c:pt idx="10">
                  <c:v>PHA</c:v>
                </c:pt>
                <c:pt idx="11">
                  <c:v>PLK</c:v>
                </c:pt>
                <c:pt idx="12">
                  <c:v>STC</c:v>
                </c:pt>
                <c:pt idx="13">
                  <c:v>LBK</c:v>
                </c:pt>
                <c:pt idx="14">
                  <c:v>HKK</c:v>
                </c:pt>
              </c:strCache>
            </c:strRef>
          </c:cat>
          <c:val>
            <c:numRef>
              <c:f>'2.11'!$I$4:$I$18</c:f>
              <c:numCache>
                <c:formatCode>0.00</c:formatCode>
                <c:ptCount val="15"/>
                <c:pt idx="0">
                  <c:v>28.236105627499999</c:v>
                </c:pt>
                <c:pt idx="1">
                  <c:v>26.964542144799999</c:v>
                </c:pt>
                <c:pt idx="2">
                  <c:v>26.153739572500001</c:v>
                </c:pt>
                <c:pt idx="3">
                  <c:v>25.441758084</c:v>
                </c:pt>
                <c:pt idx="4">
                  <c:v>25.118776305400001</c:v>
                </c:pt>
                <c:pt idx="5">
                  <c:v>24.965979660999999</c:v>
                </c:pt>
                <c:pt idx="6">
                  <c:v>24.842080063800001</c:v>
                </c:pt>
                <c:pt idx="7">
                  <c:v>24.5321082649</c:v>
                </c:pt>
                <c:pt idx="8">
                  <c:v>24.284978889600001</c:v>
                </c:pt>
                <c:pt idx="9">
                  <c:v>23.7020905199</c:v>
                </c:pt>
                <c:pt idx="10">
                  <c:v>23.289436586299999</c:v>
                </c:pt>
                <c:pt idx="11">
                  <c:v>23.111023930999998</c:v>
                </c:pt>
                <c:pt idx="12">
                  <c:v>22.979162971800001</c:v>
                </c:pt>
                <c:pt idx="13">
                  <c:v>22.821535026900001</c:v>
                </c:pt>
                <c:pt idx="14">
                  <c:v>22.556193031500001</c:v>
                </c:pt>
              </c:numCache>
            </c:numRef>
          </c:val>
          <c:extLst>
            <c:ext xmlns:c16="http://schemas.microsoft.com/office/drawing/2014/chart" uri="{C3380CC4-5D6E-409C-BE32-E72D297353CC}">
              <c16:uniqueId val="{00000004-5D85-47BA-A5B5-24C437739236}"/>
            </c:ext>
          </c:extLst>
        </c:ser>
        <c:ser>
          <c:idx val="1"/>
          <c:order val="1"/>
          <c:tx>
            <c:strRef>
              <c:f>'2.11'!$J$3</c:f>
              <c:strCache>
                <c:ptCount val="1"/>
                <c:pt idx="0">
                  <c:v> 1. pol. 2019</c:v>
                </c:pt>
              </c:strCache>
            </c:strRef>
          </c:tx>
          <c:spPr>
            <a:solidFill>
              <a:srgbClr val="B44946"/>
            </a:solidFill>
            <a:ln>
              <a:noFill/>
            </a:ln>
            <a:effectLst/>
          </c:spPr>
          <c:invertIfNegative val="0"/>
          <c:dPt>
            <c:idx val="7"/>
            <c:invertIfNegative val="0"/>
            <c:bubble3D val="0"/>
            <c:spPr>
              <a:solidFill>
                <a:srgbClr val="B44946"/>
              </a:solidFill>
              <a:ln w="15875">
                <a:solidFill>
                  <a:srgbClr val="00B0F0"/>
                </a:solidFill>
              </a:ln>
              <a:effectLst/>
            </c:spPr>
            <c:extLst>
              <c:ext xmlns:c16="http://schemas.microsoft.com/office/drawing/2014/chart" uri="{C3380CC4-5D6E-409C-BE32-E72D297353CC}">
                <c16:uniqueId val="{00000006-5D85-47BA-A5B5-24C437739236}"/>
              </c:ext>
            </c:extLst>
          </c:dPt>
          <c:cat>
            <c:strRef>
              <c:f>'2.11'!$F$4:$F$18</c:f>
              <c:strCache>
                <c:ptCount val="15"/>
                <c:pt idx="0">
                  <c:v>MSK</c:v>
                </c:pt>
                <c:pt idx="1">
                  <c:v>ZLK</c:v>
                </c:pt>
                <c:pt idx="2">
                  <c:v>OLK</c:v>
                </c:pt>
                <c:pt idx="3">
                  <c:v>VYS</c:v>
                </c:pt>
                <c:pt idx="4">
                  <c:v>JHC</c:v>
                </c:pt>
                <c:pt idx="5">
                  <c:v>JHM</c:v>
                </c:pt>
                <c:pt idx="6">
                  <c:v>KVK</c:v>
                </c:pt>
                <c:pt idx="7">
                  <c:v>ČR</c:v>
                </c:pt>
                <c:pt idx="8">
                  <c:v>ULK</c:v>
                </c:pt>
                <c:pt idx="9">
                  <c:v>PAK</c:v>
                </c:pt>
                <c:pt idx="10">
                  <c:v>PHA</c:v>
                </c:pt>
                <c:pt idx="11">
                  <c:v>PLK</c:v>
                </c:pt>
                <c:pt idx="12">
                  <c:v>STC</c:v>
                </c:pt>
                <c:pt idx="13">
                  <c:v>LBK</c:v>
                </c:pt>
                <c:pt idx="14">
                  <c:v>HKK</c:v>
                </c:pt>
              </c:strCache>
            </c:strRef>
          </c:cat>
          <c:val>
            <c:numRef>
              <c:f>'2.11'!$J$4:$J$18</c:f>
              <c:numCache>
                <c:formatCode>General</c:formatCode>
                <c:ptCount val="15"/>
                <c:pt idx="0">
                  <c:v>48.9816142516</c:v>
                </c:pt>
                <c:pt idx="1">
                  <c:v>49.338880264899998</c:v>
                </c:pt>
                <c:pt idx="2">
                  <c:v>46.328880262600002</c:v>
                </c:pt>
                <c:pt idx="3">
                  <c:v>45.244468201499998</c:v>
                </c:pt>
                <c:pt idx="4">
                  <c:v>44.670645706999998</c:v>
                </c:pt>
                <c:pt idx="5">
                  <c:v>43.984949430100002</c:v>
                </c:pt>
                <c:pt idx="6">
                  <c:v>40.346099789199997</c:v>
                </c:pt>
                <c:pt idx="7">
                  <c:v>42.645176179099998</c:v>
                </c:pt>
                <c:pt idx="8">
                  <c:v>42.215175127899997</c:v>
                </c:pt>
                <c:pt idx="9">
                  <c:v>41.872768899100002</c:v>
                </c:pt>
                <c:pt idx="10">
                  <c:v>39.468143992000002</c:v>
                </c:pt>
                <c:pt idx="11">
                  <c:v>39.247807658600003</c:v>
                </c:pt>
                <c:pt idx="12">
                  <c:v>40.629772793400001</c:v>
                </c:pt>
                <c:pt idx="13">
                  <c:v>38.556967234200002</c:v>
                </c:pt>
                <c:pt idx="14">
                  <c:v>38.719804721300001</c:v>
                </c:pt>
              </c:numCache>
            </c:numRef>
          </c:val>
          <c:extLst>
            <c:ext xmlns:c16="http://schemas.microsoft.com/office/drawing/2014/chart" uri="{C3380CC4-5D6E-409C-BE32-E72D297353CC}">
              <c16:uniqueId val="{00000007-5D85-47BA-A5B5-24C437739236}"/>
            </c:ext>
          </c:extLst>
        </c:ser>
        <c:dLbls>
          <c:showLegendKey val="0"/>
          <c:showVal val="0"/>
          <c:showCatName val="0"/>
          <c:showSerName val="0"/>
          <c:showPercent val="0"/>
          <c:showBubbleSize val="0"/>
        </c:dLbls>
        <c:gapWidth val="182"/>
        <c:axId val="1195532048"/>
        <c:axId val="1195533296"/>
      </c:barChart>
      <c:catAx>
        <c:axId val="11955320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195533296"/>
        <c:crosses val="autoZero"/>
        <c:auto val="1"/>
        <c:lblAlgn val="ctr"/>
        <c:lblOffset val="100"/>
        <c:noMultiLvlLbl val="0"/>
      </c:catAx>
      <c:valAx>
        <c:axId val="1195533296"/>
        <c:scaling>
          <c:orientation val="minMax"/>
          <c:max val="5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dnů</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195532048"/>
        <c:crosses val="autoZero"/>
        <c:crossBetween val="between"/>
        <c:majorUnit val="5"/>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'2.12'!$E$20</c:f>
              <c:strCache>
                <c:ptCount val="1"/>
                <c:pt idx="0">
                  <c:v> nemoc</c:v>
                </c:pt>
              </c:strCache>
            </c:strRef>
          </c:tx>
          <c:spPr>
            <a:solidFill>
              <a:srgbClr val="632827"/>
            </a:solidFill>
            <a:ln>
              <a:noFill/>
            </a:ln>
            <a:effectLst/>
          </c:spPr>
          <c:invertIfNegative val="0"/>
          <c:cat>
            <c:multiLvlStrRef>
              <c:f>'2.12'!$B$21:$C$27</c:f>
              <c:multiLvlStrCache>
                <c:ptCount val="7"/>
                <c:lvl>
                  <c:pt idx="2">
                    <c:v>1–49</c:v>
                  </c:pt>
                  <c:pt idx="3">
                    <c:v>50–99</c:v>
                  </c:pt>
                  <c:pt idx="4">
                    <c:v>100–249</c:v>
                  </c:pt>
                  <c:pt idx="5">
                    <c:v>250–499</c:v>
                  </c:pt>
                  <c:pt idx="6">
                    <c:v>500 a více</c:v>
                  </c:pt>
                </c:lvl>
                <c:lvl>
                  <c:pt idx="0">
                    <c:v>CELKEM</c:v>
                  </c:pt>
                  <c:pt idx="1">
                    <c:v>OSVČ</c:v>
                  </c:pt>
                  <c:pt idx="2">
                    <c:v>zaměstnanci (počet)</c:v>
                  </c:pt>
                </c:lvl>
              </c:multiLvlStrCache>
            </c:multiLvlStrRef>
          </c:cat>
          <c:val>
            <c:numRef>
              <c:f>'2.12'!$E$21:$E$27</c:f>
              <c:numCache>
                <c:formatCode>0.00</c:formatCode>
                <c:ptCount val="7"/>
                <c:pt idx="0">
                  <c:v>22.845586194900001</c:v>
                </c:pt>
                <c:pt idx="1">
                  <c:v>74.784615384600002</c:v>
                </c:pt>
                <c:pt idx="2">
                  <c:v>25.168781118999998</c:v>
                </c:pt>
                <c:pt idx="3">
                  <c:v>20.035445812300001</c:v>
                </c:pt>
                <c:pt idx="4">
                  <c:v>21.864913241899998</c:v>
                </c:pt>
                <c:pt idx="5">
                  <c:v>22.390960670199998</c:v>
                </c:pt>
                <c:pt idx="6">
                  <c:v>22.051884381499999</c:v>
                </c:pt>
              </c:numCache>
            </c:numRef>
          </c:val>
          <c:extLst>
            <c:ext xmlns:c16="http://schemas.microsoft.com/office/drawing/2014/chart" uri="{C3380CC4-5D6E-409C-BE32-E72D297353CC}">
              <c16:uniqueId val="{00000000-40B7-4B0C-8909-9D0F0C96F617}"/>
            </c:ext>
          </c:extLst>
        </c:ser>
        <c:ser>
          <c:idx val="1"/>
          <c:order val="1"/>
          <c:tx>
            <c:strRef>
              <c:f>'2.12'!$F$20</c:f>
              <c:strCache>
                <c:ptCount val="1"/>
                <c:pt idx="0">
                  <c:v> pracovní úraz</c:v>
                </c:pt>
              </c:strCache>
            </c:strRef>
          </c:tx>
          <c:spPr>
            <a:solidFill>
              <a:srgbClr val="B44946"/>
            </a:solidFill>
            <a:ln>
              <a:noFill/>
            </a:ln>
            <a:effectLst/>
          </c:spPr>
          <c:invertIfNegative val="0"/>
          <c:cat>
            <c:multiLvlStrRef>
              <c:f>'2.12'!$B$21:$C$27</c:f>
              <c:multiLvlStrCache>
                <c:ptCount val="7"/>
                <c:lvl>
                  <c:pt idx="2">
                    <c:v>1–49</c:v>
                  </c:pt>
                  <c:pt idx="3">
                    <c:v>50–99</c:v>
                  </c:pt>
                  <c:pt idx="4">
                    <c:v>100–249</c:v>
                  </c:pt>
                  <c:pt idx="5">
                    <c:v>250–499</c:v>
                  </c:pt>
                  <c:pt idx="6">
                    <c:v>500 a více</c:v>
                  </c:pt>
                </c:lvl>
                <c:lvl>
                  <c:pt idx="0">
                    <c:v>CELKEM</c:v>
                  </c:pt>
                  <c:pt idx="1">
                    <c:v>OSVČ</c:v>
                  </c:pt>
                  <c:pt idx="2">
                    <c:v>zaměstnanci (počet)</c:v>
                  </c:pt>
                </c:lvl>
              </c:multiLvlStrCache>
            </c:multiLvlStrRef>
          </c:cat>
          <c:val>
            <c:numRef>
              <c:f>'2.12'!$F$21:$F$27</c:f>
              <c:numCache>
                <c:formatCode>0.00</c:formatCode>
                <c:ptCount val="7"/>
                <c:pt idx="0">
                  <c:v>55.870435604400001</c:v>
                </c:pt>
                <c:pt idx="1">
                  <c:v>93.910958904099999</c:v>
                </c:pt>
                <c:pt idx="2">
                  <c:v>57.687058823500003</c:v>
                </c:pt>
                <c:pt idx="3">
                  <c:v>52.999687402299998</c:v>
                </c:pt>
                <c:pt idx="4">
                  <c:v>52.443368828700002</c:v>
                </c:pt>
                <c:pt idx="5">
                  <c:v>52.838143953200003</c:v>
                </c:pt>
                <c:pt idx="6">
                  <c:v>58.018414394200001</c:v>
                </c:pt>
              </c:numCache>
            </c:numRef>
          </c:val>
          <c:extLst>
            <c:ext xmlns:c16="http://schemas.microsoft.com/office/drawing/2014/chart" uri="{C3380CC4-5D6E-409C-BE32-E72D297353CC}">
              <c16:uniqueId val="{00000001-40B7-4B0C-8909-9D0F0C96F617}"/>
            </c:ext>
          </c:extLst>
        </c:ser>
        <c:ser>
          <c:idx val="2"/>
          <c:order val="2"/>
          <c:tx>
            <c:strRef>
              <c:f>'2.12'!$G$20</c:f>
              <c:strCache>
                <c:ptCount val="1"/>
                <c:pt idx="0">
                  <c:v> ostatní úraz</c:v>
                </c:pt>
              </c:strCache>
            </c:strRef>
          </c:tx>
          <c:spPr>
            <a:solidFill>
              <a:srgbClr val="C46A68"/>
            </a:solidFill>
            <a:ln>
              <a:noFill/>
            </a:ln>
            <a:effectLst/>
          </c:spPr>
          <c:invertIfNegative val="0"/>
          <c:cat>
            <c:multiLvlStrRef>
              <c:f>'2.12'!$B$21:$C$27</c:f>
              <c:multiLvlStrCache>
                <c:ptCount val="7"/>
                <c:lvl>
                  <c:pt idx="2">
                    <c:v>1–49</c:v>
                  </c:pt>
                  <c:pt idx="3">
                    <c:v>50–99</c:v>
                  </c:pt>
                  <c:pt idx="4">
                    <c:v>100–249</c:v>
                  </c:pt>
                  <c:pt idx="5">
                    <c:v>250–499</c:v>
                  </c:pt>
                  <c:pt idx="6">
                    <c:v>500 a více</c:v>
                  </c:pt>
                </c:lvl>
                <c:lvl>
                  <c:pt idx="0">
                    <c:v>CELKEM</c:v>
                  </c:pt>
                  <c:pt idx="1">
                    <c:v>OSVČ</c:v>
                  </c:pt>
                  <c:pt idx="2">
                    <c:v>zaměstnanci (počet)</c:v>
                  </c:pt>
                </c:lvl>
              </c:multiLvlStrCache>
            </c:multiLvlStrRef>
          </c:cat>
          <c:val>
            <c:numRef>
              <c:f>'2.12'!$G$21:$G$27</c:f>
              <c:numCache>
                <c:formatCode>0.00</c:formatCode>
                <c:ptCount val="7"/>
                <c:pt idx="0">
                  <c:v>53.393115798300002</c:v>
                </c:pt>
                <c:pt idx="1">
                  <c:v>99.209056603799993</c:v>
                </c:pt>
                <c:pt idx="2">
                  <c:v>59.484853229000002</c:v>
                </c:pt>
                <c:pt idx="3">
                  <c:v>49.690564153799997</c:v>
                </c:pt>
                <c:pt idx="4">
                  <c:v>50.2578666454</c:v>
                </c:pt>
                <c:pt idx="5">
                  <c:v>49.843942505100003</c:v>
                </c:pt>
                <c:pt idx="6">
                  <c:v>49.767868630400002</c:v>
                </c:pt>
              </c:numCache>
            </c:numRef>
          </c:val>
          <c:extLst>
            <c:ext xmlns:c16="http://schemas.microsoft.com/office/drawing/2014/chart" uri="{C3380CC4-5D6E-409C-BE32-E72D297353CC}">
              <c16:uniqueId val="{00000002-40B7-4B0C-8909-9D0F0C96F617}"/>
            </c:ext>
          </c:extLst>
        </c:ser>
        <c:dLbls>
          <c:showLegendKey val="0"/>
          <c:showVal val="0"/>
          <c:showCatName val="0"/>
          <c:showSerName val="0"/>
          <c:showPercent val="0"/>
          <c:showBubbleSize val="0"/>
        </c:dLbls>
        <c:gapWidth val="186"/>
        <c:axId val="764445184"/>
        <c:axId val="916133408"/>
      </c:barChart>
      <c:catAx>
        <c:axId val="7644451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916133408"/>
        <c:crosses val="autoZero"/>
        <c:auto val="1"/>
        <c:lblAlgn val="ctr"/>
        <c:lblOffset val="100"/>
        <c:noMultiLvlLbl val="0"/>
      </c:catAx>
      <c:valAx>
        <c:axId val="916133408"/>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dnů</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764445184"/>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2038606651171415"/>
          <c:y val="3.3755270183513174E-2"/>
          <c:w val="0.45176906061002792"/>
          <c:h val="0.90406858529657164"/>
        </c:manualLayout>
      </c:layout>
      <c:barChart>
        <c:barDir val="bar"/>
        <c:grouping val="clustered"/>
        <c:varyColors val="0"/>
        <c:ser>
          <c:idx val="0"/>
          <c:order val="0"/>
          <c:tx>
            <c:strRef>
              <c:f>'2.13'!$E$3</c:f>
              <c:strCache>
                <c:ptCount val="1"/>
                <c:pt idx="0">
                  <c:v>1. pol. 2022</c:v>
                </c:pt>
              </c:strCache>
            </c:strRef>
          </c:tx>
          <c:spPr>
            <a:solidFill>
              <a:srgbClr val="C46A68"/>
            </a:solidFill>
            <a:ln>
              <a:noFill/>
            </a:ln>
            <a:effectLst/>
          </c:spPr>
          <c:invertIfNegative val="0"/>
          <c:dPt>
            <c:idx val="9"/>
            <c:invertIfNegative val="0"/>
            <c:bubble3D val="0"/>
            <c:spPr>
              <a:solidFill>
                <a:srgbClr val="C46A68"/>
              </a:solidFill>
              <a:ln>
                <a:noFill/>
              </a:ln>
              <a:effectLst/>
            </c:spPr>
            <c:extLst>
              <c:ext xmlns:c16="http://schemas.microsoft.com/office/drawing/2014/chart" uri="{C3380CC4-5D6E-409C-BE32-E72D297353CC}">
                <c16:uniqueId val="{00000001-90D3-4312-8313-8EBB9B225C3C}"/>
              </c:ext>
            </c:extLst>
          </c:dPt>
          <c:dPt>
            <c:idx val="10"/>
            <c:invertIfNegative val="0"/>
            <c:bubble3D val="0"/>
            <c:spPr>
              <a:solidFill>
                <a:srgbClr val="632827"/>
              </a:solidFill>
              <a:ln>
                <a:noFill/>
              </a:ln>
              <a:effectLst/>
            </c:spPr>
            <c:extLst>
              <c:ext xmlns:c16="http://schemas.microsoft.com/office/drawing/2014/chart" uri="{C3380CC4-5D6E-409C-BE32-E72D297353CC}">
                <c16:uniqueId val="{00000003-90D3-4312-8313-8EBB9B225C3C}"/>
              </c:ext>
            </c:extLst>
          </c:dPt>
          <c:cat>
            <c:strRef>
              <c:f>'2.13'!$D$4:$D$23</c:f>
              <c:strCache>
                <c:ptCount val="20"/>
                <c:pt idx="0">
                  <c:v>J – Informační a komunikační činnosti</c:v>
                </c:pt>
                <c:pt idx="1">
                  <c:v>K – Peněžnictví a pojišťovnictví</c:v>
                </c:pt>
                <c:pt idx="2">
                  <c:v>M – Profesní, vědecké a technické činnosti</c:v>
                </c:pt>
                <c:pt idx="3">
                  <c:v>L – Činnosti v oblasti nemovitostí</c:v>
                </c:pt>
                <c:pt idx="4">
                  <c:v>D – Výroba a rozvod elektřiny, plynu, tepla a klimatiz. vzduchu</c:v>
                </c:pt>
                <c:pt idx="5">
                  <c:v>R – Kulturní, zábavní a rekreační činnosti</c:v>
                </c:pt>
                <c:pt idx="6">
                  <c:v>P – Vzdělávání</c:v>
                </c:pt>
                <c:pt idx="7">
                  <c:v>O – Veřejná správa a obrana; povinné sociální zabezpečení</c:v>
                </c:pt>
                <c:pt idx="8">
                  <c:v>S – Ostatní činnosti</c:v>
                </c:pt>
                <c:pt idx="9">
                  <c:v>I – Ubytování, stravování a pohostinství</c:v>
                </c:pt>
                <c:pt idx="10">
                  <c:v>CELKEM</c:v>
                </c:pt>
                <c:pt idx="11">
                  <c:v>F – Stavebnictví</c:v>
                </c:pt>
                <c:pt idx="12">
                  <c:v>Q – Zdravotní a sociální péče</c:v>
                </c:pt>
                <c:pt idx="13">
                  <c:v>G – Velkoobchod a maloobchod; údržba motor. vozidel</c:v>
                </c:pt>
                <c:pt idx="14">
                  <c:v>H – Doprava a skladování</c:v>
                </c:pt>
                <c:pt idx="15">
                  <c:v>A – Zemědělství, lesnictví a rybářství</c:v>
                </c:pt>
                <c:pt idx="16">
                  <c:v>E – Zásobování vodou; činnosti souvis. s odpady a sanacemi</c:v>
                </c:pt>
                <c:pt idx="17">
                  <c:v>N – Administrativní a podpůrné činnosti</c:v>
                </c:pt>
                <c:pt idx="18">
                  <c:v>B – Těžba a dobývání</c:v>
                </c:pt>
                <c:pt idx="19">
                  <c:v>C – Zpracovatelský průmysl</c:v>
                </c:pt>
              </c:strCache>
            </c:strRef>
          </c:cat>
          <c:val>
            <c:numRef>
              <c:f>'2.13'!$E$4:$E$23</c:f>
              <c:numCache>
                <c:formatCode>0.00</c:formatCode>
                <c:ptCount val="20"/>
                <c:pt idx="0">
                  <c:v>2.0000549624E-2</c:v>
                </c:pt>
                <c:pt idx="1">
                  <c:v>2.6901466393999998E-2</c:v>
                </c:pt>
                <c:pt idx="2">
                  <c:v>2.8383071760999998E-2</c:v>
                </c:pt>
                <c:pt idx="3">
                  <c:v>3.2077781918000002E-2</c:v>
                </c:pt>
                <c:pt idx="4">
                  <c:v>3.7997992553000001E-2</c:v>
                </c:pt>
                <c:pt idx="5">
                  <c:v>4.2157557733999998E-2</c:v>
                </c:pt>
                <c:pt idx="6">
                  <c:v>4.8912058466000004E-2</c:v>
                </c:pt>
                <c:pt idx="7">
                  <c:v>4.9874131739000002E-2</c:v>
                </c:pt>
                <c:pt idx="8">
                  <c:v>5.0256676884000005E-2</c:v>
                </c:pt>
                <c:pt idx="9">
                  <c:v>5.7190014121999998E-2</c:v>
                </c:pt>
                <c:pt idx="10">
                  <c:v>5.8980772905999998E-2</c:v>
                </c:pt>
                <c:pt idx="11">
                  <c:v>5.9298507115000003E-2</c:v>
                </c:pt>
                <c:pt idx="12">
                  <c:v>6.0368571923000006E-2</c:v>
                </c:pt>
                <c:pt idx="13">
                  <c:v>6.1150790051999998E-2</c:v>
                </c:pt>
                <c:pt idx="14">
                  <c:v>6.2628533075999998E-2</c:v>
                </c:pt>
                <c:pt idx="15">
                  <c:v>6.6611656796999999E-2</c:v>
                </c:pt>
                <c:pt idx="16">
                  <c:v>6.6868673739000004E-2</c:v>
                </c:pt>
                <c:pt idx="17">
                  <c:v>6.8244399896000008E-2</c:v>
                </c:pt>
                <c:pt idx="18">
                  <c:v>7.2523203822999996E-2</c:v>
                </c:pt>
                <c:pt idx="19">
                  <c:v>7.5928776680000004E-2</c:v>
                </c:pt>
              </c:numCache>
            </c:numRef>
          </c:val>
          <c:extLst>
            <c:ext xmlns:c16="http://schemas.microsoft.com/office/drawing/2014/chart" uri="{C3380CC4-5D6E-409C-BE32-E72D297353CC}">
              <c16:uniqueId val="{00000004-90D3-4312-8313-8EBB9B225C3C}"/>
            </c:ext>
          </c:extLst>
        </c:ser>
        <c:dLbls>
          <c:showLegendKey val="0"/>
          <c:showVal val="0"/>
          <c:showCatName val="0"/>
          <c:showSerName val="0"/>
          <c:showPercent val="0"/>
          <c:showBubbleSize val="0"/>
        </c:dLbls>
        <c:gapWidth val="182"/>
        <c:axId val="1925427887"/>
        <c:axId val="1925424559"/>
      </c:barChart>
      <c:catAx>
        <c:axId val="1925427887"/>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925424559"/>
        <c:crosses val="autoZero"/>
        <c:auto val="1"/>
        <c:lblAlgn val="ctr"/>
        <c:lblOffset val="100"/>
        <c:noMultiLvlLbl val="0"/>
      </c:catAx>
      <c:valAx>
        <c:axId val="1925424559"/>
        <c:scaling>
          <c:orientation val="minMax"/>
          <c:max val="8.0000000000000016E-2"/>
        </c:scaling>
        <c:delete val="0"/>
        <c:axPos val="b"/>
        <c:majorGridlines>
          <c:spPr>
            <a:ln w="9525" cap="flat" cmpd="sng" algn="ctr">
              <a:solidFill>
                <a:schemeClr val="tx1">
                  <a:lumMod val="15000"/>
                  <a:lumOff val="85000"/>
                </a:schemeClr>
              </a:solidFill>
              <a:round/>
            </a:ln>
            <a:effectLst/>
          </c:spPr>
        </c:majorGridlines>
        <c:numFmt formatCode="0\ %"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925427887"/>
        <c:crosses val="autoZero"/>
        <c:crossBetween val="between"/>
        <c:majorUnit val="1.0000000000000002E-2"/>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1"/>
          <c:order val="0"/>
          <c:tx>
            <c:strRef>
              <c:f>'2.14'!$J$3</c:f>
              <c:strCache>
                <c:ptCount val="1"/>
                <c:pt idx="0">
                  <c:v> 1. pol. 2022</c:v>
                </c:pt>
              </c:strCache>
            </c:strRef>
          </c:tx>
          <c:spPr>
            <a:solidFill>
              <a:srgbClr val="632827"/>
            </a:solidFill>
            <a:ln>
              <a:noFill/>
            </a:ln>
            <a:effectLst/>
          </c:spPr>
          <c:invertIfNegative val="0"/>
          <c:dPt>
            <c:idx val="11"/>
            <c:invertIfNegative val="0"/>
            <c:bubble3D val="0"/>
            <c:spPr>
              <a:solidFill>
                <a:srgbClr val="632827"/>
              </a:solidFill>
              <a:ln>
                <a:noFill/>
              </a:ln>
              <a:effectLst/>
            </c:spPr>
            <c:extLst>
              <c:ext xmlns:c16="http://schemas.microsoft.com/office/drawing/2014/chart" uri="{C3380CC4-5D6E-409C-BE32-E72D297353CC}">
                <c16:uniqueId val="{00000001-9D4C-4C1A-9B12-0A06451D1B72}"/>
              </c:ext>
            </c:extLst>
          </c:dPt>
          <c:dPt>
            <c:idx val="12"/>
            <c:invertIfNegative val="0"/>
            <c:bubble3D val="0"/>
            <c:spPr>
              <a:solidFill>
                <a:srgbClr val="632827"/>
              </a:solidFill>
              <a:ln w="15875">
                <a:solidFill>
                  <a:srgbClr val="00B0F0"/>
                </a:solidFill>
              </a:ln>
              <a:effectLst/>
            </c:spPr>
            <c:extLst>
              <c:ext xmlns:c16="http://schemas.microsoft.com/office/drawing/2014/chart" uri="{C3380CC4-5D6E-409C-BE32-E72D297353CC}">
                <c16:uniqueId val="{00000003-9D4C-4C1A-9B12-0A06451D1B72}"/>
              </c:ext>
            </c:extLst>
          </c:dPt>
          <c:cat>
            <c:strRef>
              <c:f>'2.14'!$F$4:$F$18</c:f>
              <c:strCache>
                <c:ptCount val="15"/>
                <c:pt idx="0">
                  <c:v>MSK</c:v>
                </c:pt>
                <c:pt idx="1">
                  <c:v>ZLK</c:v>
                </c:pt>
                <c:pt idx="2">
                  <c:v>LBK</c:v>
                </c:pt>
                <c:pt idx="3">
                  <c:v>OLK</c:v>
                </c:pt>
                <c:pt idx="4">
                  <c:v>VYS</c:v>
                </c:pt>
                <c:pt idx="5">
                  <c:v>ULK</c:v>
                </c:pt>
                <c:pt idx="6">
                  <c:v>JHC</c:v>
                </c:pt>
                <c:pt idx="7">
                  <c:v>PLK</c:v>
                </c:pt>
                <c:pt idx="8">
                  <c:v>KVK</c:v>
                </c:pt>
                <c:pt idx="9">
                  <c:v>PAK</c:v>
                </c:pt>
                <c:pt idx="10">
                  <c:v>HKK</c:v>
                </c:pt>
                <c:pt idx="11">
                  <c:v>STC</c:v>
                </c:pt>
                <c:pt idx="12">
                  <c:v>ČR</c:v>
                </c:pt>
                <c:pt idx="13">
                  <c:v>JHM</c:v>
                </c:pt>
                <c:pt idx="14">
                  <c:v>PHA</c:v>
                </c:pt>
              </c:strCache>
            </c:strRef>
          </c:cat>
          <c:val>
            <c:numRef>
              <c:f>'2.14'!$J$4:$J$18</c:f>
              <c:numCache>
                <c:formatCode>0.0000</c:formatCode>
                <c:ptCount val="15"/>
                <c:pt idx="0">
                  <c:v>7.3432624882999994E-2</c:v>
                </c:pt>
                <c:pt idx="1">
                  <c:v>7.1747303428000009E-2</c:v>
                </c:pt>
                <c:pt idx="2">
                  <c:v>6.8060878104000008E-2</c:v>
                </c:pt>
                <c:pt idx="3">
                  <c:v>6.6935364099E-2</c:v>
                </c:pt>
                <c:pt idx="4">
                  <c:v>6.6293529786000005E-2</c:v>
                </c:pt>
                <c:pt idx="5">
                  <c:v>6.5614449342000003E-2</c:v>
                </c:pt>
                <c:pt idx="6">
                  <c:v>6.5312743073000001E-2</c:v>
                </c:pt>
                <c:pt idx="7">
                  <c:v>6.4366711889000006E-2</c:v>
                </c:pt>
                <c:pt idx="8">
                  <c:v>6.434950889499999E-2</c:v>
                </c:pt>
                <c:pt idx="9">
                  <c:v>6.4085118841000002E-2</c:v>
                </c:pt>
                <c:pt idx="10">
                  <c:v>6.2111375758999998E-2</c:v>
                </c:pt>
                <c:pt idx="11">
                  <c:v>5.9881772923999994E-2</c:v>
                </c:pt>
                <c:pt idx="12">
                  <c:v>5.8980772905999998E-2</c:v>
                </c:pt>
                <c:pt idx="13">
                  <c:v>5.8729153514999993E-2</c:v>
                </c:pt>
                <c:pt idx="14">
                  <c:v>4.2568212447000001E-2</c:v>
                </c:pt>
              </c:numCache>
            </c:numRef>
          </c:val>
          <c:extLst>
            <c:ext xmlns:c16="http://schemas.microsoft.com/office/drawing/2014/chart" uri="{C3380CC4-5D6E-409C-BE32-E72D297353CC}">
              <c16:uniqueId val="{00000004-9D4C-4C1A-9B12-0A06451D1B72}"/>
            </c:ext>
          </c:extLst>
        </c:ser>
        <c:ser>
          <c:idx val="0"/>
          <c:order val="1"/>
          <c:tx>
            <c:strRef>
              <c:f>'2.14'!$H$3</c:f>
              <c:strCache>
                <c:ptCount val="1"/>
                <c:pt idx="0">
                  <c:v> 1. pol. 2019</c:v>
                </c:pt>
              </c:strCache>
            </c:strRef>
          </c:tx>
          <c:spPr>
            <a:solidFill>
              <a:srgbClr val="B44946"/>
            </a:solidFill>
            <a:ln>
              <a:noFill/>
            </a:ln>
            <a:effectLst/>
          </c:spPr>
          <c:invertIfNegative val="0"/>
          <c:dPt>
            <c:idx val="12"/>
            <c:invertIfNegative val="0"/>
            <c:bubble3D val="0"/>
            <c:spPr>
              <a:solidFill>
                <a:srgbClr val="B44946"/>
              </a:solidFill>
              <a:ln w="15875">
                <a:solidFill>
                  <a:srgbClr val="00B0F0"/>
                </a:solidFill>
              </a:ln>
              <a:effectLst/>
            </c:spPr>
            <c:extLst>
              <c:ext xmlns:c16="http://schemas.microsoft.com/office/drawing/2014/chart" uri="{C3380CC4-5D6E-409C-BE32-E72D297353CC}">
                <c16:uniqueId val="{00000006-9D4C-4C1A-9B12-0A06451D1B72}"/>
              </c:ext>
            </c:extLst>
          </c:dPt>
          <c:cat>
            <c:strRef>
              <c:f>'2.14'!$F$4:$F$18</c:f>
              <c:strCache>
                <c:ptCount val="15"/>
                <c:pt idx="0">
                  <c:v>MSK</c:v>
                </c:pt>
                <c:pt idx="1">
                  <c:v>ZLK</c:v>
                </c:pt>
                <c:pt idx="2">
                  <c:v>LBK</c:v>
                </c:pt>
                <c:pt idx="3">
                  <c:v>OLK</c:v>
                </c:pt>
                <c:pt idx="4">
                  <c:v>VYS</c:v>
                </c:pt>
                <c:pt idx="5">
                  <c:v>ULK</c:v>
                </c:pt>
                <c:pt idx="6">
                  <c:v>JHC</c:v>
                </c:pt>
                <c:pt idx="7">
                  <c:v>PLK</c:v>
                </c:pt>
                <c:pt idx="8">
                  <c:v>KVK</c:v>
                </c:pt>
                <c:pt idx="9">
                  <c:v>PAK</c:v>
                </c:pt>
                <c:pt idx="10">
                  <c:v>HKK</c:v>
                </c:pt>
                <c:pt idx="11">
                  <c:v>STC</c:v>
                </c:pt>
                <c:pt idx="12">
                  <c:v>ČR</c:v>
                </c:pt>
                <c:pt idx="13">
                  <c:v>JHM</c:v>
                </c:pt>
                <c:pt idx="14">
                  <c:v>PHA</c:v>
                </c:pt>
              </c:strCache>
            </c:strRef>
          </c:cat>
          <c:val>
            <c:numRef>
              <c:f>'2.14'!$H$4:$H$18</c:f>
              <c:numCache>
                <c:formatCode>General</c:formatCode>
                <c:ptCount val="15"/>
                <c:pt idx="0">
                  <c:v>5.9648320808999997E-2</c:v>
                </c:pt>
                <c:pt idx="1">
                  <c:v>5.8176758423999997E-2</c:v>
                </c:pt>
                <c:pt idx="2">
                  <c:v>5.3561331828999997E-2</c:v>
                </c:pt>
                <c:pt idx="3">
                  <c:v>5.1866915991000004E-2</c:v>
                </c:pt>
                <c:pt idx="4">
                  <c:v>5.6252364033999996E-2</c:v>
                </c:pt>
                <c:pt idx="5">
                  <c:v>5.2571320172000002E-2</c:v>
                </c:pt>
                <c:pt idx="6">
                  <c:v>5.5828888244000001E-2</c:v>
                </c:pt>
                <c:pt idx="7">
                  <c:v>5.2230084662999998E-2</c:v>
                </c:pt>
                <c:pt idx="8">
                  <c:v>5.2027732627999999E-2</c:v>
                </c:pt>
                <c:pt idx="9">
                  <c:v>5.1080595563E-2</c:v>
                </c:pt>
                <c:pt idx="10">
                  <c:v>5.0450559291000001E-2</c:v>
                </c:pt>
                <c:pt idx="11">
                  <c:v>4.9583657012000001E-2</c:v>
                </c:pt>
                <c:pt idx="12">
                  <c:v>4.8494297227000001E-2</c:v>
                </c:pt>
                <c:pt idx="13">
                  <c:v>4.7920895321000002E-2</c:v>
                </c:pt>
                <c:pt idx="14">
                  <c:v>3.6241640477999999E-2</c:v>
                </c:pt>
              </c:numCache>
            </c:numRef>
          </c:val>
          <c:extLst>
            <c:ext xmlns:c16="http://schemas.microsoft.com/office/drawing/2014/chart" uri="{C3380CC4-5D6E-409C-BE32-E72D297353CC}">
              <c16:uniqueId val="{00000007-9D4C-4C1A-9B12-0A06451D1B72}"/>
            </c:ext>
          </c:extLst>
        </c:ser>
        <c:dLbls>
          <c:showLegendKey val="0"/>
          <c:showVal val="0"/>
          <c:showCatName val="0"/>
          <c:showSerName val="0"/>
          <c:showPercent val="0"/>
          <c:showBubbleSize val="0"/>
        </c:dLbls>
        <c:gapWidth val="182"/>
        <c:axId val="1928479695"/>
        <c:axId val="1928478031"/>
      </c:barChart>
      <c:catAx>
        <c:axId val="192847969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928478031"/>
        <c:crosses val="autoZero"/>
        <c:auto val="1"/>
        <c:lblAlgn val="ctr"/>
        <c:lblOffset val="100"/>
        <c:noMultiLvlLbl val="0"/>
      </c:catAx>
      <c:valAx>
        <c:axId val="1928478031"/>
        <c:scaling>
          <c:orientation val="minMax"/>
        </c:scaling>
        <c:delete val="0"/>
        <c:axPos val="l"/>
        <c:majorGridlines>
          <c:spPr>
            <a:ln w="9525" cap="flat" cmpd="sng" algn="ctr">
              <a:solidFill>
                <a:schemeClr val="tx1">
                  <a:lumMod val="15000"/>
                  <a:lumOff val="85000"/>
                </a:schemeClr>
              </a:solidFill>
              <a:round/>
            </a:ln>
            <a:effectLst/>
          </c:spPr>
        </c:majorGridlines>
        <c:numFmt formatCode="0\ %"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92847969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261274878332497"/>
          <c:y val="8.2437641732255651E-2"/>
          <c:w val="0.50786083067696719"/>
          <c:h val="0.82017144844183809"/>
        </c:manualLayout>
      </c:layout>
      <c:pieChart>
        <c:varyColors val="1"/>
        <c:ser>
          <c:idx val="0"/>
          <c:order val="0"/>
          <c:dPt>
            <c:idx val="0"/>
            <c:bubble3D val="0"/>
            <c:spPr>
              <a:solidFill>
                <a:srgbClr val="4E201E"/>
              </a:solidFill>
              <a:ln w="19050">
                <a:solidFill>
                  <a:schemeClr val="lt1"/>
                </a:solidFill>
              </a:ln>
              <a:effectLst/>
            </c:spPr>
            <c:extLst>
              <c:ext xmlns:c16="http://schemas.microsoft.com/office/drawing/2014/chart" uri="{C3380CC4-5D6E-409C-BE32-E72D297353CC}">
                <c16:uniqueId val="{00000001-AA16-46D3-81F6-0B190C930FDD}"/>
              </c:ext>
            </c:extLst>
          </c:dPt>
          <c:dPt>
            <c:idx val="1"/>
            <c:bubble3D val="0"/>
            <c:spPr>
              <a:solidFill>
                <a:srgbClr val="722F2C"/>
              </a:solidFill>
              <a:ln w="19050">
                <a:solidFill>
                  <a:schemeClr val="lt1"/>
                </a:solidFill>
              </a:ln>
              <a:effectLst/>
            </c:spPr>
            <c:extLst>
              <c:ext xmlns:c16="http://schemas.microsoft.com/office/drawing/2014/chart" uri="{C3380CC4-5D6E-409C-BE32-E72D297353CC}">
                <c16:uniqueId val="{00000003-AA16-46D3-81F6-0B190C930FDD}"/>
              </c:ext>
            </c:extLst>
          </c:dPt>
          <c:dPt>
            <c:idx val="2"/>
            <c:bubble3D val="0"/>
            <c:spPr>
              <a:solidFill>
                <a:srgbClr val="9A403C"/>
              </a:solidFill>
              <a:ln w="19050">
                <a:solidFill>
                  <a:schemeClr val="lt1"/>
                </a:solidFill>
              </a:ln>
              <a:effectLst/>
            </c:spPr>
            <c:extLst>
              <c:ext xmlns:c16="http://schemas.microsoft.com/office/drawing/2014/chart" uri="{C3380CC4-5D6E-409C-BE32-E72D297353CC}">
                <c16:uniqueId val="{00000005-AA16-46D3-81F6-0B190C930FDD}"/>
              </c:ext>
            </c:extLst>
          </c:dPt>
          <c:dPt>
            <c:idx val="3"/>
            <c:bubble3D val="0"/>
            <c:spPr>
              <a:solidFill>
                <a:srgbClr val="C36969"/>
              </a:solidFill>
              <a:ln w="19050">
                <a:solidFill>
                  <a:schemeClr val="lt1"/>
                </a:solidFill>
              </a:ln>
              <a:effectLst/>
            </c:spPr>
            <c:extLst>
              <c:ext xmlns:c16="http://schemas.microsoft.com/office/drawing/2014/chart" uri="{C3380CC4-5D6E-409C-BE32-E72D297353CC}">
                <c16:uniqueId val="{00000007-AA16-46D3-81F6-0B190C930FDD}"/>
              </c:ext>
            </c:extLst>
          </c:dPt>
          <c:dPt>
            <c:idx val="4"/>
            <c:bubble3D val="0"/>
            <c:spPr>
              <a:solidFill>
                <a:srgbClr val="F07373"/>
              </a:solidFill>
              <a:ln w="19050">
                <a:solidFill>
                  <a:schemeClr val="lt1"/>
                </a:solidFill>
              </a:ln>
              <a:effectLst/>
            </c:spPr>
            <c:extLst>
              <c:ext xmlns:c16="http://schemas.microsoft.com/office/drawing/2014/chart" uri="{C3380CC4-5D6E-409C-BE32-E72D297353CC}">
                <c16:uniqueId val="{00000009-AA16-46D3-81F6-0B190C930FDD}"/>
              </c:ext>
            </c:extLst>
          </c:dPt>
          <c:dPt>
            <c:idx val="5"/>
            <c:bubble3D val="0"/>
            <c:spPr>
              <a:solidFill>
                <a:srgbClr val="FA9696"/>
              </a:solidFill>
              <a:ln w="19050">
                <a:solidFill>
                  <a:schemeClr val="lt1"/>
                </a:solidFill>
              </a:ln>
              <a:effectLst/>
            </c:spPr>
            <c:extLst>
              <c:ext xmlns:c16="http://schemas.microsoft.com/office/drawing/2014/chart" uri="{C3380CC4-5D6E-409C-BE32-E72D297353CC}">
                <c16:uniqueId val="{0000000B-AA16-46D3-81F6-0B190C930FDD}"/>
              </c:ext>
            </c:extLst>
          </c:dPt>
          <c:dPt>
            <c:idx val="6"/>
            <c:bubble3D val="0"/>
            <c:spPr>
              <a:solidFill>
                <a:srgbClr val="D79895"/>
              </a:solidFill>
              <a:ln w="19050">
                <a:solidFill>
                  <a:schemeClr val="lt1"/>
                </a:solidFill>
              </a:ln>
              <a:effectLst/>
            </c:spPr>
            <c:extLst>
              <c:ext xmlns:c16="http://schemas.microsoft.com/office/drawing/2014/chart" uri="{C3380CC4-5D6E-409C-BE32-E72D297353CC}">
                <c16:uniqueId val="{0000000D-AA16-46D3-81F6-0B190C930FDD}"/>
              </c:ext>
            </c:extLst>
          </c:dPt>
          <c:dPt>
            <c:idx val="7"/>
            <c:bubble3D val="0"/>
            <c:spPr>
              <a:solidFill>
                <a:srgbClr val="EBCDCB"/>
              </a:solidFill>
              <a:ln w="19050">
                <a:solidFill>
                  <a:schemeClr val="lt1"/>
                </a:solidFill>
              </a:ln>
              <a:effectLst/>
            </c:spPr>
            <c:extLst>
              <c:ext xmlns:c16="http://schemas.microsoft.com/office/drawing/2014/chart" uri="{C3380CC4-5D6E-409C-BE32-E72D297353CC}">
                <c16:uniqueId val="{0000000F-AA16-46D3-81F6-0B190C930FDD}"/>
              </c:ext>
            </c:extLst>
          </c:dPt>
          <c:dPt>
            <c:idx val="8"/>
            <c:bubble3D val="0"/>
            <c:spPr>
              <a:solidFill>
                <a:srgbClr val="F6E7E6"/>
              </a:solidFill>
              <a:ln w="19050">
                <a:solidFill>
                  <a:schemeClr val="lt1"/>
                </a:solidFill>
              </a:ln>
              <a:effectLst/>
            </c:spPr>
            <c:extLst>
              <c:ext xmlns:c16="http://schemas.microsoft.com/office/drawing/2014/chart" uri="{C3380CC4-5D6E-409C-BE32-E72D297353CC}">
                <c16:uniqueId val="{00000011-AA16-46D3-81F6-0B190C930FDD}"/>
              </c:ext>
            </c:extLst>
          </c:dPt>
          <c:dPt>
            <c:idx val="9"/>
            <c:bubble3D val="0"/>
            <c:spPr>
              <a:solidFill>
                <a:srgbClr val="E2B6B4"/>
              </a:solidFill>
              <a:ln w="19050">
                <a:solidFill>
                  <a:schemeClr val="lt1"/>
                </a:solidFill>
              </a:ln>
              <a:effectLst/>
            </c:spPr>
            <c:extLst>
              <c:ext xmlns:c16="http://schemas.microsoft.com/office/drawing/2014/chart" uri="{C3380CC4-5D6E-409C-BE32-E72D297353CC}">
                <c16:uniqueId val="{00000013-AA16-46D3-81F6-0B190C930FDD}"/>
              </c:ext>
            </c:extLst>
          </c:dPt>
          <c:dPt>
            <c:idx val="10"/>
            <c:bubble3D val="0"/>
            <c:spPr>
              <a:solidFill>
                <a:srgbClr val="D9D9D9"/>
              </a:solidFill>
              <a:ln w="19050">
                <a:solidFill>
                  <a:schemeClr val="lt1"/>
                </a:solidFill>
              </a:ln>
              <a:effectLst/>
            </c:spPr>
            <c:extLst>
              <c:ext xmlns:c16="http://schemas.microsoft.com/office/drawing/2014/chart" uri="{C3380CC4-5D6E-409C-BE32-E72D297353CC}">
                <c16:uniqueId val="{00000015-AA16-46D3-81F6-0B190C930FDD}"/>
              </c:ext>
            </c:extLst>
          </c:dPt>
          <c:dPt>
            <c:idx val="11"/>
            <c:bubble3D val="0"/>
            <c:spPr>
              <a:solidFill>
                <a:srgbClr val="BFBFBF"/>
              </a:solidFill>
              <a:ln w="19050">
                <a:solidFill>
                  <a:schemeClr val="lt1"/>
                </a:solidFill>
              </a:ln>
              <a:effectLst/>
            </c:spPr>
            <c:extLst>
              <c:ext xmlns:c16="http://schemas.microsoft.com/office/drawing/2014/chart" uri="{C3380CC4-5D6E-409C-BE32-E72D297353CC}">
                <c16:uniqueId val="{00000017-AA16-46D3-81F6-0B190C930FDD}"/>
              </c:ext>
            </c:extLst>
          </c:dPt>
          <c:dLbls>
            <c:dLbl>
              <c:idx val="0"/>
              <c:layout>
                <c:manualLayout>
                  <c:x val="0.10248524132657308"/>
                  <c:y val="0.17012300260519536"/>
                </c:manualLayout>
              </c:layout>
              <c:numFmt formatCode="0\ %" sourceLinked="0"/>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1"/>
              <c:showCatName val="1"/>
              <c:showSerName val="0"/>
              <c:showPercent val="0"/>
              <c:showBubbleSize val="0"/>
              <c:separator>
</c:separator>
              <c:extLst>
                <c:ext xmlns:c15="http://schemas.microsoft.com/office/drawing/2012/chart" uri="{CE6537A1-D6FC-4f65-9D91-7224C49458BB}">
                  <c15:layout>
                    <c:manualLayout>
                      <c:w val="0.12669191667497257"/>
                      <c:h val="0.20447853695707391"/>
                    </c:manualLayout>
                  </c15:layout>
                </c:ext>
                <c:ext xmlns:c16="http://schemas.microsoft.com/office/drawing/2014/chart" uri="{C3380CC4-5D6E-409C-BE32-E72D297353CC}">
                  <c16:uniqueId val="{00000001-AA16-46D3-81F6-0B190C930FDD}"/>
                </c:ext>
              </c:extLst>
            </c:dLbl>
            <c:dLbl>
              <c:idx val="1"/>
              <c:layout>
                <c:manualLayout>
                  <c:x val="-3.6643175880250907E-2"/>
                  <c:y val="0.1010759461518923"/>
                </c:manualLayout>
              </c:layout>
              <c:numFmt formatCode="0\ %" sourceLinked="0"/>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1"/>
              <c:showCatName val="1"/>
              <c:showSerName val="0"/>
              <c:showPercent val="0"/>
              <c:showBubbleSize val="0"/>
              <c:separator>
</c:separator>
              <c:extLst>
                <c:ext xmlns:c15="http://schemas.microsoft.com/office/drawing/2012/chart" uri="{CE6537A1-D6FC-4f65-9D91-7224C49458BB}">
                  <c15:layout>
                    <c:manualLayout>
                      <c:w val="0.1539071882460013"/>
                      <c:h val="0.18984302768605538"/>
                    </c:manualLayout>
                  </c15:layout>
                </c:ext>
                <c:ext xmlns:c16="http://schemas.microsoft.com/office/drawing/2014/chart" uri="{C3380CC4-5D6E-409C-BE32-E72D297353CC}">
                  <c16:uniqueId val="{00000003-AA16-46D3-81F6-0B190C930FDD}"/>
                </c:ext>
              </c:extLst>
            </c:dLbl>
            <c:dLbl>
              <c:idx val="2"/>
              <c:layout>
                <c:manualLayout>
                  <c:x val="-6.109281992375979E-2"/>
                  <c:y val="0.14469359072051474"/>
                </c:manualLayout>
              </c:layout>
              <c:numFmt formatCode="0\ %" sourceLinked="0"/>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AA16-46D3-81F6-0B190C930FDD}"/>
                </c:ext>
              </c:extLst>
            </c:dLbl>
            <c:dLbl>
              <c:idx val="3"/>
              <c:layout>
                <c:manualLayout>
                  <c:x val="-7.3394437699852863E-2"/>
                  <c:y val="-8.1366861400389484E-2"/>
                </c:manualLayout>
              </c:layout>
              <c:showLegendKey val="0"/>
              <c:showVal val="1"/>
              <c:showCatName val="1"/>
              <c:showSerName val="0"/>
              <c:showPercent val="0"/>
              <c:showBubbleSize val="0"/>
              <c:separator>
</c:separator>
              <c:extLst>
                <c:ext xmlns:c15="http://schemas.microsoft.com/office/drawing/2012/chart" uri="{CE6537A1-D6FC-4f65-9D91-7224C49458BB}">
                  <c15:layout>
                    <c:manualLayout>
                      <c:w val="0.23689856261223205"/>
                      <c:h val="0.12102582338498011"/>
                    </c:manualLayout>
                  </c15:layout>
                </c:ext>
                <c:ext xmlns:c16="http://schemas.microsoft.com/office/drawing/2014/chart" uri="{C3380CC4-5D6E-409C-BE32-E72D297353CC}">
                  <c16:uniqueId val="{00000007-AA16-46D3-81F6-0B190C930FDD}"/>
                </c:ext>
              </c:extLst>
            </c:dLbl>
            <c:dLbl>
              <c:idx val="4"/>
              <c:layout>
                <c:manualLayout>
                  <c:x val="4.3262234625735072E-2"/>
                  <c:y val="-8.5681822030310731E-2"/>
                </c:manualLayout>
              </c:layout>
              <c:showLegendKey val="0"/>
              <c:showVal val="1"/>
              <c:showCatName val="1"/>
              <c:showSerName val="0"/>
              <c:showPercent val="0"/>
              <c:showBubbleSize val="0"/>
              <c:separator>
</c:separator>
              <c:extLst>
                <c:ext xmlns:c15="http://schemas.microsoft.com/office/drawing/2012/chart" uri="{CE6537A1-D6FC-4f65-9D91-7224C49458BB}">
                  <c15:layout>
                    <c:manualLayout>
                      <c:w val="0.29090836305764745"/>
                      <c:h val="0.16530522394378122"/>
                    </c:manualLayout>
                  </c15:layout>
                </c:ext>
                <c:ext xmlns:c16="http://schemas.microsoft.com/office/drawing/2014/chart" uri="{C3380CC4-5D6E-409C-BE32-E72D297353CC}">
                  <c16:uniqueId val="{00000009-AA16-46D3-81F6-0B190C930FDD}"/>
                </c:ext>
              </c:extLst>
            </c:dLbl>
            <c:dLbl>
              <c:idx val="5"/>
              <c:layout>
                <c:manualLayout>
                  <c:x val="0.23303900407344275"/>
                  <c:y val="-0.10271441876217088"/>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B-AA16-46D3-81F6-0B190C930FDD}"/>
                </c:ext>
              </c:extLst>
            </c:dLbl>
            <c:dLbl>
              <c:idx val="6"/>
              <c:layout>
                <c:manualLayout>
                  <c:x val="0.15498200201629703"/>
                  <c:y val="-4.8505630344594021E-2"/>
                </c:manualLayout>
              </c:layout>
              <c:numFmt formatCode="0\ %" sourceLinked="0"/>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1"/>
              <c:showSerName val="0"/>
              <c:showPercent val="0"/>
              <c:showBubbleSize val="0"/>
              <c:separator>
</c:separator>
              <c:extLst>
                <c:ext xmlns:c15="http://schemas.microsoft.com/office/drawing/2012/chart" uri="{CE6537A1-D6FC-4f65-9D91-7224C49458BB}">
                  <c15:layout>
                    <c:manualLayout>
                      <c:w val="0.26706703942563315"/>
                      <c:h val="0.10438472610278554"/>
                    </c:manualLayout>
                  </c15:layout>
                </c:ext>
                <c:ext xmlns:c16="http://schemas.microsoft.com/office/drawing/2014/chart" uri="{C3380CC4-5D6E-409C-BE32-E72D297353CC}">
                  <c16:uniqueId val="{0000000D-AA16-46D3-81F6-0B190C930FDD}"/>
                </c:ext>
              </c:extLst>
            </c:dLbl>
            <c:dLbl>
              <c:idx val="7"/>
              <c:layout>
                <c:manualLayout>
                  <c:x val="0.26381155302256654"/>
                  <c:y val="2.4008466683599995E-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F-AA16-46D3-81F6-0B190C930FDD}"/>
                </c:ext>
              </c:extLst>
            </c:dLbl>
            <c:dLbl>
              <c:idx val="8"/>
              <c:layout>
                <c:manualLayout>
                  <c:x val="0.27958540096370504"/>
                  <c:y val="0.12567674202015069"/>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1-AA16-46D3-81F6-0B190C930FDD}"/>
                </c:ext>
              </c:extLst>
            </c:dLbl>
            <c:dLbl>
              <c:idx val="9"/>
              <c:layout>
                <c:manualLayout>
                  <c:x val="0.22022930885455033"/>
                  <c:y val="0.28234865803064946"/>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3-AA16-46D3-81F6-0B190C930FDD}"/>
                </c:ext>
              </c:extLst>
            </c:dLbl>
            <c:dLbl>
              <c:idx val="10"/>
              <c:layout>
                <c:manualLayout>
                  <c:x val="0.15912112977992299"/>
                  <c:y val="0.44983557700448734"/>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5-AA16-46D3-81F6-0B190C930FDD}"/>
                </c:ext>
              </c:extLst>
            </c:dLbl>
            <c:numFmt formatCode="0\ %" sourceLinked="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'3.1'!$G$4:$G$15</c:f>
              <c:strCache>
                <c:ptCount val="12"/>
                <c:pt idx="0">
                  <c:v>   nemoci dýchací soustavy</c:v>
                </c:pt>
                <c:pt idx="1">
                  <c:v>   nemoci pohybové soustavy</c:v>
                </c:pt>
                <c:pt idx="2">
                  <c:v>   úrazy, 
otravy</c:v>
                </c:pt>
                <c:pt idx="3">
                  <c:v>   nemoci trávicí soustavy</c:v>
                </c:pt>
                <c:pt idx="4">
                  <c:v>   nemoci močové a pohlavní soustavy</c:v>
                </c:pt>
                <c:pt idx="5">
                  <c:v>   nemoci duševní</c:v>
                </c:pt>
                <c:pt idx="6">
                  <c:v>   nemoci oběhové soustavy</c:v>
                </c:pt>
                <c:pt idx="7">
                  <c:v>   nemoci nervové soustavy</c:v>
                </c:pt>
                <c:pt idx="8">
                  <c:v>   nemoci kůže</c:v>
                </c:pt>
                <c:pt idx="9">
                  <c:v>   těhotenství, porod, šestinedělí</c:v>
                </c:pt>
                <c:pt idx="10">
                  <c:v>   zhoubné novotvary</c:v>
                </c:pt>
                <c:pt idx="11">
                  <c:v>   nemoci ostatní</c:v>
                </c:pt>
              </c:strCache>
            </c:strRef>
          </c:cat>
          <c:val>
            <c:numRef>
              <c:f>'3.1'!$H$4:$H$15</c:f>
              <c:numCache>
                <c:formatCode>0.00%</c:formatCode>
                <c:ptCount val="12"/>
                <c:pt idx="0">
                  <c:v>0.22113738913956746</c:v>
                </c:pt>
                <c:pt idx="1">
                  <c:v>9.9652411604592511E-2</c:v>
                </c:pt>
                <c:pt idx="2">
                  <c:v>4.9918649524479095E-2</c:v>
                </c:pt>
                <c:pt idx="3">
                  <c:v>4.1220775778112013E-2</c:v>
                </c:pt>
                <c:pt idx="4">
                  <c:v>2.0690585819469177E-2</c:v>
                </c:pt>
                <c:pt idx="5">
                  <c:v>1.3988536017995072E-2</c:v>
                </c:pt>
                <c:pt idx="6">
                  <c:v>1.3601953179775908E-2</c:v>
                </c:pt>
                <c:pt idx="7">
                  <c:v>8.8765182380658759E-3</c:v>
                </c:pt>
                <c:pt idx="8">
                  <c:v>7.765752890487085E-3</c:v>
                </c:pt>
                <c:pt idx="9">
                  <c:v>7.2528703175453865E-3</c:v>
                </c:pt>
                <c:pt idx="10">
                  <c:v>3.8984838269107759E-3</c:v>
                </c:pt>
                <c:pt idx="11">
                  <c:v>0.51197350298797317</c:v>
                </c:pt>
              </c:numCache>
            </c:numRef>
          </c:val>
          <c:extLst>
            <c:ext xmlns:c16="http://schemas.microsoft.com/office/drawing/2014/chart" uri="{C3380CC4-5D6E-409C-BE32-E72D297353CC}">
              <c16:uniqueId val="{00000018-AA16-46D3-81F6-0B190C930FDD}"/>
            </c:ext>
          </c:extLst>
        </c:ser>
        <c:dLbls>
          <c:showLegendKey val="0"/>
          <c:showVal val="0"/>
          <c:showCatName val="0"/>
          <c:showSerName val="0"/>
          <c:showPercent val="0"/>
          <c:showBubbleSize val="0"/>
          <c:showLeaderLines val="1"/>
        </c:dLbls>
        <c:firstSliceAng val="268"/>
      </c:pie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defRPr>
      </a:pPr>
      <a:endParaRPr lang="cs-CZ"/>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3881538429743524E-2"/>
          <c:y val="4.8404840484048403E-2"/>
          <c:w val="0.85647368094736187"/>
          <c:h val="0.72521930509394539"/>
        </c:manualLayout>
      </c:layout>
      <c:barChart>
        <c:barDir val="col"/>
        <c:grouping val="clustered"/>
        <c:varyColors val="0"/>
        <c:ser>
          <c:idx val="0"/>
          <c:order val="0"/>
          <c:tx>
            <c:strRef>
              <c:f>'4.1'!$B$3</c:f>
              <c:strCache>
                <c:ptCount val="1"/>
                <c:pt idx="0">
                  <c:v> nemocenské</c:v>
                </c:pt>
              </c:strCache>
            </c:strRef>
          </c:tx>
          <c:spPr>
            <a:solidFill>
              <a:srgbClr val="9A403C"/>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'4.1'!$A$5:$A$15</c:f>
              <c:strCache>
                <c:ptCount val="11"/>
                <c:pt idx="0">
                  <c:v>1. pol. 
2012</c:v>
                </c:pt>
                <c:pt idx="1">
                  <c:v>1. pol. 
2013</c:v>
                </c:pt>
                <c:pt idx="2">
                  <c:v>1. pol. 
2014</c:v>
                </c:pt>
                <c:pt idx="3">
                  <c:v>1. pol. 
2015</c:v>
                </c:pt>
                <c:pt idx="4">
                  <c:v>1. pol. 
2016</c:v>
                </c:pt>
                <c:pt idx="5">
                  <c:v>1. pol. 
2017</c:v>
                </c:pt>
                <c:pt idx="6">
                  <c:v>1. pol. 
2018</c:v>
                </c:pt>
                <c:pt idx="7">
                  <c:v>1. pol. 2019</c:v>
                </c:pt>
                <c:pt idx="8">
                  <c:v>1. pol. 2020</c:v>
                </c:pt>
                <c:pt idx="9">
                  <c:v>1. pol. 2021</c:v>
                </c:pt>
                <c:pt idx="10">
                  <c:v>1. pol. 2022</c:v>
                </c:pt>
              </c:strCache>
            </c:strRef>
          </c:cat>
          <c:val>
            <c:numRef>
              <c:f>'4.1'!$B$5:$B$15</c:f>
              <c:numCache>
                <c:formatCode>#,##0.00</c:formatCode>
                <c:ptCount val="11"/>
                <c:pt idx="0">
                  <c:v>6.2087213491500002</c:v>
                </c:pt>
                <c:pt idx="1">
                  <c:v>6.4451856920499999</c:v>
                </c:pt>
                <c:pt idx="2">
                  <c:v>7.0990587236899998</c:v>
                </c:pt>
                <c:pt idx="3">
                  <c:v>8.0224034105699999</c:v>
                </c:pt>
                <c:pt idx="4">
                  <c:v>8.8471537781199991</c:v>
                </c:pt>
                <c:pt idx="5">
                  <c:v>9.6800929760399992</c:v>
                </c:pt>
                <c:pt idx="6">
                  <c:v>11.60475287349</c:v>
                </c:pt>
                <c:pt idx="7">
                  <c:v>13.78</c:v>
                </c:pt>
                <c:pt idx="8">
                  <c:v>17.03</c:v>
                </c:pt>
                <c:pt idx="9">
                  <c:v>18.38838624568</c:v>
                </c:pt>
                <c:pt idx="10">
                  <c:v>17.65371558268</c:v>
                </c:pt>
              </c:numCache>
            </c:numRef>
          </c:val>
          <c:extLst>
            <c:ext xmlns:c16="http://schemas.microsoft.com/office/drawing/2014/chart" uri="{C3380CC4-5D6E-409C-BE32-E72D297353CC}">
              <c16:uniqueId val="{00000000-8090-48FF-868C-70CF6185CE11}"/>
            </c:ext>
          </c:extLst>
        </c:ser>
        <c:dLbls>
          <c:showLegendKey val="0"/>
          <c:showVal val="0"/>
          <c:showCatName val="0"/>
          <c:showSerName val="0"/>
          <c:showPercent val="0"/>
          <c:showBubbleSize val="0"/>
        </c:dLbls>
        <c:gapWidth val="39"/>
        <c:overlap val="-27"/>
        <c:axId val="1503469919"/>
        <c:axId val="1503464095"/>
      </c:barChart>
      <c:scatterChart>
        <c:scatterStyle val="lineMarker"/>
        <c:varyColors val="0"/>
        <c:ser>
          <c:idx val="1"/>
          <c:order val="1"/>
          <c:tx>
            <c:strRef>
              <c:f>'4.1'!$C$3</c:f>
              <c:strCache>
                <c:ptCount val="1"/>
                <c:pt idx="0">
                  <c:v> výdaje na 1 pojištěnce (Kč)</c:v>
                </c:pt>
              </c:strCache>
            </c:strRef>
          </c:tx>
          <c:spPr>
            <a:ln w="25400" cap="rnd">
              <a:noFill/>
              <a:round/>
            </a:ln>
            <a:effectLst/>
          </c:spPr>
          <c:marker>
            <c:symbol val="circle"/>
            <c:size val="5"/>
            <c:spPr>
              <a:solidFill>
                <a:srgbClr val="4E201E"/>
              </a:solidFill>
              <a:ln w="9525">
                <a:solidFill>
                  <a:srgbClr val="4E201E"/>
                </a:solidFill>
              </a:ln>
              <a:effectLst/>
            </c:spPr>
          </c:marker>
          <c:dLbls>
            <c:numFmt formatCode="#,##0" sourceLinked="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xVal>
            <c:strRef>
              <c:f>'4.1'!$A$5:$A$15</c:f>
              <c:strCache>
                <c:ptCount val="11"/>
                <c:pt idx="0">
                  <c:v>1. pol. 
2012</c:v>
                </c:pt>
                <c:pt idx="1">
                  <c:v>1. pol. 
2013</c:v>
                </c:pt>
                <c:pt idx="2">
                  <c:v>1. pol. 
2014</c:v>
                </c:pt>
                <c:pt idx="3">
                  <c:v>1. pol. 
2015</c:v>
                </c:pt>
                <c:pt idx="4">
                  <c:v>1. pol. 
2016</c:v>
                </c:pt>
                <c:pt idx="5">
                  <c:v>1. pol. 
2017</c:v>
                </c:pt>
                <c:pt idx="6">
                  <c:v>1. pol. 
2018</c:v>
                </c:pt>
                <c:pt idx="7">
                  <c:v>1. pol. 2019</c:v>
                </c:pt>
                <c:pt idx="8">
                  <c:v>1. pol. 2020</c:v>
                </c:pt>
                <c:pt idx="9">
                  <c:v>1. pol. 2021</c:v>
                </c:pt>
                <c:pt idx="10">
                  <c:v>1. pol. 2022</c:v>
                </c:pt>
              </c:strCache>
            </c:strRef>
          </c:xVal>
          <c:yVal>
            <c:numRef>
              <c:f>'4.1'!$C$5:$C$15</c:f>
              <c:numCache>
                <c:formatCode>#\ ##0.0</c:formatCode>
                <c:ptCount val="11"/>
                <c:pt idx="0">
                  <c:v>1392.3965656003184</c:v>
                </c:pt>
                <c:pt idx="1">
                  <c:v>1459.6910825635921</c:v>
                </c:pt>
                <c:pt idx="2">
                  <c:v>1608.4862123555822</c:v>
                </c:pt>
                <c:pt idx="3">
                  <c:v>1794.1792547150189</c:v>
                </c:pt>
                <c:pt idx="4">
                  <c:v>1948.914045753635</c:v>
                </c:pt>
                <c:pt idx="5">
                  <c:v>2089.7812741161788</c:v>
                </c:pt>
                <c:pt idx="6">
                  <c:v>2463.4419705344412</c:v>
                </c:pt>
                <c:pt idx="7">
                  <c:v>2909.0792405318762</c:v>
                </c:pt>
                <c:pt idx="8">
                  <c:v>3633.2148382750302</c:v>
                </c:pt>
                <c:pt idx="9">
                  <c:v>3921.9294949873802</c:v>
                </c:pt>
                <c:pt idx="10" formatCode="General">
                  <c:v>3740.2918808873901</c:v>
                </c:pt>
              </c:numCache>
            </c:numRef>
          </c:yVal>
          <c:smooth val="0"/>
          <c:extLst>
            <c:ext xmlns:c16="http://schemas.microsoft.com/office/drawing/2014/chart" uri="{C3380CC4-5D6E-409C-BE32-E72D297353CC}">
              <c16:uniqueId val="{00000001-8090-48FF-868C-70CF6185CE11}"/>
            </c:ext>
          </c:extLst>
        </c:ser>
        <c:dLbls>
          <c:showLegendKey val="0"/>
          <c:showVal val="0"/>
          <c:showCatName val="0"/>
          <c:showSerName val="0"/>
          <c:showPercent val="0"/>
          <c:showBubbleSize val="0"/>
        </c:dLbls>
        <c:axId val="1503477407"/>
        <c:axId val="1503468671"/>
      </c:scatterChart>
      <c:catAx>
        <c:axId val="150346991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503464095"/>
        <c:crosses val="autoZero"/>
        <c:auto val="1"/>
        <c:lblAlgn val="ctr"/>
        <c:lblOffset val="100"/>
        <c:noMultiLvlLbl val="0"/>
      </c:catAx>
      <c:valAx>
        <c:axId val="1503464095"/>
        <c:scaling>
          <c:orientation val="minMax"/>
          <c:max val="2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mld. Kč</a:t>
                </a:r>
              </a:p>
            </c:rich>
          </c:tx>
          <c:layout>
            <c:manualLayout>
              <c:xMode val="edge"/>
              <c:yMode val="edge"/>
              <c:x val="1.3591088515510365E-2"/>
              <c:y val="0.34164067071233928"/>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503469919"/>
        <c:crosses val="autoZero"/>
        <c:crossBetween val="between"/>
        <c:majorUnit val="2"/>
      </c:valAx>
      <c:valAx>
        <c:axId val="1503468671"/>
        <c:scaling>
          <c:orientation val="minMax"/>
          <c:max val="4000"/>
        </c:scaling>
        <c:delete val="0"/>
        <c:axPos val="r"/>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crossAx val="1503477407"/>
        <c:crosses val="max"/>
        <c:crossBetween val="midCat"/>
        <c:majorUnit val="400"/>
      </c:valAx>
      <c:valAx>
        <c:axId val="1503477407"/>
        <c:scaling>
          <c:orientation val="minMax"/>
        </c:scaling>
        <c:delete val="1"/>
        <c:axPos val="b"/>
        <c:numFmt formatCode="General" sourceLinked="1"/>
        <c:majorTickMark val="out"/>
        <c:minorTickMark val="none"/>
        <c:tickLblPos val="nextTo"/>
        <c:crossAx val="1503468671"/>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'4.2'!$B$4</c:f>
              <c:strCache>
                <c:ptCount val="1"/>
                <c:pt idx="0">
                  <c:v> karantény či izolace</c:v>
                </c:pt>
              </c:strCache>
            </c:strRef>
          </c:tx>
          <c:spPr>
            <a:solidFill>
              <a:srgbClr val="B44946"/>
            </a:solidFill>
            <a:ln>
              <a:noFill/>
            </a:ln>
            <a:effectLst/>
          </c:spPr>
          <c:invertIfNegative val="0"/>
          <c:dLbls>
            <c:dLbl>
              <c:idx val="0"/>
              <c:tx>
                <c:rich>
                  <a:bodyPr/>
                  <a:lstStyle/>
                  <a:p>
                    <a:fld id="{DBA754C0-DA22-42FB-8B4A-059229AAF56F}" type="VALUE">
                      <a:rPr lang="en-US">
                        <a:solidFill>
                          <a:schemeClr val="bg1"/>
                        </a:solidFill>
                      </a:rPr>
                      <a:pPr/>
                      <a:t>[HODNOTA]</a:t>
                    </a:fld>
                    <a:endParaRPr lang="cs-CZ"/>
                  </a:p>
                </c:rich>
              </c:tx>
              <c:dLblPos val="inBase"/>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0-2D12-4996-AAF3-305DDF397764}"/>
                </c:ext>
              </c:extLst>
            </c:dLbl>
            <c:dLbl>
              <c:idx val="1"/>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Base"/>
              <c:showLegendKey val="0"/>
              <c:showVal val="1"/>
              <c:showCatName val="0"/>
              <c:showSerName val="0"/>
              <c:showPercent val="0"/>
              <c:showBubbleSize val="0"/>
              <c:extLst>
                <c:ext xmlns:c16="http://schemas.microsoft.com/office/drawing/2014/chart" uri="{C3380CC4-5D6E-409C-BE32-E72D297353CC}">
                  <c16:uniqueId val="{00000001-2D12-4996-AAF3-305DDF397764}"/>
                </c:ext>
              </c:extLst>
            </c:dLbl>
            <c:dLbl>
              <c:idx val="2"/>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Base"/>
              <c:showLegendKey val="0"/>
              <c:showVal val="1"/>
              <c:showCatName val="0"/>
              <c:showSerName val="0"/>
              <c:showPercent val="0"/>
              <c:showBubbleSize val="0"/>
              <c:extLst>
                <c:ext xmlns:c16="http://schemas.microsoft.com/office/drawing/2014/chart" uri="{C3380CC4-5D6E-409C-BE32-E72D297353CC}">
                  <c16:uniqueId val="{00000002-2D12-4996-AAF3-305DDF397764}"/>
                </c:ext>
              </c:extLst>
            </c:dLbl>
            <c:dLbl>
              <c:idx val="3"/>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Base"/>
              <c:showLegendKey val="0"/>
              <c:showVal val="1"/>
              <c:showCatName val="0"/>
              <c:showSerName val="0"/>
              <c:showPercent val="0"/>
              <c:showBubbleSize val="0"/>
              <c:extLst>
                <c:ext xmlns:c16="http://schemas.microsoft.com/office/drawing/2014/chart" uri="{C3380CC4-5D6E-409C-BE32-E72D297353CC}">
                  <c16:uniqueId val="{00000003-2D12-4996-AAF3-305DDF397764}"/>
                </c:ext>
              </c:extLst>
            </c:dLbl>
            <c:dLbl>
              <c:idx val="4"/>
              <c:layout>
                <c:manualLayout>
                  <c:x val="6.1322812389718831E-2"/>
                  <c:y val="9.6947088483961049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2D12-4996-AAF3-305DDF397764}"/>
                </c:ext>
              </c:extLst>
            </c:dLbl>
            <c:dLbl>
              <c:idx val="5"/>
              <c:layout>
                <c:manualLayout>
                  <c:x val="6.3074892743710795E-2"/>
                  <c:y val="2.9258972544688074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2D12-4996-AAF3-305DDF397764}"/>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'4.2'!$A$5:$A$10</c:f>
              <c:strCache>
                <c:ptCount val="6"/>
                <c:pt idx="0">
                  <c:v>leden</c:v>
                </c:pt>
                <c:pt idx="1">
                  <c:v>únor</c:v>
                </c:pt>
                <c:pt idx="2">
                  <c:v>březen</c:v>
                </c:pt>
                <c:pt idx="3">
                  <c:v>duben</c:v>
                </c:pt>
                <c:pt idx="4">
                  <c:v>květen</c:v>
                </c:pt>
                <c:pt idx="5">
                  <c:v>červen</c:v>
                </c:pt>
              </c:strCache>
            </c:strRef>
          </c:cat>
          <c:val>
            <c:numRef>
              <c:f>'4.2'!$B$5:$B$10</c:f>
              <c:numCache>
                <c:formatCode>#,##0</c:formatCode>
                <c:ptCount val="6"/>
                <c:pt idx="0">
                  <c:v>318231</c:v>
                </c:pt>
                <c:pt idx="1">
                  <c:v>368342</c:v>
                </c:pt>
                <c:pt idx="2">
                  <c:v>107043</c:v>
                </c:pt>
                <c:pt idx="3">
                  <c:v>38669</c:v>
                </c:pt>
                <c:pt idx="4">
                  <c:v>7951</c:v>
                </c:pt>
                <c:pt idx="5">
                  <c:v>6296</c:v>
                </c:pt>
              </c:numCache>
            </c:numRef>
          </c:val>
          <c:extLst>
            <c:ext xmlns:c16="http://schemas.microsoft.com/office/drawing/2014/chart" uri="{C3380CC4-5D6E-409C-BE32-E72D297353CC}">
              <c16:uniqueId val="{00000006-2D12-4996-AAF3-305DDF397764}"/>
            </c:ext>
          </c:extLst>
        </c:ser>
        <c:dLbls>
          <c:showLegendKey val="0"/>
          <c:showVal val="0"/>
          <c:showCatName val="0"/>
          <c:showSerName val="0"/>
          <c:showPercent val="0"/>
          <c:showBubbleSize val="0"/>
        </c:dLbls>
        <c:gapWidth val="70"/>
        <c:overlap val="-27"/>
        <c:axId val="684523359"/>
        <c:axId val="684534175"/>
      </c:barChart>
      <c:lineChart>
        <c:grouping val="stacked"/>
        <c:varyColors val="0"/>
        <c:ser>
          <c:idx val="1"/>
          <c:order val="1"/>
          <c:tx>
            <c:strRef>
              <c:f>'4.2'!$C$4</c:f>
              <c:strCache>
                <c:ptCount val="1"/>
                <c:pt idx="0">
                  <c:v> podíl na počtu vydaných neschopenek</c:v>
                </c:pt>
              </c:strCache>
            </c:strRef>
          </c:tx>
          <c:spPr>
            <a:ln w="25400" cap="rnd">
              <a:noFill/>
              <a:round/>
            </a:ln>
            <a:effectLst/>
          </c:spPr>
          <c:marker>
            <c:symbol val="circle"/>
            <c:size val="5"/>
            <c:spPr>
              <a:solidFill>
                <a:schemeClr val="accent2">
                  <a:lumMod val="40000"/>
                  <a:lumOff val="60000"/>
                </a:schemeClr>
              </a:solidFill>
              <a:ln w="9525">
                <a:solidFill>
                  <a:schemeClr val="tx1"/>
                </a:solidFill>
              </a:ln>
              <a:effectLst/>
            </c:spPr>
          </c:marker>
          <c:dLbls>
            <c:dLbl>
              <c:idx val="0"/>
              <c:numFmt formatCode="0\ %"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t"/>
              <c:showLegendKey val="0"/>
              <c:showVal val="1"/>
              <c:showCatName val="0"/>
              <c:showSerName val="0"/>
              <c:showPercent val="0"/>
              <c:showBubbleSize val="0"/>
              <c:extLst>
                <c:ext xmlns:c16="http://schemas.microsoft.com/office/drawing/2014/chart" uri="{C3380CC4-5D6E-409C-BE32-E72D297353CC}">
                  <c16:uniqueId val="{00000007-2D12-4996-AAF3-305DDF397764}"/>
                </c:ext>
              </c:extLst>
            </c:dLbl>
            <c:dLbl>
              <c:idx val="1"/>
              <c:numFmt formatCode="0\ %"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t"/>
              <c:showLegendKey val="0"/>
              <c:showVal val="1"/>
              <c:showCatName val="0"/>
              <c:showSerName val="0"/>
              <c:showPercent val="0"/>
              <c:showBubbleSize val="0"/>
              <c:extLst>
                <c:ext xmlns:c16="http://schemas.microsoft.com/office/drawing/2014/chart" uri="{C3380CC4-5D6E-409C-BE32-E72D297353CC}">
                  <c16:uniqueId val="{00000008-2D12-4996-AAF3-305DDF397764}"/>
                </c:ext>
              </c:extLst>
            </c:dLbl>
            <c:numFmt formatCode="0\ %"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'4.2'!$A$5:$A$10</c:f>
              <c:strCache>
                <c:ptCount val="6"/>
                <c:pt idx="0">
                  <c:v>leden</c:v>
                </c:pt>
                <c:pt idx="1">
                  <c:v>únor</c:v>
                </c:pt>
                <c:pt idx="2">
                  <c:v>březen</c:v>
                </c:pt>
                <c:pt idx="3">
                  <c:v>duben</c:v>
                </c:pt>
                <c:pt idx="4">
                  <c:v>květen</c:v>
                </c:pt>
                <c:pt idx="5">
                  <c:v>červen</c:v>
                </c:pt>
              </c:strCache>
            </c:strRef>
          </c:cat>
          <c:val>
            <c:numRef>
              <c:f>'4.2'!$C$5:$C$10</c:f>
              <c:numCache>
                <c:formatCode>General</c:formatCode>
                <c:ptCount val="6"/>
                <c:pt idx="0">
                  <c:v>0.53482224186668725</c:v>
                </c:pt>
                <c:pt idx="1">
                  <c:v>0.58862389895296663</c:v>
                </c:pt>
                <c:pt idx="2">
                  <c:v>0.29107387587287087</c:v>
                </c:pt>
                <c:pt idx="3">
                  <c:v>0.15745668505812652</c:v>
                </c:pt>
                <c:pt idx="4">
                  <c:v>3.8788014791254037E-2</c:v>
                </c:pt>
                <c:pt idx="5">
                  <c:v>3.4910284560959924E-2</c:v>
                </c:pt>
              </c:numCache>
            </c:numRef>
          </c:val>
          <c:smooth val="0"/>
          <c:extLst>
            <c:ext xmlns:c16="http://schemas.microsoft.com/office/drawing/2014/chart" uri="{C3380CC4-5D6E-409C-BE32-E72D297353CC}">
              <c16:uniqueId val="{00000009-2D12-4996-AAF3-305DDF397764}"/>
            </c:ext>
          </c:extLst>
        </c:ser>
        <c:dLbls>
          <c:showLegendKey val="0"/>
          <c:showVal val="0"/>
          <c:showCatName val="0"/>
          <c:showSerName val="0"/>
          <c:showPercent val="0"/>
          <c:showBubbleSize val="0"/>
        </c:dLbls>
        <c:marker val="1"/>
        <c:smooth val="0"/>
        <c:axId val="483886319"/>
        <c:axId val="483885903"/>
      </c:lineChart>
      <c:catAx>
        <c:axId val="68452335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684534175"/>
        <c:crosses val="autoZero"/>
        <c:auto val="1"/>
        <c:lblAlgn val="ctr"/>
        <c:lblOffset val="100"/>
        <c:noMultiLvlLbl val="0"/>
      </c:catAx>
      <c:valAx>
        <c:axId val="684534175"/>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684523359"/>
        <c:crosses val="autoZero"/>
        <c:crossBetween val="between"/>
      </c:valAx>
      <c:valAx>
        <c:axId val="483885903"/>
        <c:scaling>
          <c:orientation val="minMax"/>
          <c:max val="1"/>
          <c:min val="0"/>
        </c:scaling>
        <c:delete val="0"/>
        <c:axPos val="r"/>
        <c:numFmt formatCode="0\ %" sourceLinked="0"/>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crossAx val="483886319"/>
        <c:crosses val="max"/>
        <c:crossBetween val="between"/>
        <c:majorUnit val="0.1"/>
      </c:valAx>
      <c:catAx>
        <c:axId val="483886319"/>
        <c:scaling>
          <c:orientation val="minMax"/>
        </c:scaling>
        <c:delete val="1"/>
        <c:axPos val="b"/>
        <c:numFmt formatCode="General" sourceLinked="1"/>
        <c:majorTickMark val="out"/>
        <c:minorTickMark val="none"/>
        <c:tickLblPos val="nextTo"/>
        <c:crossAx val="483885903"/>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2"/>
          <c:order val="0"/>
          <c:tx>
            <c:strRef>
              <c:f>'4.3'!$B$4</c:f>
              <c:strCache>
                <c:ptCount val="1"/>
                <c:pt idx="0">
                  <c:v> 1. pol. 2020 (od 1. 3.)</c:v>
                </c:pt>
              </c:strCache>
            </c:strRef>
          </c:tx>
          <c:spPr>
            <a:ln w="28575" cap="rnd">
              <a:solidFill>
                <a:srgbClr val="E8C1BE"/>
              </a:solidFill>
              <a:round/>
            </a:ln>
            <a:effectLst/>
          </c:spPr>
          <c:marker>
            <c:symbol val="none"/>
          </c:marker>
          <c:cat>
            <c:strRef>
              <c:f>'4.3'!$A$5:$A$185</c:f>
              <c:strCache>
                <c:ptCount val="181"/>
                <c:pt idx="0">
                  <c:v>01.01.</c:v>
                </c:pt>
                <c:pt idx="1">
                  <c:v>02.01.</c:v>
                </c:pt>
                <c:pt idx="2">
                  <c:v>03.01.</c:v>
                </c:pt>
                <c:pt idx="3">
                  <c:v>04.01.</c:v>
                </c:pt>
                <c:pt idx="4">
                  <c:v>05.01.</c:v>
                </c:pt>
                <c:pt idx="5">
                  <c:v>06.01.</c:v>
                </c:pt>
                <c:pt idx="6">
                  <c:v>07.01.</c:v>
                </c:pt>
                <c:pt idx="7">
                  <c:v>08.01.</c:v>
                </c:pt>
                <c:pt idx="8">
                  <c:v>09.01.</c:v>
                </c:pt>
                <c:pt idx="9">
                  <c:v>10.01.</c:v>
                </c:pt>
                <c:pt idx="10">
                  <c:v>11.01.</c:v>
                </c:pt>
                <c:pt idx="11">
                  <c:v>12.01.</c:v>
                </c:pt>
                <c:pt idx="12">
                  <c:v>13.01.</c:v>
                </c:pt>
                <c:pt idx="13">
                  <c:v>14.01.</c:v>
                </c:pt>
                <c:pt idx="14">
                  <c:v>15.01.</c:v>
                </c:pt>
                <c:pt idx="15">
                  <c:v>16.01.</c:v>
                </c:pt>
                <c:pt idx="16">
                  <c:v>17.01.</c:v>
                </c:pt>
                <c:pt idx="17">
                  <c:v>18.01.</c:v>
                </c:pt>
                <c:pt idx="18">
                  <c:v>19.01.</c:v>
                </c:pt>
                <c:pt idx="19">
                  <c:v>20.01.</c:v>
                </c:pt>
                <c:pt idx="20">
                  <c:v>21.01.</c:v>
                </c:pt>
                <c:pt idx="21">
                  <c:v>22.01.</c:v>
                </c:pt>
                <c:pt idx="22">
                  <c:v>23.01.</c:v>
                </c:pt>
                <c:pt idx="23">
                  <c:v>24.01.</c:v>
                </c:pt>
                <c:pt idx="24">
                  <c:v>25.01.</c:v>
                </c:pt>
                <c:pt idx="25">
                  <c:v>26.01.</c:v>
                </c:pt>
                <c:pt idx="26">
                  <c:v>27.01.</c:v>
                </c:pt>
                <c:pt idx="27">
                  <c:v>28.01.</c:v>
                </c:pt>
                <c:pt idx="28">
                  <c:v>29.01.</c:v>
                </c:pt>
                <c:pt idx="29">
                  <c:v>30.01.</c:v>
                </c:pt>
                <c:pt idx="30">
                  <c:v>31.01.</c:v>
                </c:pt>
                <c:pt idx="31">
                  <c:v>01.02.</c:v>
                </c:pt>
                <c:pt idx="32">
                  <c:v>02.02.</c:v>
                </c:pt>
                <c:pt idx="33">
                  <c:v>03.02.</c:v>
                </c:pt>
                <c:pt idx="34">
                  <c:v>04.02.</c:v>
                </c:pt>
                <c:pt idx="35">
                  <c:v>05.02.</c:v>
                </c:pt>
                <c:pt idx="36">
                  <c:v>06.02.</c:v>
                </c:pt>
                <c:pt idx="37">
                  <c:v>07.02.</c:v>
                </c:pt>
                <c:pt idx="38">
                  <c:v>08.02.</c:v>
                </c:pt>
                <c:pt idx="39">
                  <c:v>09.02.</c:v>
                </c:pt>
                <c:pt idx="40">
                  <c:v>10.02.</c:v>
                </c:pt>
                <c:pt idx="41">
                  <c:v>11.02.</c:v>
                </c:pt>
                <c:pt idx="42">
                  <c:v>12.02.</c:v>
                </c:pt>
                <c:pt idx="43">
                  <c:v>13.02.</c:v>
                </c:pt>
                <c:pt idx="44">
                  <c:v>14.02.</c:v>
                </c:pt>
                <c:pt idx="45">
                  <c:v>15.02.</c:v>
                </c:pt>
                <c:pt idx="46">
                  <c:v>16.02.</c:v>
                </c:pt>
                <c:pt idx="47">
                  <c:v>17.02.</c:v>
                </c:pt>
                <c:pt idx="48">
                  <c:v>18.02.</c:v>
                </c:pt>
                <c:pt idx="49">
                  <c:v>19.02.</c:v>
                </c:pt>
                <c:pt idx="50">
                  <c:v>20.02.</c:v>
                </c:pt>
                <c:pt idx="51">
                  <c:v>21.02.</c:v>
                </c:pt>
                <c:pt idx="52">
                  <c:v>22.02.</c:v>
                </c:pt>
                <c:pt idx="53">
                  <c:v>23.02.</c:v>
                </c:pt>
                <c:pt idx="54">
                  <c:v>24.02.</c:v>
                </c:pt>
                <c:pt idx="55">
                  <c:v>25.02.</c:v>
                </c:pt>
                <c:pt idx="56">
                  <c:v>26.02.</c:v>
                </c:pt>
                <c:pt idx="57">
                  <c:v>27.02.</c:v>
                </c:pt>
                <c:pt idx="58">
                  <c:v>28.02.</c:v>
                </c:pt>
                <c:pt idx="59">
                  <c:v>01.03.</c:v>
                </c:pt>
                <c:pt idx="60">
                  <c:v>02.03.</c:v>
                </c:pt>
                <c:pt idx="61">
                  <c:v>03.03.</c:v>
                </c:pt>
                <c:pt idx="62">
                  <c:v>04.03.</c:v>
                </c:pt>
                <c:pt idx="63">
                  <c:v>05.03.</c:v>
                </c:pt>
                <c:pt idx="64">
                  <c:v>06.03.</c:v>
                </c:pt>
                <c:pt idx="65">
                  <c:v>07.03.</c:v>
                </c:pt>
                <c:pt idx="66">
                  <c:v>08.03.</c:v>
                </c:pt>
                <c:pt idx="67">
                  <c:v>09.03.</c:v>
                </c:pt>
                <c:pt idx="68">
                  <c:v>10.03.</c:v>
                </c:pt>
                <c:pt idx="69">
                  <c:v>11.03.</c:v>
                </c:pt>
                <c:pt idx="70">
                  <c:v>12.03.</c:v>
                </c:pt>
                <c:pt idx="71">
                  <c:v>13.03.</c:v>
                </c:pt>
                <c:pt idx="72">
                  <c:v>14.03.</c:v>
                </c:pt>
                <c:pt idx="73">
                  <c:v>15.03.</c:v>
                </c:pt>
                <c:pt idx="74">
                  <c:v>16.03.</c:v>
                </c:pt>
                <c:pt idx="75">
                  <c:v>17.03.</c:v>
                </c:pt>
                <c:pt idx="76">
                  <c:v>18.03.</c:v>
                </c:pt>
                <c:pt idx="77">
                  <c:v>19.03.</c:v>
                </c:pt>
                <c:pt idx="78">
                  <c:v>20.03.</c:v>
                </c:pt>
                <c:pt idx="79">
                  <c:v>21.03.</c:v>
                </c:pt>
                <c:pt idx="80">
                  <c:v>22.03.</c:v>
                </c:pt>
                <c:pt idx="81">
                  <c:v>23.03.</c:v>
                </c:pt>
                <c:pt idx="82">
                  <c:v>24.03.</c:v>
                </c:pt>
                <c:pt idx="83">
                  <c:v>25.03.</c:v>
                </c:pt>
                <c:pt idx="84">
                  <c:v>26.03.</c:v>
                </c:pt>
                <c:pt idx="85">
                  <c:v>27.03.</c:v>
                </c:pt>
                <c:pt idx="86">
                  <c:v>28.03.</c:v>
                </c:pt>
                <c:pt idx="87">
                  <c:v>29.03.</c:v>
                </c:pt>
                <c:pt idx="88">
                  <c:v>30.03.</c:v>
                </c:pt>
                <c:pt idx="89">
                  <c:v>31.03.</c:v>
                </c:pt>
                <c:pt idx="90">
                  <c:v>01.04.</c:v>
                </c:pt>
                <c:pt idx="91">
                  <c:v>02.04.</c:v>
                </c:pt>
                <c:pt idx="92">
                  <c:v>03.04.</c:v>
                </c:pt>
                <c:pt idx="93">
                  <c:v>04.04.</c:v>
                </c:pt>
                <c:pt idx="94">
                  <c:v>05.04.</c:v>
                </c:pt>
                <c:pt idx="95">
                  <c:v>06.04.</c:v>
                </c:pt>
                <c:pt idx="96">
                  <c:v>07.04.</c:v>
                </c:pt>
                <c:pt idx="97">
                  <c:v>08.04.</c:v>
                </c:pt>
                <c:pt idx="98">
                  <c:v>09.04.</c:v>
                </c:pt>
                <c:pt idx="99">
                  <c:v>10.04.</c:v>
                </c:pt>
                <c:pt idx="100">
                  <c:v>11.04.</c:v>
                </c:pt>
                <c:pt idx="101">
                  <c:v>12.04.</c:v>
                </c:pt>
                <c:pt idx="102">
                  <c:v>13.04.</c:v>
                </c:pt>
                <c:pt idx="103">
                  <c:v>14.04.</c:v>
                </c:pt>
                <c:pt idx="104">
                  <c:v>15.04.</c:v>
                </c:pt>
                <c:pt idx="105">
                  <c:v>16.04.</c:v>
                </c:pt>
                <c:pt idx="106">
                  <c:v>17.04.</c:v>
                </c:pt>
                <c:pt idx="107">
                  <c:v>18.04.</c:v>
                </c:pt>
                <c:pt idx="108">
                  <c:v>19.04.</c:v>
                </c:pt>
                <c:pt idx="109">
                  <c:v>20.04.</c:v>
                </c:pt>
                <c:pt idx="110">
                  <c:v>21.04.</c:v>
                </c:pt>
                <c:pt idx="111">
                  <c:v>22.04.</c:v>
                </c:pt>
                <c:pt idx="112">
                  <c:v>23.04.</c:v>
                </c:pt>
                <c:pt idx="113">
                  <c:v>24.04.</c:v>
                </c:pt>
                <c:pt idx="114">
                  <c:v>25.04.</c:v>
                </c:pt>
                <c:pt idx="115">
                  <c:v>26.04.</c:v>
                </c:pt>
                <c:pt idx="116">
                  <c:v>27.04.</c:v>
                </c:pt>
                <c:pt idx="117">
                  <c:v>28.04.</c:v>
                </c:pt>
                <c:pt idx="118">
                  <c:v>29.04.</c:v>
                </c:pt>
                <c:pt idx="119">
                  <c:v>30.04.</c:v>
                </c:pt>
                <c:pt idx="120">
                  <c:v>01.05.</c:v>
                </c:pt>
                <c:pt idx="121">
                  <c:v>02.05.</c:v>
                </c:pt>
                <c:pt idx="122">
                  <c:v>03.05.</c:v>
                </c:pt>
                <c:pt idx="123">
                  <c:v>04.05.</c:v>
                </c:pt>
                <c:pt idx="124">
                  <c:v>05.05.</c:v>
                </c:pt>
                <c:pt idx="125">
                  <c:v>06.05.</c:v>
                </c:pt>
                <c:pt idx="126">
                  <c:v>07.05.</c:v>
                </c:pt>
                <c:pt idx="127">
                  <c:v>08.05.</c:v>
                </c:pt>
                <c:pt idx="128">
                  <c:v>09.05.</c:v>
                </c:pt>
                <c:pt idx="129">
                  <c:v>10.05.</c:v>
                </c:pt>
                <c:pt idx="130">
                  <c:v>11.05.</c:v>
                </c:pt>
                <c:pt idx="131">
                  <c:v>12.05.</c:v>
                </c:pt>
                <c:pt idx="132">
                  <c:v>13.05.</c:v>
                </c:pt>
                <c:pt idx="133">
                  <c:v>14.05.</c:v>
                </c:pt>
                <c:pt idx="134">
                  <c:v>15.05.</c:v>
                </c:pt>
                <c:pt idx="135">
                  <c:v>16.05.</c:v>
                </c:pt>
                <c:pt idx="136">
                  <c:v>17.05.</c:v>
                </c:pt>
                <c:pt idx="137">
                  <c:v>18.05.</c:v>
                </c:pt>
                <c:pt idx="138">
                  <c:v>19.05.</c:v>
                </c:pt>
                <c:pt idx="139">
                  <c:v>20.05.</c:v>
                </c:pt>
                <c:pt idx="140">
                  <c:v>21.05.</c:v>
                </c:pt>
                <c:pt idx="141">
                  <c:v>22.05.</c:v>
                </c:pt>
                <c:pt idx="142">
                  <c:v>23.05.</c:v>
                </c:pt>
                <c:pt idx="143">
                  <c:v>24.05.</c:v>
                </c:pt>
                <c:pt idx="144">
                  <c:v>25.05.</c:v>
                </c:pt>
                <c:pt idx="145">
                  <c:v>26.05.</c:v>
                </c:pt>
                <c:pt idx="146">
                  <c:v>27.05.</c:v>
                </c:pt>
                <c:pt idx="147">
                  <c:v>28.05.</c:v>
                </c:pt>
                <c:pt idx="148">
                  <c:v>29.05.</c:v>
                </c:pt>
                <c:pt idx="149">
                  <c:v>30.05.</c:v>
                </c:pt>
                <c:pt idx="150">
                  <c:v>31.05.</c:v>
                </c:pt>
                <c:pt idx="151">
                  <c:v>01.06.</c:v>
                </c:pt>
                <c:pt idx="152">
                  <c:v>02.06.</c:v>
                </c:pt>
                <c:pt idx="153">
                  <c:v>03.06.</c:v>
                </c:pt>
                <c:pt idx="154">
                  <c:v>04.06.</c:v>
                </c:pt>
                <c:pt idx="155">
                  <c:v>05.06.</c:v>
                </c:pt>
                <c:pt idx="156">
                  <c:v>06.06.</c:v>
                </c:pt>
                <c:pt idx="157">
                  <c:v>07.06.</c:v>
                </c:pt>
                <c:pt idx="158">
                  <c:v>08.06.</c:v>
                </c:pt>
                <c:pt idx="159">
                  <c:v>09.06.</c:v>
                </c:pt>
                <c:pt idx="160">
                  <c:v>10.06.</c:v>
                </c:pt>
                <c:pt idx="161">
                  <c:v>11.06.</c:v>
                </c:pt>
                <c:pt idx="162">
                  <c:v>12.06.</c:v>
                </c:pt>
                <c:pt idx="163">
                  <c:v>13.06.</c:v>
                </c:pt>
                <c:pt idx="164">
                  <c:v>14.06.</c:v>
                </c:pt>
                <c:pt idx="165">
                  <c:v>15.06.</c:v>
                </c:pt>
                <c:pt idx="166">
                  <c:v>16.06.</c:v>
                </c:pt>
                <c:pt idx="167">
                  <c:v>17.06.</c:v>
                </c:pt>
                <c:pt idx="168">
                  <c:v>18.06.</c:v>
                </c:pt>
                <c:pt idx="169">
                  <c:v>19.06.</c:v>
                </c:pt>
                <c:pt idx="170">
                  <c:v>20.06.</c:v>
                </c:pt>
                <c:pt idx="171">
                  <c:v>21.06.</c:v>
                </c:pt>
                <c:pt idx="172">
                  <c:v>22.06.</c:v>
                </c:pt>
                <c:pt idx="173">
                  <c:v>23.06.</c:v>
                </c:pt>
                <c:pt idx="174">
                  <c:v>24.06.</c:v>
                </c:pt>
                <c:pt idx="175">
                  <c:v>25.06.</c:v>
                </c:pt>
                <c:pt idx="176">
                  <c:v>26.06.</c:v>
                </c:pt>
                <c:pt idx="177">
                  <c:v>27.06.</c:v>
                </c:pt>
                <c:pt idx="178">
                  <c:v>28.06.</c:v>
                </c:pt>
                <c:pt idx="179">
                  <c:v>29.06.</c:v>
                </c:pt>
                <c:pt idx="180">
                  <c:v>30.06.</c:v>
                </c:pt>
              </c:strCache>
            </c:strRef>
          </c:cat>
          <c:val>
            <c:numRef>
              <c:f>'4.3'!$B$5:$B$185</c:f>
              <c:numCache>
                <c:formatCode>General</c:formatCode>
                <c:ptCount val="181"/>
                <c:pt idx="59">
                  <c:v>35</c:v>
                </c:pt>
                <c:pt idx="60">
                  <c:v>128</c:v>
                </c:pt>
                <c:pt idx="61">
                  <c:v>165</c:v>
                </c:pt>
                <c:pt idx="62">
                  <c:v>203</c:v>
                </c:pt>
                <c:pt idx="63">
                  <c:v>259</c:v>
                </c:pt>
                <c:pt idx="64">
                  <c:v>430</c:v>
                </c:pt>
                <c:pt idx="65">
                  <c:v>807</c:v>
                </c:pt>
                <c:pt idx="66">
                  <c:v>968</c:v>
                </c:pt>
                <c:pt idx="67">
                  <c:v>2613</c:v>
                </c:pt>
                <c:pt idx="68">
                  <c:v>2878</c:v>
                </c:pt>
                <c:pt idx="69">
                  <c:v>3273</c:v>
                </c:pt>
                <c:pt idx="70">
                  <c:v>3727</c:v>
                </c:pt>
                <c:pt idx="71">
                  <c:v>5974</c:v>
                </c:pt>
                <c:pt idx="72">
                  <c:v>6827</c:v>
                </c:pt>
                <c:pt idx="73">
                  <c:v>7286</c:v>
                </c:pt>
                <c:pt idx="74">
                  <c:v>13988</c:v>
                </c:pt>
                <c:pt idx="75">
                  <c:v>17018</c:v>
                </c:pt>
                <c:pt idx="76">
                  <c:v>18150</c:v>
                </c:pt>
                <c:pt idx="77">
                  <c:v>19338</c:v>
                </c:pt>
                <c:pt idx="78">
                  <c:v>20823</c:v>
                </c:pt>
                <c:pt idx="79">
                  <c:v>20173</c:v>
                </c:pt>
                <c:pt idx="80">
                  <c:v>20020</c:v>
                </c:pt>
                <c:pt idx="81">
                  <c:v>21460</c:v>
                </c:pt>
                <c:pt idx="82">
                  <c:v>21460</c:v>
                </c:pt>
                <c:pt idx="83">
                  <c:v>21920</c:v>
                </c:pt>
                <c:pt idx="84">
                  <c:v>22403</c:v>
                </c:pt>
                <c:pt idx="85">
                  <c:v>22350</c:v>
                </c:pt>
                <c:pt idx="86">
                  <c:v>19753</c:v>
                </c:pt>
                <c:pt idx="87">
                  <c:v>19198</c:v>
                </c:pt>
                <c:pt idx="88">
                  <c:v>17799</c:v>
                </c:pt>
                <c:pt idx="89">
                  <c:v>15341</c:v>
                </c:pt>
                <c:pt idx="90">
                  <c:v>13764</c:v>
                </c:pt>
                <c:pt idx="91">
                  <c:v>13293</c:v>
                </c:pt>
                <c:pt idx="92">
                  <c:v>12995</c:v>
                </c:pt>
                <c:pt idx="93">
                  <c:v>11956</c:v>
                </c:pt>
                <c:pt idx="94">
                  <c:v>11867</c:v>
                </c:pt>
                <c:pt idx="95">
                  <c:v>12182</c:v>
                </c:pt>
                <c:pt idx="96">
                  <c:v>11298</c:v>
                </c:pt>
                <c:pt idx="97">
                  <c:v>10792</c:v>
                </c:pt>
                <c:pt idx="98">
                  <c:v>10442</c:v>
                </c:pt>
                <c:pt idx="99">
                  <c:v>9330</c:v>
                </c:pt>
                <c:pt idx="100">
                  <c:v>9092</c:v>
                </c:pt>
                <c:pt idx="101">
                  <c:v>9003</c:v>
                </c:pt>
                <c:pt idx="102">
                  <c:v>8808</c:v>
                </c:pt>
                <c:pt idx="103">
                  <c:v>9090</c:v>
                </c:pt>
                <c:pt idx="104">
                  <c:v>7993</c:v>
                </c:pt>
                <c:pt idx="105">
                  <c:v>7668</c:v>
                </c:pt>
                <c:pt idx="106">
                  <c:v>7384</c:v>
                </c:pt>
                <c:pt idx="107">
                  <c:v>6759</c:v>
                </c:pt>
                <c:pt idx="108">
                  <c:v>6719</c:v>
                </c:pt>
                <c:pt idx="109">
                  <c:v>6882</c:v>
                </c:pt>
                <c:pt idx="110">
                  <c:v>6523</c:v>
                </c:pt>
                <c:pt idx="111">
                  <c:v>6279</c:v>
                </c:pt>
                <c:pt idx="112">
                  <c:v>6117</c:v>
                </c:pt>
                <c:pt idx="113">
                  <c:v>6049</c:v>
                </c:pt>
                <c:pt idx="114">
                  <c:v>5635</c:v>
                </c:pt>
                <c:pt idx="115">
                  <c:v>5613</c:v>
                </c:pt>
                <c:pt idx="116">
                  <c:v>5804</c:v>
                </c:pt>
                <c:pt idx="117">
                  <c:v>5507</c:v>
                </c:pt>
                <c:pt idx="118">
                  <c:v>5329</c:v>
                </c:pt>
                <c:pt idx="119">
                  <c:v>5112</c:v>
                </c:pt>
                <c:pt idx="120">
                  <c:v>4524</c:v>
                </c:pt>
                <c:pt idx="121">
                  <c:v>4481</c:v>
                </c:pt>
                <c:pt idx="122">
                  <c:v>4445</c:v>
                </c:pt>
                <c:pt idx="123">
                  <c:v>4455</c:v>
                </c:pt>
                <c:pt idx="124">
                  <c:v>3959</c:v>
                </c:pt>
                <c:pt idx="125">
                  <c:v>3763</c:v>
                </c:pt>
                <c:pt idx="126">
                  <c:v>3602</c:v>
                </c:pt>
                <c:pt idx="127">
                  <c:v>3290</c:v>
                </c:pt>
                <c:pt idx="128">
                  <c:v>3254</c:v>
                </c:pt>
                <c:pt idx="129">
                  <c:v>3245</c:v>
                </c:pt>
                <c:pt idx="130">
                  <c:v>3292</c:v>
                </c:pt>
                <c:pt idx="131">
                  <c:v>3016</c:v>
                </c:pt>
                <c:pt idx="132">
                  <c:v>2903</c:v>
                </c:pt>
                <c:pt idx="133">
                  <c:v>2833</c:v>
                </c:pt>
                <c:pt idx="134">
                  <c:v>2779</c:v>
                </c:pt>
                <c:pt idx="135">
                  <c:v>2602</c:v>
                </c:pt>
                <c:pt idx="136">
                  <c:v>2583</c:v>
                </c:pt>
                <c:pt idx="137">
                  <c:v>2686</c:v>
                </c:pt>
                <c:pt idx="138">
                  <c:v>2617</c:v>
                </c:pt>
                <c:pt idx="139">
                  <c:v>2623</c:v>
                </c:pt>
                <c:pt idx="140">
                  <c:v>2689</c:v>
                </c:pt>
                <c:pt idx="141">
                  <c:v>2692</c:v>
                </c:pt>
                <c:pt idx="142">
                  <c:v>2581</c:v>
                </c:pt>
                <c:pt idx="143">
                  <c:v>2571</c:v>
                </c:pt>
                <c:pt idx="144">
                  <c:v>2658</c:v>
                </c:pt>
                <c:pt idx="145">
                  <c:v>2634</c:v>
                </c:pt>
                <c:pt idx="146">
                  <c:v>2614</c:v>
                </c:pt>
                <c:pt idx="147">
                  <c:v>2578</c:v>
                </c:pt>
                <c:pt idx="148">
                  <c:v>2570</c:v>
                </c:pt>
                <c:pt idx="149">
                  <c:v>2454</c:v>
                </c:pt>
                <c:pt idx="150">
                  <c:v>2446</c:v>
                </c:pt>
                <c:pt idx="151">
                  <c:v>2393</c:v>
                </c:pt>
                <c:pt idx="152">
                  <c:v>2241</c:v>
                </c:pt>
                <c:pt idx="153">
                  <c:v>2195</c:v>
                </c:pt>
                <c:pt idx="154">
                  <c:v>2145</c:v>
                </c:pt>
                <c:pt idx="155">
                  <c:v>2072</c:v>
                </c:pt>
                <c:pt idx="156">
                  <c:v>1926</c:v>
                </c:pt>
                <c:pt idx="157">
                  <c:v>1919</c:v>
                </c:pt>
                <c:pt idx="158">
                  <c:v>1940</c:v>
                </c:pt>
                <c:pt idx="159">
                  <c:v>1919</c:v>
                </c:pt>
                <c:pt idx="160">
                  <c:v>1881</c:v>
                </c:pt>
                <c:pt idx="161">
                  <c:v>1875</c:v>
                </c:pt>
                <c:pt idx="162">
                  <c:v>1862</c:v>
                </c:pt>
                <c:pt idx="163">
                  <c:v>1764</c:v>
                </c:pt>
                <c:pt idx="164">
                  <c:v>1758</c:v>
                </c:pt>
                <c:pt idx="165">
                  <c:v>1826</c:v>
                </c:pt>
                <c:pt idx="166">
                  <c:v>1764</c:v>
                </c:pt>
                <c:pt idx="167">
                  <c:v>1746</c:v>
                </c:pt>
                <c:pt idx="168">
                  <c:v>1784</c:v>
                </c:pt>
                <c:pt idx="169">
                  <c:v>1851</c:v>
                </c:pt>
                <c:pt idx="170">
                  <c:v>1754</c:v>
                </c:pt>
                <c:pt idx="171">
                  <c:v>1748</c:v>
                </c:pt>
                <c:pt idx="172">
                  <c:v>1967</c:v>
                </c:pt>
                <c:pt idx="173">
                  <c:v>2009</c:v>
                </c:pt>
                <c:pt idx="174">
                  <c:v>2072</c:v>
                </c:pt>
                <c:pt idx="175">
                  <c:v>2151</c:v>
                </c:pt>
                <c:pt idx="176">
                  <c:v>2263</c:v>
                </c:pt>
                <c:pt idx="177">
                  <c:v>2173</c:v>
                </c:pt>
                <c:pt idx="178">
                  <c:v>2170</c:v>
                </c:pt>
                <c:pt idx="179">
                  <c:v>2502</c:v>
                </c:pt>
                <c:pt idx="180">
                  <c:v>2645</c:v>
                </c:pt>
              </c:numCache>
            </c:numRef>
          </c:val>
          <c:smooth val="0"/>
          <c:extLst>
            <c:ext xmlns:c16="http://schemas.microsoft.com/office/drawing/2014/chart" uri="{C3380CC4-5D6E-409C-BE32-E72D297353CC}">
              <c16:uniqueId val="{00000000-E1F4-4E36-87C8-D26F91FCE70B}"/>
            </c:ext>
          </c:extLst>
        </c:ser>
        <c:ser>
          <c:idx val="0"/>
          <c:order val="1"/>
          <c:tx>
            <c:strRef>
              <c:f>'4.3'!$C$4</c:f>
              <c:strCache>
                <c:ptCount val="1"/>
                <c:pt idx="0">
                  <c:v> 1. pol. 2021</c:v>
                </c:pt>
              </c:strCache>
            </c:strRef>
          </c:tx>
          <c:spPr>
            <a:ln w="28575" cap="rnd">
              <a:solidFill>
                <a:srgbClr val="B44946"/>
              </a:solidFill>
              <a:round/>
            </a:ln>
            <a:effectLst/>
          </c:spPr>
          <c:marker>
            <c:symbol val="none"/>
          </c:marker>
          <c:cat>
            <c:strRef>
              <c:f>'4.3'!$A$5:$A$185</c:f>
              <c:strCache>
                <c:ptCount val="181"/>
                <c:pt idx="0">
                  <c:v>01.01.</c:v>
                </c:pt>
                <c:pt idx="1">
                  <c:v>02.01.</c:v>
                </c:pt>
                <c:pt idx="2">
                  <c:v>03.01.</c:v>
                </c:pt>
                <c:pt idx="3">
                  <c:v>04.01.</c:v>
                </c:pt>
                <c:pt idx="4">
                  <c:v>05.01.</c:v>
                </c:pt>
                <c:pt idx="5">
                  <c:v>06.01.</c:v>
                </c:pt>
                <c:pt idx="6">
                  <c:v>07.01.</c:v>
                </c:pt>
                <c:pt idx="7">
                  <c:v>08.01.</c:v>
                </c:pt>
                <c:pt idx="8">
                  <c:v>09.01.</c:v>
                </c:pt>
                <c:pt idx="9">
                  <c:v>10.01.</c:v>
                </c:pt>
                <c:pt idx="10">
                  <c:v>11.01.</c:v>
                </c:pt>
                <c:pt idx="11">
                  <c:v>12.01.</c:v>
                </c:pt>
                <c:pt idx="12">
                  <c:v>13.01.</c:v>
                </c:pt>
                <c:pt idx="13">
                  <c:v>14.01.</c:v>
                </c:pt>
                <c:pt idx="14">
                  <c:v>15.01.</c:v>
                </c:pt>
                <c:pt idx="15">
                  <c:v>16.01.</c:v>
                </c:pt>
                <c:pt idx="16">
                  <c:v>17.01.</c:v>
                </c:pt>
                <c:pt idx="17">
                  <c:v>18.01.</c:v>
                </c:pt>
                <c:pt idx="18">
                  <c:v>19.01.</c:v>
                </c:pt>
                <c:pt idx="19">
                  <c:v>20.01.</c:v>
                </c:pt>
                <c:pt idx="20">
                  <c:v>21.01.</c:v>
                </c:pt>
                <c:pt idx="21">
                  <c:v>22.01.</c:v>
                </c:pt>
                <c:pt idx="22">
                  <c:v>23.01.</c:v>
                </c:pt>
                <c:pt idx="23">
                  <c:v>24.01.</c:v>
                </c:pt>
                <c:pt idx="24">
                  <c:v>25.01.</c:v>
                </c:pt>
                <c:pt idx="25">
                  <c:v>26.01.</c:v>
                </c:pt>
                <c:pt idx="26">
                  <c:v>27.01.</c:v>
                </c:pt>
                <c:pt idx="27">
                  <c:v>28.01.</c:v>
                </c:pt>
                <c:pt idx="28">
                  <c:v>29.01.</c:v>
                </c:pt>
                <c:pt idx="29">
                  <c:v>30.01.</c:v>
                </c:pt>
                <c:pt idx="30">
                  <c:v>31.01.</c:v>
                </c:pt>
                <c:pt idx="31">
                  <c:v>01.02.</c:v>
                </c:pt>
                <c:pt idx="32">
                  <c:v>02.02.</c:v>
                </c:pt>
                <c:pt idx="33">
                  <c:v>03.02.</c:v>
                </c:pt>
                <c:pt idx="34">
                  <c:v>04.02.</c:v>
                </c:pt>
                <c:pt idx="35">
                  <c:v>05.02.</c:v>
                </c:pt>
                <c:pt idx="36">
                  <c:v>06.02.</c:v>
                </c:pt>
                <c:pt idx="37">
                  <c:v>07.02.</c:v>
                </c:pt>
                <c:pt idx="38">
                  <c:v>08.02.</c:v>
                </c:pt>
                <c:pt idx="39">
                  <c:v>09.02.</c:v>
                </c:pt>
                <c:pt idx="40">
                  <c:v>10.02.</c:v>
                </c:pt>
                <c:pt idx="41">
                  <c:v>11.02.</c:v>
                </c:pt>
                <c:pt idx="42">
                  <c:v>12.02.</c:v>
                </c:pt>
                <c:pt idx="43">
                  <c:v>13.02.</c:v>
                </c:pt>
                <c:pt idx="44">
                  <c:v>14.02.</c:v>
                </c:pt>
                <c:pt idx="45">
                  <c:v>15.02.</c:v>
                </c:pt>
                <c:pt idx="46">
                  <c:v>16.02.</c:v>
                </c:pt>
                <c:pt idx="47">
                  <c:v>17.02.</c:v>
                </c:pt>
                <c:pt idx="48">
                  <c:v>18.02.</c:v>
                </c:pt>
                <c:pt idx="49">
                  <c:v>19.02.</c:v>
                </c:pt>
                <c:pt idx="50">
                  <c:v>20.02.</c:v>
                </c:pt>
                <c:pt idx="51">
                  <c:v>21.02.</c:v>
                </c:pt>
                <c:pt idx="52">
                  <c:v>22.02.</c:v>
                </c:pt>
                <c:pt idx="53">
                  <c:v>23.02.</c:v>
                </c:pt>
                <c:pt idx="54">
                  <c:v>24.02.</c:v>
                </c:pt>
                <c:pt idx="55">
                  <c:v>25.02.</c:v>
                </c:pt>
                <c:pt idx="56">
                  <c:v>26.02.</c:v>
                </c:pt>
                <c:pt idx="57">
                  <c:v>27.02.</c:v>
                </c:pt>
                <c:pt idx="58">
                  <c:v>28.02.</c:v>
                </c:pt>
                <c:pt idx="59">
                  <c:v>01.03.</c:v>
                </c:pt>
                <c:pt idx="60">
                  <c:v>02.03.</c:v>
                </c:pt>
                <c:pt idx="61">
                  <c:v>03.03.</c:v>
                </c:pt>
                <c:pt idx="62">
                  <c:v>04.03.</c:v>
                </c:pt>
                <c:pt idx="63">
                  <c:v>05.03.</c:v>
                </c:pt>
                <c:pt idx="64">
                  <c:v>06.03.</c:v>
                </c:pt>
                <c:pt idx="65">
                  <c:v>07.03.</c:v>
                </c:pt>
                <c:pt idx="66">
                  <c:v>08.03.</c:v>
                </c:pt>
                <c:pt idx="67">
                  <c:v>09.03.</c:v>
                </c:pt>
                <c:pt idx="68">
                  <c:v>10.03.</c:v>
                </c:pt>
                <c:pt idx="69">
                  <c:v>11.03.</c:v>
                </c:pt>
                <c:pt idx="70">
                  <c:v>12.03.</c:v>
                </c:pt>
                <c:pt idx="71">
                  <c:v>13.03.</c:v>
                </c:pt>
                <c:pt idx="72">
                  <c:v>14.03.</c:v>
                </c:pt>
                <c:pt idx="73">
                  <c:v>15.03.</c:v>
                </c:pt>
                <c:pt idx="74">
                  <c:v>16.03.</c:v>
                </c:pt>
                <c:pt idx="75">
                  <c:v>17.03.</c:v>
                </c:pt>
                <c:pt idx="76">
                  <c:v>18.03.</c:v>
                </c:pt>
                <c:pt idx="77">
                  <c:v>19.03.</c:v>
                </c:pt>
                <c:pt idx="78">
                  <c:v>20.03.</c:v>
                </c:pt>
                <c:pt idx="79">
                  <c:v>21.03.</c:v>
                </c:pt>
                <c:pt idx="80">
                  <c:v>22.03.</c:v>
                </c:pt>
                <c:pt idx="81">
                  <c:v>23.03.</c:v>
                </c:pt>
                <c:pt idx="82">
                  <c:v>24.03.</c:v>
                </c:pt>
                <c:pt idx="83">
                  <c:v>25.03.</c:v>
                </c:pt>
                <c:pt idx="84">
                  <c:v>26.03.</c:v>
                </c:pt>
                <c:pt idx="85">
                  <c:v>27.03.</c:v>
                </c:pt>
                <c:pt idx="86">
                  <c:v>28.03.</c:v>
                </c:pt>
                <c:pt idx="87">
                  <c:v>29.03.</c:v>
                </c:pt>
                <c:pt idx="88">
                  <c:v>30.03.</c:v>
                </c:pt>
                <c:pt idx="89">
                  <c:v>31.03.</c:v>
                </c:pt>
                <c:pt idx="90">
                  <c:v>01.04.</c:v>
                </c:pt>
                <c:pt idx="91">
                  <c:v>02.04.</c:v>
                </c:pt>
                <c:pt idx="92">
                  <c:v>03.04.</c:v>
                </c:pt>
                <c:pt idx="93">
                  <c:v>04.04.</c:v>
                </c:pt>
                <c:pt idx="94">
                  <c:v>05.04.</c:v>
                </c:pt>
                <c:pt idx="95">
                  <c:v>06.04.</c:v>
                </c:pt>
                <c:pt idx="96">
                  <c:v>07.04.</c:v>
                </c:pt>
                <c:pt idx="97">
                  <c:v>08.04.</c:v>
                </c:pt>
                <c:pt idx="98">
                  <c:v>09.04.</c:v>
                </c:pt>
                <c:pt idx="99">
                  <c:v>10.04.</c:v>
                </c:pt>
                <c:pt idx="100">
                  <c:v>11.04.</c:v>
                </c:pt>
                <c:pt idx="101">
                  <c:v>12.04.</c:v>
                </c:pt>
                <c:pt idx="102">
                  <c:v>13.04.</c:v>
                </c:pt>
                <c:pt idx="103">
                  <c:v>14.04.</c:v>
                </c:pt>
                <c:pt idx="104">
                  <c:v>15.04.</c:v>
                </c:pt>
                <c:pt idx="105">
                  <c:v>16.04.</c:v>
                </c:pt>
                <c:pt idx="106">
                  <c:v>17.04.</c:v>
                </c:pt>
                <c:pt idx="107">
                  <c:v>18.04.</c:v>
                </c:pt>
                <c:pt idx="108">
                  <c:v>19.04.</c:v>
                </c:pt>
                <c:pt idx="109">
                  <c:v>20.04.</c:v>
                </c:pt>
                <c:pt idx="110">
                  <c:v>21.04.</c:v>
                </c:pt>
                <c:pt idx="111">
                  <c:v>22.04.</c:v>
                </c:pt>
                <c:pt idx="112">
                  <c:v>23.04.</c:v>
                </c:pt>
                <c:pt idx="113">
                  <c:v>24.04.</c:v>
                </c:pt>
                <c:pt idx="114">
                  <c:v>25.04.</c:v>
                </c:pt>
                <c:pt idx="115">
                  <c:v>26.04.</c:v>
                </c:pt>
                <c:pt idx="116">
                  <c:v>27.04.</c:v>
                </c:pt>
                <c:pt idx="117">
                  <c:v>28.04.</c:v>
                </c:pt>
                <c:pt idx="118">
                  <c:v>29.04.</c:v>
                </c:pt>
                <c:pt idx="119">
                  <c:v>30.04.</c:v>
                </c:pt>
                <c:pt idx="120">
                  <c:v>01.05.</c:v>
                </c:pt>
                <c:pt idx="121">
                  <c:v>02.05.</c:v>
                </c:pt>
                <c:pt idx="122">
                  <c:v>03.05.</c:v>
                </c:pt>
                <c:pt idx="123">
                  <c:v>04.05.</c:v>
                </c:pt>
                <c:pt idx="124">
                  <c:v>05.05.</c:v>
                </c:pt>
                <c:pt idx="125">
                  <c:v>06.05.</c:v>
                </c:pt>
                <c:pt idx="126">
                  <c:v>07.05.</c:v>
                </c:pt>
                <c:pt idx="127">
                  <c:v>08.05.</c:v>
                </c:pt>
                <c:pt idx="128">
                  <c:v>09.05.</c:v>
                </c:pt>
                <c:pt idx="129">
                  <c:v>10.05.</c:v>
                </c:pt>
                <c:pt idx="130">
                  <c:v>11.05.</c:v>
                </c:pt>
                <c:pt idx="131">
                  <c:v>12.05.</c:v>
                </c:pt>
                <c:pt idx="132">
                  <c:v>13.05.</c:v>
                </c:pt>
                <c:pt idx="133">
                  <c:v>14.05.</c:v>
                </c:pt>
                <c:pt idx="134">
                  <c:v>15.05.</c:v>
                </c:pt>
                <c:pt idx="135">
                  <c:v>16.05.</c:v>
                </c:pt>
                <c:pt idx="136">
                  <c:v>17.05.</c:v>
                </c:pt>
                <c:pt idx="137">
                  <c:v>18.05.</c:v>
                </c:pt>
                <c:pt idx="138">
                  <c:v>19.05.</c:v>
                </c:pt>
                <c:pt idx="139">
                  <c:v>20.05.</c:v>
                </c:pt>
                <c:pt idx="140">
                  <c:v>21.05.</c:v>
                </c:pt>
                <c:pt idx="141">
                  <c:v>22.05.</c:v>
                </c:pt>
                <c:pt idx="142">
                  <c:v>23.05.</c:v>
                </c:pt>
                <c:pt idx="143">
                  <c:v>24.05.</c:v>
                </c:pt>
                <c:pt idx="144">
                  <c:v>25.05.</c:v>
                </c:pt>
                <c:pt idx="145">
                  <c:v>26.05.</c:v>
                </c:pt>
                <c:pt idx="146">
                  <c:v>27.05.</c:v>
                </c:pt>
                <c:pt idx="147">
                  <c:v>28.05.</c:v>
                </c:pt>
                <c:pt idx="148">
                  <c:v>29.05.</c:v>
                </c:pt>
                <c:pt idx="149">
                  <c:v>30.05.</c:v>
                </c:pt>
                <c:pt idx="150">
                  <c:v>31.05.</c:v>
                </c:pt>
                <c:pt idx="151">
                  <c:v>01.06.</c:v>
                </c:pt>
                <c:pt idx="152">
                  <c:v>02.06.</c:v>
                </c:pt>
                <c:pt idx="153">
                  <c:v>03.06.</c:v>
                </c:pt>
                <c:pt idx="154">
                  <c:v>04.06.</c:v>
                </c:pt>
                <c:pt idx="155">
                  <c:v>05.06.</c:v>
                </c:pt>
                <c:pt idx="156">
                  <c:v>06.06.</c:v>
                </c:pt>
                <c:pt idx="157">
                  <c:v>07.06.</c:v>
                </c:pt>
                <c:pt idx="158">
                  <c:v>08.06.</c:v>
                </c:pt>
                <c:pt idx="159">
                  <c:v>09.06.</c:v>
                </c:pt>
                <c:pt idx="160">
                  <c:v>10.06.</c:v>
                </c:pt>
                <c:pt idx="161">
                  <c:v>11.06.</c:v>
                </c:pt>
                <c:pt idx="162">
                  <c:v>12.06.</c:v>
                </c:pt>
                <c:pt idx="163">
                  <c:v>13.06.</c:v>
                </c:pt>
                <c:pt idx="164">
                  <c:v>14.06.</c:v>
                </c:pt>
                <c:pt idx="165">
                  <c:v>15.06.</c:v>
                </c:pt>
                <c:pt idx="166">
                  <c:v>16.06.</c:v>
                </c:pt>
                <c:pt idx="167">
                  <c:v>17.06.</c:v>
                </c:pt>
                <c:pt idx="168">
                  <c:v>18.06.</c:v>
                </c:pt>
                <c:pt idx="169">
                  <c:v>19.06.</c:v>
                </c:pt>
                <c:pt idx="170">
                  <c:v>20.06.</c:v>
                </c:pt>
                <c:pt idx="171">
                  <c:v>21.06.</c:v>
                </c:pt>
                <c:pt idx="172">
                  <c:v>22.06.</c:v>
                </c:pt>
                <c:pt idx="173">
                  <c:v>23.06.</c:v>
                </c:pt>
                <c:pt idx="174">
                  <c:v>24.06.</c:v>
                </c:pt>
                <c:pt idx="175">
                  <c:v>25.06.</c:v>
                </c:pt>
                <c:pt idx="176">
                  <c:v>26.06.</c:v>
                </c:pt>
                <c:pt idx="177">
                  <c:v>27.06.</c:v>
                </c:pt>
                <c:pt idx="178">
                  <c:v>28.06.</c:v>
                </c:pt>
                <c:pt idx="179">
                  <c:v>29.06.</c:v>
                </c:pt>
                <c:pt idx="180">
                  <c:v>30.06.</c:v>
                </c:pt>
              </c:strCache>
            </c:strRef>
          </c:cat>
          <c:val>
            <c:numRef>
              <c:f>'4.3'!$C$5:$C$185</c:f>
              <c:numCache>
                <c:formatCode>#,##0</c:formatCode>
                <c:ptCount val="181"/>
                <c:pt idx="0">
                  <c:v>16799</c:v>
                </c:pt>
                <c:pt idx="1">
                  <c:v>16619</c:v>
                </c:pt>
                <c:pt idx="2">
                  <c:v>16481</c:v>
                </c:pt>
                <c:pt idx="3">
                  <c:v>23210</c:v>
                </c:pt>
                <c:pt idx="4">
                  <c:v>28633</c:v>
                </c:pt>
                <c:pt idx="5">
                  <c:v>30907</c:v>
                </c:pt>
                <c:pt idx="6">
                  <c:v>32599</c:v>
                </c:pt>
                <c:pt idx="7">
                  <c:v>33841</c:v>
                </c:pt>
                <c:pt idx="8">
                  <c:v>31394</c:v>
                </c:pt>
                <c:pt idx="9">
                  <c:v>30892</c:v>
                </c:pt>
                <c:pt idx="10">
                  <c:v>33366</c:v>
                </c:pt>
                <c:pt idx="11">
                  <c:v>33536</c:v>
                </c:pt>
                <c:pt idx="12">
                  <c:v>34345</c:v>
                </c:pt>
                <c:pt idx="13">
                  <c:v>34432</c:v>
                </c:pt>
                <c:pt idx="14">
                  <c:v>35026</c:v>
                </c:pt>
                <c:pt idx="15">
                  <c:v>30948</c:v>
                </c:pt>
                <c:pt idx="16">
                  <c:v>30243</c:v>
                </c:pt>
                <c:pt idx="17">
                  <c:v>30331</c:v>
                </c:pt>
                <c:pt idx="18">
                  <c:v>29328</c:v>
                </c:pt>
                <c:pt idx="19">
                  <c:v>29661</c:v>
                </c:pt>
                <c:pt idx="20">
                  <c:v>29930</c:v>
                </c:pt>
                <c:pt idx="21">
                  <c:v>30127</c:v>
                </c:pt>
                <c:pt idx="22">
                  <c:v>26841</c:v>
                </c:pt>
                <c:pt idx="23">
                  <c:v>26139</c:v>
                </c:pt>
                <c:pt idx="24">
                  <c:v>26984</c:v>
                </c:pt>
                <c:pt idx="25">
                  <c:v>26597</c:v>
                </c:pt>
                <c:pt idx="26">
                  <c:v>27490</c:v>
                </c:pt>
                <c:pt idx="27">
                  <c:v>27887</c:v>
                </c:pt>
                <c:pt idx="28">
                  <c:v>27974</c:v>
                </c:pt>
                <c:pt idx="29">
                  <c:v>25254</c:v>
                </c:pt>
                <c:pt idx="30">
                  <c:v>24675</c:v>
                </c:pt>
                <c:pt idx="31">
                  <c:v>24765</c:v>
                </c:pt>
                <c:pt idx="32">
                  <c:v>24838</c:v>
                </c:pt>
                <c:pt idx="33">
                  <c:v>25867</c:v>
                </c:pt>
                <c:pt idx="34">
                  <c:v>26658</c:v>
                </c:pt>
                <c:pt idx="35">
                  <c:v>27532</c:v>
                </c:pt>
                <c:pt idx="36">
                  <c:v>24771</c:v>
                </c:pt>
                <c:pt idx="37">
                  <c:v>24223</c:v>
                </c:pt>
                <c:pt idx="38">
                  <c:v>25943</c:v>
                </c:pt>
                <c:pt idx="39">
                  <c:v>26131</c:v>
                </c:pt>
                <c:pt idx="40">
                  <c:v>27436</c:v>
                </c:pt>
                <c:pt idx="41">
                  <c:v>28302</c:v>
                </c:pt>
                <c:pt idx="42">
                  <c:v>29432</c:v>
                </c:pt>
                <c:pt idx="43">
                  <c:v>26629</c:v>
                </c:pt>
                <c:pt idx="44">
                  <c:v>26020</c:v>
                </c:pt>
                <c:pt idx="45">
                  <c:v>28058</c:v>
                </c:pt>
                <c:pt idx="46">
                  <c:v>28494</c:v>
                </c:pt>
                <c:pt idx="47">
                  <c:v>29926</c:v>
                </c:pt>
                <c:pt idx="48">
                  <c:v>31873</c:v>
                </c:pt>
                <c:pt idx="49">
                  <c:v>33230</c:v>
                </c:pt>
                <c:pt idx="50">
                  <c:v>30180</c:v>
                </c:pt>
                <c:pt idx="51">
                  <c:v>29481</c:v>
                </c:pt>
                <c:pt idx="52">
                  <c:v>33140</c:v>
                </c:pt>
                <c:pt idx="53">
                  <c:v>34688</c:v>
                </c:pt>
                <c:pt idx="54">
                  <c:v>37112</c:v>
                </c:pt>
                <c:pt idx="55">
                  <c:v>38705</c:v>
                </c:pt>
                <c:pt idx="56">
                  <c:v>40648</c:v>
                </c:pt>
                <c:pt idx="57">
                  <c:v>37291</c:v>
                </c:pt>
                <c:pt idx="58">
                  <c:v>36547</c:v>
                </c:pt>
                <c:pt idx="59">
                  <c:v>39108</c:v>
                </c:pt>
                <c:pt idx="60">
                  <c:v>40497</c:v>
                </c:pt>
                <c:pt idx="61">
                  <c:v>43190</c:v>
                </c:pt>
                <c:pt idx="62">
                  <c:v>44028</c:v>
                </c:pt>
                <c:pt idx="63">
                  <c:v>47263</c:v>
                </c:pt>
                <c:pt idx="64">
                  <c:v>43648</c:v>
                </c:pt>
                <c:pt idx="65">
                  <c:v>42980</c:v>
                </c:pt>
                <c:pt idx="66">
                  <c:v>41892</c:v>
                </c:pt>
                <c:pt idx="67">
                  <c:v>47673</c:v>
                </c:pt>
                <c:pt idx="68">
                  <c:v>48245</c:v>
                </c:pt>
                <c:pt idx="69">
                  <c:v>50515</c:v>
                </c:pt>
                <c:pt idx="70">
                  <c:v>51866</c:v>
                </c:pt>
                <c:pt idx="71">
                  <c:v>48712</c:v>
                </c:pt>
                <c:pt idx="72">
                  <c:v>48357</c:v>
                </c:pt>
                <c:pt idx="73">
                  <c:v>50242</c:v>
                </c:pt>
                <c:pt idx="74">
                  <c:v>49329</c:v>
                </c:pt>
                <c:pt idx="75">
                  <c:v>49012</c:v>
                </c:pt>
                <c:pt idx="76">
                  <c:v>48504</c:v>
                </c:pt>
                <c:pt idx="77">
                  <c:v>48330</c:v>
                </c:pt>
                <c:pt idx="78">
                  <c:v>44418</c:v>
                </c:pt>
                <c:pt idx="79">
                  <c:v>43910</c:v>
                </c:pt>
                <c:pt idx="80">
                  <c:v>44339</c:v>
                </c:pt>
                <c:pt idx="81">
                  <c:v>42648</c:v>
                </c:pt>
                <c:pt idx="82">
                  <c:v>41683</c:v>
                </c:pt>
                <c:pt idx="83">
                  <c:v>40611</c:v>
                </c:pt>
                <c:pt idx="84">
                  <c:v>40017</c:v>
                </c:pt>
                <c:pt idx="85">
                  <c:v>36466</c:v>
                </c:pt>
                <c:pt idx="86">
                  <c:v>36031</c:v>
                </c:pt>
                <c:pt idx="87">
                  <c:v>36136</c:v>
                </c:pt>
                <c:pt idx="88">
                  <c:v>34182</c:v>
                </c:pt>
                <c:pt idx="89">
                  <c:v>33072</c:v>
                </c:pt>
                <c:pt idx="90">
                  <c:v>30636</c:v>
                </c:pt>
                <c:pt idx="91">
                  <c:v>28094</c:v>
                </c:pt>
                <c:pt idx="92">
                  <c:v>27154</c:v>
                </c:pt>
                <c:pt idx="93">
                  <c:v>26800</c:v>
                </c:pt>
                <c:pt idx="94">
                  <c:v>26342</c:v>
                </c:pt>
                <c:pt idx="95">
                  <c:v>27320</c:v>
                </c:pt>
                <c:pt idx="96">
                  <c:v>25239</c:v>
                </c:pt>
                <c:pt idx="97">
                  <c:v>24471</c:v>
                </c:pt>
                <c:pt idx="98">
                  <c:v>24253</c:v>
                </c:pt>
                <c:pt idx="99">
                  <c:v>22231</c:v>
                </c:pt>
                <c:pt idx="100">
                  <c:v>21979</c:v>
                </c:pt>
                <c:pt idx="101">
                  <c:v>22006</c:v>
                </c:pt>
                <c:pt idx="102">
                  <c:v>20933</c:v>
                </c:pt>
                <c:pt idx="103">
                  <c:v>20306</c:v>
                </c:pt>
                <c:pt idx="104">
                  <c:v>19408</c:v>
                </c:pt>
                <c:pt idx="105">
                  <c:v>19314</c:v>
                </c:pt>
                <c:pt idx="106">
                  <c:v>18125</c:v>
                </c:pt>
                <c:pt idx="107">
                  <c:v>17925</c:v>
                </c:pt>
                <c:pt idx="108">
                  <c:v>18102</c:v>
                </c:pt>
                <c:pt idx="109">
                  <c:v>17967</c:v>
                </c:pt>
                <c:pt idx="110">
                  <c:v>17285</c:v>
                </c:pt>
                <c:pt idx="111">
                  <c:v>16859</c:v>
                </c:pt>
                <c:pt idx="112">
                  <c:v>16735</c:v>
                </c:pt>
                <c:pt idx="113">
                  <c:v>15506</c:v>
                </c:pt>
                <c:pt idx="114">
                  <c:v>15317</c:v>
                </c:pt>
                <c:pt idx="115">
                  <c:v>15482</c:v>
                </c:pt>
                <c:pt idx="116">
                  <c:v>15100</c:v>
                </c:pt>
                <c:pt idx="117">
                  <c:v>14761</c:v>
                </c:pt>
                <c:pt idx="118">
                  <c:v>14479</c:v>
                </c:pt>
                <c:pt idx="119">
                  <c:v>14186</c:v>
                </c:pt>
                <c:pt idx="120">
                  <c:v>12670</c:v>
                </c:pt>
                <c:pt idx="121">
                  <c:v>12547</c:v>
                </c:pt>
                <c:pt idx="122">
                  <c:v>12711</c:v>
                </c:pt>
                <c:pt idx="123">
                  <c:v>12221</c:v>
                </c:pt>
                <c:pt idx="124">
                  <c:v>11982</c:v>
                </c:pt>
                <c:pt idx="125">
                  <c:v>11720</c:v>
                </c:pt>
                <c:pt idx="126">
                  <c:v>11535</c:v>
                </c:pt>
                <c:pt idx="127">
                  <c:v>10688</c:v>
                </c:pt>
                <c:pt idx="128">
                  <c:v>10560</c:v>
                </c:pt>
                <c:pt idx="129">
                  <c:v>10653</c:v>
                </c:pt>
                <c:pt idx="130">
                  <c:v>10210</c:v>
                </c:pt>
                <c:pt idx="131">
                  <c:v>9969</c:v>
                </c:pt>
                <c:pt idx="132">
                  <c:v>9758</c:v>
                </c:pt>
                <c:pt idx="133">
                  <c:v>9597</c:v>
                </c:pt>
                <c:pt idx="134">
                  <c:v>8869</c:v>
                </c:pt>
                <c:pt idx="135">
                  <c:v>8788</c:v>
                </c:pt>
                <c:pt idx="136">
                  <c:v>8717</c:v>
                </c:pt>
                <c:pt idx="137">
                  <c:v>8353</c:v>
                </c:pt>
                <c:pt idx="138">
                  <c:v>8074</c:v>
                </c:pt>
                <c:pt idx="139">
                  <c:v>7849</c:v>
                </c:pt>
                <c:pt idx="140">
                  <c:v>7685</c:v>
                </c:pt>
                <c:pt idx="141">
                  <c:v>7178</c:v>
                </c:pt>
                <c:pt idx="142">
                  <c:v>7108</c:v>
                </c:pt>
                <c:pt idx="143">
                  <c:v>6979</c:v>
                </c:pt>
                <c:pt idx="144">
                  <c:v>6660</c:v>
                </c:pt>
                <c:pt idx="145">
                  <c:v>6388</c:v>
                </c:pt>
                <c:pt idx="146">
                  <c:v>6147</c:v>
                </c:pt>
                <c:pt idx="147">
                  <c:v>5952</c:v>
                </c:pt>
                <c:pt idx="148">
                  <c:v>5555</c:v>
                </c:pt>
                <c:pt idx="149">
                  <c:v>5496</c:v>
                </c:pt>
                <c:pt idx="150">
                  <c:v>5385</c:v>
                </c:pt>
                <c:pt idx="151">
                  <c:v>4799</c:v>
                </c:pt>
                <c:pt idx="152">
                  <c:v>4642</c:v>
                </c:pt>
                <c:pt idx="153">
                  <c:v>4503</c:v>
                </c:pt>
                <c:pt idx="154">
                  <c:v>4454</c:v>
                </c:pt>
                <c:pt idx="155">
                  <c:v>4179</c:v>
                </c:pt>
                <c:pt idx="156">
                  <c:v>4137</c:v>
                </c:pt>
                <c:pt idx="157">
                  <c:v>4051</c:v>
                </c:pt>
                <c:pt idx="158">
                  <c:v>3865</c:v>
                </c:pt>
                <c:pt idx="159">
                  <c:v>3730</c:v>
                </c:pt>
                <c:pt idx="160">
                  <c:v>3687</c:v>
                </c:pt>
                <c:pt idx="161">
                  <c:v>3593</c:v>
                </c:pt>
                <c:pt idx="162">
                  <c:v>3430</c:v>
                </c:pt>
                <c:pt idx="163">
                  <c:v>3412</c:v>
                </c:pt>
                <c:pt idx="164">
                  <c:v>3327</c:v>
                </c:pt>
                <c:pt idx="165">
                  <c:v>3211</c:v>
                </c:pt>
                <c:pt idx="166">
                  <c:v>3154</c:v>
                </c:pt>
                <c:pt idx="167">
                  <c:v>3038</c:v>
                </c:pt>
                <c:pt idx="168">
                  <c:v>3001</c:v>
                </c:pt>
                <c:pt idx="169">
                  <c:v>2870</c:v>
                </c:pt>
                <c:pt idx="170">
                  <c:v>2858</c:v>
                </c:pt>
                <c:pt idx="171">
                  <c:v>2815</c:v>
                </c:pt>
                <c:pt idx="172">
                  <c:v>2725</c:v>
                </c:pt>
                <c:pt idx="173">
                  <c:v>2644</c:v>
                </c:pt>
                <c:pt idx="174">
                  <c:v>2573</c:v>
                </c:pt>
                <c:pt idx="175">
                  <c:v>2519</c:v>
                </c:pt>
                <c:pt idx="176">
                  <c:v>2425</c:v>
                </c:pt>
                <c:pt idx="177">
                  <c:v>2416</c:v>
                </c:pt>
                <c:pt idx="178">
                  <c:v>2405</c:v>
                </c:pt>
                <c:pt idx="179">
                  <c:v>2362</c:v>
                </c:pt>
                <c:pt idx="180">
                  <c:v>2293</c:v>
                </c:pt>
              </c:numCache>
            </c:numRef>
          </c:val>
          <c:smooth val="0"/>
          <c:extLst>
            <c:ext xmlns:c16="http://schemas.microsoft.com/office/drawing/2014/chart" uri="{C3380CC4-5D6E-409C-BE32-E72D297353CC}">
              <c16:uniqueId val="{00000001-E1F4-4E36-87C8-D26F91FCE70B}"/>
            </c:ext>
          </c:extLst>
        </c:ser>
        <c:ser>
          <c:idx val="1"/>
          <c:order val="2"/>
          <c:tx>
            <c:strRef>
              <c:f>'4.3'!$D$4</c:f>
              <c:strCache>
                <c:ptCount val="1"/>
                <c:pt idx="0">
                  <c:v> 1. pol. 2022</c:v>
                </c:pt>
              </c:strCache>
            </c:strRef>
          </c:tx>
          <c:spPr>
            <a:ln w="28575" cap="rnd">
              <a:solidFill>
                <a:srgbClr val="4E201E"/>
              </a:solidFill>
              <a:round/>
            </a:ln>
            <a:effectLst/>
          </c:spPr>
          <c:marker>
            <c:symbol val="none"/>
          </c:marker>
          <c:cat>
            <c:strRef>
              <c:f>'4.3'!$A$5:$A$185</c:f>
              <c:strCache>
                <c:ptCount val="181"/>
                <c:pt idx="0">
                  <c:v>01.01.</c:v>
                </c:pt>
                <c:pt idx="1">
                  <c:v>02.01.</c:v>
                </c:pt>
                <c:pt idx="2">
                  <c:v>03.01.</c:v>
                </c:pt>
                <c:pt idx="3">
                  <c:v>04.01.</c:v>
                </c:pt>
                <c:pt idx="4">
                  <c:v>05.01.</c:v>
                </c:pt>
                <c:pt idx="5">
                  <c:v>06.01.</c:v>
                </c:pt>
                <c:pt idx="6">
                  <c:v>07.01.</c:v>
                </c:pt>
                <c:pt idx="7">
                  <c:v>08.01.</c:v>
                </c:pt>
                <c:pt idx="8">
                  <c:v>09.01.</c:v>
                </c:pt>
                <c:pt idx="9">
                  <c:v>10.01.</c:v>
                </c:pt>
                <c:pt idx="10">
                  <c:v>11.01.</c:v>
                </c:pt>
                <c:pt idx="11">
                  <c:v>12.01.</c:v>
                </c:pt>
                <c:pt idx="12">
                  <c:v>13.01.</c:v>
                </c:pt>
                <c:pt idx="13">
                  <c:v>14.01.</c:v>
                </c:pt>
                <c:pt idx="14">
                  <c:v>15.01.</c:v>
                </c:pt>
                <c:pt idx="15">
                  <c:v>16.01.</c:v>
                </c:pt>
                <c:pt idx="16">
                  <c:v>17.01.</c:v>
                </c:pt>
                <c:pt idx="17">
                  <c:v>18.01.</c:v>
                </c:pt>
                <c:pt idx="18">
                  <c:v>19.01.</c:v>
                </c:pt>
                <c:pt idx="19">
                  <c:v>20.01.</c:v>
                </c:pt>
                <c:pt idx="20">
                  <c:v>21.01.</c:v>
                </c:pt>
                <c:pt idx="21">
                  <c:v>22.01.</c:v>
                </c:pt>
                <c:pt idx="22">
                  <c:v>23.01.</c:v>
                </c:pt>
                <c:pt idx="23">
                  <c:v>24.01.</c:v>
                </c:pt>
                <c:pt idx="24">
                  <c:v>25.01.</c:v>
                </c:pt>
                <c:pt idx="25">
                  <c:v>26.01.</c:v>
                </c:pt>
                <c:pt idx="26">
                  <c:v>27.01.</c:v>
                </c:pt>
                <c:pt idx="27">
                  <c:v>28.01.</c:v>
                </c:pt>
                <c:pt idx="28">
                  <c:v>29.01.</c:v>
                </c:pt>
                <c:pt idx="29">
                  <c:v>30.01.</c:v>
                </c:pt>
                <c:pt idx="30">
                  <c:v>31.01.</c:v>
                </c:pt>
                <c:pt idx="31">
                  <c:v>01.02.</c:v>
                </c:pt>
                <c:pt idx="32">
                  <c:v>02.02.</c:v>
                </c:pt>
                <c:pt idx="33">
                  <c:v>03.02.</c:v>
                </c:pt>
                <c:pt idx="34">
                  <c:v>04.02.</c:v>
                </c:pt>
                <c:pt idx="35">
                  <c:v>05.02.</c:v>
                </c:pt>
                <c:pt idx="36">
                  <c:v>06.02.</c:v>
                </c:pt>
                <c:pt idx="37">
                  <c:v>07.02.</c:v>
                </c:pt>
                <c:pt idx="38">
                  <c:v>08.02.</c:v>
                </c:pt>
                <c:pt idx="39">
                  <c:v>09.02.</c:v>
                </c:pt>
                <c:pt idx="40">
                  <c:v>10.02.</c:v>
                </c:pt>
                <c:pt idx="41">
                  <c:v>11.02.</c:v>
                </c:pt>
                <c:pt idx="42">
                  <c:v>12.02.</c:v>
                </c:pt>
                <c:pt idx="43">
                  <c:v>13.02.</c:v>
                </c:pt>
                <c:pt idx="44">
                  <c:v>14.02.</c:v>
                </c:pt>
                <c:pt idx="45">
                  <c:v>15.02.</c:v>
                </c:pt>
                <c:pt idx="46">
                  <c:v>16.02.</c:v>
                </c:pt>
                <c:pt idx="47">
                  <c:v>17.02.</c:v>
                </c:pt>
                <c:pt idx="48">
                  <c:v>18.02.</c:v>
                </c:pt>
                <c:pt idx="49">
                  <c:v>19.02.</c:v>
                </c:pt>
                <c:pt idx="50">
                  <c:v>20.02.</c:v>
                </c:pt>
                <c:pt idx="51">
                  <c:v>21.02.</c:v>
                </c:pt>
                <c:pt idx="52">
                  <c:v>22.02.</c:v>
                </c:pt>
                <c:pt idx="53">
                  <c:v>23.02.</c:v>
                </c:pt>
                <c:pt idx="54">
                  <c:v>24.02.</c:v>
                </c:pt>
                <c:pt idx="55">
                  <c:v>25.02.</c:v>
                </c:pt>
                <c:pt idx="56">
                  <c:v>26.02.</c:v>
                </c:pt>
                <c:pt idx="57">
                  <c:v>27.02.</c:v>
                </c:pt>
                <c:pt idx="58">
                  <c:v>28.02.</c:v>
                </c:pt>
                <c:pt idx="59">
                  <c:v>01.03.</c:v>
                </c:pt>
                <c:pt idx="60">
                  <c:v>02.03.</c:v>
                </c:pt>
                <c:pt idx="61">
                  <c:v>03.03.</c:v>
                </c:pt>
                <c:pt idx="62">
                  <c:v>04.03.</c:v>
                </c:pt>
                <c:pt idx="63">
                  <c:v>05.03.</c:v>
                </c:pt>
                <c:pt idx="64">
                  <c:v>06.03.</c:v>
                </c:pt>
                <c:pt idx="65">
                  <c:v>07.03.</c:v>
                </c:pt>
                <c:pt idx="66">
                  <c:v>08.03.</c:v>
                </c:pt>
                <c:pt idx="67">
                  <c:v>09.03.</c:v>
                </c:pt>
                <c:pt idx="68">
                  <c:v>10.03.</c:v>
                </c:pt>
                <c:pt idx="69">
                  <c:v>11.03.</c:v>
                </c:pt>
                <c:pt idx="70">
                  <c:v>12.03.</c:v>
                </c:pt>
                <c:pt idx="71">
                  <c:v>13.03.</c:v>
                </c:pt>
                <c:pt idx="72">
                  <c:v>14.03.</c:v>
                </c:pt>
                <c:pt idx="73">
                  <c:v>15.03.</c:v>
                </c:pt>
                <c:pt idx="74">
                  <c:v>16.03.</c:v>
                </c:pt>
                <c:pt idx="75">
                  <c:v>17.03.</c:v>
                </c:pt>
                <c:pt idx="76">
                  <c:v>18.03.</c:v>
                </c:pt>
                <c:pt idx="77">
                  <c:v>19.03.</c:v>
                </c:pt>
                <c:pt idx="78">
                  <c:v>20.03.</c:v>
                </c:pt>
                <c:pt idx="79">
                  <c:v>21.03.</c:v>
                </c:pt>
                <c:pt idx="80">
                  <c:v>22.03.</c:v>
                </c:pt>
                <c:pt idx="81">
                  <c:v>23.03.</c:v>
                </c:pt>
                <c:pt idx="82">
                  <c:v>24.03.</c:v>
                </c:pt>
                <c:pt idx="83">
                  <c:v>25.03.</c:v>
                </c:pt>
                <c:pt idx="84">
                  <c:v>26.03.</c:v>
                </c:pt>
                <c:pt idx="85">
                  <c:v>27.03.</c:v>
                </c:pt>
                <c:pt idx="86">
                  <c:v>28.03.</c:v>
                </c:pt>
                <c:pt idx="87">
                  <c:v>29.03.</c:v>
                </c:pt>
                <c:pt idx="88">
                  <c:v>30.03.</c:v>
                </c:pt>
                <c:pt idx="89">
                  <c:v>31.03.</c:v>
                </c:pt>
                <c:pt idx="90">
                  <c:v>01.04.</c:v>
                </c:pt>
                <c:pt idx="91">
                  <c:v>02.04.</c:v>
                </c:pt>
                <c:pt idx="92">
                  <c:v>03.04.</c:v>
                </c:pt>
                <c:pt idx="93">
                  <c:v>04.04.</c:v>
                </c:pt>
                <c:pt idx="94">
                  <c:v>05.04.</c:v>
                </c:pt>
                <c:pt idx="95">
                  <c:v>06.04.</c:v>
                </c:pt>
                <c:pt idx="96">
                  <c:v>07.04.</c:v>
                </c:pt>
                <c:pt idx="97">
                  <c:v>08.04.</c:v>
                </c:pt>
                <c:pt idx="98">
                  <c:v>09.04.</c:v>
                </c:pt>
                <c:pt idx="99">
                  <c:v>10.04.</c:v>
                </c:pt>
                <c:pt idx="100">
                  <c:v>11.04.</c:v>
                </c:pt>
                <c:pt idx="101">
                  <c:v>12.04.</c:v>
                </c:pt>
                <c:pt idx="102">
                  <c:v>13.04.</c:v>
                </c:pt>
                <c:pt idx="103">
                  <c:v>14.04.</c:v>
                </c:pt>
                <c:pt idx="104">
                  <c:v>15.04.</c:v>
                </c:pt>
                <c:pt idx="105">
                  <c:v>16.04.</c:v>
                </c:pt>
                <c:pt idx="106">
                  <c:v>17.04.</c:v>
                </c:pt>
                <c:pt idx="107">
                  <c:v>18.04.</c:v>
                </c:pt>
                <c:pt idx="108">
                  <c:v>19.04.</c:v>
                </c:pt>
                <c:pt idx="109">
                  <c:v>20.04.</c:v>
                </c:pt>
                <c:pt idx="110">
                  <c:v>21.04.</c:v>
                </c:pt>
                <c:pt idx="111">
                  <c:v>22.04.</c:v>
                </c:pt>
                <c:pt idx="112">
                  <c:v>23.04.</c:v>
                </c:pt>
                <c:pt idx="113">
                  <c:v>24.04.</c:v>
                </c:pt>
                <c:pt idx="114">
                  <c:v>25.04.</c:v>
                </c:pt>
                <c:pt idx="115">
                  <c:v>26.04.</c:v>
                </c:pt>
                <c:pt idx="116">
                  <c:v>27.04.</c:v>
                </c:pt>
                <c:pt idx="117">
                  <c:v>28.04.</c:v>
                </c:pt>
                <c:pt idx="118">
                  <c:v>29.04.</c:v>
                </c:pt>
                <c:pt idx="119">
                  <c:v>30.04.</c:v>
                </c:pt>
                <c:pt idx="120">
                  <c:v>01.05.</c:v>
                </c:pt>
                <c:pt idx="121">
                  <c:v>02.05.</c:v>
                </c:pt>
                <c:pt idx="122">
                  <c:v>03.05.</c:v>
                </c:pt>
                <c:pt idx="123">
                  <c:v>04.05.</c:v>
                </c:pt>
                <c:pt idx="124">
                  <c:v>05.05.</c:v>
                </c:pt>
                <c:pt idx="125">
                  <c:v>06.05.</c:v>
                </c:pt>
                <c:pt idx="126">
                  <c:v>07.05.</c:v>
                </c:pt>
                <c:pt idx="127">
                  <c:v>08.05.</c:v>
                </c:pt>
                <c:pt idx="128">
                  <c:v>09.05.</c:v>
                </c:pt>
                <c:pt idx="129">
                  <c:v>10.05.</c:v>
                </c:pt>
                <c:pt idx="130">
                  <c:v>11.05.</c:v>
                </c:pt>
                <c:pt idx="131">
                  <c:v>12.05.</c:v>
                </c:pt>
                <c:pt idx="132">
                  <c:v>13.05.</c:v>
                </c:pt>
                <c:pt idx="133">
                  <c:v>14.05.</c:v>
                </c:pt>
                <c:pt idx="134">
                  <c:v>15.05.</c:v>
                </c:pt>
                <c:pt idx="135">
                  <c:v>16.05.</c:v>
                </c:pt>
                <c:pt idx="136">
                  <c:v>17.05.</c:v>
                </c:pt>
                <c:pt idx="137">
                  <c:v>18.05.</c:v>
                </c:pt>
                <c:pt idx="138">
                  <c:v>19.05.</c:v>
                </c:pt>
                <c:pt idx="139">
                  <c:v>20.05.</c:v>
                </c:pt>
                <c:pt idx="140">
                  <c:v>21.05.</c:v>
                </c:pt>
                <c:pt idx="141">
                  <c:v>22.05.</c:v>
                </c:pt>
                <c:pt idx="142">
                  <c:v>23.05.</c:v>
                </c:pt>
                <c:pt idx="143">
                  <c:v>24.05.</c:v>
                </c:pt>
                <c:pt idx="144">
                  <c:v>25.05.</c:v>
                </c:pt>
                <c:pt idx="145">
                  <c:v>26.05.</c:v>
                </c:pt>
                <c:pt idx="146">
                  <c:v>27.05.</c:v>
                </c:pt>
                <c:pt idx="147">
                  <c:v>28.05.</c:v>
                </c:pt>
                <c:pt idx="148">
                  <c:v>29.05.</c:v>
                </c:pt>
                <c:pt idx="149">
                  <c:v>30.05.</c:v>
                </c:pt>
                <c:pt idx="150">
                  <c:v>31.05.</c:v>
                </c:pt>
                <c:pt idx="151">
                  <c:v>01.06.</c:v>
                </c:pt>
                <c:pt idx="152">
                  <c:v>02.06.</c:v>
                </c:pt>
                <c:pt idx="153">
                  <c:v>03.06.</c:v>
                </c:pt>
                <c:pt idx="154">
                  <c:v>04.06.</c:v>
                </c:pt>
                <c:pt idx="155">
                  <c:v>05.06.</c:v>
                </c:pt>
                <c:pt idx="156">
                  <c:v>06.06.</c:v>
                </c:pt>
                <c:pt idx="157">
                  <c:v>07.06.</c:v>
                </c:pt>
                <c:pt idx="158">
                  <c:v>08.06.</c:v>
                </c:pt>
                <c:pt idx="159">
                  <c:v>09.06.</c:v>
                </c:pt>
                <c:pt idx="160">
                  <c:v>10.06.</c:v>
                </c:pt>
                <c:pt idx="161">
                  <c:v>11.06.</c:v>
                </c:pt>
                <c:pt idx="162">
                  <c:v>12.06.</c:v>
                </c:pt>
                <c:pt idx="163">
                  <c:v>13.06.</c:v>
                </c:pt>
                <c:pt idx="164">
                  <c:v>14.06.</c:v>
                </c:pt>
                <c:pt idx="165">
                  <c:v>15.06.</c:v>
                </c:pt>
                <c:pt idx="166">
                  <c:v>16.06.</c:v>
                </c:pt>
                <c:pt idx="167">
                  <c:v>17.06.</c:v>
                </c:pt>
                <c:pt idx="168">
                  <c:v>18.06.</c:v>
                </c:pt>
                <c:pt idx="169">
                  <c:v>19.06.</c:v>
                </c:pt>
                <c:pt idx="170">
                  <c:v>20.06.</c:v>
                </c:pt>
                <c:pt idx="171">
                  <c:v>21.06.</c:v>
                </c:pt>
                <c:pt idx="172">
                  <c:v>22.06.</c:v>
                </c:pt>
                <c:pt idx="173">
                  <c:v>23.06.</c:v>
                </c:pt>
                <c:pt idx="174">
                  <c:v>24.06.</c:v>
                </c:pt>
                <c:pt idx="175">
                  <c:v>25.06.</c:v>
                </c:pt>
                <c:pt idx="176">
                  <c:v>26.06.</c:v>
                </c:pt>
                <c:pt idx="177">
                  <c:v>27.06.</c:v>
                </c:pt>
                <c:pt idx="178">
                  <c:v>28.06.</c:v>
                </c:pt>
                <c:pt idx="179">
                  <c:v>29.06.</c:v>
                </c:pt>
                <c:pt idx="180">
                  <c:v>30.06.</c:v>
                </c:pt>
              </c:strCache>
            </c:strRef>
          </c:cat>
          <c:val>
            <c:numRef>
              <c:f>'4.3'!$D$5:$D$185</c:f>
              <c:numCache>
                <c:formatCode>General</c:formatCode>
                <c:ptCount val="181"/>
                <c:pt idx="0">
                  <c:v>7387</c:v>
                </c:pt>
                <c:pt idx="1">
                  <c:v>7372</c:v>
                </c:pt>
                <c:pt idx="2">
                  <c:v>7572</c:v>
                </c:pt>
                <c:pt idx="3">
                  <c:v>7436</c:v>
                </c:pt>
                <c:pt idx="4">
                  <c:v>7473</c:v>
                </c:pt>
                <c:pt idx="5">
                  <c:v>7537</c:v>
                </c:pt>
                <c:pt idx="6">
                  <c:v>7623</c:v>
                </c:pt>
                <c:pt idx="7">
                  <c:v>7279</c:v>
                </c:pt>
                <c:pt idx="8">
                  <c:v>7249</c:v>
                </c:pt>
                <c:pt idx="9">
                  <c:v>7631</c:v>
                </c:pt>
                <c:pt idx="10">
                  <c:v>7738</c:v>
                </c:pt>
                <c:pt idx="11">
                  <c:v>7925</c:v>
                </c:pt>
                <c:pt idx="12">
                  <c:v>8059</c:v>
                </c:pt>
                <c:pt idx="13">
                  <c:v>8443</c:v>
                </c:pt>
                <c:pt idx="14">
                  <c:v>8004</c:v>
                </c:pt>
                <c:pt idx="15">
                  <c:v>7820</c:v>
                </c:pt>
                <c:pt idx="16">
                  <c:v>9213</c:v>
                </c:pt>
                <c:pt idx="17">
                  <c:v>18149</c:v>
                </c:pt>
                <c:pt idx="18">
                  <c:v>24211</c:v>
                </c:pt>
                <c:pt idx="19">
                  <c:v>31786</c:v>
                </c:pt>
                <c:pt idx="20">
                  <c:v>37940</c:v>
                </c:pt>
                <c:pt idx="21">
                  <c:v>35777</c:v>
                </c:pt>
                <c:pt idx="22">
                  <c:v>32208</c:v>
                </c:pt>
                <c:pt idx="23">
                  <c:v>43205</c:v>
                </c:pt>
                <c:pt idx="24">
                  <c:v>44720</c:v>
                </c:pt>
                <c:pt idx="25">
                  <c:v>45315</c:v>
                </c:pt>
                <c:pt idx="26">
                  <c:v>52539</c:v>
                </c:pt>
                <c:pt idx="27">
                  <c:v>61377</c:v>
                </c:pt>
                <c:pt idx="28">
                  <c:v>56731</c:v>
                </c:pt>
                <c:pt idx="29">
                  <c:v>55682</c:v>
                </c:pt>
                <c:pt idx="30">
                  <c:v>50331</c:v>
                </c:pt>
                <c:pt idx="31">
                  <c:v>60041</c:v>
                </c:pt>
                <c:pt idx="32">
                  <c:v>56219</c:v>
                </c:pt>
                <c:pt idx="33">
                  <c:v>61079</c:v>
                </c:pt>
                <c:pt idx="34">
                  <c:v>68493</c:v>
                </c:pt>
                <c:pt idx="35">
                  <c:v>63850</c:v>
                </c:pt>
                <c:pt idx="36">
                  <c:v>47068</c:v>
                </c:pt>
                <c:pt idx="37">
                  <c:v>50899</c:v>
                </c:pt>
                <c:pt idx="38">
                  <c:v>52018</c:v>
                </c:pt>
                <c:pt idx="39">
                  <c:v>46031</c:v>
                </c:pt>
                <c:pt idx="40">
                  <c:v>49291</c:v>
                </c:pt>
                <c:pt idx="41">
                  <c:v>53307</c:v>
                </c:pt>
                <c:pt idx="42">
                  <c:v>49499</c:v>
                </c:pt>
                <c:pt idx="43">
                  <c:v>35429</c:v>
                </c:pt>
                <c:pt idx="44">
                  <c:v>37280</c:v>
                </c:pt>
                <c:pt idx="45">
                  <c:v>38337</c:v>
                </c:pt>
                <c:pt idx="46">
                  <c:v>33296</c:v>
                </c:pt>
                <c:pt idx="47">
                  <c:v>35495</c:v>
                </c:pt>
                <c:pt idx="48">
                  <c:v>37242</c:v>
                </c:pt>
                <c:pt idx="49">
                  <c:v>34380</c:v>
                </c:pt>
                <c:pt idx="50">
                  <c:v>24089</c:v>
                </c:pt>
                <c:pt idx="51">
                  <c:v>18486</c:v>
                </c:pt>
                <c:pt idx="52">
                  <c:v>14699</c:v>
                </c:pt>
                <c:pt idx="53">
                  <c:v>8663</c:v>
                </c:pt>
                <c:pt idx="54">
                  <c:v>6711</c:v>
                </c:pt>
                <c:pt idx="55">
                  <c:v>6385</c:v>
                </c:pt>
                <c:pt idx="56">
                  <c:v>6144</c:v>
                </c:pt>
                <c:pt idx="57">
                  <c:v>6131</c:v>
                </c:pt>
                <c:pt idx="58">
                  <c:v>5814</c:v>
                </c:pt>
                <c:pt idx="59">
                  <c:v>5396</c:v>
                </c:pt>
                <c:pt idx="60">
                  <c:v>5083</c:v>
                </c:pt>
                <c:pt idx="61">
                  <c:v>4864</c:v>
                </c:pt>
                <c:pt idx="62">
                  <c:v>4687</c:v>
                </c:pt>
                <c:pt idx="63">
                  <c:v>4567</c:v>
                </c:pt>
                <c:pt idx="64">
                  <c:v>4560</c:v>
                </c:pt>
                <c:pt idx="65">
                  <c:v>4430</c:v>
                </c:pt>
                <c:pt idx="66">
                  <c:v>4274</c:v>
                </c:pt>
                <c:pt idx="67">
                  <c:v>4149</c:v>
                </c:pt>
                <c:pt idx="68">
                  <c:v>4024</c:v>
                </c:pt>
                <c:pt idx="69">
                  <c:v>3940</c:v>
                </c:pt>
                <c:pt idx="70">
                  <c:v>3874</c:v>
                </c:pt>
                <c:pt idx="71">
                  <c:v>3872</c:v>
                </c:pt>
                <c:pt idx="72">
                  <c:v>3773</c:v>
                </c:pt>
                <c:pt idx="73">
                  <c:v>3701</c:v>
                </c:pt>
                <c:pt idx="74">
                  <c:v>3600</c:v>
                </c:pt>
                <c:pt idx="75">
                  <c:v>3504</c:v>
                </c:pt>
                <c:pt idx="76">
                  <c:v>3434</c:v>
                </c:pt>
                <c:pt idx="77">
                  <c:v>3370</c:v>
                </c:pt>
                <c:pt idx="78">
                  <c:v>3367</c:v>
                </c:pt>
                <c:pt idx="79">
                  <c:v>3270</c:v>
                </c:pt>
                <c:pt idx="80">
                  <c:v>3184</c:v>
                </c:pt>
                <c:pt idx="81">
                  <c:v>3131</c:v>
                </c:pt>
                <c:pt idx="82">
                  <c:v>3075</c:v>
                </c:pt>
                <c:pt idx="83">
                  <c:v>3002</c:v>
                </c:pt>
                <c:pt idx="84">
                  <c:v>2945</c:v>
                </c:pt>
                <c:pt idx="85">
                  <c:v>2944</c:v>
                </c:pt>
                <c:pt idx="86">
                  <c:v>2866</c:v>
                </c:pt>
                <c:pt idx="87">
                  <c:v>2825</c:v>
                </c:pt>
                <c:pt idx="88">
                  <c:v>2719</c:v>
                </c:pt>
                <c:pt idx="89">
                  <c:v>2677</c:v>
                </c:pt>
                <c:pt idx="90">
                  <c:v>2601</c:v>
                </c:pt>
                <c:pt idx="91">
                  <c:v>2558</c:v>
                </c:pt>
                <c:pt idx="92">
                  <c:v>2554</c:v>
                </c:pt>
                <c:pt idx="93">
                  <c:v>2534</c:v>
                </c:pt>
                <c:pt idx="94">
                  <c:v>2507</c:v>
                </c:pt>
                <c:pt idx="95">
                  <c:v>2441</c:v>
                </c:pt>
                <c:pt idx="96">
                  <c:v>2397</c:v>
                </c:pt>
                <c:pt idx="97">
                  <c:v>2369</c:v>
                </c:pt>
                <c:pt idx="98">
                  <c:v>2329</c:v>
                </c:pt>
                <c:pt idx="99">
                  <c:v>2328</c:v>
                </c:pt>
                <c:pt idx="100">
                  <c:v>2296</c:v>
                </c:pt>
                <c:pt idx="101">
                  <c:v>2255</c:v>
                </c:pt>
                <c:pt idx="102">
                  <c:v>2229</c:v>
                </c:pt>
                <c:pt idx="103">
                  <c:v>2077</c:v>
                </c:pt>
                <c:pt idx="104">
                  <c:v>2027</c:v>
                </c:pt>
                <c:pt idx="105">
                  <c:v>2019</c:v>
                </c:pt>
                <c:pt idx="106">
                  <c:v>2017</c:v>
                </c:pt>
                <c:pt idx="107">
                  <c:v>2013</c:v>
                </c:pt>
                <c:pt idx="108">
                  <c:v>1928</c:v>
                </c:pt>
                <c:pt idx="109">
                  <c:v>1893</c:v>
                </c:pt>
                <c:pt idx="110">
                  <c:v>1835</c:v>
                </c:pt>
                <c:pt idx="111">
                  <c:v>1758</c:v>
                </c:pt>
                <c:pt idx="112">
                  <c:v>1695</c:v>
                </c:pt>
                <c:pt idx="113">
                  <c:v>1695</c:v>
                </c:pt>
                <c:pt idx="114">
                  <c:v>1676</c:v>
                </c:pt>
                <c:pt idx="115">
                  <c:v>1650</c:v>
                </c:pt>
                <c:pt idx="116">
                  <c:v>1599</c:v>
                </c:pt>
                <c:pt idx="117">
                  <c:v>1576</c:v>
                </c:pt>
                <c:pt idx="118">
                  <c:v>1555</c:v>
                </c:pt>
                <c:pt idx="119">
                  <c:v>1536</c:v>
                </c:pt>
                <c:pt idx="120">
                  <c:v>1528</c:v>
                </c:pt>
                <c:pt idx="121">
                  <c:v>1501</c:v>
                </c:pt>
                <c:pt idx="122">
                  <c:v>1481</c:v>
                </c:pt>
                <c:pt idx="123">
                  <c:v>1456</c:v>
                </c:pt>
                <c:pt idx="124">
                  <c:v>1437</c:v>
                </c:pt>
                <c:pt idx="125">
                  <c:v>1422</c:v>
                </c:pt>
                <c:pt idx="126">
                  <c:v>1414</c:v>
                </c:pt>
                <c:pt idx="127">
                  <c:v>1414</c:v>
                </c:pt>
                <c:pt idx="128">
                  <c:v>1397</c:v>
                </c:pt>
                <c:pt idx="129">
                  <c:v>1383</c:v>
                </c:pt>
                <c:pt idx="130">
                  <c:v>1372</c:v>
                </c:pt>
                <c:pt idx="131">
                  <c:v>1361</c:v>
                </c:pt>
                <c:pt idx="132">
                  <c:v>1338</c:v>
                </c:pt>
                <c:pt idx="133">
                  <c:v>1328</c:v>
                </c:pt>
                <c:pt idx="134">
                  <c:v>1328</c:v>
                </c:pt>
                <c:pt idx="135">
                  <c:v>1318</c:v>
                </c:pt>
                <c:pt idx="136">
                  <c:v>1222</c:v>
                </c:pt>
                <c:pt idx="137">
                  <c:v>1166</c:v>
                </c:pt>
                <c:pt idx="138">
                  <c:v>1154</c:v>
                </c:pt>
                <c:pt idx="139">
                  <c:v>1150</c:v>
                </c:pt>
                <c:pt idx="140">
                  <c:v>1147</c:v>
                </c:pt>
                <c:pt idx="141">
                  <c:v>1147</c:v>
                </c:pt>
                <c:pt idx="142">
                  <c:v>1146</c:v>
                </c:pt>
                <c:pt idx="143">
                  <c:v>1139</c:v>
                </c:pt>
                <c:pt idx="144">
                  <c:v>1126</c:v>
                </c:pt>
                <c:pt idx="145">
                  <c:v>1118</c:v>
                </c:pt>
                <c:pt idx="146">
                  <c:v>1108</c:v>
                </c:pt>
                <c:pt idx="147">
                  <c:v>1103</c:v>
                </c:pt>
                <c:pt idx="148">
                  <c:v>1103</c:v>
                </c:pt>
                <c:pt idx="149">
                  <c:v>1086</c:v>
                </c:pt>
                <c:pt idx="150">
                  <c:v>1068</c:v>
                </c:pt>
                <c:pt idx="151">
                  <c:v>1061</c:v>
                </c:pt>
                <c:pt idx="152">
                  <c:v>1053</c:v>
                </c:pt>
                <c:pt idx="153">
                  <c:v>1050</c:v>
                </c:pt>
                <c:pt idx="154">
                  <c:v>1048</c:v>
                </c:pt>
                <c:pt idx="155">
                  <c:v>1048</c:v>
                </c:pt>
                <c:pt idx="156">
                  <c:v>1048</c:v>
                </c:pt>
                <c:pt idx="157">
                  <c:v>1043</c:v>
                </c:pt>
                <c:pt idx="158">
                  <c:v>1042</c:v>
                </c:pt>
                <c:pt idx="159">
                  <c:v>1019</c:v>
                </c:pt>
                <c:pt idx="160">
                  <c:v>1011</c:v>
                </c:pt>
                <c:pt idx="161">
                  <c:v>1010</c:v>
                </c:pt>
                <c:pt idx="162">
                  <c:v>1010</c:v>
                </c:pt>
                <c:pt idx="163">
                  <c:v>1006</c:v>
                </c:pt>
                <c:pt idx="164">
                  <c:v>993</c:v>
                </c:pt>
                <c:pt idx="165">
                  <c:v>975</c:v>
                </c:pt>
                <c:pt idx="166">
                  <c:v>963</c:v>
                </c:pt>
                <c:pt idx="167">
                  <c:v>955</c:v>
                </c:pt>
                <c:pt idx="168">
                  <c:v>950</c:v>
                </c:pt>
                <c:pt idx="169">
                  <c:v>950</c:v>
                </c:pt>
                <c:pt idx="170">
                  <c:v>947</c:v>
                </c:pt>
                <c:pt idx="171">
                  <c:v>953</c:v>
                </c:pt>
                <c:pt idx="172">
                  <c:v>952</c:v>
                </c:pt>
                <c:pt idx="173">
                  <c:v>935</c:v>
                </c:pt>
                <c:pt idx="174">
                  <c:v>932</c:v>
                </c:pt>
                <c:pt idx="175">
                  <c:v>927</c:v>
                </c:pt>
                <c:pt idx="176">
                  <c:v>927</c:v>
                </c:pt>
                <c:pt idx="177">
                  <c:v>927</c:v>
                </c:pt>
                <c:pt idx="178">
                  <c:v>925</c:v>
                </c:pt>
                <c:pt idx="179">
                  <c:v>919</c:v>
                </c:pt>
                <c:pt idx="180">
                  <c:v>919</c:v>
                </c:pt>
              </c:numCache>
            </c:numRef>
          </c:val>
          <c:smooth val="0"/>
          <c:extLst>
            <c:ext xmlns:c16="http://schemas.microsoft.com/office/drawing/2014/chart" uri="{C3380CC4-5D6E-409C-BE32-E72D297353CC}">
              <c16:uniqueId val="{00000002-E1F4-4E36-87C8-D26F91FCE70B}"/>
            </c:ext>
          </c:extLst>
        </c:ser>
        <c:dLbls>
          <c:showLegendKey val="0"/>
          <c:showVal val="0"/>
          <c:showCatName val="0"/>
          <c:showSerName val="0"/>
          <c:showPercent val="0"/>
          <c:showBubbleSize val="0"/>
        </c:dLbls>
        <c:smooth val="0"/>
        <c:axId val="666642335"/>
        <c:axId val="666646079"/>
      </c:lineChart>
      <c:catAx>
        <c:axId val="66664233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666646079"/>
        <c:crosses val="autoZero"/>
        <c:auto val="1"/>
        <c:lblAlgn val="ctr"/>
        <c:lblOffset val="100"/>
        <c:tickLblSkip val="7"/>
        <c:tickMarkSkip val="7"/>
        <c:noMultiLvlLbl val="0"/>
      </c:catAx>
      <c:valAx>
        <c:axId val="666646079"/>
        <c:scaling>
          <c:orientation val="minMax"/>
          <c:max val="7000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66664233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2"/>
          <c:order val="0"/>
          <c:tx>
            <c:strRef>
              <c:f>'5.1'!$D$3</c:f>
              <c:strCache>
                <c:ptCount val="1"/>
                <c:pt idx="0">
                  <c:v> celkem</c:v>
                </c:pt>
              </c:strCache>
            </c:strRef>
          </c:tx>
          <c:spPr>
            <a:solidFill>
              <a:srgbClr val="632827"/>
            </a:solidFill>
            <a:ln>
              <a:noFill/>
            </a:ln>
            <a:effectLst/>
          </c:spPr>
          <c:invertIfNegative val="0"/>
          <c:cat>
            <c:strRef>
              <c:f>'5.1'!$A$5:$A$15</c:f>
              <c:strCache>
                <c:ptCount val="11"/>
                <c:pt idx="0">
                  <c:v>1. pol. 
2012</c:v>
                </c:pt>
                <c:pt idx="1">
                  <c:v>1. pol. 
2013</c:v>
                </c:pt>
                <c:pt idx="2">
                  <c:v>1. pol. 
2014</c:v>
                </c:pt>
                <c:pt idx="3">
                  <c:v>1. pol. 
2015</c:v>
                </c:pt>
                <c:pt idx="4">
                  <c:v>1. pol. 
2016</c:v>
                </c:pt>
                <c:pt idx="5">
                  <c:v>1. pol. 
2017</c:v>
                </c:pt>
                <c:pt idx="6">
                  <c:v>1. pol. 
2018</c:v>
                </c:pt>
                <c:pt idx="7">
                  <c:v>1. pol. 2019</c:v>
                </c:pt>
                <c:pt idx="8">
                  <c:v>1. pol. 2020</c:v>
                </c:pt>
                <c:pt idx="9">
                  <c:v>1. pol. 2021</c:v>
                </c:pt>
                <c:pt idx="10">
                  <c:v>1. pol. 2022</c:v>
                </c:pt>
              </c:strCache>
            </c:strRef>
          </c:cat>
          <c:val>
            <c:numRef>
              <c:f>'5.1'!$D$5:$D$15</c:f>
              <c:numCache>
                <c:formatCode>General</c:formatCode>
                <c:ptCount val="11"/>
                <c:pt idx="0">
                  <c:v>478.9395333232564</c:v>
                </c:pt>
                <c:pt idx="1">
                  <c:v>487.87834521775267</c:v>
                </c:pt>
                <c:pt idx="2">
                  <c:v>492.89645888991129</c:v>
                </c:pt>
                <c:pt idx="3">
                  <c:v>511.25499010365996</c:v>
                </c:pt>
                <c:pt idx="4">
                  <c:v>532.16962989560591</c:v>
                </c:pt>
                <c:pt idx="5">
                  <c:v>519.11568041523731</c:v>
                </c:pt>
                <c:pt idx="6">
                  <c:v>499.38566541309012</c:v>
                </c:pt>
                <c:pt idx="7">
                  <c:v>481.91916475226174</c:v>
                </c:pt>
                <c:pt idx="8">
                  <c:v>423.63327682693637</c:v>
                </c:pt>
                <c:pt idx="9">
                  <c:v>479.22548855299397</c:v>
                </c:pt>
                <c:pt idx="10">
                  <c:v>473.69883966480637</c:v>
                </c:pt>
              </c:numCache>
            </c:numRef>
          </c:val>
          <c:extLst>
            <c:ext xmlns:c16="http://schemas.microsoft.com/office/drawing/2014/chart" uri="{C3380CC4-5D6E-409C-BE32-E72D297353CC}">
              <c16:uniqueId val="{00000000-DE24-46FE-BB4B-F7E0DA210FDD}"/>
            </c:ext>
          </c:extLst>
        </c:ser>
        <c:ser>
          <c:idx val="0"/>
          <c:order val="1"/>
          <c:tx>
            <c:strRef>
              <c:f>'5.1'!$B$3</c:f>
              <c:strCache>
                <c:ptCount val="1"/>
                <c:pt idx="0">
                  <c:v> muži</c:v>
                </c:pt>
              </c:strCache>
            </c:strRef>
          </c:tx>
          <c:spPr>
            <a:solidFill>
              <a:srgbClr val="B44946"/>
            </a:solidFill>
            <a:ln>
              <a:noFill/>
            </a:ln>
            <a:effectLst/>
          </c:spPr>
          <c:invertIfNegative val="0"/>
          <c:cat>
            <c:strRef>
              <c:f>'5.1'!$A$5:$A$15</c:f>
              <c:strCache>
                <c:ptCount val="11"/>
                <c:pt idx="0">
                  <c:v>1. pol. 
2012</c:v>
                </c:pt>
                <c:pt idx="1">
                  <c:v>1. pol. 
2013</c:v>
                </c:pt>
                <c:pt idx="2">
                  <c:v>1. pol. 
2014</c:v>
                </c:pt>
                <c:pt idx="3">
                  <c:v>1. pol. 
2015</c:v>
                </c:pt>
                <c:pt idx="4">
                  <c:v>1. pol. 
2016</c:v>
                </c:pt>
                <c:pt idx="5">
                  <c:v>1. pol. 
2017</c:v>
                </c:pt>
                <c:pt idx="6">
                  <c:v>1. pol. 
2018</c:v>
                </c:pt>
                <c:pt idx="7">
                  <c:v>1. pol. 2019</c:v>
                </c:pt>
                <c:pt idx="8">
                  <c:v>1. pol. 2020</c:v>
                </c:pt>
                <c:pt idx="9">
                  <c:v>1. pol. 2021</c:v>
                </c:pt>
                <c:pt idx="10">
                  <c:v>1. pol. 2022</c:v>
                </c:pt>
              </c:strCache>
            </c:strRef>
          </c:cat>
          <c:val>
            <c:numRef>
              <c:f>'5.1'!$B$5:$B$15</c:f>
              <c:numCache>
                <c:formatCode>General</c:formatCode>
                <c:ptCount val="11"/>
                <c:pt idx="0">
                  <c:v>667.92118565265105</c:v>
                </c:pt>
                <c:pt idx="1">
                  <c:v>667.51624087875348</c:v>
                </c:pt>
                <c:pt idx="2">
                  <c:v>678.62362281090054</c:v>
                </c:pt>
                <c:pt idx="3">
                  <c:v>687.72617955433293</c:v>
                </c:pt>
                <c:pt idx="4">
                  <c:v>717.41080554638006</c:v>
                </c:pt>
                <c:pt idx="5">
                  <c:v>698.61964391251627</c:v>
                </c:pt>
                <c:pt idx="6">
                  <c:v>663.88515164799742</c:v>
                </c:pt>
                <c:pt idx="7">
                  <c:v>642.20025870705979</c:v>
                </c:pt>
                <c:pt idx="8">
                  <c:v>584.37284759399131</c:v>
                </c:pt>
                <c:pt idx="9">
                  <c:v>663.35356297287649</c:v>
                </c:pt>
                <c:pt idx="10">
                  <c:v>635.92707285931704</c:v>
                </c:pt>
              </c:numCache>
            </c:numRef>
          </c:val>
          <c:extLst>
            <c:ext xmlns:c16="http://schemas.microsoft.com/office/drawing/2014/chart" uri="{C3380CC4-5D6E-409C-BE32-E72D297353CC}">
              <c16:uniqueId val="{00000001-DE24-46FE-BB4B-F7E0DA210FDD}"/>
            </c:ext>
          </c:extLst>
        </c:ser>
        <c:ser>
          <c:idx val="1"/>
          <c:order val="2"/>
          <c:tx>
            <c:strRef>
              <c:f>'5.1'!$C$3</c:f>
              <c:strCache>
                <c:ptCount val="1"/>
                <c:pt idx="0">
                  <c:v> ženy</c:v>
                </c:pt>
              </c:strCache>
            </c:strRef>
          </c:tx>
          <c:spPr>
            <a:solidFill>
              <a:srgbClr val="F07373"/>
            </a:solidFill>
            <a:ln>
              <a:noFill/>
            </a:ln>
            <a:effectLst/>
          </c:spPr>
          <c:invertIfNegative val="0"/>
          <c:cat>
            <c:strRef>
              <c:f>'5.1'!$A$5:$A$15</c:f>
              <c:strCache>
                <c:ptCount val="11"/>
                <c:pt idx="0">
                  <c:v>1. pol. 
2012</c:v>
                </c:pt>
                <c:pt idx="1">
                  <c:v>1. pol. 
2013</c:v>
                </c:pt>
                <c:pt idx="2">
                  <c:v>1. pol. 
2014</c:v>
                </c:pt>
                <c:pt idx="3">
                  <c:v>1. pol. 
2015</c:v>
                </c:pt>
                <c:pt idx="4">
                  <c:v>1. pol. 
2016</c:v>
                </c:pt>
                <c:pt idx="5">
                  <c:v>1. pol. 
2017</c:v>
                </c:pt>
                <c:pt idx="6">
                  <c:v>1. pol. 
2018</c:v>
                </c:pt>
                <c:pt idx="7">
                  <c:v>1. pol. 2019</c:v>
                </c:pt>
                <c:pt idx="8">
                  <c:v>1. pol. 2020</c:v>
                </c:pt>
                <c:pt idx="9">
                  <c:v>1. pol. 2021</c:v>
                </c:pt>
                <c:pt idx="10">
                  <c:v>1. pol. 2022</c:v>
                </c:pt>
              </c:strCache>
            </c:strRef>
          </c:cat>
          <c:val>
            <c:numRef>
              <c:f>'5.1'!$C$5:$C$15</c:f>
              <c:numCache>
                <c:formatCode>General</c:formatCode>
                <c:ptCount val="11"/>
                <c:pt idx="0">
                  <c:v>283.11950200192888</c:v>
                </c:pt>
                <c:pt idx="1">
                  <c:v>301.5328110148298</c:v>
                </c:pt>
                <c:pt idx="2">
                  <c:v>300.13141138412294</c:v>
                </c:pt>
                <c:pt idx="3">
                  <c:v>327.60070138862903</c:v>
                </c:pt>
                <c:pt idx="4">
                  <c:v>339.86939334899176</c:v>
                </c:pt>
                <c:pt idx="5">
                  <c:v>333.98707277091205</c:v>
                </c:pt>
                <c:pt idx="6">
                  <c:v>331.20799260910331</c:v>
                </c:pt>
                <c:pt idx="7">
                  <c:v>319.17822031976533</c:v>
                </c:pt>
                <c:pt idx="8">
                  <c:v>261.42418098663086</c:v>
                </c:pt>
                <c:pt idx="9">
                  <c:v>294.59994792041869</c:v>
                </c:pt>
                <c:pt idx="10">
                  <c:v>312.73014618820093</c:v>
                </c:pt>
              </c:numCache>
            </c:numRef>
          </c:val>
          <c:extLst>
            <c:ext xmlns:c16="http://schemas.microsoft.com/office/drawing/2014/chart" uri="{C3380CC4-5D6E-409C-BE32-E72D297353CC}">
              <c16:uniqueId val="{00000002-DE24-46FE-BB4B-F7E0DA210FDD}"/>
            </c:ext>
          </c:extLst>
        </c:ser>
        <c:dLbls>
          <c:showLegendKey val="0"/>
          <c:showVal val="0"/>
          <c:showCatName val="0"/>
          <c:showSerName val="0"/>
          <c:showPercent val="0"/>
          <c:showBubbleSize val="0"/>
        </c:dLbls>
        <c:gapWidth val="150"/>
        <c:axId val="1502895791"/>
        <c:axId val="1502899951"/>
      </c:barChart>
      <c:catAx>
        <c:axId val="150289579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502899951"/>
        <c:crosses val="autoZero"/>
        <c:auto val="1"/>
        <c:lblAlgn val="ctr"/>
        <c:lblOffset val="100"/>
        <c:noMultiLvlLbl val="0"/>
      </c:catAx>
      <c:valAx>
        <c:axId val="1502899951"/>
        <c:scaling>
          <c:orientation val="minMax"/>
          <c:max val="8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případů na 100 tis. pojištěnců</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50289579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2194610245207207"/>
          <c:y val="3.3757864047874786E-2"/>
          <c:w val="0.43445041200105228"/>
          <c:h val="0.84822251676112992"/>
        </c:manualLayout>
      </c:layout>
      <c:barChart>
        <c:barDir val="bar"/>
        <c:grouping val="clustered"/>
        <c:varyColors val="0"/>
        <c:ser>
          <c:idx val="0"/>
          <c:order val="0"/>
          <c:spPr>
            <a:solidFill>
              <a:srgbClr val="C46A68"/>
            </a:solidFill>
            <a:ln>
              <a:noFill/>
            </a:ln>
            <a:effectLst/>
          </c:spPr>
          <c:invertIfNegative val="0"/>
          <c:dPt>
            <c:idx val="13"/>
            <c:invertIfNegative val="0"/>
            <c:bubble3D val="0"/>
            <c:spPr>
              <a:solidFill>
                <a:srgbClr val="632827"/>
              </a:solidFill>
              <a:ln>
                <a:noFill/>
              </a:ln>
              <a:effectLst/>
            </c:spPr>
            <c:extLst>
              <c:ext xmlns:c16="http://schemas.microsoft.com/office/drawing/2014/chart" uri="{C3380CC4-5D6E-409C-BE32-E72D297353CC}">
                <c16:uniqueId val="{00000001-54C4-4DB7-9E10-3776B9894D36}"/>
              </c:ext>
            </c:extLst>
          </c:dPt>
          <c:cat>
            <c:strRef>
              <c:f>'5.2'!$A$4:$A$23</c:f>
              <c:strCache>
                <c:ptCount val="20"/>
                <c:pt idx="0">
                  <c:v>K – Peněžnictví a pojišťovnictví</c:v>
                </c:pt>
                <c:pt idx="1">
                  <c:v>J – Informační a komunikační činnosti</c:v>
                </c:pt>
                <c:pt idx="2">
                  <c:v>M – Profesní, vědecké a technické činnosti</c:v>
                </c:pt>
                <c:pt idx="3">
                  <c:v>S – Ostatní činnosti</c:v>
                </c:pt>
                <c:pt idx="4">
                  <c:v>L – Činnosti v oblasti nemovitostí</c:v>
                </c:pt>
                <c:pt idx="5">
                  <c:v>D – Výroba a rozvod elektřiny, plynu, tepla a klimatiz. vzduchu</c:v>
                </c:pt>
                <c:pt idx="6">
                  <c:v>O – Veřejná správa a obrana; povinné sociální zabezpečení</c:v>
                </c:pt>
                <c:pt idx="7">
                  <c:v>P – Vzdělávání</c:v>
                </c:pt>
                <c:pt idx="8">
                  <c:v>R – Kulturní, zábavní a rekreační činnosti</c:v>
                </c:pt>
                <c:pt idx="9">
                  <c:v>Q – Zdravotní a sociální péče</c:v>
                </c:pt>
                <c:pt idx="10">
                  <c:v>I – Ubytování, stravování a pohostinství</c:v>
                </c:pt>
                <c:pt idx="11">
                  <c:v>G – Velkoobchod a maloobchod; opravy a údržba motor. vozidel</c:v>
                </c:pt>
                <c:pt idx="12">
                  <c:v>N – Administrativní a podpůrné činnosti</c:v>
                </c:pt>
                <c:pt idx="13">
                  <c:v>CELKEM</c:v>
                </c:pt>
                <c:pt idx="14">
                  <c:v>F – Stavebnictví</c:v>
                </c:pt>
                <c:pt idx="15">
                  <c:v>H – Doprava a skladování</c:v>
                </c:pt>
                <c:pt idx="16">
                  <c:v>C – Zpracovatelský průmysl</c:v>
                </c:pt>
                <c:pt idx="17">
                  <c:v>E – Zásobování vodou; činnosti související s odpady a sanacemi</c:v>
                </c:pt>
                <c:pt idx="18">
                  <c:v>B – Těžba a dobývání</c:v>
                </c:pt>
                <c:pt idx="19">
                  <c:v>A – Zemědělství, lesnictví, rybářství</c:v>
                </c:pt>
              </c:strCache>
            </c:strRef>
          </c:cat>
          <c:val>
            <c:numRef>
              <c:f>'5.2'!$B$4:$B$23</c:f>
              <c:numCache>
                <c:formatCode>General</c:formatCode>
                <c:ptCount val="20"/>
                <c:pt idx="0">
                  <c:v>31.724581969559193</c:v>
                </c:pt>
                <c:pt idx="1">
                  <c:v>38.536499363666053</c:v>
                </c:pt>
                <c:pt idx="2">
                  <c:v>87.957840332955016</c:v>
                </c:pt>
                <c:pt idx="3">
                  <c:v>187.72738031568832</c:v>
                </c:pt>
                <c:pt idx="4">
                  <c:v>192.36973820189198</c:v>
                </c:pt>
                <c:pt idx="5">
                  <c:v>204.96059344857812</c:v>
                </c:pt>
                <c:pt idx="6">
                  <c:v>228.569405638738</c:v>
                </c:pt>
                <c:pt idx="7">
                  <c:v>248.61488945170404</c:v>
                </c:pt>
                <c:pt idx="8">
                  <c:v>289.92217926010233</c:v>
                </c:pt>
                <c:pt idx="9">
                  <c:v>319.93762330712866</c:v>
                </c:pt>
                <c:pt idx="10">
                  <c:v>338.59163299414496</c:v>
                </c:pt>
                <c:pt idx="11">
                  <c:v>426.98160462555143</c:v>
                </c:pt>
                <c:pt idx="12">
                  <c:v>429.93817190635758</c:v>
                </c:pt>
                <c:pt idx="13">
                  <c:v>473.69883966480637</c:v>
                </c:pt>
                <c:pt idx="14">
                  <c:v>612.66915153834759</c:v>
                </c:pt>
                <c:pt idx="15">
                  <c:v>710.25387232460002</c:v>
                </c:pt>
                <c:pt idx="16">
                  <c:v>736.23939105987836</c:v>
                </c:pt>
                <c:pt idx="17">
                  <c:v>959.38785422810395</c:v>
                </c:pt>
                <c:pt idx="18">
                  <c:v>980.1235527942207</c:v>
                </c:pt>
                <c:pt idx="19">
                  <c:v>1218.3937407263525</c:v>
                </c:pt>
              </c:numCache>
            </c:numRef>
          </c:val>
          <c:extLst>
            <c:ext xmlns:c16="http://schemas.microsoft.com/office/drawing/2014/chart" uri="{C3380CC4-5D6E-409C-BE32-E72D297353CC}">
              <c16:uniqueId val="{00000002-54C4-4DB7-9E10-3776B9894D36}"/>
            </c:ext>
          </c:extLst>
        </c:ser>
        <c:dLbls>
          <c:showLegendKey val="0"/>
          <c:showVal val="0"/>
          <c:showCatName val="0"/>
          <c:showSerName val="0"/>
          <c:showPercent val="0"/>
          <c:showBubbleSize val="0"/>
        </c:dLbls>
        <c:gapWidth val="182"/>
        <c:axId val="1666018287"/>
        <c:axId val="1666019119"/>
      </c:barChart>
      <c:catAx>
        <c:axId val="1666018287"/>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666019119"/>
        <c:crosses val="autoZero"/>
        <c:auto val="1"/>
        <c:lblAlgn val="ctr"/>
        <c:lblOffset val="100"/>
        <c:noMultiLvlLbl val="0"/>
      </c:catAx>
      <c:valAx>
        <c:axId val="1666019119"/>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případů na 100 tis. pojištěnců</a:t>
                </a:r>
              </a:p>
            </c:rich>
          </c:tx>
          <c:layout>
            <c:manualLayout>
              <c:xMode val="edge"/>
              <c:yMode val="edge"/>
              <c:x val="0.58944597286784939"/>
              <c:y val="0.94299914069761337"/>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666018287"/>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207843827828231"/>
          <c:y val="3.7800677056937237E-2"/>
          <c:w val="0.86674597918250884"/>
          <c:h val="0.76118474241814671"/>
        </c:manualLayout>
      </c:layout>
      <c:barChart>
        <c:barDir val="col"/>
        <c:grouping val="clustered"/>
        <c:varyColors val="0"/>
        <c:ser>
          <c:idx val="1"/>
          <c:order val="0"/>
          <c:tx>
            <c:strRef>
              <c:f>'5.3'!$B$3</c:f>
              <c:strCache>
                <c:ptCount val="1"/>
                <c:pt idx="0">
                  <c:v> 1. pol. 2022</c:v>
                </c:pt>
              </c:strCache>
            </c:strRef>
          </c:tx>
          <c:spPr>
            <a:solidFill>
              <a:srgbClr val="4E201E"/>
            </a:solidFill>
            <a:ln>
              <a:noFill/>
            </a:ln>
            <a:effectLst/>
          </c:spPr>
          <c:invertIfNegative val="0"/>
          <c:dPt>
            <c:idx val="11"/>
            <c:invertIfNegative val="0"/>
            <c:bubble3D val="0"/>
            <c:spPr>
              <a:solidFill>
                <a:srgbClr val="4E201E"/>
              </a:solidFill>
              <a:ln w="15875">
                <a:solidFill>
                  <a:srgbClr val="00B0F0"/>
                </a:solidFill>
              </a:ln>
              <a:effectLst/>
            </c:spPr>
            <c:extLst>
              <c:ext xmlns:c16="http://schemas.microsoft.com/office/drawing/2014/chart" uri="{C3380CC4-5D6E-409C-BE32-E72D297353CC}">
                <c16:uniqueId val="{00000001-1347-4184-A424-473B5F35DE1A}"/>
              </c:ext>
            </c:extLst>
          </c:dPt>
          <c:cat>
            <c:strRef>
              <c:f>'5.3'!$F$4:$F$18</c:f>
              <c:strCache>
                <c:ptCount val="15"/>
                <c:pt idx="0">
                  <c:v>VYS</c:v>
                </c:pt>
                <c:pt idx="1">
                  <c:v>PLK</c:v>
                </c:pt>
                <c:pt idx="2">
                  <c:v>JHC</c:v>
                </c:pt>
                <c:pt idx="3">
                  <c:v>KVK</c:v>
                </c:pt>
                <c:pt idx="4">
                  <c:v>ULK</c:v>
                </c:pt>
                <c:pt idx="5">
                  <c:v>PAK</c:v>
                </c:pt>
                <c:pt idx="6">
                  <c:v>HKK</c:v>
                </c:pt>
                <c:pt idx="7">
                  <c:v>ZLK</c:v>
                </c:pt>
                <c:pt idx="8">
                  <c:v>OLK</c:v>
                </c:pt>
                <c:pt idx="9">
                  <c:v>LBK</c:v>
                </c:pt>
                <c:pt idx="10">
                  <c:v>MSK</c:v>
                </c:pt>
                <c:pt idx="11">
                  <c:v>ČR</c:v>
                </c:pt>
                <c:pt idx="12">
                  <c:v>STC</c:v>
                </c:pt>
                <c:pt idx="13">
                  <c:v>JHM</c:v>
                </c:pt>
                <c:pt idx="14">
                  <c:v>PHA</c:v>
                </c:pt>
              </c:strCache>
            </c:strRef>
          </c:cat>
          <c:val>
            <c:numRef>
              <c:f>'5.3'!$B$4:$B$18</c:f>
              <c:numCache>
                <c:formatCode>General</c:formatCode>
                <c:ptCount val="15"/>
                <c:pt idx="0">
                  <c:v>688.33984485524047</c:v>
                </c:pt>
                <c:pt idx="1">
                  <c:v>661.85573198539407</c:v>
                </c:pt>
                <c:pt idx="2">
                  <c:v>660.41407124098851</c:v>
                </c:pt>
                <c:pt idx="3">
                  <c:v>636.02756993945297</c:v>
                </c:pt>
                <c:pt idx="4">
                  <c:v>627.1525361491523</c:v>
                </c:pt>
                <c:pt idx="5">
                  <c:v>600.51705993457711</c:v>
                </c:pt>
                <c:pt idx="6">
                  <c:v>578.53917449081712</c:v>
                </c:pt>
                <c:pt idx="7">
                  <c:v>555.31409010386062</c:v>
                </c:pt>
                <c:pt idx="8">
                  <c:v>544.45518600917023</c:v>
                </c:pt>
                <c:pt idx="9">
                  <c:v>525.07858277733476</c:v>
                </c:pt>
                <c:pt idx="10">
                  <c:v>475.85912626663026</c:v>
                </c:pt>
                <c:pt idx="11">
                  <c:v>473.69883966480637</c:v>
                </c:pt>
                <c:pt idx="12">
                  <c:v>473.6077323943943</c:v>
                </c:pt>
                <c:pt idx="13">
                  <c:v>424.33515970143264</c:v>
                </c:pt>
                <c:pt idx="14">
                  <c:v>282.73190667574295</c:v>
                </c:pt>
              </c:numCache>
            </c:numRef>
          </c:val>
          <c:extLst>
            <c:ext xmlns:c16="http://schemas.microsoft.com/office/drawing/2014/chart" uri="{C3380CC4-5D6E-409C-BE32-E72D297353CC}">
              <c16:uniqueId val="{00000002-1347-4184-A424-473B5F35DE1A}"/>
            </c:ext>
          </c:extLst>
        </c:ser>
        <c:ser>
          <c:idx val="0"/>
          <c:order val="1"/>
          <c:tx>
            <c:strRef>
              <c:f>'5.3'!$C$3</c:f>
              <c:strCache>
                <c:ptCount val="1"/>
                <c:pt idx="0">
                  <c:v> 1. pol. 2021</c:v>
                </c:pt>
              </c:strCache>
            </c:strRef>
          </c:tx>
          <c:spPr>
            <a:solidFill>
              <a:srgbClr val="B44946"/>
            </a:solidFill>
            <a:ln>
              <a:noFill/>
            </a:ln>
            <a:effectLst/>
          </c:spPr>
          <c:invertIfNegative val="0"/>
          <c:dPt>
            <c:idx val="11"/>
            <c:invertIfNegative val="0"/>
            <c:bubble3D val="0"/>
            <c:spPr>
              <a:solidFill>
                <a:srgbClr val="B44946"/>
              </a:solidFill>
              <a:ln w="15875">
                <a:solidFill>
                  <a:srgbClr val="00B0F0"/>
                </a:solidFill>
              </a:ln>
              <a:effectLst/>
            </c:spPr>
            <c:extLst>
              <c:ext xmlns:c16="http://schemas.microsoft.com/office/drawing/2014/chart" uri="{C3380CC4-5D6E-409C-BE32-E72D297353CC}">
                <c16:uniqueId val="{00000004-1347-4184-A424-473B5F35DE1A}"/>
              </c:ext>
            </c:extLst>
          </c:dPt>
          <c:cat>
            <c:strRef>
              <c:f>'5.3'!$F$4:$F$18</c:f>
              <c:strCache>
                <c:ptCount val="15"/>
                <c:pt idx="0">
                  <c:v>VYS</c:v>
                </c:pt>
                <c:pt idx="1">
                  <c:v>PLK</c:v>
                </c:pt>
                <c:pt idx="2">
                  <c:v>JHC</c:v>
                </c:pt>
                <c:pt idx="3">
                  <c:v>KVK</c:v>
                </c:pt>
                <c:pt idx="4">
                  <c:v>ULK</c:v>
                </c:pt>
                <c:pt idx="5">
                  <c:v>PAK</c:v>
                </c:pt>
                <c:pt idx="6">
                  <c:v>HKK</c:v>
                </c:pt>
                <c:pt idx="7">
                  <c:v>ZLK</c:v>
                </c:pt>
                <c:pt idx="8">
                  <c:v>OLK</c:v>
                </c:pt>
                <c:pt idx="9">
                  <c:v>LBK</c:v>
                </c:pt>
                <c:pt idx="10">
                  <c:v>MSK</c:v>
                </c:pt>
                <c:pt idx="11">
                  <c:v>ČR</c:v>
                </c:pt>
                <c:pt idx="12">
                  <c:v>STC</c:v>
                </c:pt>
                <c:pt idx="13">
                  <c:v>JHM</c:v>
                </c:pt>
                <c:pt idx="14">
                  <c:v>PHA</c:v>
                </c:pt>
              </c:strCache>
            </c:strRef>
          </c:cat>
          <c:val>
            <c:numRef>
              <c:f>'5.3'!$C$4:$C$18</c:f>
              <c:numCache>
                <c:formatCode>General</c:formatCode>
                <c:ptCount val="15"/>
                <c:pt idx="0">
                  <c:v>734.1266762709688</c:v>
                </c:pt>
                <c:pt idx="1">
                  <c:v>645.74335941577783</c:v>
                </c:pt>
                <c:pt idx="2">
                  <c:v>693.74281515548444</c:v>
                </c:pt>
                <c:pt idx="3">
                  <c:v>601.54105263061001</c:v>
                </c:pt>
                <c:pt idx="4">
                  <c:v>661.65308473169671</c:v>
                </c:pt>
                <c:pt idx="5">
                  <c:v>566.20894474350303</c:v>
                </c:pt>
                <c:pt idx="6">
                  <c:v>616.96855809130545</c:v>
                </c:pt>
                <c:pt idx="7">
                  <c:v>512.94941078465763</c:v>
                </c:pt>
                <c:pt idx="8">
                  <c:v>537.49346249028292</c:v>
                </c:pt>
                <c:pt idx="9">
                  <c:v>539.16022146215914</c:v>
                </c:pt>
                <c:pt idx="10">
                  <c:v>492.98319519422648</c:v>
                </c:pt>
                <c:pt idx="11">
                  <c:v>479.22548855299397</c:v>
                </c:pt>
                <c:pt idx="12">
                  <c:v>495.84288658566214</c:v>
                </c:pt>
                <c:pt idx="13">
                  <c:v>416.13974352565145</c:v>
                </c:pt>
                <c:pt idx="14">
                  <c:v>280.52657859342639</c:v>
                </c:pt>
              </c:numCache>
            </c:numRef>
          </c:val>
          <c:extLst>
            <c:ext xmlns:c16="http://schemas.microsoft.com/office/drawing/2014/chart" uri="{C3380CC4-5D6E-409C-BE32-E72D297353CC}">
              <c16:uniqueId val="{00000005-1347-4184-A424-473B5F35DE1A}"/>
            </c:ext>
          </c:extLst>
        </c:ser>
        <c:dLbls>
          <c:showLegendKey val="0"/>
          <c:showVal val="0"/>
          <c:showCatName val="0"/>
          <c:showSerName val="0"/>
          <c:showPercent val="0"/>
          <c:showBubbleSize val="0"/>
        </c:dLbls>
        <c:gapWidth val="182"/>
        <c:axId val="1528547167"/>
        <c:axId val="1528541759"/>
      </c:barChart>
      <c:catAx>
        <c:axId val="152854716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528541759"/>
        <c:crosses val="autoZero"/>
        <c:auto val="1"/>
        <c:lblAlgn val="ctr"/>
        <c:lblOffset val="100"/>
        <c:noMultiLvlLbl val="0"/>
      </c:catAx>
      <c:valAx>
        <c:axId val="1528541759"/>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sz="800" b="0" i="0" baseline="0">
                    <a:effectLst/>
                  </a:rPr>
                  <a:t>počet případů</a:t>
                </a:r>
                <a:r>
                  <a:rPr lang="cs-CZ" sz="800" b="0" i="0" baseline="0">
                    <a:effectLst/>
                  </a:rPr>
                  <a:t> na 100 tis. pojištěnců</a:t>
                </a:r>
                <a:endParaRPr lang="cs-CZ" sz="100">
                  <a:effectLst/>
                </a:endParaRPr>
              </a:p>
            </c:rich>
          </c:tx>
          <c:layout>
            <c:manualLayout>
              <c:xMode val="edge"/>
              <c:yMode val="edge"/>
              <c:x val="2.3269965086139929E-2"/>
              <c:y val="0.11557905626760159"/>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528547167"/>
        <c:crosses val="autoZero"/>
        <c:crossBetween val="between"/>
      </c:valAx>
      <c:spPr>
        <a:noFill/>
        <a:ln>
          <a:noFill/>
        </a:ln>
        <a:effectLst/>
      </c:spPr>
    </c:plotArea>
    <c:legend>
      <c:legendPos val="b"/>
      <c:overlay val="1"/>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0.59974</cdr:x>
      <cdr:y>0.44258</cdr:y>
    </cdr:from>
    <cdr:to>
      <cdr:x>0.78932</cdr:x>
      <cdr:y>0.61272</cdr:y>
    </cdr:to>
    <cdr:sp macro="" textlink="">
      <cdr:nvSpPr>
        <cdr:cNvPr id="2" name="TextovéPole 1"/>
        <cdr:cNvSpPr txBox="1"/>
      </cdr:nvSpPr>
      <cdr:spPr>
        <a:xfrm xmlns:a="http://schemas.openxmlformats.org/drawingml/2006/main">
          <a:off x="2079375" y="1037042"/>
          <a:ext cx="657293" cy="39866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cs-CZ" sz="900" b="1">
              <a:latin typeface="Arial" panose="020B0604020202020204" pitchFamily="34" charset="0"/>
              <a:cs typeface="Arial" panose="020B0604020202020204" pitchFamily="34" charset="0"/>
            </a:rPr>
            <a:t>1 107,9</a:t>
          </a:r>
          <a:r>
            <a:rPr lang="cs-CZ" sz="800" b="1">
              <a:latin typeface="Arial" panose="020B0604020202020204" pitchFamily="34" charset="0"/>
              <a:cs typeface="Arial" panose="020B0604020202020204" pitchFamily="34" charset="0"/>
            </a:rPr>
            <a:t> tis.</a:t>
          </a:r>
        </a:p>
      </cdr:txBody>
    </cdr:sp>
  </cdr:relSizeAnchor>
</c:userShapes>
</file>

<file path=word/drawings/drawing2.xml><?xml version="1.0" encoding="utf-8"?>
<c:userShapes xmlns:c="http://schemas.openxmlformats.org/drawingml/2006/chart">
  <cdr:relSizeAnchor xmlns:cdr="http://schemas.openxmlformats.org/drawingml/2006/chartDrawing">
    <cdr:from>
      <cdr:x>0.35468</cdr:x>
      <cdr:y>0.43731</cdr:y>
    </cdr:from>
    <cdr:to>
      <cdr:x>0.54181</cdr:x>
      <cdr:y>0.56911</cdr:y>
    </cdr:to>
    <cdr:sp macro="" textlink="">
      <cdr:nvSpPr>
        <cdr:cNvPr id="2" name="TextovéPole 3"/>
        <cdr:cNvSpPr txBox="1"/>
      </cdr:nvSpPr>
      <cdr:spPr>
        <a:xfrm xmlns:a="http://schemas.openxmlformats.org/drawingml/2006/main">
          <a:off x="1010110" y="1024694"/>
          <a:ext cx="532940" cy="308806"/>
        </a:xfrm>
        <a:prstGeom xmlns:a="http://schemas.openxmlformats.org/drawingml/2006/main" prst="rect">
          <a:avLst/>
        </a:prstGeom>
        <a:solidFill xmlns:a="http://schemas.openxmlformats.org/drawingml/2006/main">
          <a:schemeClr val="lt1"/>
        </a:solidFill>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pPr algn="ctr"/>
          <a:r>
            <a:rPr lang="cs-CZ" sz="900" b="1">
              <a:latin typeface="Arial" panose="020B0604020202020204" pitchFamily="34" charset="0"/>
              <a:cs typeface="Arial" panose="020B0604020202020204" pitchFamily="34" charset="0"/>
            </a:rPr>
            <a:t>946,0</a:t>
          </a:r>
          <a:r>
            <a:rPr lang="cs-CZ" sz="800" b="1">
              <a:latin typeface="Arial" panose="020B0604020202020204" pitchFamily="34" charset="0"/>
              <a:cs typeface="Arial" panose="020B0604020202020204" pitchFamily="34" charset="0"/>
            </a:rPr>
            <a:t> tis.</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6464E7-3395-42EF-A862-B4AFD7A75E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Publikace bar CZ_lide a spolecnost_2017-08-14.dotx</Template>
  <TotalTime>0</TotalTime>
  <Pages>52</Pages>
  <Words>18666</Words>
  <Characters>110136</Characters>
  <Application>Microsoft Office Word</Application>
  <DocSecurity>0</DocSecurity>
  <Lines>917</Lines>
  <Paragraphs>257</Paragraphs>
  <ScaleCrop>false</ScaleCrop>
  <HeadingPairs>
    <vt:vector size="6" baseType="variant">
      <vt:variant>
        <vt:lpstr>Název</vt:lpstr>
      </vt:variant>
      <vt:variant>
        <vt:i4>1</vt:i4>
      </vt:variant>
      <vt:variant>
        <vt:lpstr>Title</vt:lpstr>
      </vt:variant>
      <vt:variant>
        <vt:i4>1</vt:i4>
      </vt:variant>
      <vt:variant>
        <vt:lpstr>Headings</vt:lpstr>
      </vt:variant>
      <vt:variant>
        <vt:i4>8</vt:i4>
      </vt:variant>
    </vt:vector>
  </HeadingPairs>
  <TitlesOfParts>
    <vt:vector size="10" baseType="lpstr">
      <vt:lpstr>Pracovní neschopnost pro nemoc a úraz v České republice za 1. pol. 2021</vt:lpstr>
      <vt:lpstr/>
      <vt:lpstr>Styl: Nadpis 1</vt:lpstr>
      <vt:lpstr>    Styl: Nadpis 2</vt:lpstr>
      <vt:lpstr>        Styl: Nadpis 3</vt:lpstr>
      <vt:lpstr>        Styl: Nadpis 3</vt:lpstr>
      <vt:lpstr>    Styl: Nadpis 2</vt:lpstr>
      <vt:lpstr>        Styl: Nadpis 3</vt:lpstr>
      <vt:lpstr>    Styl: Nadpis 2</vt:lpstr>
      <vt:lpstr>        Styl: Nadpis 3</vt:lpstr>
    </vt:vector>
  </TitlesOfParts>
  <Manager/>
  <Company>CSU</Company>
  <LinksUpToDate>false</LinksUpToDate>
  <CharactersWithSpaces>128545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Pracovní neschopnost pro nemoc a úraz v České republice za 1. pol. 2021</dc:title>
  <dc:subject/>
  <dc:creator>Ing. Alena Hykyšová</dc:creator>
  <cp:keywords/>
  <dc:description/>
  <cp:lastModifiedBy>Hykyšová Alena</cp:lastModifiedBy>
  <cp:revision>2</cp:revision>
  <cp:lastPrinted>2022-10-25T14:38:00Z</cp:lastPrinted>
  <dcterms:created xsi:type="dcterms:W3CDTF">2022-10-27T12:53:00Z</dcterms:created>
  <dcterms:modified xsi:type="dcterms:W3CDTF">2022-10-27T12:53:00Z</dcterms:modified>
  <cp:category/>
</cp:coreProperties>
</file>