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DA" w:rsidRPr="005F153A" w:rsidRDefault="006067DA" w:rsidP="006067DA">
      <w:pPr>
        <w:pStyle w:val="Nadpis2"/>
        <w:pageBreakBefore/>
      </w:pPr>
      <w:bookmarkStart w:id="0" w:name="_3.1_Výdaje_zdravotních"/>
      <w:bookmarkStart w:id="1" w:name="_Toc481748798"/>
      <w:bookmarkEnd w:id="0"/>
      <w:r w:rsidRPr="005F153A">
        <w:t>3.4 Výdaje za léky</w:t>
      </w:r>
      <w:bookmarkEnd w:id="1"/>
    </w:p>
    <w:p w:rsidR="006067DA" w:rsidRDefault="006067DA" w:rsidP="006067DA">
      <w:pPr>
        <w:keepNext/>
        <w:spacing w:before="120"/>
        <w:jc w:val="both"/>
        <w:rPr>
          <w:bCs/>
        </w:rPr>
      </w:pPr>
      <w:r w:rsidRPr="005F153A">
        <w:rPr>
          <w:bCs/>
        </w:rPr>
        <w:t>Tato kapitola podává přehled základních údajů o celkových výdajích na léky od roku 201</w:t>
      </w:r>
      <w:r>
        <w:rPr>
          <w:bCs/>
        </w:rPr>
        <w:t>3</w:t>
      </w:r>
      <w:r w:rsidRPr="005F153A">
        <w:rPr>
          <w:bCs/>
        </w:rPr>
        <w:t>. Poskytuje</w:t>
      </w:r>
      <w:r>
        <w:rPr>
          <w:bCs/>
        </w:rPr>
        <w:t> </w:t>
      </w:r>
      <w:r w:rsidRPr="005F153A">
        <w:rPr>
          <w:bCs/>
        </w:rPr>
        <w:t xml:space="preserve">především podrobné údaje o výdajích na léky </w:t>
      </w:r>
      <w:r w:rsidRPr="005F153A">
        <w:rPr>
          <w:b/>
          <w:bCs/>
        </w:rPr>
        <w:t>dle místa spotřeby a zdroje financování</w:t>
      </w:r>
      <w:r w:rsidRPr="005F153A">
        <w:rPr>
          <w:bCs/>
        </w:rPr>
        <w:t>. Místem</w:t>
      </w:r>
      <w:r>
        <w:rPr>
          <w:bCs/>
        </w:rPr>
        <w:t> </w:t>
      </w:r>
      <w:r w:rsidRPr="005F153A">
        <w:rPr>
          <w:bCs/>
        </w:rPr>
        <w:t xml:space="preserve">spotřeby jsou v této souvislosti myšleny </w:t>
      </w:r>
      <w:r w:rsidRPr="005F153A">
        <w:rPr>
          <w:b/>
          <w:bCs/>
        </w:rPr>
        <w:t>ambulantně vydávané léky</w:t>
      </w:r>
      <w:r w:rsidRPr="005F153A">
        <w:rPr>
          <w:bCs/>
        </w:rPr>
        <w:t>, tedy ty, které jsou buď vydávány pacientům na lékařský předpis, nebo jsou nakupovány v rámci volného prodeje léků</w:t>
      </w:r>
      <w:r>
        <w:rPr>
          <w:rStyle w:val="Znakapoznpodarou"/>
          <w:bCs/>
        </w:rPr>
        <w:footnoteReference w:id="1"/>
      </w:r>
      <w:r>
        <w:rPr>
          <w:bCs/>
        </w:rPr>
        <w:t>.</w:t>
      </w:r>
      <w:r w:rsidRPr="005F153A">
        <w:rPr>
          <w:bCs/>
        </w:rPr>
        <w:t xml:space="preserve"> Výdaje na ambulantně vydávané léky jsou doplněny o informace o lécích spotřebovávaných v rámci léčby přímo </w:t>
      </w:r>
      <w:r w:rsidRPr="005F153A">
        <w:rPr>
          <w:b/>
          <w:bCs/>
        </w:rPr>
        <w:t>ve</w:t>
      </w:r>
      <w:r>
        <w:rPr>
          <w:b/>
          <w:bCs/>
        </w:rPr>
        <w:t> </w:t>
      </w:r>
      <w:r w:rsidRPr="005F153A">
        <w:rPr>
          <w:b/>
          <w:bCs/>
        </w:rPr>
        <w:t>zdravotnických zařízeních</w:t>
      </w:r>
      <w:r w:rsidRPr="005F153A">
        <w:rPr>
          <w:bCs/>
        </w:rPr>
        <w:t xml:space="preserve"> (obvykle v rámci hospitalizací). </w:t>
      </w:r>
    </w:p>
    <w:p w:rsidR="006067DA" w:rsidRDefault="006067DA" w:rsidP="006067DA">
      <w:pPr>
        <w:keepNext/>
        <w:spacing w:before="120"/>
        <w:jc w:val="both"/>
      </w:pPr>
      <w:r w:rsidRPr="005F153A">
        <w:rPr>
          <w:bCs/>
        </w:rPr>
        <w:t xml:space="preserve">Pozornost je zaměřena rovněž na výdaje na léky </w:t>
      </w:r>
      <w:r w:rsidRPr="005F153A">
        <w:rPr>
          <w:b/>
          <w:bCs/>
        </w:rPr>
        <w:t>z hlediska jejich financování.</w:t>
      </w:r>
      <w:r w:rsidRPr="005F153A">
        <w:rPr>
          <w:bCs/>
        </w:rPr>
        <w:t xml:space="preserve"> </w:t>
      </w:r>
      <w:r w:rsidRPr="005F153A">
        <w:t xml:space="preserve">V České republice mají v tomto směru klíčové postavení zdravotní pojišťovny, které hradí až </w:t>
      </w:r>
      <w:r>
        <w:t>69</w:t>
      </w:r>
      <w:r w:rsidRPr="005F153A">
        <w:t xml:space="preserve"> % veškerých výdajů na léky. Zbývající část výdajů na léky si lidé platí z vlastních kapes.</w:t>
      </w:r>
      <w:r>
        <w:t xml:space="preserve">   </w:t>
      </w:r>
    </w:p>
    <w:p w:rsidR="006067DA" w:rsidRPr="00403484" w:rsidRDefault="006067DA" w:rsidP="006067DA">
      <w:pPr>
        <w:pStyle w:val="Nadpis3"/>
      </w:pPr>
      <w:bookmarkStart w:id="2" w:name="_Toc481748799"/>
      <w:r w:rsidRPr="00403484">
        <w:t xml:space="preserve">3.4.1 </w:t>
      </w:r>
      <w:bookmarkEnd w:id="2"/>
      <w:r>
        <w:t>Celkové výdaje za léky</w:t>
      </w:r>
    </w:p>
    <w:p w:rsidR="006067DA" w:rsidRPr="005F153A" w:rsidRDefault="006067DA" w:rsidP="006067DA">
      <w:pPr>
        <w:keepNext/>
        <w:spacing w:before="120"/>
        <w:jc w:val="both"/>
        <w:rPr>
          <w:bCs/>
        </w:rPr>
      </w:pPr>
      <w:r w:rsidRPr="005F153A">
        <w:rPr>
          <w:bCs/>
        </w:rPr>
        <w:t>V České republice bylo v roce 201</w:t>
      </w:r>
      <w:r>
        <w:rPr>
          <w:bCs/>
        </w:rPr>
        <w:t>7</w:t>
      </w:r>
      <w:r w:rsidRPr="005F153A">
        <w:rPr>
          <w:bCs/>
        </w:rPr>
        <w:t xml:space="preserve"> vydáno </w:t>
      </w:r>
      <w:r w:rsidRPr="005F153A">
        <w:rPr>
          <w:b/>
          <w:bCs/>
        </w:rPr>
        <w:t>za léky</w:t>
      </w:r>
      <w:r>
        <w:rPr>
          <w:b/>
          <w:bCs/>
        </w:rPr>
        <w:t xml:space="preserve"> celkem</w:t>
      </w:r>
      <w:r w:rsidRPr="005F153A">
        <w:rPr>
          <w:bCs/>
        </w:rPr>
        <w:t xml:space="preserve"> </w:t>
      </w:r>
      <w:r>
        <w:rPr>
          <w:bCs/>
        </w:rPr>
        <w:t>82,9</w:t>
      </w:r>
      <w:r w:rsidRPr="005F153A">
        <w:rPr>
          <w:bCs/>
        </w:rPr>
        <w:t xml:space="preserve"> mld. Kč</w:t>
      </w:r>
      <w:r>
        <w:rPr>
          <w:rStyle w:val="Znakapoznpodarou"/>
          <w:bCs/>
        </w:rPr>
        <w:footnoteReference w:id="2"/>
      </w:r>
      <w:r w:rsidRPr="005F153A">
        <w:rPr>
          <w:bCs/>
        </w:rPr>
        <w:t xml:space="preserve">, což představovalo </w:t>
      </w:r>
      <w:r w:rsidRPr="001C5898">
        <w:rPr>
          <w:bCs/>
        </w:rPr>
        <w:t>21,4 %</w:t>
      </w:r>
      <w:r w:rsidRPr="005F153A">
        <w:rPr>
          <w:bCs/>
        </w:rPr>
        <w:t xml:space="preserve"> </w:t>
      </w:r>
      <w:r>
        <w:rPr>
          <w:bCs/>
        </w:rPr>
        <w:t>běžných</w:t>
      </w:r>
      <w:r w:rsidRPr="005F153A">
        <w:rPr>
          <w:bCs/>
        </w:rPr>
        <w:t xml:space="preserve"> výdajů na zdravotní péči. Na jednoho obyvatele ČR bylo </w:t>
      </w:r>
      <w:r w:rsidRPr="00EA29F0">
        <w:rPr>
          <w:bCs/>
        </w:rPr>
        <w:t xml:space="preserve">za léky </w:t>
      </w:r>
      <w:r w:rsidRPr="005F153A">
        <w:rPr>
          <w:bCs/>
        </w:rPr>
        <w:t>v průměru utraceno 7 </w:t>
      </w:r>
      <w:r>
        <w:rPr>
          <w:bCs/>
        </w:rPr>
        <w:t>832</w:t>
      </w:r>
      <w:r w:rsidRPr="005F153A">
        <w:rPr>
          <w:bCs/>
        </w:rPr>
        <w:t xml:space="preserve"> Kč. </w:t>
      </w:r>
      <w:r>
        <w:rPr>
          <w:bCs/>
        </w:rPr>
        <w:t xml:space="preserve">Pro zajímavost, v roce 2013 to bylo o tisíc korun méně – 6 836 Kč. </w:t>
      </w:r>
      <w:r w:rsidRPr="005F153A">
        <w:rPr>
          <w:bCs/>
        </w:rPr>
        <w:t>Od roku 201</w:t>
      </w:r>
      <w:r>
        <w:rPr>
          <w:bCs/>
        </w:rPr>
        <w:t>3</w:t>
      </w:r>
      <w:r w:rsidRPr="005F153A">
        <w:rPr>
          <w:bCs/>
        </w:rPr>
        <w:t xml:space="preserve"> včetně, tj. v uplynulých </w:t>
      </w:r>
      <w:r>
        <w:rPr>
          <w:bCs/>
        </w:rPr>
        <w:t xml:space="preserve">pěti </w:t>
      </w:r>
      <w:r w:rsidRPr="005F153A">
        <w:rPr>
          <w:bCs/>
        </w:rPr>
        <w:t>letech</w:t>
      </w:r>
      <w:r>
        <w:rPr>
          <w:bCs/>
        </w:rPr>
        <w:t>,</w:t>
      </w:r>
      <w:r w:rsidRPr="005F153A">
        <w:rPr>
          <w:bCs/>
        </w:rPr>
        <w:t xml:space="preserve"> bylo za lék</w:t>
      </w:r>
      <w:r>
        <w:rPr>
          <w:bCs/>
        </w:rPr>
        <w:t>y v České republice vydáno 384,5</w:t>
      </w:r>
      <w:r w:rsidRPr="005F153A">
        <w:rPr>
          <w:bCs/>
        </w:rPr>
        <w:t xml:space="preserve"> mld. Kč, z nich </w:t>
      </w:r>
      <w:r>
        <w:rPr>
          <w:bCs/>
        </w:rPr>
        <w:t>270,3 mld. Kč</w:t>
      </w:r>
      <w:r w:rsidRPr="005F153A">
        <w:rPr>
          <w:bCs/>
        </w:rPr>
        <w:t xml:space="preserve"> </w:t>
      </w:r>
      <w:r>
        <w:rPr>
          <w:bCs/>
        </w:rPr>
        <w:t xml:space="preserve">tj. 70 % </w:t>
      </w:r>
      <w:r w:rsidRPr="005F153A">
        <w:rPr>
          <w:bCs/>
        </w:rPr>
        <w:t>připadlo na léky placené z veřejného zdravotního pojištění a zbyl</w:t>
      </w:r>
      <w:r>
        <w:rPr>
          <w:bCs/>
        </w:rPr>
        <w:t>ých 114,2</w:t>
      </w:r>
      <w:r w:rsidRPr="005F153A">
        <w:rPr>
          <w:bCs/>
        </w:rPr>
        <w:t xml:space="preserve"> </w:t>
      </w:r>
      <w:r>
        <w:rPr>
          <w:bCs/>
        </w:rPr>
        <w:t>mld. Kč</w:t>
      </w:r>
      <w:r w:rsidRPr="005F153A">
        <w:rPr>
          <w:bCs/>
        </w:rPr>
        <w:t xml:space="preserve"> na léky placené přímo domácnostmi.</w:t>
      </w:r>
    </w:p>
    <w:p w:rsidR="006067DA" w:rsidRPr="005F153A" w:rsidRDefault="006067DA" w:rsidP="001C1996">
      <w:pPr>
        <w:widowControl w:val="0"/>
        <w:spacing w:before="120"/>
        <w:jc w:val="both"/>
        <w:rPr>
          <w:bCs/>
        </w:rPr>
      </w:pPr>
      <w:r w:rsidRPr="00606B1B">
        <w:rPr>
          <w:b/>
          <w:bCs/>
        </w:rPr>
        <w:t>Léky na předpis</w:t>
      </w:r>
      <w:r w:rsidRPr="005F153A">
        <w:rPr>
          <w:bCs/>
        </w:rPr>
        <w:t xml:space="preserve"> hrazené z veřejného pojištění tvoří dlouhodobě </w:t>
      </w:r>
      <w:r>
        <w:rPr>
          <w:bCs/>
        </w:rPr>
        <w:t>zhruba</w:t>
      </w:r>
      <w:r w:rsidRPr="005F153A">
        <w:rPr>
          <w:bCs/>
        </w:rPr>
        <w:t xml:space="preserve"> 40 % celkových výdajů na léky (4</w:t>
      </w:r>
      <w:r>
        <w:rPr>
          <w:bCs/>
        </w:rPr>
        <w:t>0</w:t>
      </w:r>
      <w:r w:rsidRPr="005F153A">
        <w:rPr>
          <w:bCs/>
        </w:rPr>
        <w:t> % v roce 201</w:t>
      </w:r>
      <w:r>
        <w:rPr>
          <w:bCs/>
        </w:rPr>
        <w:t>7</w:t>
      </w:r>
      <w:r w:rsidRPr="005F153A">
        <w:rPr>
          <w:bCs/>
        </w:rPr>
        <w:t xml:space="preserve"> v porovnání s 4</w:t>
      </w:r>
      <w:r>
        <w:rPr>
          <w:bCs/>
        </w:rPr>
        <w:t>6</w:t>
      </w:r>
      <w:r w:rsidRPr="005F153A">
        <w:rPr>
          <w:bCs/>
        </w:rPr>
        <w:t> % v roce 201</w:t>
      </w:r>
      <w:r>
        <w:rPr>
          <w:bCs/>
        </w:rPr>
        <w:t>3</w:t>
      </w:r>
      <w:r w:rsidRPr="005F153A">
        <w:rPr>
          <w:bCs/>
        </w:rPr>
        <w:t xml:space="preserve">). Výdaje za </w:t>
      </w:r>
      <w:r w:rsidRPr="00606B1B">
        <w:rPr>
          <w:b/>
          <w:bCs/>
        </w:rPr>
        <w:t>léky spotřebované přímo v lůžkových zdravotnických zařízeních</w:t>
      </w:r>
      <w:r w:rsidRPr="005F153A">
        <w:rPr>
          <w:bCs/>
        </w:rPr>
        <w:t xml:space="preserve"> </w:t>
      </w:r>
      <w:r>
        <w:rPr>
          <w:bCs/>
        </w:rPr>
        <w:t>dosahují od roku 2015 k hranici</w:t>
      </w:r>
      <w:r w:rsidRPr="005F153A">
        <w:rPr>
          <w:bCs/>
        </w:rPr>
        <w:t xml:space="preserve"> </w:t>
      </w:r>
      <w:r>
        <w:rPr>
          <w:bCs/>
        </w:rPr>
        <w:t xml:space="preserve">30 %. V absolutním vyjádření bylo na tyto léky v roce 2017 vynaloženo </w:t>
      </w:r>
      <w:r w:rsidRPr="005F153A">
        <w:rPr>
          <w:bCs/>
        </w:rPr>
        <w:t>2</w:t>
      </w:r>
      <w:r>
        <w:rPr>
          <w:bCs/>
        </w:rPr>
        <w:t>4,6</w:t>
      </w:r>
      <w:r w:rsidRPr="005F153A">
        <w:rPr>
          <w:bCs/>
        </w:rPr>
        <w:t xml:space="preserve"> mld.</w:t>
      </w:r>
      <w:r>
        <w:rPr>
          <w:bCs/>
        </w:rPr>
        <w:t xml:space="preserve"> Kč, což je nejvíce od roku 2013. Zbývající</w:t>
      </w:r>
      <w:r w:rsidRPr="005F153A">
        <w:rPr>
          <w:bCs/>
        </w:rPr>
        <w:t xml:space="preserve"> </w:t>
      </w:r>
      <w:r>
        <w:rPr>
          <w:bCs/>
        </w:rPr>
        <w:t>téměř jedna třetinu</w:t>
      </w:r>
      <w:r w:rsidRPr="005F153A">
        <w:rPr>
          <w:bCs/>
        </w:rPr>
        <w:t xml:space="preserve"> zahrnoval</w:t>
      </w:r>
      <w:r>
        <w:rPr>
          <w:bCs/>
        </w:rPr>
        <w:t>a</w:t>
      </w:r>
      <w:r w:rsidRPr="005F153A">
        <w:rPr>
          <w:bCs/>
        </w:rPr>
        <w:t xml:space="preserve"> v roce 201</w:t>
      </w:r>
      <w:r>
        <w:rPr>
          <w:bCs/>
        </w:rPr>
        <w:t>7</w:t>
      </w:r>
      <w:r w:rsidRPr="005F153A">
        <w:rPr>
          <w:bCs/>
        </w:rPr>
        <w:t xml:space="preserve"> </w:t>
      </w:r>
      <w:r w:rsidRPr="00606B1B">
        <w:rPr>
          <w:b/>
          <w:bCs/>
        </w:rPr>
        <w:t>přímé výdaje domácností na doplatky na léky na předpis</w:t>
      </w:r>
      <w:r w:rsidRPr="005F153A">
        <w:rPr>
          <w:bCs/>
        </w:rPr>
        <w:t xml:space="preserve"> (</w:t>
      </w:r>
      <w:r>
        <w:rPr>
          <w:bCs/>
        </w:rPr>
        <w:t>11,1</w:t>
      </w:r>
      <w:r w:rsidRPr="005F153A">
        <w:rPr>
          <w:bCs/>
        </w:rPr>
        <w:t xml:space="preserve"> mld.</w:t>
      </w:r>
      <w:r>
        <w:rPr>
          <w:bCs/>
        </w:rPr>
        <w:t xml:space="preserve"> Kč) a </w:t>
      </w:r>
      <w:r w:rsidRPr="00606B1B">
        <w:rPr>
          <w:b/>
          <w:bCs/>
        </w:rPr>
        <w:t>volně prodejné léky</w:t>
      </w:r>
      <w:r>
        <w:rPr>
          <w:bCs/>
        </w:rPr>
        <w:t xml:space="preserve"> (14,5</w:t>
      </w:r>
      <w:r w:rsidRPr="005F153A">
        <w:rPr>
          <w:bCs/>
        </w:rPr>
        <w:t xml:space="preserve"> mld. Kč).</w:t>
      </w:r>
      <w:r>
        <w:rPr>
          <w:bCs/>
        </w:rPr>
        <w:t xml:space="preserve"> Obě uvedené hodnoty jsou nejvyšší za sledované období.</w:t>
      </w:r>
    </w:p>
    <w:p w:rsidR="006067DA" w:rsidRDefault="006067DA" w:rsidP="007632B9">
      <w:pPr>
        <w:widowControl w:val="0"/>
        <w:spacing w:before="240"/>
        <w:rPr>
          <w:rFonts w:cs="Arial"/>
          <w:b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>Graf č. 3.4.1 Celkové výdaje za léky v České republice, 201</w:t>
      </w:r>
      <w:r>
        <w:rPr>
          <w:rFonts w:cs="Arial"/>
          <w:b/>
          <w:sz w:val="18"/>
          <w:szCs w:val="18"/>
        </w:rPr>
        <w:t>3</w:t>
      </w:r>
      <w:r w:rsidRPr="005F153A">
        <w:rPr>
          <w:rFonts w:cs="Arial"/>
          <w:b/>
          <w:sz w:val="18"/>
          <w:szCs w:val="18"/>
        </w:rPr>
        <w:t>-201</w:t>
      </w:r>
      <w:r>
        <w:rPr>
          <w:rFonts w:cs="Arial"/>
          <w:b/>
          <w:sz w:val="18"/>
          <w:szCs w:val="18"/>
        </w:rPr>
        <w:t>7 (mld. Kč; na 1 obyv.;</w:t>
      </w:r>
      <w:r w:rsidRPr="005F153A">
        <w:rPr>
          <w:rFonts w:cs="Arial"/>
          <w:b/>
          <w:sz w:val="18"/>
          <w:szCs w:val="18"/>
        </w:rPr>
        <w:t xml:space="preserve"> %)</w:t>
      </w:r>
    </w:p>
    <w:p w:rsidR="006067DA" w:rsidRPr="00312437" w:rsidRDefault="00AF29DC" w:rsidP="007632B9">
      <w:pPr>
        <w:widowControl w:val="0"/>
        <w:jc w:val="right"/>
        <w:rPr>
          <w:rFonts w:cs="Arial"/>
          <w:b/>
          <w:sz w:val="18"/>
          <w:szCs w:val="18"/>
        </w:rPr>
      </w:pPr>
      <w:r>
        <w:rPr>
          <w:b/>
          <w:i/>
          <w:noProof/>
          <w:sz w:val="16"/>
          <w:szCs w:val="16"/>
        </w:rPr>
        <w:drawing>
          <wp:inline distT="0" distB="0" distL="0" distR="0" wp14:anchorId="1C1F29CE">
            <wp:extent cx="5974715" cy="2700655"/>
            <wp:effectExtent l="0" t="0" r="6985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67DA">
        <w:rPr>
          <w:b/>
          <w:i/>
          <w:sz w:val="16"/>
          <w:szCs w:val="16"/>
        </w:rPr>
        <w:t>Z</w:t>
      </w:r>
      <w:r w:rsidR="006067DA" w:rsidRPr="005F153A">
        <w:rPr>
          <w:b/>
          <w:i/>
          <w:sz w:val="16"/>
          <w:szCs w:val="16"/>
        </w:rPr>
        <w:t>droj: ČSÚ 201</w:t>
      </w:r>
      <w:r w:rsidR="006067DA">
        <w:rPr>
          <w:b/>
          <w:i/>
          <w:sz w:val="16"/>
          <w:szCs w:val="16"/>
        </w:rPr>
        <w:t>9</w:t>
      </w:r>
      <w:r w:rsidR="006067DA" w:rsidRPr="005F153A">
        <w:rPr>
          <w:b/>
          <w:i/>
          <w:sz w:val="16"/>
          <w:szCs w:val="16"/>
        </w:rPr>
        <w:t>, Zdravotnické účty ČR 2010 - 201</w:t>
      </w:r>
      <w:r w:rsidR="006067DA">
        <w:rPr>
          <w:b/>
          <w:i/>
          <w:sz w:val="16"/>
          <w:szCs w:val="16"/>
        </w:rPr>
        <w:t>7</w:t>
      </w:r>
    </w:p>
    <w:p w:rsidR="006067DA" w:rsidRPr="00C91423" w:rsidRDefault="006067DA" w:rsidP="001C1996">
      <w:pPr>
        <w:widowControl w:val="0"/>
        <w:spacing w:before="120"/>
        <w:jc w:val="both"/>
        <w:rPr>
          <w:bCs/>
          <w:szCs w:val="20"/>
        </w:rPr>
      </w:pPr>
      <w:r w:rsidRPr="005F153A">
        <w:rPr>
          <w:bCs/>
        </w:rPr>
        <w:t>Jak je patrné z</w:t>
      </w:r>
      <w:r>
        <w:rPr>
          <w:bCs/>
        </w:rPr>
        <w:t> </w:t>
      </w:r>
      <w:r w:rsidRPr="005F153A">
        <w:rPr>
          <w:bCs/>
        </w:rPr>
        <w:t>grafu</w:t>
      </w:r>
      <w:r>
        <w:rPr>
          <w:bCs/>
        </w:rPr>
        <w:t xml:space="preserve"> č. 3.4.1</w:t>
      </w:r>
      <w:r w:rsidRPr="005F153A">
        <w:rPr>
          <w:bCs/>
        </w:rPr>
        <w:t xml:space="preserve">, vývoj celkových výdajů za léky </w:t>
      </w:r>
      <w:r>
        <w:rPr>
          <w:bCs/>
        </w:rPr>
        <w:t>vykazuje v pětiletém</w:t>
      </w:r>
      <w:r w:rsidRPr="005F153A">
        <w:rPr>
          <w:bCs/>
        </w:rPr>
        <w:t xml:space="preserve"> období 201</w:t>
      </w:r>
      <w:r>
        <w:rPr>
          <w:bCs/>
        </w:rPr>
        <w:t>3</w:t>
      </w:r>
      <w:r w:rsidRPr="005F153A">
        <w:rPr>
          <w:bCs/>
        </w:rPr>
        <w:t xml:space="preserve"> – 201</w:t>
      </w:r>
      <w:r>
        <w:rPr>
          <w:bCs/>
        </w:rPr>
        <w:t>7</w:t>
      </w:r>
      <w:r w:rsidRPr="005F153A">
        <w:rPr>
          <w:bCs/>
        </w:rPr>
        <w:t xml:space="preserve"> </w:t>
      </w:r>
      <w:r>
        <w:rPr>
          <w:bCs/>
        </w:rPr>
        <w:t>vzestupnou tendenci</w:t>
      </w:r>
      <w:r w:rsidRPr="005F153A">
        <w:rPr>
          <w:bCs/>
        </w:rPr>
        <w:t xml:space="preserve">. Celkové výdaje za léky </w:t>
      </w:r>
      <w:r>
        <w:rPr>
          <w:bCs/>
        </w:rPr>
        <w:t xml:space="preserve">dosáhly v roce 2013 částky 71,9 mld. Kč. </w:t>
      </w:r>
      <w:r>
        <w:rPr>
          <w:szCs w:val="20"/>
        </w:rPr>
        <w:t>O rok později</w:t>
      </w:r>
      <w:r w:rsidRPr="005F153A">
        <w:rPr>
          <w:bCs/>
          <w:szCs w:val="20"/>
        </w:rPr>
        <w:t xml:space="preserve"> </w:t>
      </w:r>
      <w:r>
        <w:rPr>
          <w:bCs/>
          <w:szCs w:val="20"/>
        </w:rPr>
        <w:t xml:space="preserve">se posunuly </w:t>
      </w:r>
      <w:r>
        <w:rPr>
          <w:bCs/>
        </w:rPr>
        <w:t xml:space="preserve">téměř k hranici 74 mld. Kč a rostoucí trend pokračoval i v letech následujících. V roce 2017 se </w:t>
      </w:r>
      <w:r>
        <w:rPr>
          <w:bCs/>
        </w:rPr>
        <w:lastRenderedPageBreak/>
        <w:t>výdaje za léky vyšplhaly téměř k 83 mld. Kč. V porovnání s rokem 2013 vzrostly výdaje na léky v České republice o 15 %, s průměrným tempem růstu 3,7 %.</w:t>
      </w:r>
    </w:p>
    <w:p w:rsidR="006067DA" w:rsidRPr="004F78C3" w:rsidRDefault="006067DA" w:rsidP="006067DA">
      <w:pPr>
        <w:keepNext/>
        <w:spacing w:before="120"/>
        <w:jc w:val="both"/>
      </w:pPr>
      <w:r w:rsidRPr="00607E6C">
        <w:t>V </w:t>
      </w:r>
      <w:r w:rsidRPr="00607E6C">
        <w:rPr>
          <w:b/>
        </w:rPr>
        <w:t>mezinárodním srovnání</w:t>
      </w:r>
      <w:r w:rsidRPr="00607E6C">
        <w:t xml:space="preserve"> jsou dostupné pouze výdaje na ambulantně podávané léky, ať už na předpis či volně prodejné. V roce 2016 dosáhly výdaje na tyto ambulantně podávané léky průměru za země EU 20 % na celko</w:t>
      </w:r>
      <w:r>
        <w:t>vých výdajích na zdravotní péči, čemuž odpovídá i hodnota v sousedním Německu. Zatímco v Polsku tvořily výdaje za</w:t>
      </w:r>
      <w:r w:rsidRPr="00607E6C">
        <w:t xml:space="preserve"> </w:t>
      </w:r>
      <w:r>
        <w:t xml:space="preserve">uvedené léky 23 % celkových nákladů na zdravotní péči, v Rakousku to bylo jen 17 %. </w:t>
      </w:r>
      <w:r w:rsidRPr="00607E6C">
        <w:t xml:space="preserve">Nejvyšší podíl těchto léků na celkové zdravotní péči byl zaznamenán v  Bulharsku (44 %), na Slovensku (35 %), v Maďarsku a Rumunsku (32 %), nejnižší naopak v Lucembursku a Norsku (11 %) a v Dánsku (10 %). </w:t>
      </w:r>
      <w:r w:rsidRPr="00607E6C">
        <w:rPr>
          <w:i/>
        </w:rPr>
        <w:t>Bližší podrobnosti jsou uvedeny v kapitole s mezinárodním srovnáním</w:t>
      </w:r>
      <w:r w:rsidRPr="00607E6C">
        <w:t>.</w:t>
      </w:r>
    </w:p>
    <w:p w:rsidR="006067DA" w:rsidRPr="004F78C3" w:rsidRDefault="006067DA" w:rsidP="006067DA">
      <w:pPr>
        <w:keepNext/>
        <w:spacing w:before="120"/>
        <w:jc w:val="both"/>
        <w:rPr>
          <w:b/>
          <w:bCs/>
          <w:i/>
        </w:rPr>
      </w:pPr>
      <w:r w:rsidRPr="004F78C3">
        <w:rPr>
          <w:b/>
          <w:bCs/>
          <w:i/>
        </w:rPr>
        <w:t xml:space="preserve">Rostou </w:t>
      </w:r>
      <w:r>
        <w:rPr>
          <w:b/>
          <w:bCs/>
          <w:i/>
        </w:rPr>
        <w:t>zejména</w:t>
      </w:r>
      <w:r w:rsidRPr="004F78C3">
        <w:rPr>
          <w:b/>
          <w:bCs/>
          <w:i/>
        </w:rPr>
        <w:t xml:space="preserve"> výdaje za léky spotřebované ve zdravotnických zařízeních</w:t>
      </w:r>
      <w:r>
        <w:rPr>
          <w:b/>
          <w:bCs/>
          <w:i/>
        </w:rPr>
        <w:t xml:space="preserve"> a volně prodejné léky</w:t>
      </w:r>
    </w:p>
    <w:p w:rsidR="006067DA" w:rsidRPr="004843CC" w:rsidRDefault="006067DA" w:rsidP="006067DA">
      <w:pPr>
        <w:keepNext/>
        <w:spacing w:before="120"/>
        <w:jc w:val="both"/>
      </w:pPr>
      <w:r>
        <w:rPr>
          <w:bCs/>
        </w:rPr>
        <w:t>V roce 2017</w:t>
      </w:r>
      <w:r w:rsidRPr="004F78C3">
        <w:rPr>
          <w:bCs/>
        </w:rPr>
        <w:t xml:space="preserve"> </w:t>
      </w:r>
      <w:r w:rsidRPr="004F78C3">
        <w:rPr>
          <w:b/>
          <w:bCs/>
        </w:rPr>
        <w:t>meziročně</w:t>
      </w:r>
      <w:r w:rsidRPr="004F78C3">
        <w:rPr>
          <w:bCs/>
        </w:rPr>
        <w:t xml:space="preserve"> vzrostly výdaje na léky o </w:t>
      </w:r>
      <w:r>
        <w:rPr>
          <w:bCs/>
        </w:rPr>
        <w:t>5</w:t>
      </w:r>
      <w:r w:rsidRPr="004F78C3">
        <w:rPr>
          <w:bCs/>
        </w:rPr>
        <w:t> % (</w:t>
      </w:r>
      <w:r>
        <w:rPr>
          <w:bCs/>
        </w:rPr>
        <w:t>3,8</w:t>
      </w:r>
      <w:r w:rsidRPr="004F78C3">
        <w:rPr>
          <w:bCs/>
        </w:rPr>
        <w:t xml:space="preserve"> mld. Kč), a to především díky </w:t>
      </w:r>
      <w:r>
        <w:rPr>
          <w:bCs/>
        </w:rPr>
        <w:t xml:space="preserve">přímým </w:t>
      </w:r>
      <w:r w:rsidRPr="004F78C3">
        <w:rPr>
          <w:bCs/>
        </w:rPr>
        <w:t xml:space="preserve">výdajům </w:t>
      </w:r>
      <w:r>
        <w:rPr>
          <w:bCs/>
        </w:rPr>
        <w:t>domácností (jednotlivců) na volně prodejné léky, které se v porovnání s rokem 2016 zvýšily o 8 % (1,1</w:t>
      </w:r>
      <w:r w:rsidRPr="004F78C3">
        <w:rPr>
          <w:bCs/>
        </w:rPr>
        <w:t xml:space="preserve"> mld. Kč</w:t>
      </w:r>
      <w:r>
        <w:rPr>
          <w:bCs/>
        </w:rPr>
        <w:t xml:space="preserve">). </w:t>
      </w:r>
      <w:r w:rsidRPr="004F78C3">
        <w:rPr>
          <w:bCs/>
        </w:rPr>
        <w:t>V roce 201</w:t>
      </w:r>
      <w:r>
        <w:rPr>
          <w:bCs/>
        </w:rPr>
        <w:t>7</w:t>
      </w:r>
      <w:r w:rsidRPr="004F78C3">
        <w:rPr>
          <w:bCs/>
        </w:rPr>
        <w:t xml:space="preserve"> </w:t>
      </w:r>
      <w:r>
        <w:rPr>
          <w:bCs/>
        </w:rPr>
        <w:t>podobně</w:t>
      </w:r>
      <w:r w:rsidRPr="004F78C3">
        <w:rPr>
          <w:bCs/>
        </w:rPr>
        <w:t xml:space="preserve"> vzrostly </w:t>
      </w:r>
      <w:r>
        <w:rPr>
          <w:bCs/>
        </w:rPr>
        <w:t xml:space="preserve">i výdaje za léky spotřebované </w:t>
      </w:r>
      <w:r w:rsidRPr="004F78C3">
        <w:rPr>
          <w:bCs/>
        </w:rPr>
        <w:t>př</w:t>
      </w:r>
      <w:r>
        <w:rPr>
          <w:bCs/>
        </w:rPr>
        <w:t xml:space="preserve">ímo ve zdravotnických zařízeních </w:t>
      </w:r>
      <w:r w:rsidRPr="004F78C3">
        <w:rPr>
          <w:bCs/>
        </w:rPr>
        <w:t xml:space="preserve">(o </w:t>
      </w:r>
      <w:r>
        <w:rPr>
          <w:bCs/>
        </w:rPr>
        <w:t>5</w:t>
      </w:r>
      <w:r w:rsidRPr="004F78C3">
        <w:rPr>
          <w:bCs/>
        </w:rPr>
        <w:t xml:space="preserve"> %; </w:t>
      </w:r>
      <w:r>
        <w:rPr>
          <w:bCs/>
        </w:rPr>
        <w:t>1,2</w:t>
      </w:r>
      <w:r w:rsidRPr="004F78C3">
        <w:rPr>
          <w:bCs/>
        </w:rPr>
        <w:t xml:space="preserve"> mld. Kč).</w:t>
      </w:r>
      <w:r>
        <w:t xml:space="preserve"> </w:t>
      </w:r>
      <w:r w:rsidRPr="00EA29F0">
        <w:rPr>
          <w:bCs/>
          <w:i/>
        </w:rPr>
        <w:t>Podrobněji viz podkapitola č. 3.4.3.</w:t>
      </w:r>
    </w:p>
    <w:p w:rsidR="006067DA" w:rsidRPr="00C56C20" w:rsidRDefault="006067DA" w:rsidP="006067DA">
      <w:pPr>
        <w:keepNext/>
        <w:spacing w:before="120"/>
        <w:jc w:val="both"/>
      </w:pPr>
      <w:r w:rsidRPr="00C56C20">
        <w:t xml:space="preserve">Vývoj jednotlivých skupin výdajů za léky se </w:t>
      </w:r>
      <w:r w:rsidRPr="00D849E3">
        <w:t xml:space="preserve">ve sledovaném období lišil, jak ukazuje graf č. 3.4.2., kde je výchozím rokem pro výpočet indexu rok 2013.  </w:t>
      </w:r>
      <w:r w:rsidRPr="00D849E3">
        <w:rPr>
          <w:b/>
        </w:rPr>
        <w:t>U léků spotřebovaných ve zdravotnických zařízeních</w:t>
      </w:r>
      <w:r w:rsidRPr="00D849E3">
        <w:t xml:space="preserve"> lze sledovat </w:t>
      </w:r>
      <w:r w:rsidR="00D849E3">
        <w:t>kontinuální</w:t>
      </w:r>
      <w:r w:rsidRPr="00D849E3">
        <w:t xml:space="preserve"> nárůst</w:t>
      </w:r>
      <w:r w:rsidR="00D849E3" w:rsidRPr="00D849E3">
        <w:t xml:space="preserve"> po celé sledované období</w:t>
      </w:r>
      <w:r w:rsidRPr="00D849E3">
        <w:t xml:space="preserve">. </w:t>
      </w:r>
      <w:r w:rsidRPr="00D849E3">
        <w:rPr>
          <w:b/>
        </w:rPr>
        <w:t>U</w:t>
      </w:r>
      <w:r w:rsidRPr="00C56C20">
        <w:rPr>
          <w:b/>
        </w:rPr>
        <w:t xml:space="preserve"> léků na předpis z veřejného zdravotního pojištění</w:t>
      </w:r>
      <w:r w:rsidRPr="00C56C20">
        <w:t xml:space="preserve"> index výdajů měl v roce 2014 mírně sestupnou tendenci, která přetrvávala i v následujících dvou letech. Teprve rok 2017 se zmíněné výdaje </w:t>
      </w:r>
      <w:r>
        <w:t>vrátily</w:t>
      </w:r>
      <w:r w:rsidRPr="00C56C20">
        <w:t xml:space="preserve"> na úroveň výchozího roku 2013. </w:t>
      </w:r>
      <w:r w:rsidRPr="00C56C20">
        <w:rPr>
          <w:b/>
        </w:rPr>
        <w:t>Volně prodejné léky</w:t>
      </w:r>
      <w:r w:rsidRPr="00C56C20">
        <w:t xml:space="preserve">, které hradí domácnosti, od roku 2013 výrazně vzrostly. Také u </w:t>
      </w:r>
      <w:r w:rsidRPr="002F5DE4">
        <w:rPr>
          <w:b/>
        </w:rPr>
        <w:t>d</w:t>
      </w:r>
      <w:r w:rsidRPr="00C56C20">
        <w:rPr>
          <w:b/>
        </w:rPr>
        <w:t>oplatků na předepsané léky</w:t>
      </w:r>
      <w:r w:rsidRPr="00C56C20">
        <w:t xml:space="preserve"> se</w:t>
      </w:r>
      <w:r w:rsidRPr="00C56C20">
        <w:rPr>
          <w:b/>
        </w:rPr>
        <w:t xml:space="preserve"> </w:t>
      </w:r>
      <w:r w:rsidRPr="00C56C20">
        <w:t xml:space="preserve">index výdajů od roku 2013 postupně zvyšuje.  </w:t>
      </w:r>
    </w:p>
    <w:p w:rsidR="006067DA" w:rsidRPr="005F153A" w:rsidRDefault="006067DA" w:rsidP="006067DA">
      <w:pPr>
        <w:keepNext/>
        <w:spacing w:before="120"/>
        <w:jc w:val="both"/>
        <w:rPr>
          <w:b/>
          <w:bCs/>
          <w:sz w:val="18"/>
          <w:szCs w:val="18"/>
        </w:rPr>
      </w:pPr>
      <w:r w:rsidRPr="005F153A">
        <w:rPr>
          <w:b/>
          <w:bCs/>
          <w:sz w:val="18"/>
          <w:szCs w:val="18"/>
        </w:rPr>
        <w:t xml:space="preserve">Graf 3.4.2 Vývoj výdajů za léky </w:t>
      </w:r>
      <w:r>
        <w:rPr>
          <w:b/>
          <w:bCs/>
          <w:sz w:val="18"/>
          <w:szCs w:val="18"/>
        </w:rPr>
        <w:t xml:space="preserve">v Česku </w:t>
      </w:r>
      <w:r w:rsidRPr="005F153A">
        <w:rPr>
          <w:b/>
          <w:bCs/>
          <w:sz w:val="18"/>
          <w:szCs w:val="18"/>
        </w:rPr>
        <w:t>v letech 201</w:t>
      </w:r>
      <w:r>
        <w:rPr>
          <w:b/>
          <w:bCs/>
          <w:sz w:val="18"/>
          <w:szCs w:val="18"/>
        </w:rPr>
        <w:t>3</w:t>
      </w:r>
      <w:r w:rsidRPr="005F153A">
        <w:rPr>
          <w:b/>
          <w:bCs/>
          <w:sz w:val="18"/>
          <w:szCs w:val="18"/>
        </w:rPr>
        <w:t xml:space="preserve"> - 201</w:t>
      </w:r>
      <w:r>
        <w:rPr>
          <w:b/>
          <w:bCs/>
          <w:sz w:val="18"/>
          <w:szCs w:val="18"/>
        </w:rPr>
        <w:t>7</w:t>
      </w:r>
      <w:r w:rsidRPr="005F153A">
        <w:rPr>
          <w:b/>
          <w:bCs/>
          <w:sz w:val="18"/>
          <w:szCs w:val="18"/>
        </w:rPr>
        <w:t xml:space="preserve"> (index, 201</w:t>
      </w:r>
      <w:r>
        <w:rPr>
          <w:b/>
          <w:bCs/>
          <w:sz w:val="18"/>
          <w:szCs w:val="18"/>
        </w:rPr>
        <w:t>3</w:t>
      </w:r>
      <w:r w:rsidRPr="005F153A">
        <w:rPr>
          <w:b/>
          <w:bCs/>
          <w:sz w:val="18"/>
          <w:szCs w:val="18"/>
        </w:rPr>
        <w:t xml:space="preserve"> = 100)</w:t>
      </w:r>
    </w:p>
    <w:p w:rsidR="006067DA" w:rsidRDefault="00AF29DC" w:rsidP="001A4ACA">
      <w:pPr>
        <w:keepNext/>
        <w:spacing w:before="120"/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</w:rPr>
        <w:drawing>
          <wp:inline distT="0" distB="0" distL="0" distR="0" wp14:anchorId="77C40E5E">
            <wp:extent cx="5974715" cy="2725420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Pr="005F153A" w:rsidRDefault="006067DA" w:rsidP="006067DA">
      <w:pPr>
        <w:keepNext/>
        <w:spacing w:before="120" w:after="240"/>
        <w:jc w:val="right"/>
        <w:rPr>
          <w:bCs/>
        </w:rPr>
      </w:pPr>
      <w:r w:rsidRPr="005F153A">
        <w:rPr>
          <w:b/>
          <w:i/>
          <w:sz w:val="16"/>
          <w:szCs w:val="16"/>
        </w:rPr>
        <w:t>Zdroj: ČSÚ 201</w:t>
      </w:r>
      <w:r>
        <w:rPr>
          <w:b/>
          <w:i/>
          <w:sz w:val="16"/>
          <w:szCs w:val="16"/>
        </w:rPr>
        <w:t>9</w:t>
      </w:r>
      <w:r w:rsidRPr="005F153A">
        <w:rPr>
          <w:b/>
          <w:i/>
          <w:sz w:val="16"/>
          <w:szCs w:val="16"/>
        </w:rPr>
        <w:t xml:space="preserve">, </w:t>
      </w:r>
      <w:r>
        <w:rPr>
          <w:b/>
          <w:i/>
          <w:sz w:val="16"/>
          <w:szCs w:val="16"/>
        </w:rPr>
        <w:t>Zdravotnické účty ČR 2010 - 2017</w:t>
      </w:r>
    </w:p>
    <w:p w:rsidR="006067DA" w:rsidRDefault="006067DA" w:rsidP="006067DA">
      <w:pPr>
        <w:keepNext/>
        <w:jc w:val="both"/>
        <w:rPr>
          <w:i/>
        </w:rPr>
      </w:pPr>
      <w:r w:rsidRPr="00606B1B">
        <w:rPr>
          <w:i/>
        </w:rPr>
        <w:t xml:space="preserve">Následujících několik údajů o spotřebě léčiv je čerpáno ze zdrojů </w:t>
      </w:r>
      <w:r w:rsidRPr="00606B1B">
        <w:rPr>
          <w:b/>
          <w:i/>
        </w:rPr>
        <w:t>Státního ústavu pro kontrolu léčiv</w:t>
      </w:r>
      <w:r w:rsidRPr="00606B1B">
        <w:rPr>
          <w:i/>
        </w:rPr>
        <w:t xml:space="preserve"> (SÚKL). V roce 201</w:t>
      </w:r>
      <w:r>
        <w:rPr>
          <w:i/>
        </w:rPr>
        <w:t>7</w:t>
      </w:r>
      <w:r w:rsidRPr="00606B1B">
        <w:rPr>
          <w:i/>
        </w:rPr>
        <w:t xml:space="preserve"> bylo do sítě zdravotnických zařízení v České republice dodáno 26</w:t>
      </w:r>
      <w:r>
        <w:rPr>
          <w:i/>
        </w:rPr>
        <w:t>2</w:t>
      </w:r>
      <w:r w:rsidRPr="00606B1B">
        <w:rPr>
          <w:i/>
        </w:rPr>
        <w:t>,</w:t>
      </w:r>
      <w:r>
        <w:rPr>
          <w:i/>
        </w:rPr>
        <w:t>5</w:t>
      </w:r>
      <w:r w:rsidRPr="00606B1B">
        <w:rPr>
          <w:i/>
        </w:rPr>
        <w:t xml:space="preserve"> milionů balení léčivých přípravků, což ve srovnání s rokem 201</w:t>
      </w:r>
      <w:r>
        <w:rPr>
          <w:i/>
        </w:rPr>
        <w:t>3</w:t>
      </w:r>
      <w:r w:rsidRPr="00606B1B">
        <w:rPr>
          <w:i/>
        </w:rPr>
        <w:t xml:space="preserve"> znamená pokles o </w:t>
      </w:r>
      <w:r>
        <w:rPr>
          <w:i/>
        </w:rPr>
        <w:t>2,3</w:t>
      </w:r>
      <w:r w:rsidRPr="00606B1B">
        <w:rPr>
          <w:i/>
        </w:rPr>
        <w:t xml:space="preserve"> %. Počet definovaných denních dávek</w:t>
      </w:r>
      <w:r w:rsidRPr="00606B1B">
        <w:rPr>
          <w:rStyle w:val="Znakapoznpodarou"/>
          <w:i/>
        </w:rPr>
        <w:footnoteReference w:id="3"/>
      </w:r>
      <w:r w:rsidRPr="00606B1B">
        <w:rPr>
          <w:i/>
        </w:rPr>
        <w:t xml:space="preserve"> celkem v roce 201</w:t>
      </w:r>
      <w:r>
        <w:rPr>
          <w:i/>
        </w:rPr>
        <w:t>7</w:t>
      </w:r>
      <w:r w:rsidRPr="00606B1B">
        <w:rPr>
          <w:i/>
        </w:rPr>
        <w:t xml:space="preserve"> dosáhl 6</w:t>
      </w:r>
      <w:r>
        <w:rPr>
          <w:i/>
        </w:rPr>
        <w:t> 674,6</w:t>
      </w:r>
      <w:r w:rsidRPr="00606B1B">
        <w:rPr>
          <w:i/>
        </w:rPr>
        <w:t xml:space="preserve"> mil., od roku 201</w:t>
      </w:r>
      <w:r>
        <w:rPr>
          <w:i/>
        </w:rPr>
        <w:t>3</w:t>
      </w:r>
      <w:r w:rsidRPr="00606B1B">
        <w:rPr>
          <w:i/>
        </w:rPr>
        <w:t xml:space="preserve"> vzrostl o </w:t>
      </w:r>
      <w:r>
        <w:rPr>
          <w:i/>
        </w:rPr>
        <w:t>8,1</w:t>
      </w:r>
      <w:r w:rsidRPr="00606B1B">
        <w:rPr>
          <w:i/>
        </w:rPr>
        <w:t xml:space="preserve"> %. Finanční hodnota distribuovaných léčivých přípravků byla 6</w:t>
      </w:r>
      <w:r>
        <w:rPr>
          <w:i/>
        </w:rPr>
        <w:t>7</w:t>
      </w:r>
      <w:r w:rsidRPr="00606B1B">
        <w:rPr>
          <w:i/>
        </w:rPr>
        <w:t>,</w:t>
      </w:r>
      <w:r>
        <w:rPr>
          <w:i/>
        </w:rPr>
        <w:t>9</w:t>
      </w:r>
      <w:r w:rsidRPr="00606B1B">
        <w:rPr>
          <w:i/>
        </w:rPr>
        <w:t xml:space="preserve"> miliard Kč (v cenách stanovených výrobcem bez obchodní přirážky a DPH), oproti roku 201</w:t>
      </w:r>
      <w:r>
        <w:rPr>
          <w:i/>
        </w:rPr>
        <w:t>3</w:t>
      </w:r>
      <w:r w:rsidRPr="00606B1B">
        <w:rPr>
          <w:i/>
        </w:rPr>
        <w:t xml:space="preserve"> se jejich cena zvýšila o </w:t>
      </w:r>
      <w:r>
        <w:rPr>
          <w:i/>
        </w:rPr>
        <w:t>23</w:t>
      </w:r>
      <w:r w:rsidRPr="00606B1B">
        <w:rPr>
          <w:i/>
        </w:rPr>
        <w:t xml:space="preserve"> %.</w:t>
      </w:r>
      <w:bookmarkStart w:id="3" w:name="_Toc481748800"/>
    </w:p>
    <w:p w:rsidR="006067DA" w:rsidRPr="005F153A" w:rsidRDefault="006067DA" w:rsidP="006067DA">
      <w:pPr>
        <w:pStyle w:val="Nadpis3"/>
        <w:pageBreakBefore/>
      </w:pPr>
      <w:r w:rsidRPr="005F153A">
        <w:lastRenderedPageBreak/>
        <w:t>3.4.2 Výdaje za léky podle místa jejich spotřeby</w:t>
      </w:r>
      <w:bookmarkEnd w:id="3"/>
      <w:r w:rsidRPr="005F153A">
        <w:t xml:space="preserve"> </w:t>
      </w:r>
    </w:p>
    <w:p w:rsidR="006067DA" w:rsidRPr="002F0353" w:rsidRDefault="006067DA" w:rsidP="006067DA">
      <w:pPr>
        <w:spacing w:before="120"/>
        <w:jc w:val="both"/>
        <w:rPr>
          <w:bCs/>
        </w:rPr>
      </w:pPr>
      <w:r w:rsidRPr="002F0353">
        <w:rPr>
          <w:bCs/>
        </w:rPr>
        <w:t xml:space="preserve">Za </w:t>
      </w:r>
      <w:r w:rsidRPr="002F0353">
        <w:rPr>
          <w:b/>
          <w:bCs/>
        </w:rPr>
        <w:t>ambulantně vydávané léky</w:t>
      </w:r>
      <w:r w:rsidRPr="002F0353">
        <w:rPr>
          <w:bCs/>
        </w:rPr>
        <w:t xml:space="preserve"> hrazené z veřejného zdravotního pojištění a doplatků domácností bylo v roce 2017 vynaloženo více než 58 mld. Kč, přičemž za léky vydané na předpis to bylo 43,9 mld. Kč a za volně prodejné léky 14,5 mld. Kč. Výdaje na ambulantně vydávané léky tak tvořily 15 % celkových výdajů na zdravotní péči, které v roce 2017 dosáhly výše 387,4 mld. Kč. Na </w:t>
      </w:r>
      <w:r w:rsidRPr="002F0353">
        <w:rPr>
          <w:b/>
          <w:bCs/>
        </w:rPr>
        <w:t>léky spotřebované ve zdravotnických zařízeních</w:t>
      </w:r>
      <w:r w:rsidRPr="002F0353">
        <w:rPr>
          <w:bCs/>
        </w:rPr>
        <w:t xml:space="preserve"> bylo v roce 2017 vydáno téměř o třetinu více korun než v roce 2013 (24,6 mld. Kč oproti 18,7 mld. Kč). V roce 2017 léky spotřebované ve zdravotnických zařízeních představovaly 6,4 % z celkových výdajů</w:t>
      </w:r>
      <w:r>
        <w:rPr>
          <w:bCs/>
        </w:rPr>
        <w:t xml:space="preserve"> na zdravotní péči oproti 5,4</w:t>
      </w:r>
      <w:r w:rsidRPr="002F0353">
        <w:rPr>
          <w:bCs/>
        </w:rPr>
        <w:t> % v roce 2013.</w:t>
      </w:r>
    </w:p>
    <w:p w:rsidR="006067DA" w:rsidRDefault="006067DA" w:rsidP="006067DA">
      <w:pPr>
        <w:spacing w:before="120"/>
        <w:jc w:val="both"/>
        <w:rPr>
          <w:rFonts w:cs="Arial"/>
          <w:b/>
          <w:sz w:val="18"/>
          <w:szCs w:val="18"/>
        </w:rPr>
      </w:pPr>
      <w:r w:rsidRPr="00C8098B">
        <w:rPr>
          <w:rFonts w:cs="Arial"/>
          <w:b/>
          <w:sz w:val="18"/>
          <w:szCs w:val="18"/>
        </w:rPr>
        <w:t>Graf č. 3.4.3 Výdaje za léky v České republice podle místa spotřeby, 201</w:t>
      </w:r>
      <w:r>
        <w:rPr>
          <w:rFonts w:cs="Arial"/>
          <w:b/>
          <w:sz w:val="18"/>
          <w:szCs w:val="18"/>
        </w:rPr>
        <w:t>3</w:t>
      </w:r>
      <w:r w:rsidRPr="00C8098B">
        <w:rPr>
          <w:rFonts w:cs="Arial"/>
          <w:b/>
          <w:sz w:val="18"/>
          <w:szCs w:val="18"/>
        </w:rPr>
        <w:t>-201</w:t>
      </w:r>
      <w:r>
        <w:rPr>
          <w:rFonts w:cs="Arial"/>
          <w:b/>
          <w:sz w:val="18"/>
          <w:szCs w:val="18"/>
        </w:rPr>
        <w:t>7</w:t>
      </w:r>
      <w:r w:rsidRPr="00C8098B">
        <w:rPr>
          <w:rFonts w:cs="Arial"/>
          <w:b/>
          <w:sz w:val="18"/>
          <w:szCs w:val="18"/>
        </w:rPr>
        <w:t xml:space="preserve"> (mld. Kč; %)</w:t>
      </w:r>
      <w:r>
        <w:rPr>
          <w:rFonts w:cs="Arial"/>
          <w:b/>
          <w:sz w:val="18"/>
          <w:szCs w:val="18"/>
        </w:rPr>
        <w:t xml:space="preserve"> </w:t>
      </w:r>
    </w:p>
    <w:p w:rsidR="006067DA" w:rsidRDefault="006067DA" w:rsidP="001A4ACA">
      <w:pPr>
        <w:spacing w:before="12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a) </w:t>
      </w:r>
      <w:r w:rsidRPr="00BA4D62">
        <w:rPr>
          <w:rFonts w:cs="Arial"/>
          <w:b/>
          <w:sz w:val="18"/>
          <w:szCs w:val="18"/>
        </w:rPr>
        <w:t>v mld. Kč</w:t>
      </w:r>
      <w:r w:rsidRPr="005F427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b) </w:t>
      </w:r>
      <w:r w:rsidRPr="00AA3BA1">
        <w:rPr>
          <w:rFonts w:cs="Arial"/>
          <w:b/>
          <w:sz w:val="18"/>
          <w:szCs w:val="18"/>
        </w:rPr>
        <w:t>struktura (%)</w:t>
      </w:r>
    </w:p>
    <w:p w:rsidR="006067DA" w:rsidRDefault="00AF29DC" w:rsidP="006067DA">
      <w:pPr>
        <w:rPr>
          <w:noProof/>
        </w:rPr>
      </w:pPr>
      <w:r>
        <w:rPr>
          <w:noProof/>
        </w:rPr>
        <w:drawing>
          <wp:inline distT="0" distB="0" distL="0" distR="0" wp14:anchorId="68275453">
            <wp:extent cx="3773805" cy="2517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18CBD6">
            <wp:extent cx="2219325" cy="2517775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Pr="00DE44A3" w:rsidRDefault="006067DA" w:rsidP="006067DA">
      <w:pPr>
        <w:rPr>
          <w:rFonts w:cs="Arial"/>
          <w:b/>
          <w:sz w:val="18"/>
          <w:szCs w:val="18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DE44A3">
        <w:rPr>
          <w:b/>
          <w:i/>
          <w:sz w:val="16"/>
          <w:szCs w:val="16"/>
        </w:rPr>
        <w:t>Zdroj: ČSÚ 201</w:t>
      </w:r>
      <w:r>
        <w:rPr>
          <w:b/>
          <w:i/>
          <w:sz w:val="16"/>
          <w:szCs w:val="16"/>
        </w:rPr>
        <w:t>9</w:t>
      </w:r>
      <w:r w:rsidRPr="00DE44A3">
        <w:rPr>
          <w:b/>
          <w:i/>
          <w:sz w:val="16"/>
          <w:szCs w:val="16"/>
        </w:rPr>
        <w:t>, Zdravotnické účty ČR 2010 - 201</w:t>
      </w:r>
      <w:r>
        <w:rPr>
          <w:b/>
          <w:i/>
          <w:sz w:val="16"/>
          <w:szCs w:val="16"/>
        </w:rPr>
        <w:t>7</w:t>
      </w:r>
    </w:p>
    <w:p w:rsidR="006067DA" w:rsidRPr="005F153A" w:rsidRDefault="006067DA" w:rsidP="006067DA">
      <w:pPr>
        <w:keepNext/>
        <w:tabs>
          <w:tab w:val="left" w:pos="945"/>
        </w:tabs>
        <w:spacing w:before="120"/>
        <w:jc w:val="both"/>
        <w:rPr>
          <w:szCs w:val="20"/>
        </w:rPr>
      </w:pPr>
      <w:r w:rsidRPr="005F153A">
        <w:rPr>
          <w:szCs w:val="20"/>
        </w:rPr>
        <w:t>Jak je patrné z grafu č.</w:t>
      </w:r>
      <w:r>
        <w:rPr>
          <w:szCs w:val="20"/>
        </w:rPr>
        <w:t xml:space="preserve"> </w:t>
      </w:r>
      <w:r w:rsidRPr="005F153A">
        <w:rPr>
          <w:szCs w:val="20"/>
        </w:rPr>
        <w:t>3.4.3</w:t>
      </w:r>
      <w:r>
        <w:rPr>
          <w:szCs w:val="20"/>
        </w:rPr>
        <w:t>,</w:t>
      </w:r>
      <w:r w:rsidRPr="005F153A">
        <w:rPr>
          <w:szCs w:val="20"/>
        </w:rPr>
        <w:t xml:space="preserve"> </w:t>
      </w:r>
      <w:r>
        <w:rPr>
          <w:szCs w:val="20"/>
        </w:rPr>
        <w:t>od roku 2013</w:t>
      </w:r>
      <w:r w:rsidRPr="005F153A">
        <w:rPr>
          <w:szCs w:val="20"/>
        </w:rPr>
        <w:t xml:space="preserve"> </w:t>
      </w:r>
      <w:r>
        <w:rPr>
          <w:szCs w:val="20"/>
        </w:rPr>
        <w:t>se pohybují</w:t>
      </w:r>
      <w:r w:rsidRPr="005F153A">
        <w:rPr>
          <w:szCs w:val="20"/>
        </w:rPr>
        <w:t xml:space="preserve"> výdaje na </w:t>
      </w:r>
      <w:r w:rsidRPr="005F153A">
        <w:rPr>
          <w:b/>
          <w:szCs w:val="20"/>
        </w:rPr>
        <w:t>léky na předpis hrazené z veřejného zdravotního pojištění</w:t>
      </w:r>
      <w:r w:rsidRPr="005F153A">
        <w:rPr>
          <w:szCs w:val="20"/>
        </w:rPr>
        <w:t xml:space="preserve"> </w:t>
      </w:r>
      <w:r>
        <w:rPr>
          <w:szCs w:val="20"/>
        </w:rPr>
        <w:t>okolo 32</w:t>
      </w:r>
      <w:r w:rsidRPr="005F153A">
        <w:rPr>
          <w:szCs w:val="20"/>
        </w:rPr>
        <w:t xml:space="preserve"> mld. Kč</w:t>
      </w:r>
      <w:r>
        <w:rPr>
          <w:szCs w:val="20"/>
        </w:rPr>
        <w:t xml:space="preserve">. </w:t>
      </w:r>
    </w:p>
    <w:p w:rsidR="006067DA" w:rsidRPr="005F153A" w:rsidRDefault="006067DA" w:rsidP="006067DA">
      <w:pPr>
        <w:spacing w:before="120" w:after="120"/>
        <w:rPr>
          <w:rFonts w:cs="Arial"/>
          <w:b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 xml:space="preserve">Graf č. 3.4.4 Výdaje za ambulantně vydávané léky, </w:t>
      </w:r>
      <w:r>
        <w:rPr>
          <w:rFonts w:cs="Arial"/>
          <w:b/>
          <w:sz w:val="18"/>
          <w:szCs w:val="18"/>
        </w:rPr>
        <w:t xml:space="preserve">2013 - </w:t>
      </w:r>
      <w:r w:rsidRPr="005F153A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7</w:t>
      </w:r>
      <w:r w:rsidRPr="005F153A">
        <w:rPr>
          <w:rFonts w:cs="Arial"/>
          <w:b/>
          <w:sz w:val="18"/>
          <w:szCs w:val="18"/>
        </w:rPr>
        <w:t xml:space="preserve"> (mld. Kč; %)</w:t>
      </w:r>
    </w:p>
    <w:p w:rsidR="006067DA" w:rsidRDefault="006067DA" w:rsidP="006067DA">
      <w:pPr>
        <w:pStyle w:val="Odstavecseseznamem"/>
        <w:widowControl w:val="0"/>
        <w:numPr>
          <w:ilvl w:val="0"/>
          <w:numId w:val="40"/>
        </w:numPr>
        <w:spacing w:after="0"/>
        <w:ind w:left="714" w:hanging="357"/>
        <w:rPr>
          <w:noProof/>
        </w:rPr>
      </w:pPr>
      <w:r w:rsidRPr="006979FE">
        <w:rPr>
          <w:b/>
          <w:noProof/>
          <w:sz w:val="18"/>
          <w:szCs w:val="18"/>
        </w:rPr>
        <w:t xml:space="preserve">v mld. Kč                                                                                  </w:t>
      </w:r>
      <w:r>
        <w:rPr>
          <w:b/>
          <w:noProof/>
          <w:sz w:val="18"/>
          <w:szCs w:val="18"/>
        </w:rPr>
        <w:t xml:space="preserve">      </w:t>
      </w:r>
      <w:r w:rsidRPr="006979FE">
        <w:rPr>
          <w:b/>
          <w:noProof/>
          <w:sz w:val="18"/>
          <w:szCs w:val="18"/>
        </w:rPr>
        <w:t>b) struktura (%)</w:t>
      </w:r>
    </w:p>
    <w:p w:rsidR="006067DA" w:rsidRDefault="00AF29DC" w:rsidP="006067DA">
      <w:pPr>
        <w:spacing w:before="120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noProof/>
          <w:sz w:val="16"/>
          <w:szCs w:val="16"/>
        </w:rPr>
        <w:drawing>
          <wp:inline distT="0" distB="0" distL="0" distR="0" wp14:anchorId="65234F54">
            <wp:extent cx="3780155" cy="2590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i/>
          <w:noProof/>
          <w:sz w:val="16"/>
          <w:szCs w:val="16"/>
        </w:rPr>
        <w:drawing>
          <wp:inline distT="0" distB="0" distL="0" distR="0" wp14:anchorId="76406665">
            <wp:extent cx="2243455" cy="2517775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Pr="00DE44A3" w:rsidRDefault="006067DA" w:rsidP="006067DA">
      <w:pPr>
        <w:rPr>
          <w:rFonts w:cs="Arial"/>
          <w:b/>
          <w:sz w:val="18"/>
          <w:szCs w:val="18"/>
        </w:rPr>
      </w:pPr>
      <w:r>
        <w:rPr>
          <w:b/>
          <w:bCs/>
          <w:i/>
          <w:sz w:val="16"/>
          <w:szCs w:val="16"/>
        </w:rPr>
        <w:t xml:space="preserve">    </w:t>
      </w:r>
      <w:r w:rsidRPr="005F153A">
        <w:rPr>
          <w:b/>
          <w:bCs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DE44A3">
        <w:rPr>
          <w:b/>
          <w:i/>
          <w:sz w:val="16"/>
          <w:szCs w:val="16"/>
        </w:rPr>
        <w:t>Zdroj: ČSÚ 201</w:t>
      </w:r>
      <w:r>
        <w:rPr>
          <w:b/>
          <w:i/>
          <w:sz w:val="16"/>
          <w:szCs w:val="16"/>
        </w:rPr>
        <w:t>9</w:t>
      </w:r>
      <w:r w:rsidRPr="00DE44A3">
        <w:rPr>
          <w:b/>
          <w:i/>
          <w:sz w:val="16"/>
          <w:szCs w:val="16"/>
        </w:rPr>
        <w:t>, Zdravotnické účty ČR 2010 - 201</w:t>
      </w:r>
      <w:r>
        <w:rPr>
          <w:b/>
          <w:i/>
          <w:sz w:val="16"/>
          <w:szCs w:val="16"/>
        </w:rPr>
        <w:t>7</w:t>
      </w:r>
    </w:p>
    <w:p w:rsidR="00B90EFA" w:rsidRDefault="00B90EFA" w:rsidP="00B90EFA">
      <w:pPr>
        <w:spacing w:before="120"/>
        <w:jc w:val="both"/>
        <w:rPr>
          <w:bCs/>
        </w:rPr>
      </w:pPr>
      <w:bookmarkStart w:id="4" w:name="_3.4.3_Výdaje_za"/>
      <w:bookmarkStart w:id="5" w:name="_Toc481748801"/>
      <w:bookmarkEnd w:id="4"/>
      <w:r w:rsidRPr="00E11122">
        <w:rPr>
          <w:b/>
          <w:bCs/>
        </w:rPr>
        <w:t>Celkové výdaje na léky</w:t>
      </w:r>
      <w:r w:rsidRPr="00E11122">
        <w:rPr>
          <w:bCs/>
        </w:rPr>
        <w:t xml:space="preserve"> </w:t>
      </w:r>
      <w:r w:rsidRPr="00E11122">
        <w:rPr>
          <w:b/>
          <w:bCs/>
        </w:rPr>
        <w:t>vydávané ambulantně</w:t>
      </w:r>
      <w:r w:rsidRPr="00E11122">
        <w:rPr>
          <w:bCs/>
        </w:rPr>
        <w:t xml:space="preserve"> dosáhly v roce 2017 částky </w:t>
      </w:r>
      <w:r w:rsidRPr="00E11122">
        <w:rPr>
          <w:b/>
          <w:bCs/>
        </w:rPr>
        <w:t>58,4 mld. Kč</w:t>
      </w:r>
      <w:r w:rsidRPr="00E11122">
        <w:rPr>
          <w:bCs/>
        </w:rPr>
        <w:t xml:space="preserve">. Výdaje za léky na předpis uhrazené z veřejného zdravotního pojištění </w:t>
      </w:r>
      <w:r>
        <w:rPr>
          <w:bCs/>
        </w:rPr>
        <w:t>tvořily</w:t>
      </w:r>
      <w:r w:rsidRPr="00E11122">
        <w:rPr>
          <w:bCs/>
        </w:rPr>
        <w:t xml:space="preserve"> 5</w:t>
      </w:r>
      <w:r w:rsidR="0086041E">
        <w:rPr>
          <w:bCs/>
        </w:rPr>
        <w:t>6</w:t>
      </w:r>
      <w:r w:rsidRPr="00E11122">
        <w:rPr>
          <w:bCs/>
        </w:rPr>
        <w:t xml:space="preserve"> % </w:t>
      </w:r>
      <w:r>
        <w:rPr>
          <w:bCs/>
        </w:rPr>
        <w:t xml:space="preserve">tj. </w:t>
      </w:r>
      <w:r w:rsidRPr="00E11122">
        <w:rPr>
          <w:bCs/>
        </w:rPr>
        <w:t>32,8 mld. Kč</w:t>
      </w:r>
      <w:r>
        <w:rPr>
          <w:bCs/>
        </w:rPr>
        <w:t xml:space="preserve"> </w:t>
      </w:r>
      <w:r w:rsidRPr="00E11122">
        <w:rPr>
          <w:bCs/>
        </w:rPr>
        <w:t xml:space="preserve">z uvedeného celku.  Za </w:t>
      </w:r>
      <w:r w:rsidRPr="00E11122">
        <w:rPr>
          <w:bCs/>
        </w:rPr>
        <w:lastRenderedPageBreak/>
        <w:t xml:space="preserve">volně prodejné léky a doplatky za léky na předpis zaplatili pacienti </w:t>
      </w:r>
      <w:r>
        <w:rPr>
          <w:bCs/>
        </w:rPr>
        <w:t xml:space="preserve">z rodinných rozpočtů </w:t>
      </w:r>
      <w:r w:rsidRPr="00E11122">
        <w:rPr>
          <w:bCs/>
        </w:rPr>
        <w:t>dohromady 25,6</w:t>
      </w:r>
      <w:r>
        <w:rPr>
          <w:bCs/>
        </w:rPr>
        <w:t> </w:t>
      </w:r>
      <w:r w:rsidRPr="00E11122">
        <w:rPr>
          <w:bCs/>
        </w:rPr>
        <w:t>mld. Kč. V uplynulých pěti letech uhradily zdravotní pojišťovny pro své klienty léky na předpis za více než 16</w:t>
      </w:r>
      <w:r>
        <w:rPr>
          <w:bCs/>
        </w:rPr>
        <w:t>1</w:t>
      </w:r>
      <w:r w:rsidRPr="00E11122">
        <w:rPr>
          <w:bCs/>
        </w:rPr>
        <w:t xml:space="preserve"> mld. korun, na které pacienti doplatili </w:t>
      </w:r>
      <w:r>
        <w:rPr>
          <w:bCs/>
        </w:rPr>
        <w:t>z vlastních kapes ještě 50</w:t>
      </w:r>
      <w:r w:rsidRPr="00E11122">
        <w:rPr>
          <w:bCs/>
        </w:rPr>
        <w:t xml:space="preserve"> mld. korun. </w:t>
      </w:r>
    </w:p>
    <w:p w:rsidR="001A4ACA" w:rsidRDefault="001A4ACA" w:rsidP="001A4ACA">
      <w:pPr>
        <w:keepNext/>
        <w:spacing w:before="120"/>
        <w:jc w:val="both"/>
      </w:pPr>
      <w:r w:rsidRPr="005F153A">
        <w:t>Jak dokumentuje graf č.</w:t>
      </w:r>
      <w:r>
        <w:t xml:space="preserve"> </w:t>
      </w:r>
      <w:r w:rsidRPr="005F153A">
        <w:t>3.4.</w:t>
      </w:r>
      <w:r>
        <w:t>4,</w:t>
      </w:r>
      <w:r w:rsidRPr="005F153A">
        <w:t xml:space="preserve"> </w:t>
      </w:r>
      <w:r w:rsidRPr="005F153A">
        <w:rPr>
          <w:b/>
        </w:rPr>
        <w:t>výdaje na léky na předpis</w:t>
      </w:r>
      <w:r w:rsidRPr="005F153A">
        <w:t xml:space="preserve"> </w:t>
      </w:r>
      <w:r w:rsidRPr="00B74B94">
        <w:t>(hrazen</w:t>
      </w:r>
      <w:r>
        <w:t>é</w:t>
      </w:r>
      <w:r w:rsidRPr="00B74B94">
        <w:t xml:space="preserve"> z veřejného pojištění i doplatků domácností)</w:t>
      </w:r>
      <w:r>
        <w:t xml:space="preserve"> tvořily </w:t>
      </w:r>
      <w:r w:rsidRPr="00AA252D">
        <w:t>v letech 201</w:t>
      </w:r>
      <w:r>
        <w:t>3</w:t>
      </w:r>
      <w:r w:rsidRPr="00AA252D">
        <w:t xml:space="preserve"> –</w:t>
      </w:r>
      <w:r>
        <w:t xml:space="preserve"> 2017</w:t>
      </w:r>
      <w:r w:rsidRPr="005F153A">
        <w:t xml:space="preserve"> až 7</w:t>
      </w:r>
      <w:r>
        <w:t>6</w:t>
      </w:r>
      <w:r w:rsidRPr="005F153A">
        <w:t xml:space="preserve"> % - 79 % ve skupině léků vydávaných ambulantně. </w:t>
      </w:r>
      <w:r w:rsidRPr="005F153A">
        <w:rPr>
          <w:b/>
        </w:rPr>
        <w:t xml:space="preserve">Doplatky pacientů za léky na předpis </w:t>
      </w:r>
      <w:r w:rsidRPr="005F153A">
        <w:t>se pohybovaly v </w:t>
      </w:r>
      <w:r>
        <w:t>letech</w:t>
      </w:r>
      <w:r w:rsidRPr="005F153A">
        <w:t xml:space="preserve"> 201</w:t>
      </w:r>
      <w:r>
        <w:t>2 až 2014</w:t>
      </w:r>
      <w:r w:rsidRPr="005F153A">
        <w:t xml:space="preserve"> </w:t>
      </w:r>
      <w:r>
        <w:t>na úrovni 9,4 mld. Kč</w:t>
      </w:r>
      <w:r w:rsidRPr="005F153A">
        <w:t>.</w:t>
      </w:r>
      <w:r>
        <w:t xml:space="preserve"> V následujících dvou letech přesáhly 10 mld. Kč a v roce 2017 dosáhly zatím historického maxima 11,1 mld. Kč.</w:t>
      </w:r>
    </w:p>
    <w:p w:rsidR="006067DA" w:rsidRPr="005F153A" w:rsidRDefault="006067DA" w:rsidP="006067DA">
      <w:pPr>
        <w:keepNext/>
        <w:spacing w:before="120"/>
        <w:jc w:val="both"/>
        <w:rPr>
          <w:b/>
          <w:bCs/>
          <w:i/>
          <w:szCs w:val="22"/>
        </w:rPr>
      </w:pPr>
      <w:r w:rsidRPr="005F153A">
        <w:rPr>
          <w:b/>
          <w:bCs/>
          <w:i/>
          <w:szCs w:val="22"/>
        </w:rPr>
        <w:t xml:space="preserve">Každý obyvatel České republiky ročně zaplatí z vlastní peněženky za léky </w:t>
      </w:r>
      <w:r>
        <w:rPr>
          <w:b/>
          <w:bCs/>
          <w:i/>
          <w:szCs w:val="22"/>
        </w:rPr>
        <w:t xml:space="preserve">více než </w:t>
      </w:r>
      <w:r w:rsidRPr="005F153A">
        <w:rPr>
          <w:b/>
          <w:bCs/>
          <w:i/>
          <w:szCs w:val="22"/>
        </w:rPr>
        <w:t>2</w:t>
      </w:r>
      <w:r>
        <w:rPr>
          <w:b/>
          <w:bCs/>
          <w:i/>
          <w:szCs w:val="22"/>
        </w:rPr>
        <w:t>,4</w:t>
      </w:r>
      <w:r w:rsidRPr="005F153A">
        <w:rPr>
          <w:b/>
          <w:bCs/>
          <w:i/>
          <w:szCs w:val="22"/>
        </w:rPr>
        <w:t xml:space="preserve"> tisíce korun </w:t>
      </w:r>
    </w:p>
    <w:p w:rsidR="006067DA" w:rsidRPr="005F153A" w:rsidRDefault="006067DA" w:rsidP="006067DA">
      <w:pPr>
        <w:spacing w:before="120"/>
        <w:jc w:val="both"/>
        <w:rPr>
          <w:bCs/>
          <w:szCs w:val="22"/>
        </w:rPr>
      </w:pPr>
      <w:r w:rsidRPr="005F153A">
        <w:rPr>
          <w:bCs/>
          <w:szCs w:val="22"/>
        </w:rPr>
        <w:t>Z grafu č.</w:t>
      </w:r>
      <w:r>
        <w:rPr>
          <w:bCs/>
          <w:szCs w:val="22"/>
        </w:rPr>
        <w:t xml:space="preserve"> </w:t>
      </w:r>
      <w:r w:rsidRPr="005F153A">
        <w:rPr>
          <w:bCs/>
          <w:szCs w:val="22"/>
        </w:rPr>
        <w:t>3.4.</w:t>
      </w:r>
      <w:r>
        <w:rPr>
          <w:bCs/>
          <w:szCs w:val="22"/>
        </w:rPr>
        <w:t>5</w:t>
      </w:r>
      <w:r w:rsidRPr="005F153A">
        <w:rPr>
          <w:bCs/>
          <w:szCs w:val="22"/>
        </w:rPr>
        <w:t xml:space="preserve"> je patrný vývoj </w:t>
      </w:r>
      <w:r w:rsidRPr="005F153A">
        <w:rPr>
          <w:b/>
          <w:bCs/>
          <w:szCs w:val="22"/>
        </w:rPr>
        <w:t>výdajů domácností za doplatky za léky na předpis a za volně prodejné léky</w:t>
      </w:r>
      <w:r w:rsidRPr="005F153A">
        <w:rPr>
          <w:bCs/>
          <w:szCs w:val="22"/>
        </w:rPr>
        <w:t xml:space="preserve"> </w:t>
      </w:r>
      <w:r w:rsidRPr="005F153A">
        <w:rPr>
          <w:b/>
          <w:bCs/>
          <w:szCs w:val="22"/>
        </w:rPr>
        <w:t>přepočtený na jednoho obyvatele</w:t>
      </w:r>
      <w:r w:rsidRPr="005F153A">
        <w:rPr>
          <w:bCs/>
          <w:szCs w:val="22"/>
        </w:rPr>
        <w:t>. V průměru na 1 obyvatele bylo v ČR v roce 201</w:t>
      </w:r>
      <w:r>
        <w:rPr>
          <w:bCs/>
          <w:szCs w:val="22"/>
        </w:rPr>
        <w:t>7</w:t>
      </w:r>
      <w:r w:rsidRPr="005F153A">
        <w:rPr>
          <w:bCs/>
          <w:szCs w:val="22"/>
        </w:rPr>
        <w:t xml:space="preserve"> vydáno domácnostmi </w:t>
      </w:r>
      <w:r>
        <w:rPr>
          <w:bCs/>
          <w:szCs w:val="22"/>
        </w:rPr>
        <w:t xml:space="preserve">2 416 </w:t>
      </w:r>
      <w:r w:rsidRPr="005F153A">
        <w:rPr>
          <w:bCs/>
          <w:szCs w:val="22"/>
        </w:rPr>
        <w:t xml:space="preserve">Kč, přičemž z toho </w:t>
      </w:r>
      <w:r>
        <w:rPr>
          <w:bCs/>
          <w:szCs w:val="22"/>
        </w:rPr>
        <w:t>1 044</w:t>
      </w:r>
      <w:r w:rsidRPr="005F153A">
        <w:rPr>
          <w:bCs/>
          <w:szCs w:val="22"/>
        </w:rPr>
        <w:t xml:space="preserve"> Kč stály doplatky za léky na předpis a 1</w:t>
      </w:r>
      <w:r>
        <w:rPr>
          <w:bCs/>
          <w:szCs w:val="22"/>
        </w:rPr>
        <w:t xml:space="preserve"> 372</w:t>
      </w:r>
      <w:r w:rsidRPr="005F153A">
        <w:rPr>
          <w:bCs/>
          <w:szCs w:val="22"/>
        </w:rPr>
        <w:t xml:space="preserve"> Kč volně prodejné léky. </w:t>
      </w:r>
    </w:p>
    <w:p w:rsidR="006067DA" w:rsidRPr="005F153A" w:rsidRDefault="006067DA" w:rsidP="006067DA">
      <w:pPr>
        <w:spacing w:before="120"/>
        <w:jc w:val="both"/>
        <w:rPr>
          <w:bCs/>
          <w:szCs w:val="22"/>
        </w:rPr>
      </w:pPr>
      <w:r>
        <w:rPr>
          <w:bCs/>
          <w:szCs w:val="22"/>
        </w:rPr>
        <w:t>Průměrné d</w:t>
      </w:r>
      <w:r w:rsidRPr="005F153A">
        <w:rPr>
          <w:bCs/>
          <w:szCs w:val="22"/>
        </w:rPr>
        <w:t xml:space="preserve">oplatky na léky na předpis dosáhly </w:t>
      </w:r>
      <w:r>
        <w:rPr>
          <w:bCs/>
          <w:szCs w:val="22"/>
        </w:rPr>
        <w:t>v roce 2013 zhruba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>885</w:t>
      </w:r>
      <w:r w:rsidRPr="005F153A">
        <w:rPr>
          <w:bCs/>
          <w:szCs w:val="22"/>
        </w:rPr>
        <w:t xml:space="preserve"> Kč. </w:t>
      </w:r>
      <w:r>
        <w:rPr>
          <w:bCs/>
          <w:szCs w:val="22"/>
        </w:rPr>
        <w:t>V následujících letech se každoročně mírně zvyšovaly a v roce 2017</w:t>
      </w:r>
      <w:r w:rsidRPr="005F153A">
        <w:rPr>
          <w:bCs/>
          <w:szCs w:val="22"/>
        </w:rPr>
        <w:t xml:space="preserve"> překonaly doplatky na 1 obyvatele hranici </w:t>
      </w:r>
      <w:r>
        <w:rPr>
          <w:bCs/>
          <w:szCs w:val="22"/>
        </w:rPr>
        <w:t>1 0</w:t>
      </w:r>
      <w:r w:rsidRPr="005F153A">
        <w:rPr>
          <w:bCs/>
          <w:szCs w:val="22"/>
        </w:rPr>
        <w:t>00 Kč. Výdaje</w:t>
      </w:r>
      <w:r>
        <w:rPr>
          <w:bCs/>
          <w:szCs w:val="22"/>
        </w:rPr>
        <w:t> </w:t>
      </w:r>
      <w:r w:rsidRPr="005F153A">
        <w:rPr>
          <w:bCs/>
          <w:szCs w:val="22"/>
        </w:rPr>
        <w:t xml:space="preserve">na volně prodejné </w:t>
      </w:r>
      <w:r>
        <w:rPr>
          <w:bCs/>
          <w:szCs w:val="22"/>
        </w:rPr>
        <w:t>léky také každoročně pozvolna rostou. V roce 2017 utratil 1 obyvatel ČR za volně prodejné léky v průměru 1 372 Kč, což je o více než jednu čtvrtinu větší částka než v roce 2013.</w:t>
      </w:r>
    </w:p>
    <w:p w:rsidR="006067DA" w:rsidRPr="005F153A" w:rsidRDefault="006067DA" w:rsidP="00B90EFA">
      <w:pPr>
        <w:keepNext/>
        <w:spacing w:before="240"/>
        <w:jc w:val="both"/>
        <w:rPr>
          <w:rFonts w:cs="Arial"/>
          <w:b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>Graf č</w:t>
      </w:r>
      <w:r>
        <w:rPr>
          <w:noProof/>
        </w:rPr>
        <w:t>.</w:t>
      </w:r>
      <w:r>
        <w:rPr>
          <w:rFonts w:cs="Arial"/>
          <w:b/>
          <w:sz w:val="18"/>
          <w:szCs w:val="18"/>
        </w:rPr>
        <w:t xml:space="preserve">3.4.5 </w:t>
      </w:r>
      <w:r w:rsidRPr="005F153A">
        <w:rPr>
          <w:rFonts w:cs="Arial"/>
          <w:b/>
          <w:sz w:val="18"/>
          <w:szCs w:val="18"/>
        </w:rPr>
        <w:t>Výdaje domácností v ČR za léky, 201</w:t>
      </w:r>
      <w:r>
        <w:rPr>
          <w:rFonts w:cs="Arial"/>
          <w:b/>
          <w:sz w:val="18"/>
          <w:szCs w:val="18"/>
        </w:rPr>
        <w:t>3</w:t>
      </w:r>
      <w:r w:rsidRPr="005F153A">
        <w:rPr>
          <w:rFonts w:cs="Arial"/>
          <w:b/>
          <w:sz w:val="18"/>
          <w:szCs w:val="18"/>
        </w:rPr>
        <w:t>-201</w:t>
      </w:r>
      <w:r>
        <w:rPr>
          <w:rFonts w:cs="Arial"/>
          <w:b/>
          <w:sz w:val="18"/>
          <w:szCs w:val="18"/>
        </w:rPr>
        <w:t>7</w:t>
      </w:r>
      <w:r w:rsidRPr="005F153A">
        <w:rPr>
          <w:rFonts w:cs="Arial"/>
          <w:b/>
          <w:sz w:val="18"/>
          <w:szCs w:val="18"/>
        </w:rPr>
        <w:t xml:space="preserve"> (na 1 obyvatele v</w:t>
      </w:r>
      <w:r>
        <w:rPr>
          <w:rFonts w:cs="Arial"/>
          <w:b/>
          <w:sz w:val="18"/>
          <w:szCs w:val="18"/>
        </w:rPr>
        <w:t> </w:t>
      </w:r>
      <w:r w:rsidRPr="005F153A">
        <w:rPr>
          <w:rFonts w:cs="Arial"/>
          <w:b/>
          <w:sz w:val="18"/>
          <w:szCs w:val="18"/>
        </w:rPr>
        <w:t>Kč</w:t>
      </w:r>
      <w:r>
        <w:rPr>
          <w:rFonts w:cs="Arial"/>
          <w:b/>
          <w:sz w:val="18"/>
          <w:szCs w:val="18"/>
        </w:rPr>
        <w:t xml:space="preserve">, </w:t>
      </w:r>
      <w:r w:rsidRPr="005F153A">
        <w:rPr>
          <w:rFonts w:cs="Arial"/>
          <w:b/>
          <w:sz w:val="18"/>
          <w:szCs w:val="18"/>
        </w:rPr>
        <w:t>podíl na zdravotní péči v %)</w:t>
      </w:r>
      <w:r>
        <w:rPr>
          <w:rFonts w:cs="Arial"/>
          <w:b/>
          <w:sz w:val="18"/>
          <w:szCs w:val="18"/>
        </w:rPr>
        <w:t xml:space="preserve"> </w:t>
      </w:r>
    </w:p>
    <w:p w:rsidR="006067DA" w:rsidRDefault="00AF29DC" w:rsidP="007632B9">
      <w:pPr>
        <w:spacing w:after="120"/>
        <w:jc w:val="right"/>
        <w:rPr>
          <w:rFonts w:eastAsia="MS Gothic"/>
          <w:b/>
          <w:i/>
        </w:rPr>
      </w:pPr>
      <w:r>
        <w:rPr>
          <w:b/>
          <w:i/>
          <w:noProof/>
          <w:sz w:val="16"/>
          <w:szCs w:val="16"/>
        </w:rPr>
        <w:drawing>
          <wp:inline distT="0" distB="0" distL="0" distR="0" wp14:anchorId="569F3CE1">
            <wp:extent cx="6059805" cy="2792095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67DA">
        <w:rPr>
          <w:b/>
          <w:i/>
          <w:sz w:val="16"/>
          <w:szCs w:val="16"/>
        </w:rPr>
        <w:t xml:space="preserve">                                                                                           Z</w:t>
      </w:r>
      <w:r w:rsidR="006067DA" w:rsidRPr="00DE44A3">
        <w:rPr>
          <w:b/>
          <w:i/>
          <w:sz w:val="16"/>
          <w:szCs w:val="16"/>
        </w:rPr>
        <w:t>droj: ČSÚ 201</w:t>
      </w:r>
      <w:r w:rsidR="006067DA">
        <w:rPr>
          <w:b/>
          <w:i/>
          <w:sz w:val="16"/>
          <w:szCs w:val="16"/>
        </w:rPr>
        <w:t>9</w:t>
      </w:r>
      <w:r w:rsidR="006067DA" w:rsidRPr="00DE44A3">
        <w:rPr>
          <w:b/>
          <w:i/>
          <w:sz w:val="16"/>
          <w:szCs w:val="16"/>
        </w:rPr>
        <w:t>, Zdravotnické účty ČR 2010 - 201</w:t>
      </w:r>
      <w:r w:rsidR="006067DA">
        <w:rPr>
          <w:b/>
          <w:i/>
          <w:sz w:val="16"/>
          <w:szCs w:val="16"/>
        </w:rPr>
        <w:t>7</w:t>
      </w:r>
    </w:p>
    <w:p w:rsidR="006067DA" w:rsidRPr="005D514D" w:rsidRDefault="006067DA" w:rsidP="006067DA">
      <w:pPr>
        <w:spacing w:before="240" w:after="120"/>
        <w:rPr>
          <w:rFonts w:eastAsia="MS Gothic"/>
          <w:b/>
          <w:i/>
        </w:rPr>
      </w:pPr>
      <w:r w:rsidRPr="00BB1856">
        <w:rPr>
          <w:rFonts w:eastAsia="MS Gothic"/>
          <w:b/>
          <w:i/>
        </w:rPr>
        <w:t>Maximální výdaje zdravotních pojišťoven na léky spotřebované ve zdravotnických zařízeních</w:t>
      </w:r>
      <w:r w:rsidRPr="005D514D">
        <w:rPr>
          <w:rFonts w:eastAsia="MS Gothic"/>
          <w:b/>
          <w:i/>
        </w:rPr>
        <w:t xml:space="preserve"> </w:t>
      </w:r>
    </w:p>
    <w:p w:rsidR="006067DA" w:rsidRPr="005F153A" w:rsidRDefault="006067DA" w:rsidP="006067DA">
      <w:pPr>
        <w:spacing w:before="120"/>
        <w:jc w:val="both"/>
        <w:rPr>
          <w:bCs/>
          <w:szCs w:val="22"/>
        </w:rPr>
      </w:pPr>
      <w:r w:rsidRPr="005F153A">
        <w:rPr>
          <w:rFonts w:cs="Arial"/>
          <w:b/>
          <w:color w:val="000000"/>
          <w:szCs w:val="20"/>
        </w:rPr>
        <w:t>Výdaje zdravotních pojišťoven na zdravotní péči</w:t>
      </w:r>
      <w:r>
        <w:rPr>
          <w:rFonts w:cs="Arial"/>
          <w:color w:val="000000"/>
          <w:szCs w:val="20"/>
        </w:rPr>
        <w:t xml:space="preserve"> v roce 2017 dosáhly 252,2</w:t>
      </w:r>
      <w:r w:rsidRPr="005F153A">
        <w:rPr>
          <w:rFonts w:cs="Arial"/>
          <w:color w:val="000000"/>
          <w:szCs w:val="20"/>
        </w:rPr>
        <w:t xml:space="preserve"> </w:t>
      </w:r>
      <w:r w:rsidRPr="005F153A">
        <w:rPr>
          <w:szCs w:val="17"/>
        </w:rPr>
        <w:t>mld. Kč</w:t>
      </w:r>
      <w:r>
        <w:rPr>
          <w:rFonts w:cs="Arial"/>
          <w:color w:val="000000"/>
          <w:szCs w:val="20"/>
        </w:rPr>
        <w:t xml:space="preserve">, tj. </w:t>
      </w:r>
      <w:r w:rsidRPr="001C5898">
        <w:rPr>
          <w:rFonts w:cs="Arial"/>
          <w:szCs w:val="20"/>
        </w:rPr>
        <w:t xml:space="preserve">65 % </w:t>
      </w:r>
      <w:r w:rsidRPr="005F153A">
        <w:rPr>
          <w:rFonts w:cs="Arial"/>
          <w:color w:val="000000"/>
          <w:szCs w:val="20"/>
        </w:rPr>
        <w:t>z</w:t>
      </w:r>
      <w:r>
        <w:rPr>
          <w:rFonts w:cs="Arial"/>
          <w:color w:val="000000"/>
          <w:szCs w:val="20"/>
        </w:rPr>
        <w:t xml:space="preserve"> celkových </w:t>
      </w:r>
      <w:r w:rsidRPr="005F153A">
        <w:rPr>
          <w:rFonts w:cs="Arial"/>
          <w:color w:val="000000"/>
          <w:szCs w:val="20"/>
        </w:rPr>
        <w:t xml:space="preserve">výdajů na zdravotní péči v České republice. </w:t>
      </w:r>
      <w:r>
        <w:rPr>
          <w:rFonts w:cs="Arial"/>
          <w:color w:val="000000"/>
          <w:szCs w:val="20"/>
        </w:rPr>
        <w:t xml:space="preserve">Zdravotní pojišťovny vydaly </w:t>
      </w:r>
      <w:r w:rsidRPr="005F153A">
        <w:rPr>
          <w:bCs/>
          <w:szCs w:val="22"/>
        </w:rPr>
        <w:t xml:space="preserve">za </w:t>
      </w:r>
      <w:r w:rsidRPr="00BF6B48">
        <w:rPr>
          <w:b/>
          <w:bCs/>
          <w:szCs w:val="22"/>
        </w:rPr>
        <w:t>léky na předpis</w:t>
      </w:r>
      <w:r w:rsidRPr="005F153A">
        <w:rPr>
          <w:bCs/>
          <w:szCs w:val="22"/>
        </w:rPr>
        <w:t xml:space="preserve"> </w:t>
      </w:r>
      <w:r w:rsidRPr="00BF6B48">
        <w:rPr>
          <w:b/>
          <w:bCs/>
          <w:szCs w:val="22"/>
        </w:rPr>
        <w:t>a léky spotřebované ve zdravotnických zařízeních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>v daném roce 57,4 mld. Kč (</w:t>
      </w:r>
      <w:r w:rsidRPr="004F78C3">
        <w:rPr>
          <w:bCs/>
          <w:szCs w:val="22"/>
        </w:rPr>
        <w:t>graf č. 3.4.3)</w:t>
      </w:r>
      <w:r>
        <w:rPr>
          <w:bCs/>
          <w:szCs w:val="22"/>
        </w:rPr>
        <w:t>, které tvořily</w:t>
      </w:r>
      <w:r w:rsidRPr="004F78C3">
        <w:rPr>
          <w:bCs/>
          <w:szCs w:val="22"/>
        </w:rPr>
        <w:t xml:space="preserve"> 23 % </w:t>
      </w:r>
      <w:r>
        <w:rPr>
          <w:bCs/>
          <w:szCs w:val="22"/>
        </w:rPr>
        <w:t xml:space="preserve">jejich </w:t>
      </w:r>
      <w:r w:rsidRPr="004F78C3">
        <w:rPr>
          <w:bCs/>
          <w:szCs w:val="22"/>
        </w:rPr>
        <w:t>celkových výdajů na zdravotní péči. Podíl výdajů za uvedené</w:t>
      </w:r>
      <w:r w:rsidRPr="005F153A">
        <w:rPr>
          <w:bCs/>
          <w:szCs w:val="22"/>
        </w:rPr>
        <w:t xml:space="preserve"> skupiny léků na kompletních výdajích zdravotních pojišťoven na zdravotní péči zůstává od roku 201</w:t>
      </w:r>
      <w:r>
        <w:rPr>
          <w:bCs/>
          <w:szCs w:val="22"/>
        </w:rPr>
        <w:t>3</w:t>
      </w:r>
      <w:r w:rsidRPr="005F153A">
        <w:rPr>
          <w:bCs/>
          <w:szCs w:val="22"/>
        </w:rPr>
        <w:t xml:space="preserve"> bez výrazných z</w:t>
      </w:r>
      <w:r>
        <w:rPr>
          <w:bCs/>
          <w:szCs w:val="22"/>
        </w:rPr>
        <w:t xml:space="preserve">měn.  </w:t>
      </w:r>
    </w:p>
    <w:p w:rsidR="006067DA" w:rsidRPr="005F153A" w:rsidRDefault="006067DA" w:rsidP="006067DA">
      <w:pPr>
        <w:keepNext/>
        <w:spacing w:before="120"/>
        <w:jc w:val="both"/>
        <w:rPr>
          <w:szCs w:val="20"/>
        </w:rPr>
      </w:pPr>
      <w:r>
        <w:rPr>
          <w:bCs/>
          <w:szCs w:val="22"/>
        </w:rPr>
        <w:t xml:space="preserve">V průběhu pětiletého období 2013 – 2017 zaplatily zdravotní pojišťovny za </w:t>
      </w:r>
      <w:r w:rsidRPr="00B74B94">
        <w:rPr>
          <w:b/>
          <w:bCs/>
          <w:szCs w:val="22"/>
        </w:rPr>
        <w:t>ambulantně vydávané léky na předpis</w:t>
      </w:r>
      <w:r>
        <w:rPr>
          <w:bCs/>
          <w:szCs w:val="22"/>
        </w:rPr>
        <w:t xml:space="preserve"> celkem 161 mld. Kč. Průměrné roční výdaje </w:t>
      </w:r>
      <w:r w:rsidRPr="00BF6B48">
        <w:rPr>
          <w:bCs/>
          <w:szCs w:val="22"/>
        </w:rPr>
        <w:t>se pohyb</w:t>
      </w:r>
      <w:r>
        <w:rPr>
          <w:bCs/>
          <w:szCs w:val="22"/>
        </w:rPr>
        <w:t>ovaly</w:t>
      </w:r>
      <w:r w:rsidRPr="00BF6B48">
        <w:rPr>
          <w:bCs/>
          <w:szCs w:val="22"/>
        </w:rPr>
        <w:t xml:space="preserve"> </w:t>
      </w:r>
      <w:r>
        <w:rPr>
          <w:bCs/>
          <w:szCs w:val="22"/>
        </w:rPr>
        <w:t>ve sledovaném období 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 xml:space="preserve">na úrovni </w:t>
      </w:r>
      <w:r w:rsidRPr="005F153A">
        <w:rPr>
          <w:bCs/>
          <w:szCs w:val="22"/>
        </w:rPr>
        <w:t>32,</w:t>
      </w:r>
      <w:r>
        <w:rPr>
          <w:bCs/>
          <w:szCs w:val="22"/>
        </w:rPr>
        <w:t>2</w:t>
      </w:r>
      <w:r w:rsidRPr="005F153A">
        <w:rPr>
          <w:bCs/>
          <w:szCs w:val="22"/>
        </w:rPr>
        <w:t xml:space="preserve"> mld. Kč. </w:t>
      </w:r>
    </w:p>
    <w:p w:rsidR="006067DA" w:rsidRPr="005F153A" w:rsidRDefault="006067DA" w:rsidP="006067DA">
      <w:pPr>
        <w:spacing w:before="120"/>
        <w:jc w:val="both"/>
        <w:rPr>
          <w:bCs/>
          <w:szCs w:val="22"/>
        </w:rPr>
      </w:pPr>
      <w:r w:rsidRPr="005F153A">
        <w:rPr>
          <w:bCs/>
          <w:szCs w:val="22"/>
        </w:rPr>
        <w:t xml:space="preserve">Výdaje zdravotních pojišťoven </w:t>
      </w:r>
      <w:r w:rsidRPr="005F153A">
        <w:rPr>
          <w:b/>
          <w:bCs/>
          <w:szCs w:val="22"/>
        </w:rPr>
        <w:t>za léky</w:t>
      </w:r>
      <w:r w:rsidRPr="005F153A">
        <w:rPr>
          <w:bCs/>
          <w:szCs w:val="22"/>
        </w:rPr>
        <w:t xml:space="preserve"> </w:t>
      </w:r>
      <w:r w:rsidRPr="005F153A">
        <w:rPr>
          <w:b/>
          <w:bCs/>
          <w:szCs w:val="22"/>
        </w:rPr>
        <w:t>spotřebované ve zdravotnických zařízeních</w:t>
      </w:r>
      <w:r w:rsidRPr="005F153A">
        <w:rPr>
          <w:bCs/>
          <w:szCs w:val="22"/>
        </w:rPr>
        <w:t xml:space="preserve"> se </w:t>
      </w:r>
      <w:r>
        <w:rPr>
          <w:bCs/>
          <w:szCs w:val="22"/>
        </w:rPr>
        <w:t xml:space="preserve">každoročně </w:t>
      </w:r>
      <w:r w:rsidRPr="005F153A">
        <w:rPr>
          <w:bCs/>
          <w:szCs w:val="22"/>
        </w:rPr>
        <w:t>zvyšují. V roce 201</w:t>
      </w:r>
      <w:r>
        <w:rPr>
          <w:bCs/>
          <w:szCs w:val="22"/>
        </w:rPr>
        <w:t>7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>se zastavily těsně pod hranicí 25 mld. Kč (přesněji 24,6 mld. Kč)</w:t>
      </w:r>
      <w:r w:rsidRPr="005F153A">
        <w:rPr>
          <w:bCs/>
          <w:szCs w:val="22"/>
        </w:rPr>
        <w:t xml:space="preserve">, </w:t>
      </w:r>
      <w:r>
        <w:rPr>
          <w:bCs/>
          <w:szCs w:val="22"/>
        </w:rPr>
        <w:t>což je téměř o třetinu více než v roce 2013</w:t>
      </w:r>
      <w:r w:rsidRPr="005F153A">
        <w:rPr>
          <w:bCs/>
          <w:szCs w:val="22"/>
        </w:rPr>
        <w:t xml:space="preserve">. </w:t>
      </w:r>
      <w:r>
        <w:rPr>
          <w:bCs/>
          <w:szCs w:val="22"/>
        </w:rPr>
        <w:t>Průměrné tempo růstu od roku 2013 činilo 7,2 %.</w:t>
      </w:r>
    </w:p>
    <w:p w:rsidR="006067DA" w:rsidRPr="002A78EE" w:rsidRDefault="006067DA" w:rsidP="006067DA">
      <w:pPr>
        <w:pStyle w:val="Nadpis3"/>
        <w:rPr>
          <w:color w:val="C00000"/>
        </w:rPr>
      </w:pPr>
      <w:r w:rsidRPr="002A78EE">
        <w:rPr>
          <w:color w:val="C00000"/>
        </w:rPr>
        <w:lastRenderedPageBreak/>
        <w:t>3.4.3 Výdaje za léky podle zdrojů jejich financování</w:t>
      </w:r>
      <w:bookmarkEnd w:id="5"/>
      <w:r w:rsidRPr="002A78EE">
        <w:rPr>
          <w:color w:val="C00000"/>
        </w:rPr>
        <w:t xml:space="preserve"> </w:t>
      </w:r>
    </w:p>
    <w:p w:rsidR="006067DA" w:rsidRPr="005D514D" w:rsidRDefault="006067DA" w:rsidP="006067DA">
      <w:pPr>
        <w:spacing w:before="240" w:after="120"/>
        <w:rPr>
          <w:rFonts w:eastAsia="MS Gothic"/>
          <w:b/>
          <w:i/>
        </w:rPr>
      </w:pPr>
      <w:r>
        <w:rPr>
          <w:rFonts w:eastAsia="MS Gothic"/>
          <w:b/>
          <w:i/>
        </w:rPr>
        <w:t>Téměř p</w:t>
      </w:r>
      <w:r w:rsidRPr="005D514D">
        <w:rPr>
          <w:rFonts w:eastAsia="MS Gothic"/>
          <w:b/>
          <w:i/>
        </w:rPr>
        <w:t>olovina výdajů domácností na zdravotní péči jde na doplatky na léky a volně prodejné léky</w:t>
      </w:r>
    </w:p>
    <w:p w:rsidR="006067DA" w:rsidRDefault="006067DA" w:rsidP="006067DA">
      <w:pPr>
        <w:spacing w:before="120"/>
        <w:jc w:val="both"/>
        <w:rPr>
          <w:bCs/>
          <w:szCs w:val="22"/>
        </w:rPr>
      </w:pPr>
      <w:r w:rsidRPr="005F153A">
        <w:rPr>
          <w:bCs/>
          <w:szCs w:val="22"/>
        </w:rPr>
        <w:t xml:space="preserve">Výdaje za léky představují největší položku výdajů domácností na </w:t>
      </w:r>
      <w:r>
        <w:rPr>
          <w:bCs/>
          <w:szCs w:val="22"/>
        </w:rPr>
        <w:t>zdravotní péči. V roce 2017</w:t>
      </w:r>
      <w:r w:rsidRPr="005F153A">
        <w:rPr>
          <w:bCs/>
          <w:szCs w:val="22"/>
        </w:rPr>
        <w:t xml:space="preserve"> utratily domácnosti za volně prodejné léky a doplatky za léky na předpis </w:t>
      </w:r>
      <w:r>
        <w:rPr>
          <w:bCs/>
          <w:szCs w:val="22"/>
        </w:rPr>
        <w:t xml:space="preserve">celkem </w:t>
      </w:r>
      <w:r w:rsidRPr="005F153A">
        <w:rPr>
          <w:bCs/>
          <w:szCs w:val="22"/>
        </w:rPr>
        <w:t>2</w:t>
      </w:r>
      <w:r>
        <w:rPr>
          <w:bCs/>
          <w:szCs w:val="22"/>
        </w:rPr>
        <w:t>5,6</w:t>
      </w:r>
      <w:r w:rsidRPr="005F153A">
        <w:rPr>
          <w:bCs/>
          <w:szCs w:val="22"/>
        </w:rPr>
        <w:t xml:space="preserve"> mld. Kč, což představovalo více než </w:t>
      </w:r>
      <w:r w:rsidRPr="00973FD9">
        <w:rPr>
          <w:b/>
          <w:bCs/>
          <w:szCs w:val="22"/>
        </w:rPr>
        <w:t>47 % veškerých výdajů domácností na zdravotní péči</w:t>
      </w:r>
      <w:r w:rsidRPr="005F153A">
        <w:rPr>
          <w:bCs/>
          <w:szCs w:val="22"/>
        </w:rPr>
        <w:t xml:space="preserve">. </w:t>
      </w:r>
      <w:r>
        <w:rPr>
          <w:bCs/>
          <w:szCs w:val="22"/>
        </w:rPr>
        <w:t>Ve</w:t>
      </w:r>
      <w:r w:rsidRPr="005F153A">
        <w:rPr>
          <w:bCs/>
          <w:szCs w:val="22"/>
        </w:rPr>
        <w:t xml:space="preserve"> sledovaném období </w:t>
      </w:r>
      <w:r>
        <w:rPr>
          <w:bCs/>
          <w:szCs w:val="22"/>
        </w:rPr>
        <w:t xml:space="preserve">2013 – 2017 </w:t>
      </w:r>
      <w:r w:rsidRPr="005F153A">
        <w:rPr>
          <w:bCs/>
          <w:szCs w:val="22"/>
        </w:rPr>
        <w:t xml:space="preserve">nedocházelo k výrazným změnám, co se týká relativní zátěže plateb za léky v rozpočtech domácností na </w:t>
      </w:r>
      <w:r>
        <w:rPr>
          <w:bCs/>
          <w:szCs w:val="22"/>
        </w:rPr>
        <w:t>jejich celkových výdajích.</w:t>
      </w:r>
      <w:r w:rsidR="00B90EFA">
        <w:rPr>
          <w:bCs/>
          <w:szCs w:val="22"/>
        </w:rPr>
        <w:t xml:space="preserve"> </w:t>
      </w:r>
      <w:r w:rsidRPr="005F153A">
        <w:rPr>
          <w:bCs/>
          <w:szCs w:val="22"/>
        </w:rPr>
        <w:t>Z údajů v grafu č</w:t>
      </w:r>
      <w:r w:rsidRPr="00F03967">
        <w:rPr>
          <w:bCs/>
          <w:szCs w:val="22"/>
        </w:rPr>
        <w:t>. 3.4.</w:t>
      </w:r>
      <w:r>
        <w:rPr>
          <w:bCs/>
          <w:szCs w:val="22"/>
        </w:rPr>
        <w:t>4</w:t>
      </w:r>
      <w:r w:rsidRPr="005F153A">
        <w:rPr>
          <w:bCs/>
          <w:szCs w:val="22"/>
        </w:rPr>
        <w:t xml:space="preserve"> vyplývá, že v roce 201</w:t>
      </w:r>
      <w:r>
        <w:rPr>
          <w:bCs/>
          <w:szCs w:val="22"/>
        </w:rPr>
        <w:t>7</w:t>
      </w:r>
      <w:r w:rsidRPr="005F153A">
        <w:rPr>
          <w:bCs/>
          <w:szCs w:val="22"/>
        </w:rPr>
        <w:t xml:space="preserve"> doplácely domácnosti celkem </w:t>
      </w:r>
      <w:r>
        <w:rPr>
          <w:bCs/>
          <w:szCs w:val="22"/>
        </w:rPr>
        <w:t>11,1</w:t>
      </w:r>
      <w:r w:rsidRPr="005F153A">
        <w:rPr>
          <w:bCs/>
          <w:szCs w:val="22"/>
        </w:rPr>
        <w:t xml:space="preserve"> mld. Kč za léky na předpis, což </w:t>
      </w:r>
      <w:r>
        <w:rPr>
          <w:bCs/>
          <w:szCs w:val="22"/>
        </w:rPr>
        <w:t xml:space="preserve">je </w:t>
      </w:r>
      <w:r w:rsidRPr="005F153A">
        <w:rPr>
          <w:bCs/>
          <w:szCs w:val="22"/>
        </w:rPr>
        <w:t xml:space="preserve">o </w:t>
      </w:r>
      <w:r>
        <w:rPr>
          <w:bCs/>
          <w:szCs w:val="22"/>
        </w:rPr>
        <w:t>1,8</w:t>
      </w:r>
      <w:r w:rsidRPr="005F153A">
        <w:rPr>
          <w:bCs/>
          <w:szCs w:val="22"/>
        </w:rPr>
        <w:t xml:space="preserve"> mld. Kč více než v roce 201</w:t>
      </w:r>
      <w:r>
        <w:rPr>
          <w:bCs/>
          <w:szCs w:val="22"/>
        </w:rPr>
        <w:t>3 (v procentuálním vyjádření o 19 % více).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>Domácnosti dále vydaly celkem 14,5 </w:t>
      </w:r>
      <w:r w:rsidRPr="005F153A">
        <w:rPr>
          <w:bCs/>
          <w:szCs w:val="22"/>
        </w:rPr>
        <w:t>mld.</w:t>
      </w:r>
      <w:r>
        <w:rPr>
          <w:bCs/>
          <w:szCs w:val="22"/>
        </w:rPr>
        <w:t> </w:t>
      </w:r>
      <w:r w:rsidRPr="005F153A">
        <w:rPr>
          <w:bCs/>
          <w:szCs w:val="22"/>
        </w:rPr>
        <w:t xml:space="preserve">Kč za volně prodejné léky, což představovalo nárůst o </w:t>
      </w:r>
      <w:r>
        <w:rPr>
          <w:bCs/>
          <w:szCs w:val="22"/>
        </w:rPr>
        <w:t xml:space="preserve">29 </w:t>
      </w:r>
      <w:r w:rsidRPr="005F153A">
        <w:rPr>
          <w:bCs/>
          <w:szCs w:val="22"/>
        </w:rPr>
        <w:t>% oproti roku 201</w:t>
      </w:r>
      <w:r>
        <w:rPr>
          <w:bCs/>
          <w:szCs w:val="22"/>
        </w:rPr>
        <w:t>3</w:t>
      </w:r>
      <w:r w:rsidRPr="005F153A">
        <w:rPr>
          <w:bCs/>
          <w:szCs w:val="22"/>
        </w:rPr>
        <w:t xml:space="preserve"> (1</w:t>
      </w:r>
      <w:r>
        <w:rPr>
          <w:bCs/>
          <w:szCs w:val="22"/>
        </w:rPr>
        <w:t>1,2</w:t>
      </w:r>
      <w:r w:rsidRPr="005F153A">
        <w:rPr>
          <w:bCs/>
          <w:szCs w:val="22"/>
        </w:rPr>
        <w:t xml:space="preserve"> mld. Kč). </w:t>
      </w:r>
      <w:r>
        <w:rPr>
          <w:bCs/>
          <w:szCs w:val="22"/>
        </w:rPr>
        <w:t>Domácnosti utratily za léky za období 2013 – 2017 celkově 114,2 mld. Kč s průměrným ročním růst</w:t>
      </w:r>
      <w:r w:rsidR="00B90EFA">
        <w:rPr>
          <w:bCs/>
          <w:szCs w:val="22"/>
        </w:rPr>
        <w:t>em</w:t>
      </w:r>
      <w:r>
        <w:rPr>
          <w:bCs/>
          <w:szCs w:val="22"/>
        </w:rPr>
        <w:t xml:space="preserve"> 5,7 %. </w:t>
      </w:r>
    </w:p>
    <w:p w:rsidR="006067DA" w:rsidRDefault="006067DA" w:rsidP="006067DA">
      <w:pPr>
        <w:spacing w:before="120"/>
        <w:jc w:val="both"/>
        <w:rPr>
          <w:bCs/>
          <w:szCs w:val="22"/>
        </w:rPr>
      </w:pPr>
      <w:r>
        <w:rPr>
          <w:bCs/>
          <w:szCs w:val="22"/>
        </w:rPr>
        <w:t>Jak ukazuje graf č. 3.4.6, dlouhodobě jsou léky v České republice ze 70 % financovány zdravotními pojišťovnami a zbývajících 30 % připadá na domácnosti.</w:t>
      </w:r>
    </w:p>
    <w:p w:rsidR="006067DA" w:rsidRPr="005F153A" w:rsidRDefault="006067DA" w:rsidP="006067DA">
      <w:pPr>
        <w:keepNext/>
        <w:spacing w:before="120" w:after="120"/>
        <w:rPr>
          <w:rFonts w:cs="Arial"/>
          <w:b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>Graf č.</w:t>
      </w:r>
      <w:r>
        <w:rPr>
          <w:rFonts w:cs="Arial"/>
          <w:b/>
          <w:sz w:val="18"/>
          <w:szCs w:val="18"/>
        </w:rPr>
        <w:t xml:space="preserve"> </w:t>
      </w:r>
      <w:r w:rsidRPr="005F153A">
        <w:rPr>
          <w:rFonts w:cs="Arial"/>
          <w:b/>
          <w:sz w:val="18"/>
          <w:szCs w:val="18"/>
        </w:rPr>
        <w:t>3.4.</w:t>
      </w:r>
      <w:r>
        <w:rPr>
          <w:rFonts w:cs="Arial"/>
          <w:b/>
          <w:sz w:val="18"/>
          <w:szCs w:val="18"/>
        </w:rPr>
        <w:t>6</w:t>
      </w:r>
      <w:r w:rsidRPr="005F153A">
        <w:rPr>
          <w:rFonts w:cs="Arial"/>
          <w:b/>
          <w:sz w:val="18"/>
          <w:szCs w:val="18"/>
        </w:rPr>
        <w:t xml:space="preserve"> Výdaje za léky v České republice podle zdroje financování, 201</w:t>
      </w:r>
      <w:r>
        <w:rPr>
          <w:rFonts w:cs="Arial"/>
          <w:b/>
          <w:sz w:val="18"/>
          <w:szCs w:val="18"/>
        </w:rPr>
        <w:t>3</w:t>
      </w:r>
      <w:r w:rsidRPr="005F153A">
        <w:rPr>
          <w:rFonts w:cs="Arial"/>
          <w:b/>
          <w:sz w:val="18"/>
          <w:szCs w:val="18"/>
        </w:rPr>
        <w:t>-201</w:t>
      </w:r>
      <w:r>
        <w:rPr>
          <w:rFonts w:cs="Arial"/>
          <w:b/>
          <w:sz w:val="18"/>
          <w:szCs w:val="18"/>
        </w:rPr>
        <w:t>7</w:t>
      </w:r>
      <w:r w:rsidRPr="005F153A">
        <w:rPr>
          <w:rFonts w:cs="Arial"/>
          <w:b/>
          <w:sz w:val="18"/>
          <w:szCs w:val="18"/>
        </w:rPr>
        <w:t xml:space="preserve"> (mld. Kč; %)</w:t>
      </w:r>
    </w:p>
    <w:p w:rsidR="006067DA" w:rsidRPr="00992E19" w:rsidRDefault="006067DA" w:rsidP="006067DA">
      <w:pPr>
        <w:pStyle w:val="Odstavecseseznamem"/>
        <w:keepNext/>
        <w:numPr>
          <w:ilvl w:val="0"/>
          <w:numId w:val="41"/>
        </w:numPr>
        <w:spacing w:before="0" w:after="0"/>
        <w:ind w:left="357" w:hanging="357"/>
        <w:rPr>
          <w:b/>
          <w:bCs/>
          <w:szCs w:val="22"/>
        </w:rPr>
      </w:pPr>
      <w:r w:rsidRPr="00992E19">
        <w:rPr>
          <w:b/>
          <w:bCs/>
          <w:szCs w:val="22"/>
        </w:rPr>
        <w:t xml:space="preserve">v mld. Kč                                                                             </w:t>
      </w:r>
      <w:r>
        <w:rPr>
          <w:b/>
          <w:bCs/>
          <w:szCs w:val="22"/>
        </w:rPr>
        <w:t xml:space="preserve"> </w:t>
      </w:r>
      <w:r w:rsidRPr="00992E19">
        <w:rPr>
          <w:b/>
          <w:bCs/>
          <w:szCs w:val="22"/>
        </w:rPr>
        <w:t>b) struktura (%)</w:t>
      </w:r>
    </w:p>
    <w:p w:rsidR="006067DA" w:rsidRDefault="00AF29DC" w:rsidP="006067DA">
      <w:pPr>
        <w:spacing w:before="120"/>
        <w:jc w:val="both"/>
        <w:rPr>
          <w:bCs/>
          <w:szCs w:val="22"/>
        </w:rPr>
      </w:pPr>
      <w:r>
        <w:rPr>
          <w:noProof/>
        </w:rPr>
        <w:drawing>
          <wp:inline distT="0" distB="0" distL="0" distR="0" wp14:anchorId="42D47D07">
            <wp:extent cx="3645535" cy="2341245"/>
            <wp:effectExtent l="0" t="0" r="0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67DA" w:rsidRPr="0086226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B8FB9C">
            <wp:extent cx="2371725" cy="22860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Pr="00DE0195" w:rsidRDefault="006067DA" w:rsidP="006067DA">
      <w:pPr>
        <w:spacing w:before="120"/>
        <w:ind w:left="45"/>
        <w:jc w:val="both"/>
        <w:rPr>
          <w:b/>
          <w:bCs/>
          <w:i/>
          <w:szCs w:val="22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Zdroj: ČSÚ 2019</w:t>
      </w:r>
      <w:r w:rsidRPr="005F153A">
        <w:rPr>
          <w:b/>
          <w:bCs/>
          <w:i/>
          <w:sz w:val="16"/>
          <w:szCs w:val="16"/>
        </w:rPr>
        <w:t>, Zdravotnické účty ČR 2010 - 201</w:t>
      </w:r>
      <w:r>
        <w:rPr>
          <w:b/>
          <w:bCs/>
          <w:i/>
          <w:sz w:val="16"/>
          <w:szCs w:val="16"/>
        </w:rPr>
        <w:t>7</w:t>
      </w:r>
      <w:r w:rsidRPr="005F153A">
        <w:rPr>
          <w:b/>
          <w:bCs/>
          <w:i/>
          <w:sz w:val="16"/>
          <w:szCs w:val="16"/>
        </w:rPr>
        <w:t xml:space="preserve"> </w:t>
      </w:r>
    </w:p>
    <w:p w:rsidR="006067DA" w:rsidRPr="00F34649" w:rsidRDefault="006067DA" w:rsidP="006067DA">
      <w:pPr>
        <w:spacing w:before="120"/>
        <w:jc w:val="both"/>
        <w:rPr>
          <w:b/>
          <w:bCs/>
          <w:i/>
          <w:szCs w:val="22"/>
        </w:rPr>
      </w:pPr>
      <w:r>
        <w:rPr>
          <w:b/>
          <w:bCs/>
          <w:i/>
          <w:szCs w:val="22"/>
        </w:rPr>
        <w:t>V roce 2017</w:t>
      </w:r>
      <w:r w:rsidRPr="00F34649">
        <w:rPr>
          <w:b/>
          <w:bCs/>
          <w:i/>
          <w:szCs w:val="22"/>
        </w:rPr>
        <w:t xml:space="preserve"> uhradily zdravotní pojišťovny za léky </w:t>
      </w:r>
      <w:r>
        <w:rPr>
          <w:b/>
          <w:bCs/>
          <w:i/>
          <w:szCs w:val="22"/>
        </w:rPr>
        <w:t xml:space="preserve">v průměru </w:t>
      </w:r>
      <w:r w:rsidRPr="00F34649">
        <w:rPr>
          <w:b/>
          <w:bCs/>
          <w:i/>
          <w:szCs w:val="22"/>
        </w:rPr>
        <w:t>5,</w:t>
      </w:r>
      <w:r>
        <w:rPr>
          <w:b/>
          <w:bCs/>
          <w:i/>
          <w:szCs w:val="22"/>
        </w:rPr>
        <w:t>5</w:t>
      </w:r>
      <w:r w:rsidRPr="00F34649">
        <w:rPr>
          <w:b/>
          <w:bCs/>
          <w:i/>
          <w:szCs w:val="22"/>
        </w:rPr>
        <w:t xml:space="preserve"> tisíce korun</w:t>
      </w:r>
      <w:r w:rsidR="007632B9">
        <w:rPr>
          <w:b/>
          <w:bCs/>
          <w:i/>
          <w:szCs w:val="22"/>
        </w:rPr>
        <w:t xml:space="preserve"> na pojištěnce</w:t>
      </w:r>
      <w:r w:rsidRPr="00F34649">
        <w:rPr>
          <w:b/>
          <w:bCs/>
          <w:i/>
          <w:szCs w:val="22"/>
        </w:rPr>
        <w:t xml:space="preserve"> </w:t>
      </w:r>
    </w:p>
    <w:p w:rsidR="006067DA" w:rsidRDefault="006067DA" w:rsidP="006067DA">
      <w:pPr>
        <w:spacing w:before="120"/>
        <w:jc w:val="both"/>
        <w:rPr>
          <w:bCs/>
          <w:szCs w:val="22"/>
        </w:rPr>
      </w:pPr>
      <w:r w:rsidRPr="005F153A">
        <w:rPr>
          <w:bCs/>
          <w:szCs w:val="22"/>
        </w:rPr>
        <w:t>Graf č. 3.4.</w:t>
      </w:r>
      <w:r>
        <w:rPr>
          <w:bCs/>
          <w:szCs w:val="22"/>
        </w:rPr>
        <w:t>7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>znázorňuje</w:t>
      </w:r>
      <w:r w:rsidRPr="005F153A">
        <w:rPr>
          <w:bCs/>
          <w:szCs w:val="22"/>
        </w:rPr>
        <w:t xml:space="preserve"> přehled </w:t>
      </w:r>
      <w:r w:rsidRPr="005F153A">
        <w:rPr>
          <w:b/>
          <w:bCs/>
          <w:szCs w:val="22"/>
        </w:rPr>
        <w:t>výdajů zdravotních pojišťoven za léky na předpis a za léky poskytnuté pacientům ve zdravotnických zařízeních na jednoho pojištěnce</w:t>
      </w:r>
      <w:r w:rsidRPr="005F153A">
        <w:rPr>
          <w:bCs/>
          <w:szCs w:val="22"/>
        </w:rPr>
        <w:t xml:space="preserve"> veřejného zdravotního pojištění. </w:t>
      </w:r>
      <w:r>
        <w:rPr>
          <w:bCs/>
          <w:szCs w:val="22"/>
        </w:rPr>
        <w:t>Průměrné v</w:t>
      </w:r>
      <w:r w:rsidRPr="005F153A">
        <w:rPr>
          <w:bCs/>
          <w:szCs w:val="22"/>
        </w:rPr>
        <w:t>ýdaje</w:t>
      </w:r>
      <w:r>
        <w:rPr>
          <w:bCs/>
          <w:szCs w:val="22"/>
        </w:rPr>
        <w:t> </w:t>
      </w:r>
      <w:r w:rsidRPr="005F153A">
        <w:rPr>
          <w:bCs/>
          <w:szCs w:val="22"/>
        </w:rPr>
        <w:t>zdravotních pojišťoven za jmenované kategorie léků dosáhly v roce 201</w:t>
      </w:r>
      <w:r>
        <w:rPr>
          <w:bCs/>
          <w:szCs w:val="22"/>
        </w:rPr>
        <w:t>7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>více než</w:t>
      </w:r>
      <w:r w:rsidRPr="005F153A">
        <w:rPr>
          <w:bCs/>
          <w:szCs w:val="22"/>
        </w:rPr>
        <w:t xml:space="preserve"> 5</w:t>
      </w:r>
      <w:r>
        <w:rPr>
          <w:bCs/>
          <w:szCs w:val="22"/>
        </w:rPr>
        <w:t>,5</w:t>
      </w:r>
      <w:r w:rsidRPr="005F153A">
        <w:rPr>
          <w:bCs/>
          <w:szCs w:val="22"/>
        </w:rPr>
        <w:t xml:space="preserve"> tisíc</w:t>
      </w:r>
      <w:r>
        <w:rPr>
          <w:bCs/>
          <w:szCs w:val="22"/>
        </w:rPr>
        <w:t>e</w:t>
      </w:r>
      <w:r w:rsidRPr="005F153A">
        <w:rPr>
          <w:bCs/>
          <w:szCs w:val="22"/>
        </w:rPr>
        <w:t xml:space="preserve"> Kč za 1</w:t>
      </w:r>
      <w:r>
        <w:rPr>
          <w:bCs/>
          <w:szCs w:val="22"/>
        </w:rPr>
        <w:t> </w:t>
      </w:r>
      <w:r w:rsidRPr="005F153A">
        <w:rPr>
          <w:bCs/>
          <w:szCs w:val="22"/>
        </w:rPr>
        <w:t>pojištěnce, z čehož za léky na předpis to bylo 3 </w:t>
      </w:r>
      <w:r>
        <w:rPr>
          <w:bCs/>
          <w:szCs w:val="22"/>
        </w:rPr>
        <w:t>161</w:t>
      </w:r>
      <w:r w:rsidRPr="005F153A">
        <w:rPr>
          <w:bCs/>
          <w:szCs w:val="22"/>
        </w:rPr>
        <w:t xml:space="preserve"> Kč a za léky spotřebované ve zdravotnických zařízeních 2 </w:t>
      </w:r>
      <w:r>
        <w:rPr>
          <w:bCs/>
          <w:szCs w:val="22"/>
        </w:rPr>
        <w:t>374</w:t>
      </w:r>
      <w:r w:rsidRPr="005F153A">
        <w:rPr>
          <w:bCs/>
          <w:szCs w:val="22"/>
        </w:rPr>
        <w:t xml:space="preserve"> Kč</w:t>
      </w:r>
      <w:r>
        <w:rPr>
          <w:bCs/>
          <w:szCs w:val="22"/>
        </w:rPr>
        <w:t>.</w:t>
      </w:r>
    </w:p>
    <w:p w:rsidR="00B90EFA" w:rsidRDefault="00B90EFA" w:rsidP="00B90EFA">
      <w:pPr>
        <w:spacing w:before="120"/>
        <w:jc w:val="both"/>
        <w:rPr>
          <w:b/>
          <w:i/>
        </w:rPr>
      </w:pPr>
      <w:r w:rsidRPr="009D0548">
        <w:rPr>
          <w:b/>
          <w:bCs/>
          <w:i/>
          <w:szCs w:val="22"/>
        </w:rPr>
        <w:t xml:space="preserve">Výdaje zdravotních pojišťoven </w:t>
      </w:r>
      <w:r w:rsidRPr="009D0548">
        <w:rPr>
          <w:b/>
          <w:i/>
        </w:rPr>
        <w:t>na centrov</w:t>
      </w:r>
      <w:r>
        <w:rPr>
          <w:b/>
          <w:i/>
        </w:rPr>
        <w:t>é</w:t>
      </w:r>
      <w:r w:rsidRPr="009D0548">
        <w:rPr>
          <w:b/>
          <w:i/>
        </w:rPr>
        <w:t xml:space="preserve"> </w:t>
      </w:r>
      <w:r>
        <w:rPr>
          <w:b/>
          <w:i/>
        </w:rPr>
        <w:t>léky</w:t>
      </w:r>
      <w:r w:rsidRPr="009D0548">
        <w:rPr>
          <w:b/>
          <w:i/>
        </w:rPr>
        <w:t xml:space="preserve"> vzrostly </w:t>
      </w:r>
      <w:r>
        <w:rPr>
          <w:b/>
          <w:i/>
        </w:rPr>
        <w:t>za uplynulých pět let téměř o dvě třetiny</w:t>
      </w:r>
    </w:p>
    <w:p w:rsidR="00B90EFA" w:rsidRDefault="00B90EFA" w:rsidP="00B90EFA">
      <w:pPr>
        <w:spacing w:before="120"/>
        <w:jc w:val="both"/>
        <w:rPr>
          <w:rFonts w:cs="Arial"/>
        </w:rPr>
      </w:pPr>
      <w:r w:rsidRPr="000A3907">
        <w:rPr>
          <w:rFonts w:cs="Arial"/>
        </w:rPr>
        <w:t xml:space="preserve">Celková částka, kterou uhradily zdravotní pojišťovny </w:t>
      </w:r>
      <w:r w:rsidRPr="000A3907">
        <w:rPr>
          <w:rFonts w:cs="Arial"/>
          <w:bCs/>
          <w:szCs w:val="22"/>
        </w:rPr>
        <w:t xml:space="preserve">v roce 2017 </w:t>
      </w:r>
      <w:r w:rsidRPr="000A3907">
        <w:rPr>
          <w:rFonts w:cs="Arial"/>
          <w:b/>
          <w:bCs/>
          <w:szCs w:val="22"/>
        </w:rPr>
        <w:t xml:space="preserve">za léky pro specializovaná centra, </w:t>
      </w:r>
      <w:r w:rsidRPr="000A3907">
        <w:rPr>
          <w:rFonts w:cs="Arial"/>
          <w:bCs/>
          <w:szCs w:val="22"/>
        </w:rPr>
        <w:t xml:space="preserve">dosáhla výše 16,7 mld. korun. </w:t>
      </w:r>
      <w:r w:rsidR="007C01B3">
        <w:rPr>
          <w:rFonts w:cs="Arial"/>
          <w:bCs/>
          <w:szCs w:val="22"/>
        </w:rPr>
        <w:t>Jedná se např</w:t>
      </w:r>
      <w:r w:rsidR="007C01B3" w:rsidRPr="007C01B3">
        <w:rPr>
          <w:rFonts w:cs="Arial"/>
          <w:bCs/>
          <w:i/>
          <w:szCs w:val="22"/>
        </w:rPr>
        <w:t xml:space="preserve">. </w:t>
      </w:r>
      <w:r w:rsidR="0018680D" w:rsidRPr="007C01B3">
        <w:rPr>
          <w:rStyle w:val="Zdraznn"/>
          <w:rFonts w:cs="Arial"/>
          <w:i w:val="0"/>
        </w:rPr>
        <w:t>o centra pečující o pacienty s cévní mozkovou příhodou, centra vysoce specializované onkologické péče, traumatologická a popáleninová centra nebo centra, kde se léčí pacienti s roztroušenou sklerózou.</w:t>
      </w:r>
      <w:r w:rsidR="007C01B3" w:rsidRPr="007C01B3">
        <w:rPr>
          <w:rStyle w:val="Zdraznn"/>
          <w:rFonts w:cs="Arial"/>
          <w:i w:val="0"/>
        </w:rPr>
        <w:t xml:space="preserve"> </w:t>
      </w:r>
      <w:r w:rsidRPr="007C01B3">
        <w:rPr>
          <w:rFonts w:cs="Arial"/>
          <w:bCs/>
          <w:i/>
          <w:szCs w:val="22"/>
        </w:rPr>
        <w:t xml:space="preserve">Za </w:t>
      </w:r>
      <w:r w:rsidRPr="007C01B3">
        <w:rPr>
          <w:rFonts w:cs="Arial"/>
          <w:bCs/>
          <w:szCs w:val="22"/>
        </w:rPr>
        <w:t>centrové léčivé přípravky</w:t>
      </w:r>
      <w:r w:rsidRPr="007C01B3">
        <w:rPr>
          <w:rFonts w:cs="Arial"/>
          <w:bCs/>
          <w:i/>
          <w:szCs w:val="22"/>
        </w:rPr>
        <w:t>, posk</w:t>
      </w:r>
      <w:r w:rsidRPr="000A3907">
        <w:rPr>
          <w:rFonts w:cs="Arial"/>
          <w:bCs/>
          <w:szCs w:val="22"/>
        </w:rPr>
        <w:t xml:space="preserve">ytované v rámci lůžkové péče, bylo vydáno až 92 % z uvedené částky. </w:t>
      </w:r>
      <w:r w:rsidRPr="000A3907">
        <w:rPr>
          <w:rFonts w:cs="Arial"/>
        </w:rPr>
        <w:t xml:space="preserve">Zatímco v roce 2013 vynaložily zdravotní pojišťovny na léčivé prostředky ve specializovaných centrech </w:t>
      </w:r>
      <w:r w:rsidRPr="000A3907">
        <w:rPr>
          <w:rFonts w:cs="Arial"/>
          <w:b/>
        </w:rPr>
        <w:t>s lůžkovým oddělením</w:t>
      </w:r>
      <w:r w:rsidRPr="000A3907">
        <w:rPr>
          <w:rFonts w:cs="Arial"/>
        </w:rPr>
        <w:t xml:space="preserve"> 9,4 mld. Kč, v roce 2017 vzrostla částka téměř </w:t>
      </w:r>
      <w:r>
        <w:rPr>
          <w:rFonts w:cs="Arial"/>
        </w:rPr>
        <w:t xml:space="preserve">o </w:t>
      </w:r>
      <w:r w:rsidRPr="000A3907">
        <w:rPr>
          <w:rFonts w:cs="Arial"/>
        </w:rPr>
        <w:t>dvě třetiny na stávajících 15,3 mld. Kč</w:t>
      </w:r>
      <w:r>
        <w:rPr>
          <w:rFonts w:cs="Arial"/>
        </w:rPr>
        <w:t>,</w:t>
      </w:r>
      <w:r w:rsidRPr="000A3907">
        <w:rPr>
          <w:rFonts w:cs="Arial"/>
        </w:rPr>
        <w:t xml:space="preserve"> s průměrným ročním tempem růstu 13,0 %. Výdaje za léky poskytované při </w:t>
      </w:r>
      <w:r w:rsidRPr="000A3907">
        <w:rPr>
          <w:rFonts w:cs="Arial"/>
          <w:b/>
        </w:rPr>
        <w:t>ambulantní léčbě</w:t>
      </w:r>
      <w:r w:rsidRPr="000A3907">
        <w:rPr>
          <w:rFonts w:cs="Arial"/>
        </w:rPr>
        <w:t xml:space="preserve"> se každoročně pozvolna zvyšují až na stávající hodnotu 1,3 mld. Kč v roce 2017. V porovnání s rokem 2013 se zvýšily až o 70 %. Hlavní příčinou růstu</w:t>
      </w:r>
      <w:r>
        <w:rPr>
          <w:rFonts w:cs="Arial"/>
        </w:rPr>
        <w:t xml:space="preserve"> výdajů</w:t>
      </w:r>
      <w:r w:rsidRPr="000A3907">
        <w:rPr>
          <w:rFonts w:cs="Arial"/>
        </w:rPr>
        <w:t xml:space="preserve"> je příliv nových preparátů a </w:t>
      </w:r>
      <w:r w:rsidRPr="000A3907">
        <w:rPr>
          <w:rFonts w:cs="Arial"/>
        </w:rPr>
        <w:lastRenderedPageBreak/>
        <w:t xml:space="preserve">rozšiřování indikací, takže tuto léčbu dostává </w:t>
      </w:r>
      <w:r>
        <w:rPr>
          <w:rFonts w:cs="Arial"/>
        </w:rPr>
        <w:t>více</w:t>
      </w:r>
      <w:r w:rsidRPr="000A3907">
        <w:rPr>
          <w:rFonts w:cs="Arial"/>
        </w:rPr>
        <w:t xml:space="preserve"> pacientů</w:t>
      </w:r>
      <w:r>
        <w:rPr>
          <w:rFonts w:cs="Arial"/>
        </w:rPr>
        <w:t xml:space="preserve"> než dříve. </w:t>
      </w:r>
      <w:r w:rsidRPr="000A3907">
        <w:rPr>
          <w:rFonts w:cs="Arial"/>
          <w:bCs/>
          <w:szCs w:val="22"/>
        </w:rPr>
        <w:t xml:space="preserve">Ve specializovaných pracovištích se léčí především </w:t>
      </w:r>
      <w:r w:rsidRPr="000A3907">
        <w:rPr>
          <w:rFonts w:cs="Arial"/>
        </w:rPr>
        <w:t>metabolická, kardiovaskulární a neurologická onemocnění</w:t>
      </w:r>
      <w:r>
        <w:rPr>
          <w:rFonts w:cs="Arial"/>
        </w:rPr>
        <w:t xml:space="preserve"> a novotvary.</w:t>
      </w:r>
    </w:p>
    <w:p w:rsidR="006067DA" w:rsidRPr="005F153A" w:rsidRDefault="006067DA" w:rsidP="006067DA">
      <w:pPr>
        <w:keepNext/>
        <w:spacing w:before="240" w:after="120"/>
        <w:jc w:val="both"/>
        <w:rPr>
          <w:rFonts w:cs="Arial"/>
          <w:b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>Graf č. 3.4.</w:t>
      </w:r>
      <w:r>
        <w:rPr>
          <w:rFonts w:cs="Arial"/>
          <w:b/>
          <w:sz w:val="18"/>
          <w:szCs w:val="18"/>
        </w:rPr>
        <w:t>7</w:t>
      </w:r>
      <w:r w:rsidRPr="005F153A">
        <w:rPr>
          <w:rFonts w:cs="Arial"/>
          <w:b/>
          <w:sz w:val="18"/>
          <w:szCs w:val="18"/>
        </w:rPr>
        <w:t xml:space="preserve"> Výdaje zdravotních pojišťoven za léky, </w:t>
      </w:r>
      <w:r w:rsidRPr="005F153A">
        <w:rPr>
          <w:b/>
          <w:bCs/>
          <w:sz w:val="18"/>
          <w:szCs w:val="18"/>
        </w:rPr>
        <w:t>201</w:t>
      </w:r>
      <w:r>
        <w:rPr>
          <w:b/>
          <w:bCs/>
          <w:sz w:val="18"/>
          <w:szCs w:val="18"/>
        </w:rPr>
        <w:t>3</w:t>
      </w:r>
      <w:r w:rsidRPr="005F153A">
        <w:rPr>
          <w:b/>
          <w:bCs/>
          <w:sz w:val="18"/>
          <w:szCs w:val="18"/>
        </w:rPr>
        <w:t>-201</w:t>
      </w:r>
      <w:r>
        <w:rPr>
          <w:b/>
          <w:bCs/>
          <w:sz w:val="18"/>
          <w:szCs w:val="18"/>
        </w:rPr>
        <w:t>7</w:t>
      </w:r>
      <w:r w:rsidRPr="005F153A">
        <w:rPr>
          <w:b/>
          <w:bCs/>
          <w:sz w:val="18"/>
          <w:szCs w:val="18"/>
        </w:rPr>
        <w:t xml:space="preserve"> (</w:t>
      </w:r>
      <w:r>
        <w:rPr>
          <w:rFonts w:cs="Arial"/>
          <w:b/>
          <w:sz w:val="18"/>
          <w:szCs w:val="18"/>
        </w:rPr>
        <w:t xml:space="preserve">na 1 pojištěnce </w:t>
      </w:r>
      <w:r w:rsidRPr="005F153A">
        <w:rPr>
          <w:b/>
          <w:bCs/>
          <w:sz w:val="18"/>
          <w:szCs w:val="18"/>
        </w:rPr>
        <w:t>v</w:t>
      </w:r>
      <w:r>
        <w:rPr>
          <w:rFonts w:cs="Arial"/>
          <w:b/>
          <w:sz w:val="18"/>
          <w:szCs w:val="18"/>
        </w:rPr>
        <w:t> Kč</w:t>
      </w:r>
      <w:r>
        <w:rPr>
          <w:rFonts w:cs="Arial"/>
          <w:b/>
          <w:sz w:val="18"/>
          <w:szCs w:val="18"/>
          <w:lang w:val="en-US"/>
        </w:rPr>
        <w:t>;</w:t>
      </w:r>
      <w:r w:rsidRPr="005F153A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podíl na zdravot.</w:t>
      </w:r>
      <w:r w:rsidR="00B90EFA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péči</w:t>
      </w:r>
      <w:r w:rsidRPr="005F153A">
        <w:rPr>
          <w:rFonts w:cs="Arial"/>
          <w:b/>
          <w:sz w:val="18"/>
          <w:szCs w:val="18"/>
        </w:rPr>
        <w:t xml:space="preserve"> v %)</w:t>
      </w:r>
    </w:p>
    <w:p w:rsidR="006067DA" w:rsidRPr="005F153A" w:rsidRDefault="00AF29DC" w:rsidP="006067DA">
      <w:pPr>
        <w:spacing w:before="240" w:after="120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13CFA108">
            <wp:extent cx="5974715" cy="3164205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Pr="005F153A" w:rsidRDefault="006067DA" w:rsidP="006067DA">
      <w:pPr>
        <w:spacing w:line="240" w:lineRule="auto"/>
        <w:jc w:val="right"/>
        <w:rPr>
          <w:b/>
          <w:bCs/>
          <w:i/>
          <w:sz w:val="16"/>
          <w:szCs w:val="16"/>
        </w:rPr>
      </w:pPr>
      <w:r w:rsidRPr="005F153A">
        <w:rPr>
          <w:b/>
          <w:bCs/>
          <w:i/>
          <w:sz w:val="16"/>
          <w:szCs w:val="16"/>
        </w:rPr>
        <w:t>Zdroj: ČSÚ 201</w:t>
      </w:r>
      <w:r>
        <w:rPr>
          <w:b/>
          <w:bCs/>
          <w:i/>
          <w:sz w:val="16"/>
          <w:szCs w:val="16"/>
        </w:rPr>
        <w:t>9</w:t>
      </w:r>
      <w:r w:rsidRPr="005F153A">
        <w:rPr>
          <w:b/>
          <w:bCs/>
          <w:i/>
          <w:sz w:val="16"/>
          <w:szCs w:val="16"/>
        </w:rPr>
        <w:t>, Zdravotnické účty ČR 2010 - 201</w:t>
      </w:r>
      <w:r>
        <w:rPr>
          <w:b/>
          <w:bCs/>
          <w:i/>
          <w:sz w:val="16"/>
          <w:szCs w:val="16"/>
        </w:rPr>
        <w:t>7</w:t>
      </w:r>
      <w:r w:rsidRPr="005F153A">
        <w:rPr>
          <w:b/>
          <w:bCs/>
          <w:i/>
          <w:sz w:val="16"/>
          <w:szCs w:val="16"/>
        </w:rPr>
        <w:t xml:space="preserve"> </w:t>
      </w:r>
    </w:p>
    <w:p w:rsidR="006067DA" w:rsidRPr="0098249F" w:rsidRDefault="006067DA" w:rsidP="006067DA">
      <w:pPr>
        <w:spacing w:before="120"/>
        <w:jc w:val="both"/>
        <w:rPr>
          <w:rFonts w:cs="Arial"/>
          <w:i/>
          <w:szCs w:val="20"/>
        </w:rPr>
      </w:pPr>
      <w:r w:rsidRPr="000A3907">
        <w:rPr>
          <w:rFonts w:cs="Arial"/>
          <w:i/>
        </w:rPr>
        <w:t xml:space="preserve">Podle informací Ministerstva zdravotnictví </w:t>
      </w:r>
      <w:r>
        <w:rPr>
          <w:rFonts w:cs="Arial"/>
          <w:i/>
        </w:rPr>
        <w:t>překročil počet pacientů léčených</w:t>
      </w:r>
      <w:r w:rsidRPr="000A3907">
        <w:rPr>
          <w:rFonts w:cs="Arial"/>
          <w:i/>
        </w:rPr>
        <w:t xml:space="preserve"> centrovými léky v roce </w:t>
      </w:r>
      <w:r>
        <w:rPr>
          <w:rFonts w:cs="Arial"/>
          <w:i/>
        </w:rPr>
        <w:t xml:space="preserve">2017 hranici </w:t>
      </w:r>
      <w:r w:rsidRPr="000A3907">
        <w:rPr>
          <w:rFonts w:cs="Arial"/>
          <w:i/>
        </w:rPr>
        <w:t xml:space="preserve">58 tisíc, nejvíce </w:t>
      </w:r>
      <w:r>
        <w:rPr>
          <w:rFonts w:cs="Arial"/>
          <w:i/>
        </w:rPr>
        <w:t xml:space="preserve">jich bylo </w:t>
      </w:r>
      <w:r w:rsidRPr="000A3907">
        <w:rPr>
          <w:rFonts w:cs="Arial"/>
          <w:i/>
        </w:rPr>
        <w:t xml:space="preserve">s neurologickými onemocněními 11,8 tisíc a </w:t>
      </w:r>
      <w:r>
        <w:rPr>
          <w:rFonts w:cs="Arial"/>
          <w:i/>
        </w:rPr>
        <w:t>s léčbou</w:t>
      </w:r>
      <w:r w:rsidRPr="000A3907">
        <w:rPr>
          <w:rFonts w:cs="Arial"/>
          <w:i/>
        </w:rPr>
        <w:t xml:space="preserve"> solidních zhoubných nádorů 10,7 tisíc. </w:t>
      </w:r>
      <w:r w:rsidRPr="000A3907">
        <w:rPr>
          <w:rFonts w:cs="Arial"/>
          <w:bCs/>
          <w:i/>
          <w:szCs w:val="20"/>
        </w:rPr>
        <w:t>Solidní nádory</w:t>
      </w:r>
      <w:r w:rsidRPr="0098249F">
        <w:rPr>
          <w:rFonts w:cs="Arial"/>
          <w:i/>
          <w:szCs w:val="20"/>
        </w:rPr>
        <w:t xml:space="preserve"> jsou nádory vytvářející ložiska viditelná okem nebo při </w:t>
      </w:r>
      <w:r w:rsidRPr="000A3907">
        <w:rPr>
          <w:rFonts w:cs="Arial"/>
          <w:i/>
          <w:szCs w:val="20"/>
        </w:rPr>
        <w:t>zobrazovacím vyšetření</w:t>
      </w:r>
      <w:r w:rsidRPr="0098249F">
        <w:rPr>
          <w:rFonts w:cs="Arial"/>
          <w:i/>
          <w:szCs w:val="20"/>
        </w:rPr>
        <w:t xml:space="preserve"> nebo je lze nahmatat.</w:t>
      </w:r>
      <w:r w:rsidRPr="00262209">
        <w:rPr>
          <w:rFonts w:cs="Arial"/>
          <w:i/>
          <w:szCs w:val="20"/>
        </w:rPr>
        <w:t xml:space="preserve"> Náklady na terapii uvedených dvou skupin diagnóz tvoří až 44 % celkových nákladů zdravotních pojišťoven vydaných na terapii centrovými léčivými přípravky.</w:t>
      </w:r>
    </w:p>
    <w:p w:rsidR="006067DA" w:rsidRDefault="006067DA" w:rsidP="006067DA">
      <w:pPr>
        <w:widowControl w:val="0"/>
        <w:spacing w:before="240" w:after="120"/>
        <w:jc w:val="both"/>
        <w:rPr>
          <w:b/>
          <w:bCs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>Graf č. 3.4.</w:t>
      </w:r>
      <w:r>
        <w:rPr>
          <w:rFonts w:cs="Arial"/>
          <w:b/>
          <w:sz w:val="18"/>
          <w:szCs w:val="18"/>
        </w:rPr>
        <w:t>8</w:t>
      </w:r>
      <w:r w:rsidRPr="005F153A">
        <w:rPr>
          <w:rFonts w:cs="Arial"/>
          <w:b/>
          <w:sz w:val="18"/>
          <w:szCs w:val="18"/>
        </w:rPr>
        <w:t xml:space="preserve"> Výdaje zdravotních pojišťoven </w:t>
      </w:r>
      <w:r>
        <w:rPr>
          <w:rFonts w:cs="Arial"/>
          <w:b/>
          <w:sz w:val="18"/>
          <w:szCs w:val="18"/>
        </w:rPr>
        <w:t xml:space="preserve">na léčivé přípravky poskytované ve specializovaných pracovištích, </w:t>
      </w:r>
      <w:r w:rsidRPr="005F153A">
        <w:rPr>
          <w:b/>
          <w:bCs/>
          <w:sz w:val="18"/>
          <w:szCs w:val="18"/>
        </w:rPr>
        <w:t>201</w:t>
      </w:r>
      <w:r>
        <w:rPr>
          <w:b/>
          <w:bCs/>
          <w:sz w:val="18"/>
          <w:szCs w:val="18"/>
        </w:rPr>
        <w:t>3</w:t>
      </w:r>
      <w:r w:rsidRPr="005F153A">
        <w:rPr>
          <w:b/>
          <w:bCs/>
          <w:sz w:val="18"/>
          <w:szCs w:val="18"/>
        </w:rPr>
        <w:t>-201</w:t>
      </w:r>
      <w:r>
        <w:rPr>
          <w:b/>
          <w:bCs/>
          <w:sz w:val="18"/>
          <w:szCs w:val="18"/>
        </w:rPr>
        <w:t>7</w:t>
      </w:r>
      <w:r w:rsidRPr="005F153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(v mil. Kč)</w:t>
      </w:r>
    </w:p>
    <w:p w:rsidR="006067DA" w:rsidRPr="005F153A" w:rsidRDefault="00AF29DC" w:rsidP="006067DA">
      <w:pPr>
        <w:widowControl w:val="0"/>
        <w:spacing w:before="240" w:after="120"/>
        <w:jc w:val="both"/>
        <w:rPr>
          <w:rFonts w:cs="Arial"/>
          <w:b/>
          <w:sz w:val="18"/>
          <w:szCs w:val="18"/>
        </w:rPr>
      </w:pPr>
      <w:bookmarkStart w:id="6" w:name="_GoBack"/>
      <w:bookmarkEnd w:id="6"/>
      <w:r>
        <w:rPr>
          <w:rFonts w:cs="Arial"/>
          <w:b/>
          <w:noProof/>
          <w:sz w:val="18"/>
          <w:szCs w:val="18"/>
        </w:rPr>
        <w:drawing>
          <wp:inline distT="0" distB="0" distL="0" distR="0" wp14:anchorId="59737FA6">
            <wp:extent cx="6115050" cy="299974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7DA" w:rsidRDefault="006067DA" w:rsidP="006067DA">
      <w:pPr>
        <w:widowControl w:val="0"/>
        <w:spacing w:line="240" w:lineRule="auto"/>
        <w:jc w:val="right"/>
        <w:rPr>
          <w:b/>
          <w:bCs/>
          <w:i/>
          <w:sz w:val="16"/>
          <w:szCs w:val="16"/>
        </w:rPr>
      </w:pPr>
      <w:r w:rsidRPr="005F153A">
        <w:rPr>
          <w:b/>
          <w:bCs/>
          <w:i/>
          <w:sz w:val="16"/>
          <w:szCs w:val="16"/>
        </w:rPr>
        <w:t xml:space="preserve">Zdroj: </w:t>
      </w:r>
      <w:r>
        <w:rPr>
          <w:b/>
          <w:bCs/>
          <w:i/>
          <w:sz w:val="16"/>
          <w:szCs w:val="16"/>
        </w:rPr>
        <w:t>Ministerstvo zdravotnictví ČR, 2018</w:t>
      </w:r>
      <w:r w:rsidRPr="005F153A">
        <w:rPr>
          <w:b/>
          <w:bCs/>
          <w:i/>
          <w:sz w:val="16"/>
          <w:szCs w:val="16"/>
        </w:rPr>
        <w:t xml:space="preserve"> </w:t>
      </w:r>
    </w:p>
    <w:sectPr w:rsidR="006067DA" w:rsidSect="001A3B66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0A" w:rsidRDefault="0060570A" w:rsidP="00E71A58">
      <w:r>
        <w:separator/>
      </w:r>
    </w:p>
  </w:endnote>
  <w:endnote w:type="continuationSeparator" w:id="0">
    <w:p w:rsidR="0060570A" w:rsidRDefault="0060570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41" w:rsidRDefault="00831D41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699F325" wp14:editId="5B11737C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AF29DC">
      <w:rPr>
        <w:rFonts w:ascii="Arial" w:hAnsi="Arial" w:cs="Arial"/>
        <w:noProof/>
        <w:sz w:val="16"/>
        <w:szCs w:val="16"/>
      </w:rPr>
      <w:t>2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41" w:rsidRDefault="00831D4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6A92E2B6" wp14:editId="20105575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831D41" w:rsidRDefault="00831D4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AF29DC">
      <w:rPr>
        <w:rFonts w:ascii="Arial" w:hAnsi="Arial" w:cs="Arial"/>
        <w:noProof/>
        <w:sz w:val="16"/>
        <w:szCs w:val="16"/>
      </w:rPr>
      <w:t>1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0A" w:rsidRDefault="0060570A" w:rsidP="00E71A58">
      <w:r>
        <w:separator/>
      </w:r>
    </w:p>
  </w:footnote>
  <w:footnote w:type="continuationSeparator" w:id="0">
    <w:p w:rsidR="0060570A" w:rsidRDefault="0060570A" w:rsidP="00E71A58">
      <w:r>
        <w:continuationSeparator/>
      </w:r>
    </w:p>
  </w:footnote>
  <w:footnote w:id="1">
    <w:p w:rsidR="00831D41" w:rsidRDefault="00831D41" w:rsidP="006067DA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Charakteristika léků na předpis a volně prodejných léků je uvedena v kapitole </w:t>
      </w:r>
      <w:r w:rsidRPr="00223335">
        <w:t>Metodická příloha</w:t>
      </w:r>
    </w:p>
  </w:footnote>
  <w:footnote w:id="2">
    <w:p w:rsidR="00831D41" w:rsidRDefault="00831D41" w:rsidP="006067DA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</w:t>
      </w:r>
      <w:r w:rsidRPr="00E22935">
        <w:t>Tento údaj zahrnuje celkové výdaje za léky a je metodicky odlišný od údajů uvedených v tabulce č. 2.2, kapitoly 2, ve které položka léky zahrnuje pouze výdaje za léky na předpis a volně prodejné léky včetně zdravotnického materiálu. Výdaje na léky spotřebované ve zdravotnických zařízeních v rámci léčby jsou v této tabulce především součástí položek lůžková léčebná péče, lůžková rehabilitační péče a lůžková dlouhodobá zdravotní péče.</w:t>
      </w:r>
    </w:p>
  </w:footnote>
  <w:footnote w:id="3">
    <w:p w:rsidR="00831D41" w:rsidRDefault="00831D41" w:rsidP="006067DA">
      <w:pPr>
        <w:pStyle w:val="Textpoznpodarou"/>
      </w:pPr>
      <w:r>
        <w:rPr>
          <w:rStyle w:val="Znakapoznpodarou"/>
        </w:rPr>
        <w:footnoteRef/>
      </w:r>
      <w:r>
        <w:t xml:space="preserve"> Definovaná denní dávka je jednotka užívaná např. ke sledování spotřeby léčiv. Většinou se jedná o průměrnou denní udržovací dávku léku podávanou v léčbě daného onemocnění u dospělých pacientů.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41" w:rsidRPr="002175EE" w:rsidRDefault="00831D41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</w:t>
    </w:r>
    <w:r>
      <w:rPr>
        <w:b w:val="0"/>
        <w:color w:val="auto"/>
        <w:sz w:val="16"/>
        <w:szCs w:val="16"/>
      </w:rPr>
      <w:t>ledky zdravotnických účtů ČR 2010–2017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D41" w:rsidRPr="002175EE" w:rsidRDefault="00831D41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 xml:space="preserve">Výsledky </w:t>
    </w:r>
    <w:r>
      <w:rPr>
        <w:b w:val="0"/>
        <w:color w:val="auto"/>
        <w:sz w:val="16"/>
        <w:szCs w:val="16"/>
      </w:rPr>
      <w:t>zdravotnických účtů ČR 2010–2017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C21"/>
    <w:multiLevelType w:val="hybridMultilevel"/>
    <w:tmpl w:val="99D61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550C"/>
    <w:multiLevelType w:val="hybridMultilevel"/>
    <w:tmpl w:val="86B43882"/>
    <w:lvl w:ilvl="0" w:tplc="46C2DFC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7A27793"/>
    <w:multiLevelType w:val="hybridMultilevel"/>
    <w:tmpl w:val="D486A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6AC4"/>
    <w:multiLevelType w:val="hybridMultilevel"/>
    <w:tmpl w:val="371460E6"/>
    <w:lvl w:ilvl="0" w:tplc="4DA05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26586"/>
    <w:multiLevelType w:val="hybridMultilevel"/>
    <w:tmpl w:val="5F2EFD9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21B"/>
    <w:multiLevelType w:val="hybridMultilevel"/>
    <w:tmpl w:val="2DC43A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80405"/>
    <w:multiLevelType w:val="multilevel"/>
    <w:tmpl w:val="B944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21244"/>
    <w:multiLevelType w:val="hybridMultilevel"/>
    <w:tmpl w:val="93965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32BB"/>
    <w:multiLevelType w:val="hybridMultilevel"/>
    <w:tmpl w:val="29F85DA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FD6DEF"/>
    <w:multiLevelType w:val="multilevel"/>
    <w:tmpl w:val="58CE67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66454"/>
    <w:multiLevelType w:val="hybridMultilevel"/>
    <w:tmpl w:val="936055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AC752F"/>
    <w:multiLevelType w:val="hybridMultilevel"/>
    <w:tmpl w:val="F1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04B67"/>
    <w:multiLevelType w:val="hybridMultilevel"/>
    <w:tmpl w:val="141024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760B6"/>
    <w:multiLevelType w:val="hybridMultilevel"/>
    <w:tmpl w:val="2EF610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814446"/>
    <w:multiLevelType w:val="hybridMultilevel"/>
    <w:tmpl w:val="12C803C8"/>
    <w:lvl w:ilvl="0" w:tplc="CD9C6B54">
      <w:start w:val="2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52F38"/>
    <w:multiLevelType w:val="multilevel"/>
    <w:tmpl w:val="7BD287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3F919ED"/>
    <w:multiLevelType w:val="multilevel"/>
    <w:tmpl w:val="B0E2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D815B2"/>
    <w:multiLevelType w:val="hybridMultilevel"/>
    <w:tmpl w:val="132CDB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35327"/>
    <w:multiLevelType w:val="hybridMultilevel"/>
    <w:tmpl w:val="0CBCD77C"/>
    <w:lvl w:ilvl="0" w:tplc="C8061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A6F9C"/>
    <w:multiLevelType w:val="hybridMultilevel"/>
    <w:tmpl w:val="5C0CA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F4090"/>
    <w:multiLevelType w:val="hybridMultilevel"/>
    <w:tmpl w:val="1794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737E1"/>
    <w:multiLevelType w:val="hybridMultilevel"/>
    <w:tmpl w:val="89AA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645A0C"/>
    <w:multiLevelType w:val="hybridMultilevel"/>
    <w:tmpl w:val="D004DA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F7E70"/>
    <w:multiLevelType w:val="hybridMultilevel"/>
    <w:tmpl w:val="0128A08A"/>
    <w:lvl w:ilvl="0" w:tplc="49A0ED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844F8"/>
    <w:multiLevelType w:val="hybridMultilevel"/>
    <w:tmpl w:val="1C3A2F2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FF5011"/>
    <w:multiLevelType w:val="hybridMultilevel"/>
    <w:tmpl w:val="AAAE5906"/>
    <w:lvl w:ilvl="0" w:tplc="BB2899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854D3E"/>
    <w:multiLevelType w:val="multilevel"/>
    <w:tmpl w:val="C57A8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8544EA5"/>
    <w:multiLevelType w:val="hybridMultilevel"/>
    <w:tmpl w:val="E0D623B2"/>
    <w:lvl w:ilvl="0" w:tplc="E0F4A91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52ED8"/>
    <w:multiLevelType w:val="multilevel"/>
    <w:tmpl w:val="83DAB8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3050CCD"/>
    <w:multiLevelType w:val="multilevel"/>
    <w:tmpl w:val="61B82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8" w15:restartNumberingAfterBreak="0">
    <w:nsid w:val="6F893287"/>
    <w:multiLevelType w:val="multilevel"/>
    <w:tmpl w:val="418C03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FE39F3"/>
    <w:multiLevelType w:val="hybridMultilevel"/>
    <w:tmpl w:val="405C553E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15C6D"/>
    <w:multiLevelType w:val="hybridMultilevel"/>
    <w:tmpl w:val="A598291C"/>
    <w:lvl w:ilvl="0" w:tplc="5F1AC2C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B90EB4"/>
    <w:multiLevelType w:val="hybridMultilevel"/>
    <w:tmpl w:val="98F67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B762E6D"/>
    <w:multiLevelType w:val="hybridMultilevel"/>
    <w:tmpl w:val="586A2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71231"/>
    <w:multiLevelType w:val="hybridMultilevel"/>
    <w:tmpl w:val="EF7631D6"/>
    <w:lvl w:ilvl="0" w:tplc="D4C2B7B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F4163"/>
    <w:multiLevelType w:val="hybridMultilevel"/>
    <w:tmpl w:val="A78ADFC6"/>
    <w:lvl w:ilvl="0" w:tplc="242AA788">
      <w:numFmt w:val="bullet"/>
      <w:lvlText w:val="-"/>
      <w:lvlJc w:val="left"/>
      <w:pPr>
        <w:ind w:left="30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33"/>
  </w:num>
  <w:num w:numId="5">
    <w:abstractNumId w:val="3"/>
  </w:num>
  <w:num w:numId="6">
    <w:abstractNumId w:val="12"/>
  </w:num>
  <w:num w:numId="7">
    <w:abstractNumId w:val="27"/>
  </w:num>
  <w:num w:numId="8">
    <w:abstractNumId w:val="38"/>
  </w:num>
  <w:num w:numId="9">
    <w:abstractNumId w:val="26"/>
  </w:num>
  <w:num w:numId="10">
    <w:abstractNumId w:val="36"/>
  </w:num>
  <w:num w:numId="11">
    <w:abstractNumId w:val="11"/>
  </w:num>
  <w:num w:numId="12">
    <w:abstractNumId w:val="42"/>
  </w:num>
  <w:num w:numId="13">
    <w:abstractNumId w:val="31"/>
  </w:num>
  <w:num w:numId="14">
    <w:abstractNumId w:val="34"/>
  </w:num>
  <w:num w:numId="15">
    <w:abstractNumId w:val="37"/>
  </w:num>
  <w:num w:numId="16">
    <w:abstractNumId w:val="5"/>
  </w:num>
  <w:num w:numId="17">
    <w:abstractNumId w:val="17"/>
  </w:num>
  <w:num w:numId="18">
    <w:abstractNumId w:val="39"/>
  </w:num>
  <w:num w:numId="19">
    <w:abstractNumId w:val="0"/>
  </w:num>
  <w:num w:numId="20">
    <w:abstractNumId w:val="45"/>
  </w:num>
  <w:num w:numId="21">
    <w:abstractNumId w:val="7"/>
  </w:num>
  <w:num w:numId="22">
    <w:abstractNumId w:val="30"/>
  </w:num>
  <w:num w:numId="23">
    <w:abstractNumId w:val="18"/>
  </w:num>
  <w:num w:numId="24">
    <w:abstractNumId w:val="15"/>
  </w:num>
  <w:num w:numId="25">
    <w:abstractNumId w:val="44"/>
  </w:num>
  <w:num w:numId="26">
    <w:abstractNumId w:val="20"/>
  </w:num>
  <w:num w:numId="27">
    <w:abstractNumId w:val="13"/>
  </w:num>
  <w:num w:numId="28">
    <w:abstractNumId w:val="40"/>
  </w:num>
  <w:num w:numId="29">
    <w:abstractNumId w:val="16"/>
  </w:num>
  <w:num w:numId="30">
    <w:abstractNumId w:val="22"/>
  </w:num>
  <w:num w:numId="31">
    <w:abstractNumId w:val="10"/>
  </w:num>
  <w:num w:numId="32">
    <w:abstractNumId w:val="43"/>
  </w:num>
  <w:num w:numId="33">
    <w:abstractNumId w:val="28"/>
  </w:num>
  <w:num w:numId="34">
    <w:abstractNumId w:val="8"/>
  </w:num>
  <w:num w:numId="35">
    <w:abstractNumId w:val="19"/>
  </w:num>
  <w:num w:numId="36">
    <w:abstractNumId w:val="21"/>
  </w:num>
  <w:num w:numId="37">
    <w:abstractNumId w:val="14"/>
  </w:num>
  <w:num w:numId="38">
    <w:abstractNumId w:val="1"/>
  </w:num>
  <w:num w:numId="39">
    <w:abstractNumId w:val="9"/>
  </w:num>
  <w:num w:numId="40">
    <w:abstractNumId w:val="29"/>
  </w:num>
  <w:num w:numId="41">
    <w:abstractNumId w:val="2"/>
  </w:num>
  <w:num w:numId="42">
    <w:abstractNumId w:val="41"/>
  </w:num>
  <w:num w:numId="43">
    <w:abstractNumId w:val="24"/>
  </w:num>
  <w:num w:numId="44">
    <w:abstractNumId w:val="4"/>
  </w:num>
  <w:num w:numId="45">
    <w:abstractNumId w:val="35"/>
  </w:num>
  <w:num w:numId="4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1"/>
    <w:rsid w:val="00002F19"/>
    <w:rsid w:val="00005515"/>
    <w:rsid w:val="00005868"/>
    <w:rsid w:val="0000767A"/>
    <w:rsid w:val="00007BF6"/>
    <w:rsid w:val="00010702"/>
    <w:rsid w:val="0002040C"/>
    <w:rsid w:val="00025165"/>
    <w:rsid w:val="000307D2"/>
    <w:rsid w:val="000353CA"/>
    <w:rsid w:val="0004694F"/>
    <w:rsid w:val="00052153"/>
    <w:rsid w:val="00052D0B"/>
    <w:rsid w:val="00060D56"/>
    <w:rsid w:val="00062320"/>
    <w:rsid w:val="00062EC5"/>
    <w:rsid w:val="0006345C"/>
    <w:rsid w:val="00074403"/>
    <w:rsid w:val="0007543A"/>
    <w:rsid w:val="00083528"/>
    <w:rsid w:val="00087634"/>
    <w:rsid w:val="000915F5"/>
    <w:rsid w:val="00096004"/>
    <w:rsid w:val="000A1183"/>
    <w:rsid w:val="000A2D10"/>
    <w:rsid w:val="000C3408"/>
    <w:rsid w:val="000C547E"/>
    <w:rsid w:val="000C6A8B"/>
    <w:rsid w:val="000D0933"/>
    <w:rsid w:val="000D1765"/>
    <w:rsid w:val="000D21E1"/>
    <w:rsid w:val="000D2433"/>
    <w:rsid w:val="000D3D85"/>
    <w:rsid w:val="000D3E6C"/>
    <w:rsid w:val="000D5E39"/>
    <w:rsid w:val="000E5DE5"/>
    <w:rsid w:val="000F2D17"/>
    <w:rsid w:val="000F6E14"/>
    <w:rsid w:val="0010041E"/>
    <w:rsid w:val="00101535"/>
    <w:rsid w:val="00110E3B"/>
    <w:rsid w:val="001149A1"/>
    <w:rsid w:val="0011701D"/>
    <w:rsid w:val="00121C92"/>
    <w:rsid w:val="00123EF0"/>
    <w:rsid w:val="001319EB"/>
    <w:rsid w:val="00133BA8"/>
    <w:rsid w:val="001351C9"/>
    <w:rsid w:val="001405FA"/>
    <w:rsid w:val="001425C3"/>
    <w:rsid w:val="001466BB"/>
    <w:rsid w:val="00146973"/>
    <w:rsid w:val="00154ED5"/>
    <w:rsid w:val="00157587"/>
    <w:rsid w:val="00162BF0"/>
    <w:rsid w:val="00162D56"/>
    <w:rsid w:val="00163793"/>
    <w:rsid w:val="00164260"/>
    <w:rsid w:val="0016731E"/>
    <w:rsid w:val="001714F2"/>
    <w:rsid w:val="00172311"/>
    <w:rsid w:val="00175160"/>
    <w:rsid w:val="0017745B"/>
    <w:rsid w:val="0017751B"/>
    <w:rsid w:val="00185010"/>
    <w:rsid w:val="0018680D"/>
    <w:rsid w:val="00190B38"/>
    <w:rsid w:val="00193560"/>
    <w:rsid w:val="001A177C"/>
    <w:rsid w:val="001A3B66"/>
    <w:rsid w:val="001A4ACA"/>
    <w:rsid w:val="001A552F"/>
    <w:rsid w:val="001B176A"/>
    <w:rsid w:val="001B3110"/>
    <w:rsid w:val="001B61BC"/>
    <w:rsid w:val="001C1996"/>
    <w:rsid w:val="001C1D52"/>
    <w:rsid w:val="001D189A"/>
    <w:rsid w:val="001E1749"/>
    <w:rsid w:val="001E3731"/>
    <w:rsid w:val="001F4597"/>
    <w:rsid w:val="00200B56"/>
    <w:rsid w:val="00201D3A"/>
    <w:rsid w:val="002075A8"/>
    <w:rsid w:val="00207936"/>
    <w:rsid w:val="00210AA5"/>
    <w:rsid w:val="00213704"/>
    <w:rsid w:val="00213C72"/>
    <w:rsid w:val="00214E6F"/>
    <w:rsid w:val="00216072"/>
    <w:rsid w:val="002175EE"/>
    <w:rsid w:val="0022139E"/>
    <w:rsid w:val="00222564"/>
    <w:rsid w:val="00223026"/>
    <w:rsid w:val="00223335"/>
    <w:rsid w:val="002237C6"/>
    <w:rsid w:val="002252E0"/>
    <w:rsid w:val="002255F6"/>
    <w:rsid w:val="00226272"/>
    <w:rsid w:val="00227AA9"/>
    <w:rsid w:val="002339D2"/>
    <w:rsid w:val="00236443"/>
    <w:rsid w:val="0024085E"/>
    <w:rsid w:val="00240B6D"/>
    <w:rsid w:val="002436BA"/>
    <w:rsid w:val="00244A15"/>
    <w:rsid w:val="0024799E"/>
    <w:rsid w:val="00247A40"/>
    <w:rsid w:val="00254100"/>
    <w:rsid w:val="0026319A"/>
    <w:rsid w:val="00264C1E"/>
    <w:rsid w:val="00270041"/>
    <w:rsid w:val="00271AC3"/>
    <w:rsid w:val="00277062"/>
    <w:rsid w:val="00277DC6"/>
    <w:rsid w:val="00281EE4"/>
    <w:rsid w:val="00282A20"/>
    <w:rsid w:val="0028438F"/>
    <w:rsid w:val="00290B98"/>
    <w:rsid w:val="00290F1C"/>
    <w:rsid w:val="002A310D"/>
    <w:rsid w:val="002A795D"/>
    <w:rsid w:val="002B4648"/>
    <w:rsid w:val="002B6C95"/>
    <w:rsid w:val="002B7526"/>
    <w:rsid w:val="002C1EDC"/>
    <w:rsid w:val="002C43BD"/>
    <w:rsid w:val="002D036A"/>
    <w:rsid w:val="002D1024"/>
    <w:rsid w:val="002D246F"/>
    <w:rsid w:val="002D700F"/>
    <w:rsid w:val="002E02A1"/>
    <w:rsid w:val="002E7C59"/>
    <w:rsid w:val="002F59C4"/>
    <w:rsid w:val="00304771"/>
    <w:rsid w:val="00306C5B"/>
    <w:rsid w:val="00313FC3"/>
    <w:rsid w:val="003209D6"/>
    <w:rsid w:val="00320E92"/>
    <w:rsid w:val="00323231"/>
    <w:rsid w:val="00330C8E"/>
    <w:rsid w:val="0034055C"/>
    <w:rsid w:val="00341C9C"/>
    <w:rsid w:val="00341E61"/>
    <w:rsid w:val="00344398"/>
    <w:rsid w:val="003446FE"/>
    <w:rsid w:val="00344A9F"/>
    <w:rsid w:val="003452B6"/>
    <w:rsid w:val="00345347"/>
    <w:rsid w:val="0035195A"/>
    <w:rsid w:val="00352ACB"/>
    <w:rsid w:val="00356E1F"/>
    <w:rsid w:val="003657F3"/>
    <w:rsid w:val="00370B28"/>
    <w:rsid w:val="00375B3D"/>
    <w:rsid w:val="00380B0F"/>
    <w:rsid w:val="00381C1A"/>
    <w:rsid w:val="0038205A"/>
    <w:rsid w:val="00385D98"/>
    <w:rsid w:val="00394B23"/>
    <w:rsid w:val="00396A34"/>
    <w:rsid w:val="00397972"/>
    <w:rsid w:val="003A2B4D"/>
    <w:rsid w:val="003A478C"/>
    <w:rsid w:val="003A5525"/>
    <w:rsid w:val="003A6B38"/>
    <w:rsid w:val="003A7223"/>
    <w:rsid w:val="003B0B06"/>
    <w:rsid w:val="003B34FF"/>
    <w:rsid w:val="003B4169"/>
    <w:rsid w:val="003B5A32"/>
    <w:rsid w:val="003B5B99"/>
    <w:rsid w:val="003C1109"/>
    <w:rsid w:val="003C627D"/>
    <w:rsid w:val="003C6CC2"/>
    <w:rsid w:val="003D5919"/>
    <w:rsid w:val="003E037E"/>
    <w:rsid w:val="003E0671"/>
    <w:rsid w:val="003E76A0"/>
    <w:rsid w:val="003F144E"/>
    <w:rsid w:val="003F174C"/>
    <w:rsid w:val="003F313C"/>
    <w:rsid w:val="004004F4"/>
    <w:rsid w:val="0040155D"/>
    <w:rsid w:val="00403034"/>
    <w:rsid w:val="00403484"/>
    <w:rsid w:val="00406353"/>
    <w:rsid w:val="004117C8"/>
    <w:rsid w:val="00416281"/>
    <w:rsid w:val="00416C0A"/>
    <w:rsid w:val="004236AB"/>
    <w:rsid w:val="004242B2"/>
    <w:rsid w:val="00426A61"/>
    <w:rsid w:val="00437926"/>
    <w:rsid w:val="00437DC6"/>
    <w:rsid w:val="00441783"/>
    <w:rsid w:val="0044625F"/>
    <w:rsid w:val="00452B8C"/>
    <w:rsid w:val="00452EBE"/>
    <w:rsid w:val="00467087"/>
    <w:rsid w:val="00470E57"/>
    <w:rsid w:val="00476265"/>
    <w:rsid w:val="004775D1"/>
    <w:rsid w:val="0048086F"/>
    <w:rsid w:val="00480E40"/>
    <w:rsid w:val="0048139F"/>
    <w:rsid w:val="004859A8"/>
    <w:rsid w:val="004868D6"/>
    <w:rsid w:val="004A081C"/>
    <w:rsid w:val="004A44A2"/>
    <w:rsid w:val="004A77DF"/>
    <w:rsid w:val="004B2C1E"/>
    <w:rsid w:val="004B55B7"/>
    <w:rsid w:val="004B7591"/>
    <w:rsid w:val="004C3867"/>
    <w:rsid w:val="004C4ABE"/>
    <w:rsid w:val="004C4CD0"/>
    <w:rsid w:val="004C70DC"/>
    <w:rsid w:val="004D0211"/>
    <w:rsid w:val="004D5E24"/>
    <w:rsid w:val="004E1007"/>
    <w:rsid w:val="004E3E1A"/>
    <w:rsid w:val="004F06F5"/>
    <w:rsid w:val="004F0E28"/>
    <w:rsid w:val="004F209C"/>
    <w:rsid w:val="004F78C3"/>
    <w:rsid w:val="00501EFA"/>
    <w:rsid w:val="005108C0"/>
    <w:rsid w:val="00511873"/>
    <w:rsid w:val="00513B7E"/>
    <w:rsid w:val="00514041"/>
    <w:rsid w:val="0051478D"/>
    <w:rsid w:val="005151FB"/>
    <w:rsid w:val="00520DCA"/>
    <w:rsid w:val="005221B3"/>
    <w:rsid w:val="0052495E"/>
    <w:rsid w:val="00525137"/>
    <w:rsid w:val="005251DD"/>
    <w:rsid w:val="00527720"/>
    <w:rsid w:val="00531985"/>
    <w:rsid w:val="00532D7D"/>
    <w:rsid w:val="005376AD"/>
    <w:rsid w:val="005376E3"/>
    <w:rsid w:val="00542E84"/>
    <w:rsid w:val="00544082"/>
    <w:rsid w:val="00550483"/>
    <w:rsid w:val="00550FE5"/>
    <w:rsid w:val="005513E1"/>
    <w:rsid w:val="00551573"/>
    <w:rsid w:val="00557A96"/>
    <w:rsid w:val="00561D72"/>
    <w:rsid w:val="00572C92"/>
    <w:rsid w:val="00583FFD"/>
    <w:rsid w:val="0058445D"/>
    <w:rsid w:val="00586971"/>
    <w:rsid w:val="00591143"/>
    <w:rsid w:val="00593152"/>
    <w:rsid w:val="00593E87"/>
    <w:rsid w:val="005956E7"/>
    <w:rsid w:val="005A21E0"/>
    <w:rsid w:val="005A54EB"/>
    <w:rsid w:val="005A7305"/>
    <w:rsid w:val="005A7316"/>
    <w:rsid w:val="005B20AA"/>
    <w:rsid w:val="005B2486"/>
    <w:rsid w:val="005C04E2"/>
    <w:rsid w:val="005C2045"/>
    <w:rsid w:val="005D1BF3"/>
    <w:rsid w:val="005D514D"/>
    <w:rsid w:val="005D5495"/>
    <w:rsid w:val="005D5802"/>
    <w:rsid w:val="005E0178"/>
    <w:rsid w:val="005E1DD5"/>
    <w:rsid w:val="005E316C"/>
    <w:rsid w:val="005E5711"/>
    <w:rsid w:val="005E73F3"/>
    <w:rsid w:val="005F153A"/>
    <w:rsid w:val="005F2EE2"/>
    <w:rsid w:val="006016D1"/>
    <w:rsid w:val="00602EF3"/>
    <w:rsid w:val="00604307"/>
    <w:rsid w:val="0060487F"/>
    <w:rsid w:val="0060570A"/>
    <w:rsid w:val="006067DA"/>
    <w:rsid w:val="00606B1B"/>
    <w:rsid w:val="0061689B"/>
    <w:rsid w:val="00624093"/>
    <w:rsid w:val="00625E0F"/>
    <w:rsid w:val="00633AEB"/>
    <w:rsid w:val="00633F6D"/>
    <w:rsid w:val="006352A8"/>
    <w:rsid w:val="00635866"/>
    <w:rsid w:val="00635B35"/>
    <w:rsid w:val="00635FC7"/>
    <w:rsid w:val="006366C8"/>
    <w:rsid w:val="006374C2"/>
    <w:rsid w:val="006404A7"/>
    <w:rsid w:val="00640637"/>
    <w:rsid w:val="006419F8"/>
    <w:rsid w:val="006451E4"/>
    <w:rsid w:val="00645EF8"/>
    <w:rsid w:val="006472BA"/>
    <w:rsid w:val="006523BB"/>
    <w:rsid w:val="00653860"/>
    <w:rsid w:val="00655906"/>
    <w:rsid w:val="0065667A"/>
    <w:rsid w:val="00657E87"/>
    <w:rsid w:val="006710C9"/>
    <w:rsid w:val="00674BA1"/>
    <w:rsid w:val="00675DD1"/>
    <w:rsid w:val="00675E37"/>
    <w:rsid w:val="00677696"/>
    <w:rsid w:val="0068260E"/>
    <w:rsid w:val="0069246C"/>
    <w:rsid w:val="006941CE"/>
    <w:rsid w:val="00695BEF"/>
    <w:rsid w:val="00696417"/>
    <w:rsid w:val="00697219"/>
    <w:rsid w:val="006977F6"/>
    <w:rsid w:val="00697A13"/>
    <w:rsid w:val="00697C9B"/>
    <w:rsid w:val="006A109C"/>
    <w:rsid w:val="006A31C8"/>
    <w:rsid w:val="006A420D"/>
    <w:rsid w:val="006A4247"/>
    <w:rsid w:val="006A429F"/>
    <w:rsid w:val="006B1874"/>
    <w:rsid w:val="006B7581"/>
    <w:rsid w:val="006B78D8"/>
    <w:rsid w:val="006C0C43"/>
    <w:rsid w:val="006C113F"/>
    <w:rsid w:val="006C47BD"/>
    <w:rsid w:val="006D211A"/>
    <w:rsid w:val="006D3ACC"/>
    <w:rsid w:val="006D61F6"/>
    <w:rsid w:val="006D640E"/>
    <w:rsid w:val="006E09D5"/>
    <w:rsid w:val="006E1FDB"/>
    <w:rsid w:val="006E279A"/>
    <w:rsid w:val="006E313B"/>
    <w:rsid w:val="006E5DFC"/>
    <w:rsid w:val="006E71FE"/>
    <w:rsid w:val="007051F5"/>
    <w:rsid w:val="0070676A"/>
    <w:rsid w:val="00711D97"/>
    <w:rsid w:val="007211F5"/>
    <w:rsid w:val="007271FD"/>
    <w:rsid w:val="00730AE8"/>
    <w:rsid w:val="00736D17"/>
    <w:rsid w:val="0073795D"/>
    <w:rsid w:val="00741493"/>
    <w:rsid w:val="00746E1B"/>
    <w:rsid w:val="0074736D"/>
    <w:rsid w:val="00747BB9"/>
    <w:rsid w:val="00750951"/>
    <w:rsid w:val="00752180"/>
    <w:rsid w:val="00755D3A"/>
    <w:rsid w:val="007572C9"/>
    <w:rsid w:val="0075757C"/>
    <w:rsid w:val="007609C6"/>
    <w:rsid w:val="00760D36"/>
    <w:rsid w:val="00761C28"/>
    <w:rsid w:val="007632B9"/>
    <w:rsid w:val="0077264D"/>
    <w:rsid w:val="00774CA3"/>
    <w:rsid w:val="00776527"/>
    <w:rsid w:val="00777353"/>
    <w:rsid w:val="00784861"/>
    <w:rsid w:val="007949E3"/>
    <w:rsid w:val="007A01BD"/>
    <w:rsid w:val="007A4E4E"/>
    <w:rsid w:val="007A68E8"/>
    <w:rsid w:val="007A7B9B"/>
    <w:rsid w:val="007B47EE"/>
    <w:rsid w:val="007B60D9"/>
    <w:rsid w:val="007C01B3"/>
    <w:rsid w:val="007C740E"/>
    <w:rsid w:val="007D3A47"/>
    <w:rsid w:val="007D6E98"/>
    <w:rsid w:val="007E0D3A"/>
    <w:rsid w:val="007E12CE"/>
    <w:rsid w:val="007E7E61"/>
    <w:rsid w:val="007F3932"/>
    <w:rsid w:val="007F4A5E"/>
    <w:rsid w:val="007F6B36"/>
    <w:rsid w:val="00802A57"/>
    <w:rsid w:val="00814887"/>
    <w:rsid w:val="00814A8E"/>
    <w:rsid w:val="008207EF"/>
    <w:rsid w:val="00821FF6"/>
    <w:rsid w:val="00830E10"/>
    <w:rsid w:val="0083143E"/>
    <w:rsid w:val="00831D41"/>
    <w:rsid w:val="00834FAA"/>
    <w:rsid w:val="0083596D"/>
    <w:rsid w:val="00836086"/>
    <w:rsid w:val="00836B26"/>
    <w:rsid w:val="0084681E"/>
    <w:rsid w:val="00853E06"/>
    <w:rsid w:val="0085489F"/>
    <w:rsid w:val="00855FB6"/>
    <w:rsid w:val="00857578"/>
    <w:rsid w:val="0086041E"/>
    <w:rsid w:val="008605E5"/>
    <w:rsid w:val="00860953"/>
    <w:rsid w:val="008620CA"/>
    <w:rsid w:val="00863FDA"/>
    <w:rsid w:val="0087055B"/>
    <w:rsid w:val="00876086"/>
    <w:rsid w:val="0088462E"/>
    <w:rsid w:val="008877B0"/>
    <w:rsid w:val="008B0974"/>
    <w:rsid w:val="008B309A"/>
    <w:rsid w:val="008B5772"/>
    <w:rsid w:val="008B7C02"/>
    <w:rsid w:val="008C0E88"/>
    <w:rsid w:val="008C1793"/>
    <w:rsid w:val="008D1923"/>
    <w:rsid w:val="008D2A16"/>
    <w:rsid w:val="008D7DD3"/>
    <w:rsid w:val="008E31FF"/>
    <w:rsid w:val="008E401B"/>
    <w:rsid w:val="008E41B4"/>
    <w:rsid w:val="008E54ED"/>
    <w:rsid w:val="008F60FD"/>
    <w:rsid w:val="009003A8"/>
    <w:rsid w:val="00901E8E"/>
    <w:rsid w:val="009020FE"/>
    <w:rsid w:val="00902EFF"/>
    <w:rsid w:val="0090382A"/>
    <w:rsid w:val="00903ADB"/>
    <w:rsid w:val="00917F10"/>
    <w:rsid w:val="00921F14"/>
    <w:rsid w:val="009233F1"/>
    <w:rsid w:val="009248E3"/>
    <w:rsid w:val="00930D23"/>
    <w:rsid w:val="00930E84"/>
    <w:rsid w:val="00931794"/>
    <w:rsid w:val="0094427A"/>
    <w:rsid w:val="00944EA6"/>
    <w:rsid w:val="009552B1"/>
    <w:rsid w:val="00957CD1"/>
    <w:rsid w:val="0096414A"/>
    <w:rsid w:val="00972CA2"/>
    <w:rsid w:val="00973454"/>
    <w:rsid w:val="00974923"/>
    <w:rsid w:val="0098715D"/>
    <w:rsid w:val="00991A9E"/>
    <w:rsid w:val="0099411B"/>
    <w:rsid w:val="009A0CC8"/>
    <w:rsid w:val="009A23E5"/>
    <w:rsid w:val="009A76CB"/>
    <w:rsid w:val="009B35D8"/>
    <w:rsid w:val="009B6FD3"/>
    <w:rsid w:val="009C00F3"/>
    <w:rsid w:val="009C3912"/>
    <w:rsid w:val="009C7B08"/>
    <w:rsid w:val="009D15E0"/>
    <w:rsid w:val="009D2120"/>
    <w:rsid w:val="009D307C"/>
    <w:rsid w:val="009D7138"/>
    <w:rsid w:val="009E14B5"/>
    <w:rsid w:val="009E3131"/>
    <w:rsid w:val="009E3D07"/>
    <w:rsid w:val="009E5300"/>
    <w:rsid w:val="009E5C6B"/>
    <w:rsid w:val="009F30E4"/>
    <w:rsid w:val="009F4437"/>
    <w:rsid w:val="00A00BE4"/>
    <w:rsid w:val="00A0275E"/>
    <w:rsid w:val="00A074EF"/>
    <w:rsid w:val="00A077BC"/>
    <w:rsid w:val="00A10D66"/>
    <w:rsid w:val="00A11757"/>
    <w:rsid w:val="00A15646"/>
    <w:rsid w:val="00A1636E"/>
    <w:rsid w:val="00A202A7"/>
    <w:rsid w:val="00A204CF"/>
    <w:rsid w:val="00A219A9"/>
    <w:rsid w:val="00A2383F"/>
    <w:rsid w:val="00A23E43"/>
    <w:rsid w:val="00A33EFD"/>
    <w:rsid w:val="00A34DA0"/>
    <w:rsid w:val="00A35033"/>
    <w:rsid w:val="00A460B2"/>
    <w:rsid w:val="00A4618B"/>
    <w:rsid w:val="00A46DE0"/>
    <w:rsid w:val="00A475AC"/>
    <w:rsid w:val="00A5222D"/>
    <w:rsid w:val="00A52B44"/>
    <w:rsid w:val="00A52EC2"/>
    <w:rsid w:val="00A5555E"/>
    <w:rsid w:val="00A55FDE"/>
    <w:rsid w:val="00A57446"/>
    <w:rsid w:val="00A62CE1"/>
    <w:rsid w:val="00A75E40"/>
    <w:rsid w:val="00A84BAF"/>
    <w:rsid w:val="00A857C0"/>
    <w:rsid w:val="00A90201"/>
    <w:rsid w:val="00A902A5"/>
    <w:rsid w:val="00A91F5C"/>
    <w:rsid w:val="00A94AB5"/>
    <w:rsid w:val="00A953D4"/>
    <w:rsid w:val="00AA0168"/>
    <w:rsid w:val="00AA315F"/>
    <w:rsid w:val="00AA3BA1"/>
    <w:rsid w:val="00AA559A"/>
    <w:rsid w:val="00AB2AF1"/>
    <w:rsid w:val="00AB3CE2"/>
    <w:rsid w:val="00AB64E8"/>
    <w:rsid w:val="00AC1752"/>
    <w:rsid w:val="00AC4A24"/>
    <w:rsid w:val="00AD239A"/>
    <w:rsid w:val="00AD306C"/>
    <w:rsid w:val="00AD4FBF"/>
    <w:rsid w:val="00AD5913"/>
    <w:rsid w:val="00AE33C2"/>
    <w:rsid w:val="00AE6C8E"/>
    <w:rsid w:val="00AF25EE"/>
    <w:rsid w:val="00AF29DC"/>
    <w:rsid w:val="00B01CAD"/>
    <w:rsid w:val="00B17C49"/>
    <w:rsid w:val="00B17E71"/>
    <w:rsid w:val="00B17FDE"/>
    <w:rsid w:val="00B2098B"/>
    <w:rsid w:val="00B32BCC"/>
    <w:rsid w:val="00B32DDB"/>
    <w:rsid w:val="00B36A65"/>
    <w:rsid w:val="00B372C8"/>
    <w:rsid w:val="00B40A03"/>
    <w:rsid w:val="00B40CFB"/>
    <w:rsid w:val="00B44676"/>
    <w:rsid w:val="00B448FC"/>
    <w:rsid w:val="00B46099"/>
    <w:rsid w:val="00B4643E"/>
    <w:rsid w:val="00B513EB"/>
    <w:rsid w:val="00B551E6"/>
    <w:rsid w:val="00B63AFC"/>
    <w:rsid w:val="00B63BD5"/>
    <w:rsid w:val="00B6608F"/>
    <w:rsid w:val="00B76CB5"/>
    <w:rsid w:val="00B76D1E"/>
    <w:rsid w:val="00B801AF"/>
    <w:rsid w:val="00B80EDA"/>
    <w:rsid w:val="00B81475"/>
    <w:rsid w:val="00B85CB1"/>
    <w:rsid w:val="00B90EFA"/>
    <w:rsid w:val="00B95940"/>
    <w:rsid w:val="00B97BEC"/>
    <w:rsid w:val="00BA0E5F"/>
    <w:rsid w:val="00BA493B"/>
    <w:rsid w:val="00BA4D62"/>
    <w:rsid w:val="00BB0015"/>
    <w:rsid w:val="00BB10A9"/>
    <w:rsid w:val="00BB5FF0"/>
    <w:rsid w:val="00BC2F06"/>
    <w:rsid w:val="00BC3543"/>
    <w:rsid w:val="00BC39BB"/>
    <w:rsid w:val="00BC5568"/>
    <w:rsid w:val="00BC66E8"/>
    <w:rsid w:val="00BD2BDC"/>
    <w:rsid w:val="00BD366B"/>
    <w:rsid w:val="00BD3FB1"/>
    <w:rsid w:val="00BD6D50"/>
    <w:rsid w:val="00BD7706"/>
    <w:rsid w:val="00BE23F8"/>
    <w:rsid w:val="00BF011D"/>
    <w:rsid w:val="00BF0BA2"/>
    <w:rsid w:val="00BF26C4"/>
    <w:rsid w:val="00C01506"/>
    <w:rsid w:val="00C107E7"/>
    <w:rsid w:val="00C148E2"/>
    <w:rsid w:val="00C21F94"/>
    <w:rsid w:val="00C22FC8"/>
    <w:rsid w:val="00C274E0"/>
    <w:rsid w:val="00C3177E"/>
    <w:rsid w:val="00C36AC9"/>
    <w:rsid w:val="00C41EFF"/>
    <w:rsid w:val="00C41FBD"/>
    <w:rsid w:val="00C45E27"/>
    <w:rsid w:val="00C47265"/>
    <w:rsid w:val="00C51E92"/>
    <w:rsid w:val="00C54836"/>
    <w:rsid w:val="00C556F4"/>
    <w:rsid w:val="00C64B75"/>
    <w:rsid w:val="00C6634F"/>
    <w:rsid w:val="00C728E0"/>
    <w:rsid w:val="00C8098B"/>
    <w:rsid w:val="00C80F44"/>
    <w:rsid w:val="00C85E96"/>
    <w:rsid w:val="00C901F9"/>
    <w:rsid w:val="00C90CF4"/>
    <w:rsid w:val="00C91D7C"/>
    <w:rsid w:val="00C92654"/>
    <w:rsid w:val="00C93389"/>
    <w:rsid w:val="00C93C0D"/>
    <w:rsid w:val="00C97E34"/>
    <w:rsid w:val="00CA0463"/>
    <w:rsid w:val="00CA24C7"/>
    <w:rsid w:val="00CA5A12"/>
    <w:rsid w:val="00CB7349"/>
    <w:rsid w:val="00CC14C1"/>
    <w:rsid w:val="00CC1931"/>
    <w:rsid w:val="00CC1CC4"/>
    <w:rsid w:val="00CC2E9C"/>
    <w:rsid w:val="00CC475C"/>
    <w:rsid w:val="00CC6A28"/>
    <w:rsid w:val="00CD288B"/>
    <w:rsid w:val="00CE26E9"/>
    <w:rsid w:val="00CE3173"/>
    <w:rsid w:val="00CE45A3"/>
    <w:rsid w:val="00CE6149"/>
    <w:rsid w:val="00CF26A8"/>
    <w:rsid w:val="00CF3148"/>
    <w:rsid w:val="00CF51EC"/>
    <w:rsid w:val="00D03353"/>
    <w:rsid w:val="00D03693"/>
    <w:rsid w:val="00D040DD"/>
    <w:rsid w:val="00D10241"/>
    <w:rsid w:val="00D10A68"/>
    <w:rsid w:val="00D15A3E"/>
    <w:rsid w:val="00D16F21"/>
    <w:rsid w:val="00D30233"/>
    <w:rsid w:val="00D31387"/>
    <w:rsid w:val="00D32AAF"/>
    <w:rsid w:val="00D347C8"/>
    <w:rsid w:val="00D3681A"/>
    <w:rsid w:val="00D41CE2"/>
    <w:rsid w:val="00D51522"/>
    <w:rsid w:val="00D516DE"/>
    <w:rsid w:val="00D51805"/>
    <w:rsid w:val="00D56ADA"/>
    <w:rsid w:val="00D602CE"/>
    <w:rsid w:val="00D60433"/>
    <w:rsid w:val="00D615CD"/>
    <w:rsid w:val="00D61A47"/>
    <w:rsid w:val="00D67975"/>
    <w:rsid w:val="00D709E7"/>
    <w:rsid w:val="00D719DF"/>
    <w:rsid w:val="00D7363A"/>
    <w:rsid w:val="00D76ECF"/>
    <w:rsid w:val="00D842D3"/>
    <w:rsid w:val="00D849E3"/>
    <w:rsid w:val="00D85D2F"/>
    <w:rsid w:val="00DA2A27"/>
    <w:rsid w:val="00DA3AAF"/>
    <w:rsid w:val="00DA45FF"/>
    <w:rsid w:val="00DA5852"/>
    <w:rsid w:val="00DA5900"/>
    <w:rsid w:val="00DB210A"/>
    <w:rsid w:val="00DB4F3B"/>
    <w:rsid w:val="00DB5AED"/>
    <w:rsid w:val="00DC2E00"/>
    <w:rsid w:val="00DC5B3B"/>
    <w:rsid w:val="00DD0AC7"/>
    <w:rsid w:val="00DD39C0"/>
    <w:rsid w:val="00DE2D8F"/>
    <w:rsid w:val="00DE3724"/>
    <w:rsid w:val="00DE6B5D"/>
    <w:rsid w:val="00DE6F11"/>
    <w:rsid w:val="00DF00E1"/>
    <w:rsid w:val="00DF1554"/>
    <w:rsid w:val="00DF1593"/>
    <w:rsid w:val="00DF4DBA"/>
    <w:rsid w:val="00DF5641"/>
    <w:rsid w:val="00E01C0E"/>
    <w:rsid w:val="00E03893"/>
    <w:rsid w:val="00E04694"/>
    <w:rsid w:val="00E069D1"/>
    <w:rsid w:val="00E17090"/>
    <w:rsid w:val="00E1763E"/>
    <w:rsid w:val="00E22935"/>
    <w:rsid w:val="00E23CFF"/>
    <w:rsid w:val="00E263D4"/>
    <w:rsid w:val="00E2712D"/>
    <w:rsid w:val="00E40102"/>
    <w:rsid w:val="00E42B4D"/>
    <w:rsid w:val="00E438DF"/>
    <w:rsid w:val="00E471F8"/>
    <w:rsid w:val="00E5040E"/>
    <w:rsid w:val="00E55504"/>
    <w:rsid w:val="00E578A9"/>
    <w:rsid w:val="00E63EC2"/>
    <w:rsid w:val="00E644C5"/>
    <w:rsid w:val="00E65D1A"/>
    <w:rsid w:val="00E663CD"/>
    <w:rsid w:val="00E71A58"/>
    <w:rsid w:val="00E75DA1"/>
    <w:rsid w:val="00E81B7C"/>
    <w:rsid w:val="00E8383B"/>
    <w:rsid w:val="00E8493B"/>
    <w:rsid w:val="00E90C72"/>
    <w:rsid w:val="00E93764"/>
    <w:rsid w:val="00E97C6C"/>
    <w:rsid w:val="00EA0C68"/>
    <w:rsid w:val="00EA29F0"/>
    <w:rsid w:val="00EB3661"/>
    <w:rsid w:val="00EB7DA1"/>
    <w:rsid w:val="00EC6E8A"/>
    <w:rsid w:val="00ED286F"/>
    <w:rsid w:val="00EE1E7F"/>
    <w:rsid w:val="00EE39DC"/>
    <w:rsid w:val="00EE3E78"/>
    <w:rsid w:val="00EE5A6E"/>
    <w:rsid w:val="00EF1AEF"/>
    <w:rsid w:val="00EF1F5A"/>
    <w:rsid w:val="00EF3E4D"/>
    <w:rsid w:val="00EF4D97"/>
    <w:rsid w:val="00EF5416"/>
    <w:rsid w:val="00F014FF"/>
    <w:rsid w:val="00F02F8E"/>
    <w:rsid w:val="00F0328F"/>
    <w:rsid w:val="00F03967"/>
    <w:rsid w:val="00F04811"/>
    <w:rsid w:val="00F0488C"/>
    <w:rsid w:val="00F12246"/>
    <w:rsid w:val="00F127ED"/>
    <w:rsid w:val="00F15BEF"/>
    <w:rsid w:val="00F24FAA"/>
    <w:rsid w:val="00F3364D"/>
    <w:rsid w:val="00F41C6D"/>
    <w:rsid w:val="00F42351"/>
    <w:rsid w:val="00F45E8A"/>
    <w:rsid w:val="00F53404"/>
    <w:rsid w:val="00F5536C"/>
    <w:rsid w:val="00F6371C"/>
    <w:rsid w:val="00F63DDE"/>
    <w:rsid w:val="00F63FB7"/>
    <w:rsid w:val="00F6458A"/>
    <w:rsid w:val="00F67236"/>
    <w:rsid w:val="00F70B9D"/>
    <w:rsid w:val="00F71B42"/>
    <w:rsid w:val="00F725A0"/>
    <w:rsid w:val="00F73A0C"/>
    <w:rsid w:val="00F77FB0"/>
    <w:rsid w:val="00F85872"/>
    <w:rsid w:val="00F954C5"/>
    <w:rsid w:val="00F95636"/>
    <w:rsid w:val="00FA499A"/>
    <w:rsid w:val="00FB007E"/>
    <w:rsid w:val="00FB2302"/>
    <w:rsid w:val="00FC0B39"/>
    <w:rsid w:val="00FC0C8F"/>
    <w:rsid w:val="00FC0E5F"/>
    <w:rsid w:val="00FC12FB"/>
    <w:rsid w:val="00FC1CDE"/>
    <w:rsid w:val="00FC56DE"/>
    <w:rsid w:val="00FD0311"/>
    <w:rsid w:val="00FD0F42"/>
    <w:rsid w:val="00FD497D"/>
    <w:rsid w:val="00FD730E"/>
    <w:rsid w:val="00FD778F"/>
    <w:rsid w:val="00FE04DC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DE5222CD-3FE1-407A-9B81-7E212EF1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A1636E"/>
    <w:pPr>
      <w:keepNext/>
      <w:keepLines/>
      <w:spacing w:before="12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EE39DC"/>
    <w:pPr>
      <w:keepNext/>
      <w:keepLines/>
      <w:spacing w:before="240" w:after="12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keepNext/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keepNext/>
      <w:spacing w:before="120" w:after="120" w:line="240" w:lineRule="auto"/>
      <w:jc w:val="both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A1636E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rsid w:val="00EE39DC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  <w:jc w:val="both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rsid w:val="00110E3B"/>
    <w:pPr>
      <w:spacing w:before="120" w:after="120" w:line="240" w:lineRule="auto"/>
      <w:jc w:val="both"/>
    </w:pPr>
  </w:style>
  <w:style w:type="paragraph" w:styleId="Obsah2">
    <w:name w:val="toc 2"/>
    <w:basedOn w:val="Normln"/>
    <w:next w:val="Normln"/>
    <w:autoRedefine/>
    <w:uiPriority w:val="39"/>
    <w:rsid w:val="00110E3B"/>
    <w:pPr>
      <w:spacing w:before="120" w:after="120" w:line="240" w:lineRule="auto"/>
      <w:ind w:left="240"/>
      <w:jc w:val="both"/>
    </w:pPr>
  </w:style>
  <w:style w:type="paragraph" w:styleId="Obsah3">
    <w:name w:val="toc 3"/>
    <w:basedOn w:val="Normln"/>
    <w:next w:val="Normln"/>
    <w:autoRedefine/>
    <w:uiPriority w:val="39"/>
    <w:rsid w:val="00110E3B"/>
    <w:pPr>
      <w:spacing w:before="120" w:after="120" w:line="240" w:lineRule="auto"/>
      <w:ind w:left="480"/>
      <w:jc w:val="both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  <w:jc w:val="both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  <w:jc w:val="both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  <w:jc w:val="both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  <w:jc w:val="both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  <w:jc w:val="both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  <w:jc w:val="both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  <w:jc w:val="both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  <w:jc w:val="both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  <w:jc w:val="both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B4F3B"/>
  </w:style>
  <w:style w:type="table" w:styleId="Mkatabulky">
    <w:name w:val="Table Grid"/>
    <w:basedOn w:val="Normlntabulka"/>
    <w:uiPriority w:val="59"/>
    <w:rsid w:val="00D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lastn">
    <w:name w:val="Text vlastní"/>
    <w:basedOn w:val="Normln"/>
    <w:rsid w:val="00DB4F3B"/>
    <w:pPr>
      <w:spacing w:before="120" w:line="240" w:lineRule="auto"/>
      <w:jc w:val="both"/>
    </w:pPr>
    <w:rPr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4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F3B"/>
    <w:pPr>
      <w:keepNext/>
      <w:spacing w:line="240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F3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F3B"/>
    <w:rPr>
      <w:rFonts w:ascii="Arial" w:eastAsia="Times New Roman" w:hAnsi="Arial"/>
      <w:b/>
      <w:bCs/>
    </w:rPr>
  </w:style>
  <w:style w:type="table" w:styleId="Stednmka3zvraznn2">
    <w:name w:val="Medium Grid 3 Accent 2"/>
    <w:basedOn w:val="Normlntabulka"/>
    <w:uiPriority w:val="60"/>
    <w:rsid w:val="003519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DE372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372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Bezseznamu3">
    <w:name w:val="Bez seznamu3"/>
    <w:next w:val="Bezseznamu"/>
    <w:uiPriority w:val="99"/>
    <w:semiHidden/>
    <w:unhideWhenUsed/>
    <w:rsid w:val="00F41C6D"/>
  </w:style>
  <w:style w:type="table" w:customStyle="1" w:styleId="Mkatabulky1">
    <w:name w:val="Mřížka tabulky1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67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467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214E6F"/>
  </w:style>
  <w:style w:type="character" w:styleId="Zdraznn">
    <w:name w:val="Emphasis"/>
    <w:basedOn w:val="Standardnpsmoodstavce"/>
    <w:uiPriority w:val="20"/>
    <w:qFormat/>
    <w:rsid w:val="00214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3988-BF3A-4303-9B23-9CC115CF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401</TotalTime>
  <Pages>6</Pages>
  <Words>2006</Words>
  <Characters>11842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Mgr. Jitka Wichová</cp:lastModifiedBy>
  <cp:revision>29</cp:revision>
  <cp:lastPrinted>2018-06-06T04:58:00Z</cp:lastPrinted>
  <dcterms:created xsi:type="dcterms:W3CDTF">2019-02-11T15:12:00Z</dcterms:created>
  <dcterms:modified xsi:type="dcterms:W3CDTF">2019-02-12T12:47:00Z</dcterms:modified>
</cp:coreProperties>
</file>