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796" w:type="dxa"/>
        <w:tblLayout w:type="fixed"/>
        <w:tblCellMar>
          <w:left w:w="0" w:type="dxa"/>
          <w:right w:w="0" w:type="dxa"/>
        </w:tblCellMar>
        <w:tblLook w:val="0000"/>
      </w:tblPr>
      <w:tblGrid>
        <w:gridCol w:w="1291"/>
        <w:gridCol w:w="886"/>
        <w:gridCol w:w="886"/>
        <w:gridCol w:w="886"/>
        <w:gridCol w:w="886"/>
        <w:gridCol w:w="1559"/>
        <w:gridCol w:w="850"/>
        <w:gridCol w:w="851"/>
        <w:gridCol w:w="850"/>
        <w:gridCol w:w="851"/>
      </w:tblGrid>
      <w:tr w:rsidR="003211ED" w:rsidTr="00FE44D5">
        <w:trPr>
          <w:trHeight w:val="510"/>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11ED" w:rsidRDefault="003211ED" w:rsidP="003211ED">
            <w:pPr>
              <w:rPr>
                <w:rFonts w:ascii="Arial" w:hAnsi="Arial"/>
                <w:sz w:val="18"/>
              </w:rPr>
            </w:pP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211ED" w:rsidRDefault="003211ED" w:rsidP="003211ED">
            <w:pPr>
              <w:ind w:right="-15"/>
              <w:jc w:val="center"/>
              <w:rPr>
                <w:rFonts w:ascii="Arial" w:hAnsi="Arial"/>
                <w:b/>
                <w:bCs/>
                <w:sz w:val="18"/>
              </w:rPr>
            </w:pPr>
            <w:r>
              <w:rPr>
                <w:rFonts w:ascii="Arial" w:hAnsi="Arial"/>
                <w:b/>
                <w:bCs/>
                <w:sz w:val="18"/>
              </w:rPr>
              <w:t>květen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211ED" w:rsidRDefault="003211ED" w:rsidP="003211ED">
            <w:pPr>
              <w:ind w:right="-15"/>
              <w:jc w:val="center"/>
              <w:rPr>
                <w:rFonts w:ascii="Arial" w:hAnsi="Arial"/>
                <w:b/>
                <w:bCs/>
                <w:sz w:val="18"/>
              </w:rPr>
            </w:pPr>
            <w:r>
              <w:rPr>
                <w:rFonts w:ascii="Arial" w:hAnsi="Arial"/>
                <w:b/>
                <w:bCs/>
                <w:sz w:val="18"/>
              </w:rPr>
              <w:t>červen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211ED" w:rsidRDefault="003211ED" w:rsidP="003211ED">
            <w:pPr>
              <w:ind w:right="-15"/>
              <w:jc w:val="center"/>
              <w:rPr>
                <w:rFonts w:ascii="Arial" w:hAnsi="Arial"/>
                <w:b/>
                <w:bCs/>
                <w:sz w:val="18"/>
              </w:rPr>
            </w:pPr>
            <w:r>
              <w:rPr>
                <w:rFonts w:ascii="Arial" w:hAnsi="Arial"/>
                <w:b/>
                <w:bCs/>
                <w:sz w:val="18"/>
              </w:rPr>
              <w:t>červenec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211ED" w:rsidRDefault="003211ED" w:rsidP="003211ED">
            <w:pPr>
              <w:ind w:right="-15"/>
              <w:jc w:val="center"/>
              <w:rPr>
                <w:rFonts w:ascii="Arial" w:hAnsi="Arial"/>
                <w:b/>
                <w:bCs/>
                <w:sz w:val="18"/>
              </w:rPr>
            </w:pPr>
            <w:r>
              <w:rPr>
                <w:rFonts w:ascii="Arial" w:hAnsi="Arial"/>
                <w:b/>
                <w:bCs/>
                <w:sz w:val="18"/>
              </w:rPr>
              <w:t>srpen 2016</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211ED" w:rsidRDefault="003211ED" w:rsidP="003211ED">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211ED" w:rsidRDefault="003211ED" w:rsidP="003211ED">
            <w:pPr>
              <w:ind w:right="-15"/>
              <w:jc w:val="center"/>
              <w:rPr>
                <w:rFonts w:ascii="Arial" w:hAnsi="Arial"/>
                <w:b/>
                <w:bCs/>
                <w:sz w:val="18"/>
              </w:rPr>
            </w:pPr>
            <w:r>
              <w:rPr>
                <w:rFonts w:ascii="Arial" w:hAnsi="Arial"/>
                <w:b/>
                <w:bCs/>
                <w:sz w:val="18"/>
              </w:rPr>
              <w:t>květen 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211ED" w:rsidRDefault="003211ED" w:rsidP="003211ED">
            <w:pPr>
              <w:ind w:right="-15"/>
              <w:jc w:val="center"/>
              <w:rPr>
                <w:rFonts w:ascii="Arial" w:hAnsi="Arial"/>
                <w:b/>
                <w:bCs/>
                <w:sz w:val="18"/>
              </w:rPr>
            </w:pPr>
            <w:r>
              <w:rPr>
                <w:rFonts w:ascii="Arial" w:hAnsi="Arial"/>
                <w:b/>
                <w:bCs/>
                <w:sz w:val="18"/>
              </w:rPr>
              <w:t>červen 2016</w:t>
            </w:r>
          </w:p>
        </w:tc>
        <w:tc>
          <w:tcPr>
            <w:tcW w:w="850" w:type="dxa"/>
            <w:tcBorders>
              <w:top w:val="single" w:sz="4" w:space="0" w:color="auto"/>
              <w:left w:val="nil"/>
              <w:bottom w:val="single" w:sz="6" w:space="0" w:color="auto"/>
              <w:right w:val="single" w:sz="6" w:space="0" w:color="auto"/>
            </w:tcBorders>
            <w:vAlign w:val="bottom"/>
          </w:tcPr>
          <w:p w:rsidR="003211ED" w:rsidRDefault="003211ED" w:rsidP="003211ED">
            <w:pPr>
              <w:ind w:right="-15"/>
              <w:jc w:val="center"/>
              <w:rPr>
                <w:rFonts w:ascii="Arial" w:hAnsi="Arial"/>
                <w:b/>
                <w:bCs/>
                <w:sz w:val="18"/>
              </w:rPr>
            </w:pPr>
            <w:r>
              <w:rPr>
                <w:rFonts w:ascii="Arial" w:hAnsi="Arial"/>
                <w:b/>
                <w:bCs/>
                <w:sz w:val="18"/>
              </w:rPr>
              <w:t>červenec 2016</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3211ED" w:rsidRDefault="003211ED" w:rsidP="003211ED">
            <w:pPr>
              <w:ind w:right="-15"/>
              <w:jc w:val="center"/>
              <w:rPr>
                <w:rFonts w:ascii="Arial" w:hAnsi="Arial"/>
                <w:b/>
                <w:bCs/>
                <w:sz w:val="18"/>
              </w:rPr>
            </w:pPr>
            <w:r>
              <w:rPr>
                <w:rFonts w:ascii="Arial" w:hAnsi="Arial"/>
                <w:b/>
                <w:bCs/>
                <w:sz w:val="18"/>
              </w:rPr>
              <w:t>srpen 2016</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EU 28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100,1 (r)</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211ED" w:rsidRDefault="003211ED" w:rsidP="003211ED">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211ED" w:rsidRDefault="003211ED" w:rsidP="003211ED">
            <w:pPr>
              <w:jc w:val="center"/>
              <w:rPr>
                <w:rFonts w:ascii="Arial" w:hAnsi="Arial"/>
                <w:sz w:val="18"/>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3211ED" w:rsidRDefault="003211ED" w:rsidP="003211ED">
            <w:pPr>
              <w:jc w:val="center"/>
              <w:rPr>
                <w:rFonts w:ascii="Arial" w:hAnsi="Arial"/>
                <w:sz w:val="18"/>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pStyle w:val="Nadpis5"/>
            </w:pPr>
            <w:r>
              <w:t>Belgie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101,6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101,8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102,0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102,0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99,9</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100,6</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Německo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w:t>
            </w:r>
            <w:r w:rsidR="009E5196">
              <w:rPr>
                <w:rFonts w:ascii="Arial" w:hAnsi="Arial"/>
                <w:sz w:val="18"/>
              </w:rPr>
              <w:t>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100,1</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100,0</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Řecko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100,4</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100,8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101,1</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Španělsko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98,0</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99,6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99,4</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Francie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99,4</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99,9</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Irsko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Pr="0014221E" w:rsidRDefault="003211ED" w:rsidP="003211ED">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Pr="0014221E" w:rsidRDefault="003211ED" w:rsidP="003211ED">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Pr="0014221E" w:rsidRDefault="003211ED" w:rsidP="003211ED">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Pr="0014221E" w:rsidRDefault="005C6E52" w:rsidP="003211ED">
            <w:pPr>
              <w:jc w:val="center"/>
              <w:rPr>
                <w:rFonts w:ascii="Arial" w:hAnsi="Arial"/>
                <w:sz w:val="18"/>
              </w:rPr>
            </w:pPr>
            <w:r>
              <w:rPr>
                <w:rFonts w:ascii="Arial" w:hAnsi="Arial"/>
                <w:sz w:val="18"/>
              </w:rPr>
              <w:t>99,6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100,4</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100,0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100,5</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Itálie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99,9</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99,9</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99,7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99,9</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Lucembursko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101,0</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101,0</w:t>
            </w:r>
          </w:p>
        </w:tc>
      </w:tr>
      <w:tr w:rsidR="003211ED" w:rsidTr="00FE44D5">
        <w:trPr>
          <w:trHeight w:val="36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Nizozemsko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Pr="009E5196" w:rsidRDefault="003211ED" w:rsidP="003211ED">
            <w:pPr>
              <w:jc w:val="center"/>
              <w:rPr>
                <w:rFonts w:ascii="Arial" w:hAnsi="Arial"/>
                <w:sz w:val="18"/>
              </w:rPr>
            </w:pPr>
            <w:r w:rsidRPr="009E5196">
              <w:rPr>
                <w:rFonts w:ascii="Arial" w:hAnsi="Arial"/>
                <w:sz w:val="18"/>
              </w:rPr>
              <w:t>99,4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99,6</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99,4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99,5</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Rakousko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Pr="009E5196" w:rsidRDefault="003211ED" w:rsidP="003211ED">
            <w:pPr>
              <w:jc w:val="center"/>
              <w:rPr>
                <w:rFonts w:ascii="Arial" w:hAnsi="Arial"/>
                <w:sz w:val="18"/>
              </w:rPr>
            </w:pPr>
            <w:r w:rsidRPr="009E5196">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100,1</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99,8</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Portugalsko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99,3</w:t>
            </w:r>
          </w:p>
        </w:tc>
        <w:tc>
          <w:tcPr>
            <w:tcW w:w="850" w:type="dxa"/>
            <w:tcBorders>
              <w:top w:val="single" w:sz="6" w:space="0" w:color="auto"/>
              <w:left w:val="nil"/>
              <w:bottom w:val="single" w:sz="6"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99,1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99,2</w:t>
            </w:r>
          </w:p>
        </w:tc>
      </w:tr>
      <w:tr w:rsidR="003211ED"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Finsko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101,2</w:t>
            </w:r>
          </w:p>
        </w:tc>
        <w:tc>
          <w:tcPr>
            <w:tcW w:w="850" w:type="dxa"/>
            <w:tcBorders>
              <w:top w:val="single" w:sz="6" w:space="0" w:color="auto"/>
              <w:left w:val="nil"/>
              <w:bottom w:val="single" w:sz="4"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101,1</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101,2</w:t>
            </w:r>
          </w:p>
        </w:tc>
      </w:tr>
      <w:tr w:rsidR="003211ED" w:rsidTr="00FE44D5">
        <w:trPr>
          <w:trHeight w:val="340"/>
        </w:trPr>
        <w:tc>
          <w:tcPr>
            <w:tcW w:w="129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Bulharsko</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97,5</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98,1</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98,9</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98,9</w:t>
            </w:r>
          </w:p>
        </w:tc>
        <w:tc>
          <w:tcPr>
            <w:tcW w:w="155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211ED" w:rsidRPr="00C11DD6" w:rsidRDefault="003211ED" w:rsidP="003211ED">
            <w:pPr>
              <w:jc w:val="center"/>
              <w:rPr>
                <w:rFonts w:ascii="Arial" w:hAnsi="Arial"/>
                <w:sz w:val="18"/>
              </w:rPr>
            </w:pPr>
            <w:r>
              <w:rPr>
                <w:rFonts w:ascii="Arial" w:hAnsi="Arial"/>
                <w:sz w:val="18"/>
              </w:rPr>
              <w:t>100,3</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211ED" w:rsidRPr="00C11DD6" w:rsidRDefault="003211ED" w:rsidP="003211ED">
            <w:pPr>
              <w:jc w:val="center"/>
              <w:rPr>
                <w:rFonts w:ascii="Arial" w:hAnsi="Arial"/>
                <w:sz w:val="18"/>
              </w:rPr>
            </w:pPr>
            <w:r>
              <w:rPr>
                <w:rFonts w:ascii="Arial" w:hAnsi="Arial"/>
                <w:sz w:val="18"/>
              </w:rPr>
              <w:t>100,5 (r)</w:t>
            </w:r>
          </w:p>
        </w:tc>
        <w:tc>
          <w:tcPr>
            <w:tcW w:w="850" w:type="dxa"/>
            <w:tcBorders>
              <w:top w:val="single" w:sz="4" w:space="0" w:color="auto"/>
              <w:left w:val="single" w:sz="6" w:space="0" w:color="auto"/>
              <w:bottom w:val="single" w:sz="6" w:space="0" w:color="auto"/>
              <w:right w:val="single" w:sz="6" w:space="0" w:color="auto"/>
            </w:tcBorders>
            <w:vAlign w:val="bottom"/>
          </w:tcPr>
          <w:p w:rsidR="003211ED" w:rsidRPr="00C11DD6" w:rsidRDefault="003211ED" w:rsidP="003211ED">
            <w:pPr>
              <w:jc w:val="center"/>
              <w:rPr>
                <w:rFonts w:ascii="Arial" w:hAnsi="Arial"/>
                <w:sz w:val="18"/>
              </w:rPr>
            </w:pPr>
            <w:r>
              <w:rPr>
                <w:rFonts w:ascii="Arial" w:hAnsi="Arial"/>
                <w:sz w:val="18"/>
              </w:rPr>
              <w:t>100,6</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211ED" w:rsidRPr="00C11DD6" w:rsidRDefault="005C6E52" w:rsidP="003211ED">
            <w:pPr>
              <w:jc w:val="center"/>
              <w:rPr>
                <w:rFonts w:ascii="Arial" w:hAnsi="Arial"/>
                <w:sz w:val="18"/>
              </w:rPr>
            </w:pPr>
            <w:r>
              <w:rPr>
                <w:rFonts w:ascii="Arial" w:hAnsi="Arial"/>
                <w:sz w:val="18"/>
              </w:rPr>
              <w:t>100,6</w:t>
            </w:r>
          </w:p>
        </w:tc>
      </w:tr>
      <w:tr w:rsidR="003211ED" w:rsidTr="00FE44D5">
        <w:trPr>
          <w:trHeight w:val="340"/>
        </w:trPr>
        <w:tc>
          <w:tcPr>
            <w:tcW w:w="129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Chorvatsko</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98,8</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98,8</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98,9</w:t>
            </w:r>
          </w:p>
        </w:tc>
        <w:tc>
          <w:tcPr>
            <w:tcW w:w="886"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98,5</w:t>
            </w:r>
          </w:p>
        </w:tc>
        <w:tc>
          <w:tcPr>
            <w:tcW w:w="155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211ED" w:rsidRDefault="003211ED" w:rsidP="003211ED">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97,0</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211ED" w:rsidRDefault="003211ED" w:rsidP="003211ED">
            <w:pPr>
              <w:jc w:val="center"/>
              <w:rPr>
                <w:rFonts w:ascii="Arial" w:hAnsi="Arial"/>
                <w:sz w:val="18"/>
              </w:rPr>
            </w:pPr>
            <w:r>
              <w:rPr>
                <w:rFonts w:ascii="Arial" w:hAnsi="Arial"/>
                <w:sz w:val="18"/>
              </w:rPr>
              <w:t>99,3</w:t>
            </w:r>
          </w:p>
        </w:tc>
        <w:tc>
          <w:tcPr>
            <w:tcW w:w="850" w:type="dxa"/>
            <w:tcBorders>
              <w:top w:val="single" w:sz="6" w:space="0" w:color="auto"/>
              <w:left w:val="single" w:sz="6" w:space="0" w:color="auto"/>
              <w:bottom w:val="single" w:sz="4" w:space="0" w:color="auto"/>
              <w:right w:val="single" w:sz="6" w:space="0" w:color="auto"/>
            </w:tcBorders>
            <w:vAlign w:val="bottom"/>
          </w:tcPr>
          <w:p w:rsidR="003211ED" w:rsidRDefault="003211ED" w:rsidP="003211ED">
            <w:pPr>
              <w:jc w:val="center"/>
              <w:rPr>
                <w:rFonts w:ascii="Arial" w:hAnsi="Arial"/>
                <w:sz w:val="18"/>
              </w:rPr>
            </w:pPr>
            <w:r>
              <w:rPr>
                <w:rFonts w:ascii="Arial" w:hAnsi="Arial"/>
                <w:sz w:val="18"/>
              </w:rPr>
              <w:t>99,7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211ED" w:rsidRDefault="005C6E52" w:rsidP="003211ED">
            <w:pPr>
              <w:jc w:val="center"/>
              <w:rPr>
                <w:rFonts w:ascii="Arial" w:hAnsi="Arial"/>
                <w:sz w:val="18"/>
              </w:rPr>
            </w:pPr>
            <w:r>
              <w:rPr>
                <w:rFonts w:ascii="Arial" w:hAnsi="Arial"/>
                <w:sz w:val="18"/>
              </w:rPr>
              <w:t>100,3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89" w:rsidRDefault="002D3189">
      <w:r>
        <w:separator/>
      </w:r>
    </w:p>
  </w:endnote>
  <w:endnote w:type="continuationSeparator" w:id="0">
    <w:p w:rsidR="002D3189" w:rsidRDefault="002D3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5E7880">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89" w:rsidRDefault="002D3189">
      <w:r>
        <w:separator/>
      </w:r>
    </w:p>
  </w:footnote>
  <w:footnote w:type="continuationSeparator" w:id="0">
    <w:p w:rsidR="002D3189" w:rsidRDefault="002D3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1BD"/>
    <w:rsid w:val="00000E86"/>
    <w:rsid w:val="000013BC"/>
    <w:rsid w:val="00003141"/>
    <w:rsid w:val="00006F42"/>
    <w:rsid w:val="00013D9D"/>
    <w:rsid w:val="00013EBB"/>
    <w:rsid w:val="000149AC"/>
    <w:rsid w:val="00015F4A"/>
    <w:rsid w:val="00020CBB"/>
    <w:rsid w:val="00021DC7"/>
    <w:rsid w:val="00023A2A"/>
    <w:rsid w:val="00024355"/>
    <w:rsid w:val="00040D76"/>
    <w:rsid w:val="000410BB"/>
    <w:rsid w:val="000435E3"/>
    <w:rsid w:val="00050C3D"/>
    <w:rsid w:val="00054D78"/>
    <w:rsid w:val="00055826"/>
    <w:rsid w:val="00063C5D"/>
    <w:rsid w:val="00063CB9"/>
    <w:rsid w:val="000641BB"/>
    <w:rsid w:val="00065155"/>
    <w:rsid w:val="0006533C"/>
    <w:rsid w:val="00075D11"/>
    <w:rsid w:val="00081C38"/>
    <w:rsid w:val="00091B3E"/>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0F510B"/>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089F"/>
    <w:rsid w:val="001C25B1"/>
    <w:rsid w:val="001C2B64"/>
    <w:rsid w:val="001C3EC5"/>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80585"/>
    <w:rsid w:val="00281C43"/>
    <w:rsid w:val="00283BBE"/>
    <w:rsid w:val="002866DD"/>
    <w:rsid w:val="002956E4"/>
    <w:rsid w:val="00296D2D"/>
    <w:rsid w:val="00297EC4"/>
    <w:rsid w:val="002A0206"/>
    <w:rsid w:val="002A03DB"/>
    <w:rsid w:val="002B3902"/>
    <w:rsid w:val="002B3C4A"/>
    <w:rsid w:val="002B4564"/>
    <w:rsid w:val="002B4775"/>
    <w:rsid w:val="002B5607"/>
    <w:rsid w:val="002C32FE"/>
    <w:rsid w:val="002C6898"/>
    <w:rsid w:val="002D3189"/>
    <w:rsid w:val="002D67DE"/>
    <w:rsid w:val="002E1837"/>
    <w:rsid w:val="002E3135"/>
    <w:rsid w:val="002E618E"/>
    <w:rsid w:val="002F4C6C"/>
    <w:rsid w:val="002F61EA"/>
    <w:rsid w:val="00300228"/>
    <w:rsid w:val="00301A73"/>
    <w:rsid w:val="00301EEF"/>
    <w:rsid w:val="00307C72"/>
    <w:rsid w:val="00310171"/>
    <w:rsid w:val="00316723"/>
    <w:rsid w:val="003211ED"/>
    <w:rsid w:val="00323829"/>
    <w:rsid w:val="00324E60"/>
    <w:rsid w:val="00334C84"/>
    <w:rsid w:val="00335F92"/>
    <w:rsid w:val="00347739"/>
    <w:rsid w:val="003502D6"/>
    <w:rsid w:val="003509AF"/>
    <w:rsid w:val="0035181A"/>
    <w:rsid w:val="0035421A"/>
    <w:rsid w:val="00354FF1"/>
    <w:rsid w:val="00355D17"/>
    <w:rsid w:val="00356169"/>
    <w:rsid w:val="0035779D"/>
    <w:rsid w:val="00370D6D"/>
    <w:rsid w:val="003730D1"/>
    <w:rsid w:val="00376EEB"/>
    <w:rsid w:val="0038036F"/>
    <w:rsid w:val="003831C5"/>
    <w:rsid w:val="00386865"/>
    <w:rsid w:val="00395BEF"/>
    <w:rsid w:val="00396274"/>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CC9"/>
    <w:rsid w:val="00410D0B"/>
    <w:rsid w:val="0041241D"/>
    <w:rsid w:val="00413600"/>
    <w:rsid w:val="004166D7"/>
    <w:rsid w:val="0042031C"/>
    <w:rsid w:val="0042100C"/>
    <w:rsid w:val="004277C6"/>
    <w:rsid w:val="00431214"/>
    <w:rsid w:val="0044001B"/>
    <w:rsid w:val="0044360F"/>
    <w:rsid w:val="00447ED9"/>
    <w:rsid w:val="00452CB7"/>
    <w:rsid w:val="00452DFD"/>
    <w:rsid w:val="0045793A"/>
    <w:rsid w:val="00462C56"/>
    <w:rsid w:val="00473B55"/>
    <w:rsid w:val="0048074F"/>
    <w:rsid w:val="00480AE6"/>
    <w:rsid w:val="004814B4"/>
    <w:rsid w:val="00482A39"/>
    <w:rsid w:val="00484908"/>
    <w:rsid w:val="00494070"/>
    <w:rsid w:val="0049587E"/>
    <w:rsid w:val="004A47B9"/>
    <w:rsid w:val="004B01C6"/>
    <w:rsid w:val="004B19A2"/>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1CC"/>
    <w:rsid w:val="00553B0C"/>
    <w:rsid w:val="00556B34"/>
    <w:rsid w:val="00556C88"/>
    <w:rsid w:val="00573CCA"/>
    <w:rsid w:val="00577AFB"/>
    <w:rsid w:val="00583BDE"/>
    <w:rsid w:val="00584965"/>
    <w:rsid w:val="00585D25"/>
    <w:rsid w:val="00592718"/>
    <w:rsid w:val="005930CF"/>
    <w:rsid w:val="00593B2B"/>
    <w:rsid w:val="00594DF9"/>
    <w:rsid w:val="005956EA"/>
    <w:rsid w:val="00597FE1"/>
    <w:rsid w:val="005A1159"/>
    <w:rsid w:val="005A28B2"/>
    <w:rsid w:val="005A41B8"/>
    <w:rsid w:val="005A4F35"/>
    <w:rsid w:val="005A6FE9"/>
    <w:rsid w:val="005C05A4"/>
    <w:rsid w:val="005C4978"/>
    <w:rsid w:val="005C6E52"/>
    <w:rsid w:val="005D2218"/>
    <w:rsid w:val="005D6831"/>
    <w:rsid w:val="005D6A9A"/>
    <w:rsid w:val="005D6C97"/>
    <w:rsid w:val="005E173C"/>
    <w:rsid w:val="005E23FA"/>
    <w:rsid w:val="005E7880"/>
    <w:rsid w:val="005E7E5F"/>
    <w:rsid w:val="005F09A8"/>
    <w:rsid w:val="005F1D56"/>
    <w:rsid w:val="005F204E"/>
    <w:rsid w:val="005F28BC"/>
    <w:rsid w:val="006003F9"/>
    <w:rsid w:val="00601C22"/>
    <w:rsid w:val="006065BE"/>
    <w:rsid w:val="00611A71"/>
    <w:rsid w:val="00615C89"/>
    <w:rsid w:val="00615D78"/>
    <w:rsid w:val="006208D2"/>
    <w:rsid w:val="00620C62"/>
    <w:rsid w:val="00622956"/>
    <w:rsid w:val="00625352"/>
    <w:rsid w:val="006316D3"/>
    <w:rsid w:val="006345B4"/>
    <w:rsid w:val="00641D3F"/>
    <w:rsid w:val="00644BB4"/>
    <w:rsid w:val="00645CD9"/>
    <w:rsid w:val="00650ECA"/>
    <w:rsid w:val="006562CE"/>
    <w:rsid w:val="00660B71"/>
    <w:rsid w:val="0066344C"/>
    <w:rsid w:val="00663E35"/>
    <w:rsid w:val="0067100C"/>
    <w:rsid w:val="00671101"/>
    <w:rsid w:val="00671C2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16C88"/>
    <w:rsid w:val="00720B8E"/>
    <w:rsid w:val="00730D3E"/>
    <w:rsid w:val="00732F05"/>
    <w:rsid w:val="00737563"/>
    <w:rsid w:val="00745A91"/>
    <w:rsid w:val="00755EA3"/>
    <w:rsid w:val="00760211"/>
    <w:rsid w:val="00761E3E"/>
    <w:rsid w:val="00763992"/>
    <w:rsid w:val="00774C59"/>
    <w:rsid w:val="0077555C"/>
    <w:rsid w:val="007828AE"/>
    <w:rsid w:val="00787623"/>
    <w:rsid w:val="007A06EF"/>
    <w:rsid w:val="007A0A39"/>
    <w:rsid w:val="007A1FE6"/>
    <w:rsid w:val="007B0EBB"/>
    <w:rsid w:val="007B1B33"/>
    <w:rsid w:val="007B34C8"/>
    <w:rsid w:val="007C0045"/>
    <w:rsid w:val="007C214B"/>
    <w:rsid w:val="007C26DC"/>
    <w:rsid w:val="007C45F9"/>
    <w:rsid w:val="007D00C3"/>
    <w:rsid w:val="007D0BA6"/>
    <w:rsid w:val="007D23F9"/>
    <w:rsid w:val="007D3218"/>
    <w:rsid w:val="007D663E"/>
    <w:rsid w:val="007D7FF3"/>
    <w:rsid w:val="007E1C8D"/>
    <w:rsid w:val="007E26BA"/>
    <w:rsid w:val="007F0DC2"/>
    <w:rsid w:val="00804D89"/>
    <w:rsid w:val="0080686F"/>
    <w:rsid w:val="00811B36"/>
    <w:rsid w:val="00812AEB"/>
    <w:rsid w:val="0081461E"/>
    <w:rsid w:val="00815ECA"/>
    <w:rsid w:val="00816584"/>
    <w:rsid w:val="008203A7"/>
    <w:rsid w:val="00820C7B"/>
    <w:rsid w:val="00821CA4"/>
    <w:rsid w:val="00826F7F"/>
    <w:rsid w:val="008326EA"/>
    <w:rsid w:val="00833606"/>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2869"/>
    <w:rsid w:val="008A3101"/>
    <w:rsid w:val="008A748B"/>
    <w:rsid w:val="008A7B18"/>
    <w:rsid w:val="008B2B3B"/>
    <w:rsid w:val="008B5D19"/>
    <w:rsid w:val="008C0A95"/>
    <w:rsid w:val="008C0D89"/>
    <w:rsid w:val="008D1148"/>
    <w:rsid w:val="008D13C5"/>
    <w:rsid w:val="008D2E4B"/>
    <w:rsid w:val="008D4404"/>
    <w:rsid w:val="008E1C21"/>
    <w:rsid w:val="008F13C0"/>
    <w:rsid w:val="008F294D"/>
    <w:rsid w:val="008F6756"/>
    <w:rsid w:val="0090043D"/>
    <w:rsid w:val="009005E1"/>
    <w:rsid w:val="009045FB"/>
    <w:rsid w:val="00906835"/>
    <w:rsid w:val="00906E5E"/>
    <w:rsid w:val="0091209C"/>
    <w:rsid w:val="00917B80"/>
    <w:rsid w:val="00920104"/>
    <w:rsid w:val="009203C0"/>
    <w:rsid w:val="00921660"/>
    <w:rsid w:val="0092322F"/>
    <w:rsid w:val="00940DC9"/>
    <w:rsid w:val="009466B4"/>
    <w:rsid w:val="00946951"/>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069"/>
    <w:rsid w:val="009C365B"/>
    <w:rsid w:val="009D07E1"/>
    <w:rsid w:val="009D2206"/>
    <w:rsid w:val="009D35EE"/>
    <w:rsid w:val="009E05E4"/>
    <w:rsid w:val="009E5196"/>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0B6A"/>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876"/>
    <w:rsid w:val="00A97EE0"/>
    <w:rsid w:val="00AA268A"/>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142D"/>
    <w:rsid w:val="00B23213"/>
    <w:rsid w:val="00B32269"/>
    <w:rsid w:val="00B3421E"/>
    <w:rsid w:val="00B346C6"/>
    <w:rsid w:val="00B353B2"/>
    <w:rsid w:val="00B36EE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A57FF"/>
    <w:rsid w:val="00BB6EB7"/>
    <w:rsid w:val="00BC1928"/>
    <w:rsid w:val="00BC6A67"/>
    <w:rsid w:val="00BD10A2"/>
    <w:rsid w:val="00BD2857"/>
    <w:rsid w:val="00BD4BD0"/>
    <w:rsid w:val="00BD50F9"/>
    <w:rsid w:val="00BE0499"/>
    <w:rsid w:val="00BE43F1"/>
    <w:rsid w:val="00BE7F1B"/>
    <w:rsid w:val="00BF5015"/>
    <w:rsid w:val="00C01E30"/>
    <w:rsid w:val="00C11DD6"/>
    <w:rsid w:val="00C2090A"/>
    <w:rsid w:val="00C33A85"/>
    <w:rsid w:val="00C34AAB"/>
    <w:rsid w:val="00C41DAD"/>
    <w:rsid w:val="00C4253B"/>
    <w:rsid w:val="00C444CF"/>
    <w:rsid w:val="00C461C2"/>
    <w:rsid w:val="00C50751"/>
    <w:rsid w:val="00C51159"/>
    <w:rsid w:val="00C51395"/>
    <w:rsid w:val="00C520CC"/>
    <w:rsid w:val="00C56243"/>
    <w:rsid w:val="00C57D8A"/>
    <w:rsid w:val="00C67A1B"/>
    <w:rsid w:val="00C71583"/>
    <w:rsid w:val="00C71860"/>
    <w:rsid w:val="00C740B0"/>
    <w:rsid w:val="00C76909"/>
    <w:rsid w:val="00C76B93"/>
    <w:rsid w:val="00C77EBC"/>
    <w:rsid w:val="00C840B1"/>
    <w:rsid w:val="00C85ABC"/>
    <w:rsid w:val="00C872BF"/>
    <w:rsid w:val="00C939B1"/>
    <w:rsid w:val="00C95C90"/>
    <w:rsid w:val="00C970BB"/>
    <w:rsid w:val="00CA5E26"/>
    <w:rsid w:val="00CA6ECA"/>
    <w:rsid w:val="00CB3E1A"/>
    <w:rsid w:val="00CB5BE2"/>
    <w:rsid w:val="00CB7F0E"/>
    <w:rsid w:val="00CC383F"/>
    <w:rsid w:val="00CC63E1"/>
    <w:rsid w:val="00CC6785"/>
    <w:rsid w:val="00CC79F7"/>
    <w:rsid w:val="00CC7CAF"/>
    <w:rsid w:val="00CD0B1C"/>
    <w:rsid w:val="00CD1ED9"/>
    <w:rsid w:val="00CD58F2"/>
    <w:rsid w:val="00CD729F"/>
    <w:rsid w:val="00CF2588"/>
    <w:rsid w:val="00CF3197"/>
    <w:rsid w:val="00CF4775"/>
    <w:rsid w:val="00CF54DB"/>
    <w:rsid w:val="00CF7B20"/>
    <w:rsid w:val="00D03565"/>
    <w:rsid w:val="00D05F47"/>
    <w:rsid w:val="00D07F9F"/>
    <w:rsid w:val="00D10BA5"/>
    <w:rsid w:val="00D15927"/>
    <w:rsid w:val="00D1686B"/>
    <w:rsid w:val="00D17DDF"/>
    <w:rsid w:val="00D272F6"/>
    <w:rsid w:val="00D27BC5"/>
    <w:rsid w:val="00D33840"/>
    <w:rsid w:val="00D359F1"/>
    <w:rsid w:val="00D368AC"/>
    <w:rsid w:val="00D371AF"/>
    <w:rsid w:val="00D41DA0"/>
    <w:rsid w:val="00D431AE"/>
    <w:rsid w:val="00D50744"/>
    <w:rsid w:val="00D5124C"/>
    <w:rsid w:val="00D55CEA"/>
    <w:rsid w:val="00D577D8"/>
    <w:rsid w:val="00D579DB"/>
    <w:rsid w:val="00D65AA0"/>
    <w:rsid w:val="00D670F2"/>
    <w:rsid w:val="00D67365"/>
    <w:rsid w:val="00D7233E"/>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009B4"/>
    <w:rsid w:val="00E05576"/>
    <w:rsid w:val="00E11127"/>
    <w:rsid w:val="00E1450E"/>
    <w:rsid w:val="00E14966"/>
    <w:rsid w:val="00E177E3"/>
    <w:rsid w:val="00E214CE"/>
    <w:rsid w:val="00E214E7"/>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6D7"/>
    <w:rsid w:val="00EB27FB"/>
    <w:rsid w:val="00EB2C4A"/>
    <w:rsid w:val="00EC1932"/>
    <w:rsid w:val="00ED01EF"/>
    <w:rsid w:val="00ED1FBF"/>
    <w:rsid w:val="00ED78AC"/>
    <w:rsid w:val="00EE308E"/>
    <w:rsid w:val="00EE51A7"/>
    <w:rsid w:val="00EE78C4"/>
    <w:rsid w:val="00EF1EFA"/>
    <w:rsid w:val="00EF2DB7"/>
    <w:rsid w:val="00EF32AE"/>
    <w:rsid w:val="00EF3FD0"/>
    <w:rsid w:val="00EF495B"/>
    <w:rsid w:val="00EF60B7"/>
    <w:rsid w:val="00F02F83"/>
    <w:rsid w:val="00F06DC3"/>
    <w:rsid w:val="00F129CE"/>
    <w:rsid w:val="00F14A99"/>
    <w:rsid w:val="00F26012"/>
    <w:rsid w:val="00F263A0"/>
    <w:rsid w:val="00F30FCE"/>
    <w:rsid w:val="00F32A26"/>
    <w:rsid w:val="00F35AFC"/>
    <w:rsid w:val="00F368DE"/>
    <w:rsid w:val="00F371B5"/>
    <w:rsid w:val="00F423CE"/>
    <w:rsid w:val="00F45C94"/>
    <w:rsid w:val="00F47ABB"/>
    <w:rsid w:val="00F50FBA"/>
    <w:rsid w:val="00F6154D"/>
    <w:rsid w:val="00F649E1"/>
    <w:rsid w:val="00F74C19"/>
    <w:rsid w:val="00F8143A"/>
    <w:rsid w:val="00F9357A"/>
    <w:rsid w:val="00F97354"/>
    <w:rsid w:val="00FA221A"/>
    <w:rsid w:val="00FA4C3A"/>
    <w:rsid w:val="00FB4E75"/>
    <w:rsid w:val="00FB5B93"/>
    <w:rsid w:val="00FC5D51"/>
    <w:rsid w:val="00FD2360"/>
    <w:rsid w:val="00FD4636"/>
    <w:rsid w:val="00FE44D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390</Words>
  <Characters>2305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2690</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Jana Henkrichová</dc:creator>
  <cp:lastModifiedBy>Jana Henkrichová</cp:lastModifiedBy>
  <cp:revision>10</cp:revision>
  <cp:lastPrinted>2016-10-04T13:02:00Z</cp:lastPrinted>
  <dcterms:created xsi:type="dcterms:W3CDTF">2016-07-19T13:51:00Z</dcterms:created>
  <dcterms:modified xsi:type="dcterms:W3CDTF">2016-10-04T13:02:00Z</dcterms:modified>
</cp:coreProperties>
</file>