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Output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output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 xml:space="preserve">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w:t>
      </w:r>
      <w:proofErr w:type="gramStart"/>
      <w:r>
        <w:rPr>
          <w:rFonts w:ascii="Arial" w:hAnsi="Arial"/>
          <w:i/>
          <w:iCs/>
          <w:lang w:val="en-GB"/>
        </w:rPr>
        <w:t>should be recorded</w:t>
      </w:r>
      <w:proofErr w:type="gramEnd"/>
      <w:r>
        <w:rPr>
          <w:rFonts w:ascii="Arial" w:hAnsi="Arial"/>
          <w:i/>
          <w:iCs/>
          <w:lang w:val="en-GB"/>
        </w:rPr>
        <w:t xml:space="preserve">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 xml:space="preserve">The output is valued at the basic prices according to the revised manual from the year 1997. The basic price is the price receivable by the producers from the purchaser for a unit of a goods or services produced as output plus any subsidy receivable on that unit </w:t>
      </w:r>
      <w:proofErr w:type="gramStart"/>
      <w:r>
        <w:rPr>
          <w:rFonts w:ascii="Arial" w:hAnsi="Arial"/>
          <w:i/>
          <w:iCs/>
          <w:lang w:val="en-GB"/>
        </w:rPr>
        <w:t>as a consequence</w:t>
      </w:r>
      <w:proofErr w:type="gramEnd"/>
      <w:r>
        <w:rPr>
          <w:rFonts w:ascii="Arial" w:hAnsi="Arial"/>
          <w:i/>
          <w:iCs/>
          <w:lang w:val="en-GB"/>
        </w:rPr>
        <w:t xml:space="preserve"> of its production or sale minus any tax payable on that unit as a consequence of its production or sale. The final </w:t>
      </w:r>
      <w:r w:rsidR="0048173C">
        <w:rPr>
          <w:rFonts w:ascii="Arial" w:hAnsi="Arial"/>
          <w:i/>
          <w:iCs/>
          <w:lang w:val="en-GB"/>
        </w:rPr>
        <w:t>version of EAA for the years 2020 and 2021</w:t>
      </w:r>
      <w:r>
        <w:rPr>
          <w:rFonts w:ascii="Arial" w:hAnsi="Arial"/>
          <w:i/>
          <w:iCs/>
          <w:lang w:val="en-GB"/>
        </w:rPr>
        <w:t xml:space="preserve"> </w:t>
      </w:r>
      <w:proofErr w:type="gramStart"/>
      <w:r>
        <w:rPr>
          <w:rFonts w:ascii="Arial" w:hAnsi="Arial"/>
          <w:i/>
          <w:iCs/>
          <w:lang w:val="en-GB"/>
        </w:rPr>
        <w:t>was compiled</w:t>
      </w:r>
      <w:proofErr w:type="gramEnd"/>
      <w:r>
        <w:rPr>
          <w:rFonts w:ascii="Arial" w:hAnsi="Arial"/>
          <w:i/>
          <w:iCs/>
          <w:lang w:val="en-GB"/>
        </w:rPr>
        <w:t xml:space="preserve"> in this manner. The whole production account </w:t>
      </w:r>
      <w:proofErr w:type="gramStart"/>
      <w:r>
        <w:rPr>
          <w:rFonts w:ascii="Arial" w:hAnsi="Arial"/>
          <w:i/>
          <w:iCs/>
          <w:lang w:val="en-GB"/>
        </w:rPr>
        <w:t>was expressed</w:t>
      </w:r>
      <w:proofErr w:type="gramEnd"/>
      <w:r>
        <w:rPr>
          <w:rFonts w:ascii="Arial" w:hAnsi="Arial"/>
          <w:i/>
          <w:iCs/>
          <w:lang w:val="en-GB"/>
        </w:rPr>
        <w:t xml:space="preserve"> at the basic prices. Cereals, industrial crops and forage plants </w:t>
      </w:r>
      <w:proofErr w:type="gramStart"/>
      <w:r>
        <w:rPr>
          <w:rFonts w:ascii="Arial" w:hAnsi="Arial"/>
          <w:i/>
          <w:iCs/>
          <w:lang w:val="en-GB"/>
        </w:rPr>
        <w:t>are evaluated</w:t>
      </w:r>
      <w:proofErr w:type="gramEnd"/>
      <w:r>
        <w:rPr>
          <w:rFonts w:ascii="Arial" w:hAnsi="Arial"/>
          <w:i/>
          <w:iCs/>
          <w:lang w:val="en-GB"/>
        </w:rPr>
        <w:t xml:space="preserve">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proofErr w:type="gramStart"/>
      <w:r>
        <w:rPr>
          <w:rFonts w:ascii="Arial" w:hAnsi="Arial"/>
          <w:i/>
          <w:iCs/>
          <w:lang w:val="en-GB"/>
        </w:rPr>
        <w:t>On the basis of</w:t>
      </w:r>
      <w:proofErr w:type="gramEnd"/>
      <w:r>
        <w:rPr>
          <w:rFonts w:ascii="Arial" w:hAnsi="Arial"/>
          <w:i/>
          <w:iCs/>
          <w:lang w:val="en-GB"/>
        </w:rPr>
        <w:t xml:space="preserve"> Eurostat decision (Working Group in November 2004) data for the latest year will not be sent as final but as s</w:t>
      </w:r>
      <w:r w:rsidR="005F1A39">
        <w:rPr>
          <w:rFonts w:ascii="Arial" w:hAnsi="Arial"/>
          <w:i/>
          <w:iCs/>
          <w:lang w:val="en-GB"/>
        </w:rPr>
        <w:t>e</w:t>
      </w:r>
      <w:r w:rsidR="0048173C">
        <w:rPr>
          <w:rFonts w:ascii="Arial" w:hAnsi="Arial"/>
          <w:i/>
          <w:iCs/>
          <w:lang w:val="en-GB"/>
        </w:rPr>
        <w:t>mi-definitive. This way EAA 2021</w:t>
      </w:r>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 xml:space="preserve">The EAA includes item 17. “Non-agricultural secondary activities (inseparable)” it consists of </w:t>
      </w:r>
      <w:proofErr w:type="gramStart"/>
      <w:r>
        <w:rPr>
          <w:rFonts w:ascii="Arial" w:hAnsi="Arial"/>
          <w:i/>
          <w:iCs/>
          <w:lang w:val="en-GB"/>
        </w:rPr>
        <w:t>2</w:t>
      </w:r>
      <w:proofErr w:type="gramEnd"/>
      <w:r>
        <w:rPr>
          <w:rFonts w:ascii="Arial" w:hAnsi="Arial"/>
          <w:i/>
          <w:iCs/>
          <w:lang w:val="en-GB"/>
        </w:rPr>
        <w:t xml:space="preserve"> sub-items 17.1 “Processing of agriculture products” and 17.2 “Other inseparable secondary activities (goods and services). These activities </w:t>
      </w:r>
      <w:proofErr w:type="gramStart"/>
      <w:r>
        <w:rPr>
          <w:rFonts w:ascii="Arial" w:hAnsi="Arial"/>
          <w:i/>
          <w:iCs/>
          <w:lang w:val="en-GB"/>
        </w:rPr>
        <w:t>are closely linked</w:t>
      </w:r>
      <w:proofErr w:type="gramEnd"/>
      <w:r>
        <w:rPr>
          <w:rFonts w:ascii="Arial" w:hAnsi="Arial"/>
          <w:i/>
          <w:iCs/>
          <w:lang w:val="en-GB"/>
        </w:rPr>
        <w:t xml:space="preserve">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w:t>
      </w:r>
      <w:bookmarkStart w:id="1" w:name="_GoBack"/>
      <w:bookmarkEnd w:id="1"/>
      <w:r>
        <w:rPr>
          <w:rFonts w:ascii="Arial" w:hAnsi="Arial"/>
          <w:i/>
          <w:iCs/>
          <w:lang w:val="en-GB"/>
        </w:rPr>
        <w:t>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gramStart"/>
      <w:r>
        <w:rPr>
          <w:rFonts w:ascii="Arial" w:hAnsi="Arial"/>
          <w:i/>
          <w:iCs/>
          <w:lang w:val="en-GB"/>
        </w:rPr>
        <w:t>communities</w:t>
      </w:r>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w:t>
      </w:r>
      <w:proofErr w:type="gramStart"/>
      <w:r>
        <w:rPr>
          <w:rFonts w:ascii="Arial" w:hAnsi="Arial"/>
          <w:i/>
          <w:iCs/>
          <w:lang w:val="en-GB"/>
        </w:rPr>
        <w:t>should be subtracted</w:t>
      </w:r>
      <w:proofErr w:type="gramEnd"/>
      <w:r>
        <w:rPr>
          <w:rFonts w:ascii="Arial" w:hAnsi="Arial"/>
          <w:i/>
          <w:iCs/>
          <w:lang w:val="en-GB"/>
        </w:rPr>
        <w:t xml:space="preserve"> from the interest paid by borrowers and added to the interest received by depositors and so the value of the entrepreneurial income is not affected. According to this </w:t>
      </w:r>
      <w:proofErr w:type="gramStart"/>
      <w:r>
        <w:rPr>
          <w:rFonts w:ascii="Arial" w:hAnsi="Arial"/>
          <w:i/>
          <w:iCs/>
          <w:lang w:val="en-GB"/>
        </w:rPr>
        <w:t>regulation</w:t>
      </w:r>
      <w:proofErr w:type="gramEnd"/>
      <w:r>
        <w:rPr>
          <w:rFonts w:ascii="Arial" w:hAnsi="Arial"/>
          <w:i/>
          <w:iCs/>
          <w:lang w:val="en-GB"/>
        </w:rPr>
        <w:t xml:space="preserve">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w:t>
      </w:r>
      <w:proofErr w:type="gramStart"/>
      <w:r>
        <w:rPr>
          <w:rFonts w:ascii="Arial" w:hAnsi="Arial"/>
          <w:i/>
          <w:iCs/>
          <w:lang w:val="en-GB"/>
        </w:rPr>
        <w:t>is expressed</w:t>
      </w:r>
      <w:proofErr w:type="gramEnd"/>
      <w:r>
        <w:rPr>
          <w:rFonts w:ascii="Arial" w:hAnsi="Arial"/>
          <w:i/>
          <w:iCs/>
          <w:lang w:val="en-GB"/>
        </w:rPr>
        <w:t xml:space="preserve">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w:t>
      </w:r>
      <w:proofErr w:type="gramStart"/>
      <w:r>
        <w:rPr>
          <w:rFonts w:ascii="Arial" w:hAnsi="Arial"/>
          <w:i/>
          <w:iCs/>
          <w:lang w:val="en-GB"/>
        </w:rPr>
        <w:t>is generated</w:t>
      </w:r>
      <w:proofErr w:type="gramEnd"/>
      <w:r>
        <w:rPr>
          <w:rFonts w:ascii="Arial" w:hAnsi="Arial"/>
          <w:i/>
          <w:iCs/>
          <w:lang w:val="en-GB"/>
        </w:rPr>
        <w:t xml:space="preserve">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w:t>
      </w:r>
      <w:proofErr w:type="gramStart"/>
      <w:r>
        <w:rPr>
          <w:rFonts w:ascii="Arial" w:hAnsi="Arial"/>
          <w:i/>
          <w:iCs/>
          <w:lang w:val="en-GB"/>
        </w:rPr>
        <w:t>are posted</w:t>
      </w:r>
      <w:proofErr w:type="gramEnd"/>
      <w:r>
        <w:rPr>
          <w:rFonts w:ascii="Arial" w:hAnsi="Arial"/>
          <w:i/>
          <w:iCs/>
          <w:lang w:val="en-GB"/>
        </w:rPr>
        <w:t xml:space="preserve">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w:t>
      </w:r>
      <w:proofErr w:type="gramStart"/>
      <w:r>
        <w:rPr>
          <w:rFonts w:ascii="Arial" w:hAnsi="Arial"/>
          <w:i/>
          <w:iCs/>
          <w:lang w:val="en-GB"/>
        </w:rPr>
        <w:t>is not always calculated</w:t>
      </w:r>
      <w:proofErr w:type="gramEnd"/>
      <w:r>
        <w:rPr>
          <w:rFonts w:ascii="Arial" w:hAnsi="Arial"/>
          <w:i/>
          <w:iCs/>
          <w:lang w:val="en-GB"/>
        </w:rPr>
        <w:t xml:space="preserve">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w:t>
      </w:r>
      <w:proofErr w:type="gramStart"/>
      <w:r>
        <w:rPr>
          <w:rFonts w:ascii="Arial" w:hAnsi="Arial"/>
          <w:i/>
          <w:iCs/>
          <w:lang w:val="en-GB"/>
        </w:rPr>
        <w:t>On the basis of</w:t>
      </w:r>
      <w:proofErr w:type="gramEnd"/>
      <w:r>
        <w:rPr>
          <w:rFonts w:ascii="Arial" w:hAnsi="Arial"/>
          <w:i/>
          <w:iCs/>
          <w:lang w:val="en-GB"/>
        </w:rPr>
        <w:t xml:space="preserve">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 xml:space="preserve">Data on Agricultural Labour Input (ALI) have formed an integral part of the calculation of the three income indicators derived from agricultural production. ALI </w:t>
      </w:r>
      <w:proofErr w:type="gramStart"/>
      <w:r>
        <w:rPr>
          <w:i/>
          <w:iCs/>
          <w:lang w:val="en-GB"/>
        </w:rPr>
        <w:t>is calculated</w:t>
      </w:r>
      <w:proofErr w:type="gramEnd"/>
      <w:r>
        <w:rPr>
          <w:i/>
          <w:iCs/>
          <w:lang w:val="en-GB"/>
        </w:rPr>
        <w:t xml:space="preserve"> in compliance with standardised methodology of the European Union. The agricultural labour </w:t>
      </w:r>
      <w:proofErr w:type="gramStart"/>
      <w:r>
        <w:rPr>
          <w:i/>
          <w:iCs/>
          <w:lang w:val="en-GB"/>
        </w:rPr>
        <w:t>is measured</w:t>
      </w:r>
      <w:proofErr w:type="gramEnd"/>
      <w:r>
        <w:rPr>
          <w:i/>
          <w:iCs/>
          <w:lang w:val="en-GB"/>
        </w:rPr>
        <w:t xml:space="preserve"> in Annual Work Units (AWU). The number of hours comprising an AWU should correspond to the number of hours actually worked in a full-time job within agriculture. </w:t>
      </w:r>
      <w:proofErr w:type="gramStart"/>
      <w:r>
        <w:rPr>
          <w:i/>
          <w:iCs/>
          <w:lang w:val="en-GB"/>
        </w:rPr>
        <w:t>Therefore</w:t>
      </w:r>
      <w:proofErr w:type="gramEnd"/>
      <w:r>
        <w:rPr>
          <w:i/>
          <w:iCs/>
          <w:lang w:val="en-GB"/>
        </w:rPr>
        <w:t xml:space="preserve"> it does not include public holiday, paid annual holidays, sick leave, breaks for meals, etc. Data on agricultural labour input </w:t>
      </w:r>
      <w:proofErr w:type="gramStart"/>
      <w:r>
        <w:rPr>
          <w:i/>
          <w:iCs/>
          <w:lang w:val="en-GB"/>
        </w:rPr>
        <w:t>should be classified</w:t>
      </w:r>
      <w:proofErr w:type="gramEnd"/>
      <w:r>
        <w:rPr>
          <w:i/>
          <w:iCs/>
          <w:lang w:val="en-GB"/>
        </w:rPr>
        <w:t xml:space="preserve">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w:t>
      </w:r>
      <w:proofErr w:type="gramStart"/>
      <w:r>
        <w:rPr>
          <w:i/>
          <w:iCs/>
          <w:lang w:val="en-GB"/>
        </w:rPr>
        <w:t>is paid</w:t>
      </w:r>
      <w:proofErr w:type="gramEnd"/>
      <w:r>
        <w:rPr>
          <w:i/>
          <w:iCs/>
          <w:lang w:val="en-GB"/>
        </w:rPr>
        <w:t xml:space="preserve">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w:t>
      </w:r>
      <w:proofErr w:type="gramStart"/>
      <w:r>
        <w:rPr>
          <w:rFonts w:ascii="Arial" w:hAnsi="Arial"/>
          <w:i/>
          <w:iCs/>
          <w:lang w:val="en-GB"/>
        </w:rPr>
        <w:t>have been revised</w:t>
      </w:r>
      <w:proofErr w:type="gramEnd"/>
      <w:r>
        <w:rPr>
          <w:rFonts w:ascii="Arial" w:hAnsi="Arial"/>
          <w:i/>
          <w:iCs/>
          <w:lang w:val="en-GB"/>
        </w:rPr>
        <w:t xml:space="preserve">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 xml:space="preserve">Measurement of agricultural income and its trends is one of the main goals set up by Economic Accounts for Agriculture; three indicators </w:t>
      </w:r>
      <w:proofErr w:type="gramStart"/>
      <w:r>
        <w:rPr>
          <w:i/>
          <w:iCs/>
          <w:lang w:val="en-GB"/>
        </w:rPr>
        <w:t>are derived</w:t>
      </w:r>
      <w:proofErr w:type="gramEnd"/>
      <w:r>
        <w:rPr>
          <w:i/>
          <w:iCs/>
          <w:lang w:val="en-GB"/>
        </w:rPr>
        <w:t xml:space="preserve"> from the EAA for that purpose. Agriculture Income Indicators </w:t>
      </w:r>
      <w:proofErr w:type="gramStart"/>
      <w:r>
        <w:rPr>
          <w:i/>
          <w:iCs/>
          <w:lang w:val="en-GB"/>
        </w:rPr>
        <w:t>are described</w:t>
      </w:r>
      <w:proofErr w:type="gramEnd"/>
      <w:r>
        <w:rPr>
          <w:i/>
          <w:iCs/>
          <w:lang w:val="en-GB"/>
        </w:rPr>
        <w:t xml:space="preserve">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w:t>
      </w:r>
      <w:proofErr w:type="gramStart"/>
      <w:r>
        <w:rPr>
          <w:i/>
          <w:iCs/>
          <w:lang w:val="en-GB"/>
        </w:rPr>
        <w:t>is obtained</w:t>
      </w:r>
      <w:proofErr w:type="gramEnd"/>
      <w:r>
        <w:rPr>
          <w:i/>
          <w:iCs/>
          <w:lang w:val="en-GB"/>
        </w:rPr>
        <w:t xml:space="preserve"> by deflating this net value with the implicit price 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 xml:space="preserve">This indicator presents the changes in net entrepreneurial income over year, per non-salaried annual work unit. Net entrepreneurial income </w:t>
      </w:r>
      <w:proofErr w:type="gramStart"/>
      <w:r>
        <w:rPr>
          <w:i/>
          <w:iCs/>
          <w:lang w:val="en-GB"/>
        </w:rPr>
        <w:t>is obtained</w:t>
      </w:r>
      <w:proofErr w:type="gramEnd"/>
      <w:r>
        <w:rPr>
          <w:i/>
          <w:iCs/>
          <w:lang w:val="en-GB"/>
        </w:rPr>
        <w:t xml:space="preserve"> by subtracting the compensation of employees and interest and rent paid from the net value added at factor cost and adding the interest received. This figure is deflated with the price index (as it </w:t>
      </w:r>
      <w:proofErr w:type="gramStart"/>
      <w:r>
        <w:rPr>
          <w:i/>
          <w:iCs/>
          <w:lang w:val="en-GB"/>
        </w:rPr>
        <w:t>is described</w:t>
      </w:r>
      <w:proofErr w:type="gramEnd"/>
      <w:r>
        <w:rPr>
          <w:i/>
          <w:iCs/>
          <w:lang w:val="en-GB"/>
        </w:rPr>
        <w:t xml:space="preserve">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 xml:space="preserve">This indicator defines the change in the real (deflated) net entrepreneurial income as a separate value. It differs from Indicator B in it, which compares that change with a trend of non-salaried ALI. It </w:t>
      </w:r>
      <w:proofErr w:type="gramStart"/>
      <w:r>
        <w:rPr>
          <w:i/>
          <w:iCs/>
          <w:lang w:val="en-GB"/>
        </w:rPr>
        <w:t>could be said</w:t>
      </w:r>
      <w:proofErr w:type="gramEnd"/>
      <w:r>
        <w:rPr>
          <w:i/>
          <w:iCs/>
          <w:lang w:val="en-GB"/>
        </w:rPr>
        <w:t xml:space="preserve">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80"/>
        <w:gridCol w:w="8292"/>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 xml:space="preserve">Dot (.) shows that the figure is not available or </w:t>
            </w:r>
            <w:proofErr w:type="gramStart"/>
            <w:r>
              <w:rPr>
                <w:i/>
                <w:iCs/>
                <w:lang w:val="en-GB"/>
              </w:rPr>
              <w:t>cannot be relied on</w:t>
            </w:r>
            <w:proofErr w:type="gramEnd"/>
            <w:r>
              <w:rPr>
                <w:i/>
                <w:iCs/>
                <w:lang w:val="en-GB"/>
              </w:rPr>
              <w:t>.</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08"/>
    <w:rsid w:val="002C297F"/>
    <w:rsid w:val="00342A82"/>
    <w:rsid w:val="00367904"/>
    <w:rsid w:val="003E7CB8"/>
    <w:rsid w:val="0048173C"/>
    <w:rsid w:val="00564F73"/>
    <w:rsid w:val="005F1A39"/>
    <w:rsid w:val="006139DF"/>
    <w:rsid w:val="00671E51"/>
    <w:rsid w:val="006C50CE"/>
    <w:rsid w:val="006D5F5D"/>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98EA"/>
  <w15:docId w15:val="{1E6AD1D5-F7EB-4C6F-A778-067D569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Schwarzová Lucie</cp:lastModifiedBy>
  <cp:revision>8</cp:revision>
  <dcterms:created xsi:type="dcterms:W3CDTF">2019-09-25T14:16:00Z</dcterms:created>
  <dcterms:modified xsi:type="dcterms:W3CDTF">2022-09-13T08:33:00Z</dcterms:modified>
</cp:coreProperties>
</file>