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BCC63" w14:textId="77777777" w:rsidR="00B112AC" w:rsidRDefault="006824B6" w:rsidP="000F1D7F">
      <w:pPr>
        <w:pStyle w:val="Nadpis1"/>
        <w:spacing w:after="120"/>
        <w:rPr>
          <w:sz w:val="30"/>
          <w:szCs w:val="30"/>
        </w:rPr>
      </w:pPr>
      <w:r>
        <w:rPr>
          <w:sz w:val="30"/>
          <w:szCs w:val="30"/>
        </w:rPr>
        <w:t>12</w:t>
      </w:r>
      <w:r w:rsidR="00B112AC" w:rsidRPr="00B112AC">
        <w:rPr>
          <w:sz w:val="30"/>
          <w:szCs w:val="30"/>
        </w:rPr>
        <w:t>.</w:t>
      </w:r>
      <w:r w:rsidR="0065485A">
        <w:rPr>
          <w:sz w:val="30"/>
          <w:szCs w:val="30"/>
        </w:rPr>
        <w:t xml:space="preserve"> </w:t>
      </w:r>
      <w:r w:rsidR="00B112AC" w:rsidRPr="00B112AC">
        <w:rPr>
          <w:sz w:val="30"/>
          <w:szCs w:val="30"/>
        </w:rPr>
        <w:t xml:space="preserve">Zaměstnanci </w:t>
      </w:r>
      <w:r w:rsidR="00B83ED0">
        <w:rPr>
          <w:sz w:val="30"/>
          <w:szCs w:val="30"/>
        </w:rPr>
        <w:t xml:space="preserve">používající </w:t>
      </w:r>
      <w:r w:rsidR="005A34A7">
        <w:rPr>
          <w:sz w:val="30"/>
          <w:szCs w:val="30"/>
        </w:rPr>
        <w:t xml:space="preserve">v práci počítač a jiné </w:t>
      </w:r>
      <w:r w:rsidR="00B83ED0">
        <w:rPr>
          <w:sz w:val="30"/>
          <w:szCs w:val="30"/>
        </w:rPr>
        <w:t>ICT</w:t>
      </w:r>
    </w:p>
    <w:p w14:paraId="42CCE667" w14:textId="7F529DCA" w:rsidR="00D87787" w:rsidRPr="00D87787" w:rsidRDefault="00D87787" w:rsidP="000F1D7F">
      <w:pPr>
        <w:pStyle w:val="Zkladntext"/>
        <w:spacing w:before="0" w:after="80" w:line="264" w:lineRule="auto"/>
        <w:ind w:right="0"/>
        <w:rPr>
          <w:rFonts w:ascii="Arial" w:hAnsi="Arial"/>
          <w:bCs/>
          <w:i/>
          <w:sz w:val="20"/>
        </w:rPr>
      </w:pPr>
      <w:r w:rsidRPr="00D87787">
        <w:rPr>
          <w:rFonts w:ascii="Arial" w:hAnsi="Arial"/>
          <w:bCs/>
          <w:i/>
          <w:sz w:val="20"/>
        </w:rPr>
        <w:t>I když v Česku použív</w:t>
      </w:r>
      <w:r w:rsidR="00AD059F">
        <w:rPr>
          <w:rFonts w:ascii="Arial" w:hAnsi="Arial"/>
          <w:bCs/>
          <w:i/>
          <w:sz w:val="20"/>
        </w:rPr>
        <w:t>ají</w:t>
      </w:r>
      <w:r w:rsidRPr="00D87787">
        <w:rPr>
          <w:rFonts w:ascii="Arial" w:hAnsi="Arial"/>
          <w:bCs/>
          <w:i/>
          <w:sz w:val="20"/>
        </w:rPr>
        <w:t xml:space="preserve"> </w:t>
      </w:r>
      <w:r w:rsidR="006824B6">
        <w:rPr>
          <w:rFonts w:ascii="Arial" w:hAnsi="Arial"/>
          <w:bCs/>
          <w:i/>
          <w:sz w:val="20"/>
        </w:rPr>
        <w:t>ICT zařízení</w:t>
      </w:r>
      <w:r w:rsidR="00C041C2">
        <w:rPr>
          <w:rFonts w:ascii="Arial" w:hAnsi="Arial"/>
          <w:bCs/>
          <w:i/>
          <w:sz w:val="20"/>
        </w:rPr>
        <w:t xml:space="preserve"> téměř všechny podniky s 10 a více zaměstnanci (96 %) a tato ICT zařízení jsou téměř všechna při</w:t>
      </w:r>
      <w:r w:rsidR="006824B6" w:rsidRPr="00D87787">
        <w:rPr>
          <w:rFonts w:ascii="Arial" w:hAnsi="Arial"/>
          <w:bCs/>
          <w:i/>
          <w:sz w:val="20"/>
        </w:rPr>
        <w:t>pojen</w:t>
      </w:r>
      <w:r w:rsidR="00C041C2">
        <w:rPr>
          <w:rFonts w:ascii="Arial" w:hAnsi="Arial"/>
          <w:bCs/>
          <w:i/>
          <w:sz w:val="20"/>
        </w:rPr>
        <w:t>a</w:t>
      </w:r>
      <w:r w:rsidR="006824B6" w:rsidRPr="00D87787">
        <w:rPr>
          <w:rFonts w:ascii="Arial" w:hAnsi="Arial"/>
          <w:bCs/>
          <w:i/>
          <w:sz w:val="20"/>
        </w:rPr>
        <w:t xml:space="preserve"> </w:t>
      </w:r>
      <w:r w:rsidR="00C041C2">
        <w:rPr>
          <w:rFonts w:ascii="Arial" w:hAnsi="Arial"/>
          <w:bCs/>
          <w:i/>
          <w:sz w:val="20"/>
        </w:rPr>
        <w:t>na</w:t>
      </w:r>
      <w:r w:rsidR="006824B6" w:rsidRPr="00D87787">
        <w:rPr>
          <w:rFonts w:ascii="Arial" w:hAnsi="Arial"/>
          <w:bCs/>
          <w:i/>
          <w:sz w:val="20"/>
        </w:rPr>
        <w:t> internet</w:t>
      </w:r>
      <w:r w:rsidRPr="00D87787">
        <w:rPr>
          <w:rFonts w:ascii="Arial" w:hAnsi="Arial"/>
          <w:bCs/>
          <w:i/>
          <w:sz w:val="20"/>
        </w:rPr>
        <w:t xml:space="preserve">, </w:t>
      </w:r>
      <w:r w:rsidR="00576CD1">
        <w:rPr>
          <w:rFonts w:ascii="Arial" w:hAnsi="Arial"/>
          <w:bCs/>
          <w:i/>
          <w:sz w:val="20"/>
        </w:rPr>
        <w:t>zařízení s</w:t>
      </w:r>
      <w:r w:rsidR="00481EBE">
        <w:rPr>
          <w:rFonts w:ascii="Arial" w:hAnsi="Arial"/>
          <w:bCs/>
          <w:i/>
          <w:sz w:val="20"/>
        </w:rPr>
        <w:t xml:space="preserve"> přístupem </w:t>
      </w:r>
      <w:r w:rsidR="00576CD1">
        <w:rPr>
          <w:rFonts w:ascii="Arial" w:hAnsi="Arial"/>
          <w:bCs/>
          <w:i/>
          <w:sz w:val="20"/>
        </w:rPr>
        <w:t> </w:t>
      </w:r>
      <w:r w:rsidR="00481EBE">
        <w:rPr>
          <w:rFonts w:ascii="Arial" w:hAnsi="Arial"/>
          <w:bCs/>
          <w:i/>
          <w:sz w:val="20"/>
        </w:rPr>
        <w:t xml:space="preserve">na </w:t>
      </w:r>
      <w:r w:rsidR="00576CD1">
        <w:rPr>
          <w:rFonts w:ascii="Arial" w:hAnsi="Arial"/>
          <w:bCs/>
          <w:i/>
          <w:sz w:val="20"/>
        </w:rPr>
        <w:t>internet</w:t>
      </w:r>
      <w:r w:rsidR="00481EBE">
        <w:rPr>
          <w:rFonts w:ascii="Arial" w:hAnsi="Arial"/>
          <w:bCs/>
          <w:i/>
          <w:sz w:val="20"/>
        </w:rPr>
        <w:t xml:space="preserve"> používá</w:t>
      </w:r>
      <w:r w:rsidR="00576CD1">
        <w:rPr>
          <w:rFonts w:ascii="Arial" w:hAnsi="Arial"/>
          <w:bCs/>
          <w:i/>
          <w:sz w:val="20"/>
        </w:rPr>
        <w:t xml:space="preserve"> jen</w:t>
      </w:r>
      <w:r w:rsidR="00AD059F">
        <w:rPr>
          <w:rFonts w:ascii="Arial" w:hAnsi="Arial"/>
          <w:bCs/>
          <w:i/>
          <w:sz w:val="20"/>
        </w:rPr>
        <w:t xml:space="preserve"> </w:t>
      </w:r>
      <w:r w:rsidR="00576CD1">
        <w:rPr>
          <w:rFonts w:ascii="Arial" w:hAnsi="Arial"/>
          <w:bCs/>
          <w:i/>
          <w:sz w:val="20"/>
        </w:rPr>
        <w:t>polovina zaměstnanců.</w:t>
      </w:r>
      <w:r w:rsidRPr="00D87787">
        <w:rPr>
          <w:rFonts w:ascii="Arial" w:hAnsi="Arial"/>
          <w:bCs/>
          <w:i/>
          <w:sz w:val="20"/>
        </w:rPr>
        <w:t xml:space="preserve"> </w:t>
      </w:r>
      <w:r w:rsidR="00481EBE">
        <w:rPr>
          <w:rFonts w:ascii="Arial" w:hAnsi="Arial"/>
          <w:bCs/>
          <w:i/>
          <w:sz w:val="20"/>
        </w:rPr>
        <w:t>Přenosná zařízení s přístupem na internet pomocí mobilních dat používá v práci třetina zaměstnanců</w:t>
      </w:r>
      <w:r w:rsidR="00AD059F">
        <w:rPr>
          <w:rFonts w:ascii="Arial" w:hAnsi="Arial"/>
          <w:bCs/>
          <w:i/>
          <w:sz w:val="20"/>
        </w:rPr>
        <w:t xml:space="preserve"> a to i přes to, že se</w:t>
      </w:r>
      <w:r w:rsidR="00481EBE">
        <w:rPr>
          <w:rFonts w:ascii="Arial" w:hAnsi="Arial"/>
          <w:bCs/>
          <w:i/>
          <w:sz w:val="20"/>
        </w:rPr>
        <w:t xml:space="preserve"> tato zařízení používají v devíti z deseti firem v ČR. </w:t>
      </w:r>
      <w:r w:rsidR="00576CD1">
        <w:rPr>
          <w:rFonts w:ascii="Arial" w:hAnsi="Arial"/>
          <w:bCs/>
          <w:i/>
          <w:sz w:val="20"/>
        </w:rPr>
        <w:t>N</w:t>
      </w:r>
      <w:r w:rsidRPr="00D87787">
        <w:rPr>
          <w:rFonts w:ascii="Arial" w:hAnsi="Arial"/>
          <w:bCs/>
          <w:i/>
          <w:sz w:val="20"/>
        </w:rPr>
        <w:t xml:space="preserve">ižší podíl zaměstnanců používajících v práci </w:t>
      </w:r>
      <w:r w:rsidR="00481EBE">
        <w:rPr>
          <w:rFonts w:ascii="Arial" w:hAnsi="Arial"/>
          <w:bCs/>
          <w:i/>
          <w:sz w:val="20"/>
        </w:rPr>
        <w:t>ICT zařízení</w:t>
      </w:r>
      <w:r w:rsidR="001E7293">
        <w:rPr>
          <w:rFonts w:ascii="Arial" w:hAnsi="Arial"/>
          <w:bCs/>
          <w:i/>
          <w:sz w:val="20"/>
        </w:rPr>
        <w:t xml:space="preserve"> s internetem</w:t>
      </w:r>
      <w:r w:rsidRPr="00D87787">
        <w:rPr>
          <w:rFonts w:ascii="Arial" w:hAnsi="Arial"/>
          <w:bCs/>
          <w:i/>
          <w:sz w:val="20"/>
        </w:rPr>
        <w:t xml:space="preserve"> oproti </w:t>
      </w:r>
      <w:r w:rsidR="001E7293">
        <w:rPr>
          <w:rFonts w:ascii="Arial" w:hAnsi="Arial"/>
          <w:bCs/>
          <w:i/>
          <w:sz w:val="20"/>
        </w:rPr>
        <w:t>většině členských</w:t>
      </w:r>
      <w:r w:rsidR="00576CD1">
        <w:rPr>
          <w:rFonts w:ascii="Arial" w:hAnsi="Arial"/>
          <w:bCs/>
          <w:i/>
          <w:sz w:val="20"/>
        </w:rPr>
        <w:t xml:space="preserve"> zemí EU je dán mimo jiné</w:t>
      </w:r>
      <w:r w:rsidRPr="00D87787">
        <w:rPr>
          <w:rFonts w:ascii="Arial" w:hAnsi="Arial"/>
          <w:bCs/>
          <w:i/>
          <w:sz w:val="20"/>
        </w:rPr>
        <w:t xml:space="preserve"> strukturou našeho hospodářství se silným zastoupením odvětví</w:t>
      </w:r>
      <w:r w:rsidR="004E0EAF">
        <w:rPr>
          <w:rFonts w:ascii="Arial" w:hAnsi="Arial"/>
          <w:bCs/>
          <w:i/>
          <w:sz w:val="20"/>
        </w:rPr>
        <w:t xml:space="preserve"> jako je například zpracovatelský průmysl</w:t>
      </w:r>
      <w:r w:rsidRPr="00D87787">
        <w:rPr>
          <w:rFonts w:ascii="Arial" w:hAnsi="Arial"/>
          <w:bCs/>
          <w:i/>
          <w:sz w:val="20"/>
        </w:rPr>
        <w:t>, kde pro velkou část zaměstnanců není používání počítačů nezbytné.</w:t>
      </w:r>
    </w:p>
    <w:p w14:paraId="49AFE1BF" w14:textId="77777777" w:rsidR="00B112AC" w:rsidRPr="00B112AC" w:rsidRDefault="00B112AC" w:rsidP="000F1D7F">
      <w:pPr>
        <w:pStyle w:val="Nadpis2"/>
        <w:spacing w:before="240" w:after="120" w:line="240" w:lineRule="auto"/>
        <w:rPr>
          <w:sz w:val="24"/>
          <w:szCs w:val="24"/>
        </w:rPr>
      </w:pPr>
      <w:r w:rsidRPr="00B112AC">
        <w:rPr>
          <w:sz w:val="24"/>
          <w:szCs w:val="24"/>
        </w:rPr>
        <w:t>Hlavní zjištění</w:t>
      </w:r>
    </w:p>
    <w:p w14:paraId="07DA8D94" w14:textId="77777777" w:rsidR="004E0EAF" w:rsidRDefault="00D87787" w:rsidP="004E0EAF">
      <w:pPr>
        <w:pStyle w:val="Odstavecseseznamem"/>
        <w:numPr>
          <w:ilvl w:val="0"/>
          <w:numId w:val="2"/>
        </w:numPr>
        <w:tabs>
          <w:tab w:val="clear" w:pos="360"/>
          <w:tab w:val="left" w:pos="284"/>
        </w:tabs>
        <w:spacing w:after="40" w:line="288" w:lineRule="auto"/>
        <w:ind w:left="284" w:hanging="284"/>
        <w:contextualSpacing w:val="0"/>
        <w:jc w:val="both"/>
        <w:rPr>
          <w:rFonts w:ascii="Arial" w:hAnsi="Arial" w:cs="Arial"/>
          <w:spacing w:val="-4"/>
          <w:sz w:val="20"/>
        </w:rPr>
      </w:pPr>
      <w:r w:rsidRPr="001E7293">
        <w:rPr>
          <w:rFonts w:ascii="Arial" w:hAnsi="Arial" w:cs="Arial"/>
          <w:spacing w:val="-4"/>
          <w:sz w:val="20"/>
        </w:rPr>
        <w:t xml:space="preserve">Podíl zaměstnanců majících </w:t>
      </w:r>
      <w:r w:rsidRPr="004E0EAF">
        <w:rPr>
          <w:rFonts w:ascii="Arial" w:hAnsi="Arial" w:cs="Arial"/>
          <w:b/>
          <w:spacing w:val="-4"/>
          <w:sz w:val="20"/>
        </w:rPr>
        <w:t>v </w:t>
      </w:r>
      <w:r w:rsidR="004E0EAF" w:rsidRPr="004E0EAF">
        <w:rPr>
          <w:rFonts w:ascii="Arial" w:hAnsi="Arial" w:cs="Arial"/>
          <w:b/>
          <w:spacing w:val="-4"/>
          <w:sz w:val="20"/>
        </w:rPr>
        <w:t>práci</w:t>
      </w:r>
      <w:r w:rsidRPr="001E7293">
        <w:rPr>
          <w:rFonts w:ascii="Arial" w:hAnsi="Arial" w:cs="Arial"/>
          <w:spacing w:val="-4"/>
          <w:sz w:val="20"/>
        </w:rPr>
        <w:t xml:space="preserve"> </w:t>
      </w:r>
      <w:r w:rsidRPr="001E7293">
        <w:rPr>
          <w:rFonts w:ascii="Arial" w:hAnsi="Arial" w:cs="Arial"/>
          <w:b/>
          <w:spacing w:val="-4"/>
          <w:sz w:val="20"/>
        </w:rPr>
        <w:t xml:space="preserve">přístup k internetu </w:t>
      </w:r>
      <w:r w:rsidR="004E0EAF" w:rsidRPr="004E0EAF">
        <w:rPr>
          <w:rFonts w:ascii="Arial" w:hAnsi="Arial" w:cs="Arial"/>
          <w:spacing w:val="-4"/>
          <w:sz w:val="20"/>
        </w:rPr>
        <w:t>v Česku</w:t>
      </w:r>
      <w:r w:rsidR="004E0EAF">
        <w:rPr>
          <w:rFonts w:ascii="Arial" w:hAnsi="Arial" w:cs="Arial"/>
          <w:b/>
          <w:spacing w:val="-4"/>
          <w:sz w:val="20"/>
        </w:rPr>
        <w:t xml:space="preserve"> </w:t>
      </w:r>
      <w:r w:rsidR="004E0EAF">
        <w:rPr>
          <w:rFonts w:ascii="Arial" w:hAnsi="Arial" w:cs="Arial"/>
          <w:spacing w:val="-4"/>
          <w:sz w:val="20"/>
        </w:rPr>
        <w:t>nadále roste. V</w:t>
      </w:r>
      <w:r w:rsidRPr="001E7293">
        <w:rPr>
          <w:rFonts w:ascii="Arial" w:hAnsi="Arial" w:cs="Arial"/>
          <w:spacing w:val="-4"/>
          <w:sz w:val="20"/>
        </w:rPr>
        <w:t xml:space="preserve"> </w:t>
      </w:r>
      <w:r w:rsidR="00852D8B" w:rsidRPr="001E7293">
        <w:rPr>
          <w:rFonts w:ascii="Arial" w:hAnsi="Arial" w:cs="Arial"/>
          <w:spacing w:val="-4"/>
          <w:sz w:val="20"/>
        </w:rPr>
        <w:t>roce</w:t>
      </w:r>
      <w:r w:rsidRPr="001E7293">
        <w:rPr>
          <w:rFonts w:ascii="Arial" w:hAnsi="Arial" w:cs="Arial"/>
          <w:spacing w:val="-4"/>
          <w:sz w:val="20"/>
        </w:rPr>
        <w:t xml:space="preserve"> 20</w:t>
      </w:r>
      <w:r w:rsidR="00AC1445" w:rsidRPr="001E7293">
        <w:rPr>
          <w:rFonts w:ascii="Arial" w:hAnsi="Arial" w:cs="Arial"/>
          <w:spacing w:val="-4"/>
          <w:sz w:val="20"/>
        </w:rPr>
        <w:t>2</w:t>
      </w:r>
      <w:r w:rsidR="0010460E" w:rsidRPr="001E7293">
        <w:rPr>
          <w:rFonts w:ascii="Arial" w:hAnsi="Arial" w:cs="Arial"/>
          <w:spacing w:val="-4"/>
          <w:sz w:val="20"/>
        </w:rPr>
        <w:t>1</w:t>
      </w:r>
      <w:r w:rsidR="00CE1800" w:rsidRPr="001E7293">
        <w:rPr>
          <w:rFonts w:ascii="Arial" w:hAnsi="Arial" w:cs="Arial"/>
          <w:spacing w:val="-4"/>
          <w:sz w:val="20"/>
        </w:rPr>
        <w:t xml:space="preserve"> </w:t>
      </w:r>
      <w:r w:rsidR="00AC1445" w:rsidRPr="001E7293">
        <w:rPr>
          <w:rFonts w:ascii="Arial" w:hAnsi="Arial" w:cs="Arial"/>
          <w:spacing w:val="-4"/>
          <w:sz w:val="20"/>
        </w:rPr>
        <w:t xml:space="preserve">používal </w:t>
      </w:r>
      <w:r w:rsidR="001A5D74" w:rsidRPr="001E7293">
        <w:rPr>
          <w:rFonts w:ascii="Arial" w:hAnsi="Arial" w:cs="Arial"/>
          <w:spacing w:val="-4"/>
          <w:sz w:val="20"/>
        </w:rPr>
        <w:t>počítač nebo jiné zařízení s přístupem na internet</w:t>
      </w:r>
      <w:r w:rsidR="00BC6DEC" w:rsidRPr="001E7293">
        <w:rPr>
          <w:rFonts w:ascii="Arial" w:hAnsi="Arial" w:cs="Arial"/>
          <w:spacing w:val="-4"/>
          <w:sz w:val="20"/>
        </w:rPr>
        <w:t xml:space="preserve"> </w:t>
      </w:r>
      <w:r w:rsidR="00AC1445" w:rsidRPr="004E0EAF">
        <w:rPr>
          <w:rFonts w:ascii="Arial" w:hAnsi="Arial" w:cs="Arial"/>
          <w:spacing w:val="-4"/>
          <w:sz w:val="20"/>
        </w:rPr>
        <w:t>každý druhý zaměstnanec</w:t>
      </w:r>
      <w:r w:rsidR="004E0EAF" w:rsidRPr="004E0EAF">
        <w:rPr>
          <w:rFonts w:ascii="Arial" w:hAnsi="Arial" w:cs="Arial"/>
          <w:spacing w:val="-4"/>
          <w:sz w:val="20"/>
        </w:rPr>
        <w:t xml:space="preserve">. </w:t>
      </w:r>
      <w:r w:rsidR="004E0EAF">
        <w:rPr>
          <w:rFonts w:ascii="Arial" w:hAnsi="Arial" w:cs="Arial"/>
          <w:spacing w:val="-4"/>
          <w:sz w:val="20"/>
        </w:rPr>
        <w:t>Pro srovnání, před deseti lety to byl cca každý třetí a v roce 2011 ani ne každý pátý zaměstnanec</w:t>
      </w:r>
      <w:r w:rsidR="004E0EAF" w:rsidRPr="001E7293">
        <w:rPr>
          <w:rFonts w:ascii="Arial" w:hAnsi="Arial" w:cs="Arial"/>
          <w:spacing w:val="-4"/>
          <w:sz w:val="20"/>
        </w:rPr>
        <w:t>.</w:t>
      </w:r>
    </w:p>
    <w:p w14:paraId="5B275636" w14:textId="6DE78276" w:rsidR="004E0EAF" w:rsidRPr="007124DC" w:rsidRDefault="004E0EAF" w:rsidP="004E0EAF">
      <w:pPr>
        <w:pStyle w:val="Odstavecseseznamem"/>
        <w:numPr>
          <w:ilvl w:val="0"/>
          <w:numId w:val="2"/>
        </w:numPr>
        <w:tabs>
          <w:tab w:val="clear" w:pos="360"/>
          <w:tab w:val="left" w:pos="284"/>
        </w:tabs>
        <w:spacing w:after="40" w:line="288" w:lineRule="auto"/>
        <w:ind w:left="284" w:hanging="284"/>
        <w:contextualSpacing w:val="0"/>
        <w:jc w:val="both"/>
        <w:rPr>
          <w:rFonts w:ascii="Arial" w:hAnsi="Arial" w:cs="Arial"/>
          <w:spacing w:val="-4"/>
          <w:sz w:val="20"/>
        </w:rPr>
      </w:pPr>
      <w:r>
        <w:rPr>
          <w:rFonts w:ascii="Arial" w:hAnsi="Arial" w:cs="Arial"/>
          <w:spacing w:val="-4"/>
          <w:sz w:val="20"/>
        </w:rPr>
        <w:t>Zatímco</w:t>
      </w:r>
      <w:r w:rsidRPr="007124DC">
        <w:rPr>
          <w:rFonts w:ascii="Arial" w:hAnsi="Arial" w:cs="Arial"/>
          <w:spacing w:val="-4"/>
          <w:sz w:val="20"/>
        </w:rPr>
        <w:t xml:space="preserve"> podíly zaměstnanců využívajících v práci </w:t>
      </w:r>
      <w:r w:rsidRPr="00370CB3">
        <w:rPr>
          <w:rFonts w:ascii="Arial" w:hAnsi="Arial" w:cs="Arial"/>
          <w:spacing w:val="-4"/>
          <w:sz w:val="20"/>
        </w:rPr>
        <w:t xml:space="preserve">internet </w:t>
      </w:r>
      <w:r w:rsidRPr="007124DC">
        <w:rPr>
          <w:rFonts w:ascii="Arial" w:hAnsi="Arial" w:cs="Arial"/>
          <w:spacing w:val="-4"/>
          <w:sz w:val="20"/>
        </w:rPr>
        <w:t xml:space="preserve">se mezi </w:t>
      </w:r>
      <w:r w:rsidRPr="00370CB3">
        <w:rPr>
          <w:rFonts w:ascii="Arial" w:hAnsi="Arial" w:cs="Arial"/>
          <w:b/>
          <w:spacing w:val="-4"/>
          <w:sz w:val="20"/>
        </w:rPr>
        <w:t>velikostními skupinami</w:t>
      </w:r>
      <w:r w:rsidRPr="007124DC">
        <w:rPr>
          <w:rFonts w:ascii="Arial" w:hAnsi="Arial" w:cs="Arial"/>
          <w:spacing w:val="-4"/>
          <w:sz w:val="20"/>
        </w:rPr>
        <w:t xml:space="preserve"> firem příliš neliší</w:t>
      </w:r>
      <w:r>
        <w:rPr>
          <w:rFonts w:ascii="Arial" w:hAnsi="Arial" w:cs="Arial"/>
          <w:spacing w:val="-4"/>
          <w:sz w:val="20"/>
        </w:rPr>
        <w:t xml:space="preserve"> (</w:t>
      </w:r>
      <w:r w:rsidRPr="007124DC">
        <w:rPr>
          <w:rFonts w:ascii="Arial" w:hAnsi="Arial" w:cs="Arial"/>
          <w:spacing w:val="-4"/>
          <w:sz w:val="20"/>
        </w:rPr>
        <w:t>v roce 202</w:t>
      </w:r>
      <w:r w:rsidRPr="00370CB3">
        <w:rPr>
          <w:rFonts w:ascii="Arial" w:hAnsi="Arial" w:cs="Arial"/>
          <w:spacing w:val="-4"/>
          <w:sz w:val="20"/>
        </w:rPr>
        <w:t>1</w:t>
      </w:r>
      <w:r w:rsidRPr="007124DC">
        <w:rPr>
          <w:rFonts w:ascii="Arial" w:hAnsi="Arial" w:cs="Arial"/>
          <w:spacing w:val="-4"/>
          <w:sz w:val="20"/>
        </w:rPr>
        <w:t xml:space="preserve"> používa</w:t>
      </w:r>
      <w:r w:rsidRPr="00370CB3">
        <w:rPr>
          <w:rFonts w:ascii="Arial" w:hAnsi="Arial" w:cs="Arial"/>
          <w:spacing w:val="-4"/>
          <w:sz w:val="20"/>
        </w:rPr>
        <w:t>lo</w:t>
      </w:r>
      <w:r w:rsidRPr="007124DC">
        <w:rPr>
          <w:rFonts w:ascii="Arial" w:hAnsi="Arial" w:cs="Arial"/>
          <w:spacing w:val="-4"/>
          <w:sz w:val="20"/>
        </w:rPr>
        <w:t xml:space="preserve"> </w:t>
      </w:r>
      <w:r>
        <w:rPr>
          <w:rFonts w:ascii="Arial" w:hAnsi="Arial" w:cs="Arial"/>
          <w:spacing w:val="-4"/>
          <w:sz w:val="20"/>
        </w:rPr>
        <w:t xml:space="preserve">v práci počítač nebo jiné ICT zařízení s přístupem na internet </w:t>
      </w:r>
      <w:r w:rsidRPr="00370CB3">
        <w:rPr>
          <w:rFonts w:ascii="Arial" w:hAnsi="Arial" w:cs="Arial"/>
          <w:spacing w:val="-4"/>
          <w:sz w:val="20"/>
        </w:rPr>
        <w:t>49</w:t>
      </w:r>
      <w:r w:rsidRPr="007124DC">
        <w:rPr>
          <w:rFonts w:ascii="Arial" w:hAnsi="Arial" w:cs="Arial"/>
          <w:spacing w:val="-4"/>
          <w:sz w:val="20"/>
        </w:rPr>
        <w:t xml:space="preserve"> % zaměstnanců</w:t>
      </w:r>
      <w:r>
        <w:rPr>
          <w:rFonts w:ascii="Arial" w:hAnsi="Arial" w:cs="Arial"/>
          <w:spacing w:val="-4"/>
          <w:sz w:val="20"/>
        </w:rPr>
        <w:t xml:space="preserve"> malých firem</w:t>
      </w:r>
      <w:r w:rsidRPr="007124DC">
        <w:rPr>
          <w:rFonts w:ascii="Arial" w:hAnsi="Arial" w:cs="Arial"/>
          <w:spacing w:val="-4"/>
          <w:sz w:val="20"/>
        </w:rPr>
        <w:t xml:space="preserve"> oproti </w:t>
      </w:r>
      <w:r w:rsidRPr="00370CB3">
        <w:rPr>
          <w:rFonts w:ascii="Arial" w:hAnsi="Arial" w:cs="Arial"/>
          <w:spacing w:val="-4"/>
          <w:sz w:val="20"/>
        </w:rPr>
        <w:t>52</w:t>
      </w:r>
      <w:r w:rsidRPr="007124DC">
        <w:rPr>
          <w:rFonts w:ascii="Arial" w:hAnsi="Arial" w:cs="Arial"/>
          <w:spacing w:val="-4"/>
          <w:sz w:val="20"/>
        </w:rPr>
        <w:t xml:space="preserve"> % </w:t>
      </w:r>
      <w:r>
        <w:rPr>
          <w:rFonts w:ascii="Arial" w:hAnsi="Arial" w:cs="Arial"/>
          <w:spacing w:val="-4"/>
          <w:sz w:val="20"/>
        </w:rPr>
        <w:t>zaměstnanců ve</w:t>
      </w:r>
      <w:r w:rsidRPr="007124DC">
        <w:rPr>
          <w:rFonts w:ascii="Arial" w:hAnsi="Arial" w:cs="Arial"/>
          <w:spacing w:val="-4"/>
          <w:sz w:val="20"/>
        </w:rPr>
        <w:t xml:space="preserve"> velký</w:t>
      </w:r>
      <w:r>
        <w:rPr>
          <w:rFonts w:ascii="Arial" w:hAnsi="Arial" w:cs="Arial"/>
          <w:spacing w:val="-4"/>
          <w:sz w:val="20"/>
        </w:rPr>
        <w:t>ch</w:t>
      </w:r>
      <w:r w:rsidRPr="007124DC">
        <w:rPr>
          <w:rFonts w:ascii="Arial" w:hAnsi="Arial" w:cs="Arial"/>
          <w:spacing w:val="-4"/>
          <w:sz w:val="20"/>
        </w:rPr>
        <w:t xml:space="preserve"> podni</w:t>
      </w:r>
      <w:r>
        <w:rPr>
          <w:rFonts w:ascii="Arial" w:hAnsi="Arial" w:cs="Arial"/>
          <w:spacing w:val="-4"/>
          <w:sz w:val="20"/>
        </w:rPr>
        <w:t>cích)</w:t>
      </w:r>
      <w:r w:rsidRPr="007124DC">
        <w:rPr>
          <w:rFonts w:ascii="Arial" w:hAnsi="Arial" w:cs="Arial"/>
          <w:spacing w:val="-4"/>
          <w:sz w:val="20"/>
        </w:rPr>
        <w:t xml:space="preserve">, </w:t>
      </w:r>
      <w:r>
        <w:rPr>
          <w:rFonts w:ascii="Arial" w:hAnsi="Arial" w:cs="Arial"/>
          <w:spacing w:val="-4"/>
          <w:sz w:val="20"/>
        </w:rPr>
        <w:t>po</w:t>
      </w:r>
      <w:r w:rsidRPr="007124DC">
        <w:rPr>
          <w:rFonts w:ascii="Arial" w:hAnsi="Arial" w:cs="Arial"/>
          <w:spacing w:val="-4"/>
          <w:sz w:val="20"/>
        </w:rPr>
        <w:t xml:space="preserve">měrně výrazné rozdíly </w:t>
      </w:r>
      <w:r>
        <w:rPr>
          <w:rFonts w:ascii="Arial" w:hAnsi="Arial" w:cs="Arial"/>
          <w:spacing w:val="-4"/>
          <w:sz w:val="20"/>
        </w:rPr>
        <w:t>nacházíme</w:t>
      </w:r>
      <w:r w:rsidRPr="007124DC">
        <w:rPr>
          <w:rFonts w:ascii="Arial" w:hAnsi="Arial" w:cs="Arial"/>
          <w:spacing w:val="-4"/>
          <w:sz w:val="20"/>
        </w:rPr>
        <w:t xml:space="preserve"> mezi </w:t>
      </w:r>
      <w:r w:rsidRPr="00370CB3">
        <w:rPr>
          <w:rFonts w:ascii="Arial" w:hAnsi="Arial" w:cs="Arial"/>
          <w:spacing w:val="-4"/>
          <w:sz w:val="20"/>
        </w:rPr>
        <w:t xml:space="preserve">jednotlivými </w:t>
      </w:r>
      <w:r w:rsidRPr="00370CB3">
        <w:rPr>
          <w:rFonts w:ascii="Arial" w:hAnsi="Arial" w:cs="Arial"/>
          <w:b/>
          <w:spacing w:val="-4"/>
          <w:sz w:val="20"/>
        </w:rPr>
        <w:t>odvětvími</w:t>
      </w:r>
      <w:r w:rsidRPr="007124DC">
        <w:rPr>
          <w:rFonts w:ascii="Arial" w:hAnsi="Arial" w:cs="Arial"/>
          <w:spacing w:val="-4"/>
          <w:sz w:val="20"/>
        </w:rPr>
        <w:t xml:space="preserve">. </w:t>
      </w:r>
    </w:p>
    <w:p w14:paraId="77E9DC59" w14:textId="354AFAAE" w:rsidR="00111B12" w:rsidRPr="006049EE" w:rsidRDefault="00AE511A" w:rsidP="004E0EAF">
      <w:pPr>
        <w:numPr>
          <w:ilvl w:val="0"/>
          <w:numId w:val="2"/>
        </w:numPr>
        <w:tabs>
          <w:tab w:val="clear" w:pos="360"/>
          <w:tab w:val="left" w:pos="284"/>
        </w:tabs>
        <w:autoSpaceDE w:val="0"/>
        <w:autoSpaceDN w:val="0"/>
        <w:adjustRightInd w:val="0"/>
        <w:spacing w:after="0" w:line="288" w:lineRule="auto"/>
        <w:ind w:left="284" w:hanging="284"/>
        <w:jc w:val="both"/>
        <w:rPr>
          <w:rFonts w:ascii="Arial" w:hAnsi="Arial" w:cs="Arial"/>
          <w:sz w:val="20"/>
        </w:rPr>
      </w:pPr>
      <w:r w:rsidRPr="00353788">
        <w:rPr>
          <w:rFonts w:ascii="Arial" w:hAnsi="Arial" w:cs="Arial"/>
          <w:sz w:val="20"/>
        </w:rPr>
        <w:t>Počítač</w:t>
      </w:r>
      <w:r w:rsidR="00353788" w:rsidRPr="00353788">
        <w:rPr>
          <w:rFonts w:ascii="Arial" w:hAnsi="Arial" w:cs="Arial"/>
          <w:sz w:val="20"/>
        </w:rPr>
        <w:t>i</w:t>
      </w:r>
      <w:r w:rsidR="004E0EAF">
        <w:rPr>
          <w:rFonts w:ascii="Arial" w:hAnsi="Arial" w:cs="Arial"/>
          <w:sz w:val="20"/>
        </w:rPr>
        <w:t xml:space="preserve"> či jinými digitálními zařízeními (např. chytrým telefonem)</w:t>
      </w:r>
      <w:r w:rsidRPr="00353788">
        <w:rPr>
          <w:rFonts w:ascii="Arial" w:hAnsi="Arial" w:cs="Arial"/>
          <w:sz w:val="20"/>
        </w:rPr>
        <w:t xml:space="preserve"> s p</w:t>
      </w:r>
      <w:r w:rsidR="00BA77C1" w:rsidRPr="00353788">
        <w:rPr>
          <w:rFonts w:ascii="Arial" w:hAnsi="Arial" w:cs="Arial"/>
          <w:sz w:val="20"/>
        </w:rPr>
        <w:t>řístup</w:t>
      </w:r>
      <w:r w:rsidRPr="00353788">
        <w:rPr>
          <w:rFonts w:ascii="Arial" w:hAnsi="Arial" w:cs="Arial"/>
          <w:sz w:val="20"/>
        </w:rPr>
        <w:t>em</w:t>
      </w:r>
      <w:r w:rsidR="00BA77C1" w:rsidRPr="00353788">
        <w:rPr>
          <w:rFonts w:ascii="Arial" w:hAnsi="Arial" w:cs="Arial"/>
          <w:sz w:val="20"/>
        </w:rPr>
        <w:t xml:space="preserve"> </w:t>
      </w:r>
      <w:r w:rsidRPr="00353788">
        <w:rPr>
          <w:rFonts w:ascii="Arial" w:hAnsi="Arial" w:cs="Arial"/>
          <w:sz w:val="20"/>
        </w:rPr>
        <w:t>na</w:t>
      </w:r>
      <w:r w:rsidR="00BA77C1" w:rsidRPr="00353788">
        <w:rPr>
          <w:rFonts w:ascii="Arial" w:hAnsi="Arial" w:cs="Arial"/>
          <w:sz w:val="20"/>
        </w:rPr>
        <w:t xml:space="preserve"> internet </w:t>
      </w:r>
      <w:r w:rsidR="00353788" w:rsidRPr="00353788">
        <w:rPr>
          <w:rFonts w:ascii="Arial" w:hAnsi="Arial" w:cs="Arial"/>
          <w:sz w:val="20"/>
        </w:rPr>
        <w:t xml:space="preserve">jsou vybaveni </w:t>
      </w:r>
      <w:r w:rsidR="008F10A7" w:rsidRPr="004E0EAF">
        <w:rPr>
          <w:rFonts w:ascii="Arial" w:hAnsi="Arial" w:cs="Arial"/>
          <w:sz w:val="20"/>
        </w:rPr>
        <w:t>nejčastěji</w:t>
      </w:r>
      <w:r w:rsidRPr="004E0EAF">
        <w:rPr>
          <w:rFonts w:ascii="Arial" w:hAnsi="Arial" w:cs="Arial"/>
          <w:sz w:val="20"/>
        </w:rPr>
        <w:t xml:space="preserve"> </w:t>
      </w:r>
      <w:r w:rsidR="00F9587D" w:rsidRPr="004E0EAF">
        <w:rPr>
          <w:rFonts w:ascii="Arial" w:hAnsi="Arial" w:cs="Arial"/>
          <w:sz w:val="20"/>
        </w:rPr>
        <w:t>zaměstnan</w:t>
      </w:r>
      <w:r w:rsidRPr="004E0EAF">
        <w:rPr>
          <w:rFonts w:ascii="Arial" w:hAnsi="Arial" w:cs="Arial"/>
          <w:sz w:val="20"/>
        </w:rPr>
        <w:t>ci</w:t>
      </w:r>
      <w:r w:rsidR="004E0EAF" w:rsidRPr="004E0EAF">
        <w:rPr>
          <w:rFonts w:ascii="Arial" w:hAnsi="Arial" w:cs="Arial"/>
          <w:sz w:val="20"/>
        </w:rPr>
        <w:t xml:space="preserve"> ve firmách v odvětvové</w:t>
      </w:r>
      <w:r w:rsidR="00F9587D" w:rsidRPr="004E0EAF">
        <w:rPr>
          <w:rFonts w:ascii="Arial" w:hAnsi="Arial" w:cs="Arial"/>
          <w:sz w:val="20"/>
        </w:rPr>
        <w:t xml:space="preserve"> </w:t>
      </w:r>
      <w:r w:rsidR="00353788" w:rsidRPr="004E0EAF">
        <w:rPr>
          <w:rFonts w:ascii="Arial" w:hAnsi="Arial" w:cs="Arial"/>
          <w:sz w:val="20"/>
        </w:rPr>
        <w:t>s</w:t>
      </w:r>
      <w:r w:rsidR="00B60BB7" w:rsidRPr="004E0EAF">
        <w:rPr>
          <w:rFonts w:ascii="Arial" w:hAnsi="Arial" w:cs="Arial"/>
          <w:sz w:val="20"/>
        </w:rPr>
        <w:t>ek</w:t>
      </w:r>
      <w:r w:rsidR="00353788" w:rsidRPr="004E0EAF">
        <w:rPr>
          <w:rFonts w:ascii="Arial" w:hAnsi="Arial" w:cs="Arial"/>
          <w:sz w:val="20"/>
        </w:rPr>
        <w:t xml:space="preserve">ci J </w:t>
      </w:r>
      <w:r w:rsidR="00353788" w:rsidRPr="004E0EAF">
        <w:rPr>
          <w:rFonts w:ascii="Arial" w:hAnsi="Arial" w:cs="Arial"/>
          <w:b/>
          <w:sz w:val="20"/>
        </w:rPr>
        <w:t>Informační a</w:t>
      </w:r>
      <w:r w:rsidR="00111B12" w:rsidRPr="004E0EAF">
        <w:rPr>
          <w:rFonts w:ascii="Arial" w:hAnsi="Arial" w:cs="Arial"/>
          <w:b/>
          <w:sz w:val="20"/>
        </w:rPr>
        <w:t> </w:t>
      </w:r>
      <w:r w:rsidR="00353788" w:rsidRPr="004E0EAF">
        <w:rPr>
          <w:rFonts w:ascii="Arial" w:hAnsi="Arial" w:cs="Arial"/>
          <w:b/>
          <w:sz w:val="20"/>
        </w:rPr>
        <w:t>komunikační činnosti</w:t>
      </w:r>
      <w:r w:rsidR="00111B12" w:rsidRPr="004E0EAF">
        <w:rPr>
          <w:rFonts w:ascii="Arial" w:hAnsi="Arial" w:cs="Arial"/>
          <w:b/>
          <w:sz w:val="20"/>
        </w:rPr>
        <w:t>.</w:t>
      </w:r>
      <w:r w:rsidR="00353788" w:rsidRPr="004E0EAF">
        <w:rPr>
          <w:rFonts w:ascii="Arial" w:hAnsi="Arial" w:cs="Arial"/>
          <w:sz w:val="20"/>
        </w:rPr>
        <w:t xml:space="preserve"> </w:t>
      </w:r>
      <w:r w:rsidR="00353788" w:rsidRPr="00353788">
        <w:rPr>
          <w:rFonts w:ascii="Arial" w:hAnsi="Arial" w:cs="Arial"/>
          <w:sz w:val="20"/>
        </w:rPr>
        <w:t>ICT zařízení s internetem používá v</w:t>
      </w:r>
      <w:r w:rsidR="004E0EAF">
        <w:rPr>
          <w:rFonts w:ascii="Arial" w:hAnsi="Arial" w:cs="Arial"/>
          <w:sz w:val="20"/>
        </w:rPr>
        <w:t> </w:t>
      </w:r>
      <w:r w:rsidR="00353788" w:rsidRPr="00353788">
        <w:rPr>
          <w:rFonts w:ascii="Arial" w:hAnsi="Arial" w:cs="Arial"/>
          <w:sz w:val="20"/>
        </w:rPr>
        <w:t>práci</w:t>
      </w:r>
      <w:r w:rsidR="004E0EAF">
        <w:rPr>
          <w:rFonts w:ascii="Arial" w:hAnsi="Arial" w:cs="Arial"/>
          <w:sz w:val="20"/>
        </w:rPr>
        <w:t xml:space="preserve"> v každém z odvětví této sekce</w:t>
      </w:r>
      <w:r w:rsidR="00353788" w:rsidRPr="00353788">
        <w:rPr>
          <w:rFonts w:ascii="Arial" w:hAnsi="Arial" w:cs="Arial"/>
          <w:sz w:val="20"/>
        </w:rPr>
        <w:t xml:space="preserve"> více než </w:t>
      </w:r>
      <w:r w:rsidR="00A60AB8" w:rsidRPr="00353788">
        <w:rPr>
          <w:rFonts w:ascii="Arial" w:hAnsi="Arial" w:cs="Arial"/>
          <w:sz w:val="20"/>
        </w:rPr>
        <w:t>9</w:t>
      </w:r>
      <w:r w:rsidR="004E0EAF">
        <w:rPr>
          <w:rFonts w:ascii="Arial" w:hAnsi="Arial" w:cs="Arial"/>
          <w:sz w:val="20"/>
        </w:rPr>
        <w:t>0</w:t>
      </w:r>
      <w:r w:rsidR="00D263D9">
        <w:rPr>
          <w:rFonts w:ascii="Arial" w:hAnsi="Arial" w:cs="Arial"/>
          <w:sz w:val="20"/>
        </w:rPr>
        <w:t> </w:t>
      </w:r>
      <w:r w:rsidR="00353788" w:rsidRPr="00353788">
        <w:rPr>
          <w:rFonts w:ascii="Arial" w:hAnsi="Arial" w:cs="Arial"/>
          <w:sz w:val="20"/>
        </w:rPr>
        <w:t>% zaměstnanců</w:t>
      </w:r>
      <w:r w:rsidR="00111B12">
        <w:rPr>
          <w:rFonts w:ascii="Arial" w:hAnsi="Arial" w:cs="Arial"/>
          <w:sz w:val="20"/>
        </w:rPr>
        <w:t xml:space="preserve">, </w:t>
      </w:r>
      <w:r w:rsidR="004E0EAF">
        <w:rPr>
          <w:rFonts w:ascii="Arial" w:hAnsi="Arial" w:cs="Arial"/>
          <w:sz w:val="20"/>
        </w:rPr>
        <w:t>nejvíce v telekomunikačních (97 %) a v IT (94 %) činnostech</w:t>
      </w:r>
      <w:r w:rsidR="004E0EAF" w:rsidRPr="00353788">
        <w:rPr>
          <w:rFonts w:ascii="Arial" w:hAnsi="Arial" w:cs="Arial"/>
          <w:sz w:val="20"/>
        </w:rPr>
        <w:t xml:space="preserve">. </w:t>
      </w:r>
      <w:r w:rsidR="004E0EAF" w:rsidRPr="00175C9B">
        <w:rPr>
          <w:rFonts w:ascii="Arial" w:hAnsi="Arial" w:cs="Arial"/>
          <w:spacing w:val="-4"/>
          <w:sz w:val="20"/>
        </w:rPr>
        <w:t>Vysoký je tento podíl i mezi zaměstnanci ve firmách působících v</w:t>
      </w:r>
      <w:r w:rsidR="004E0EAF">
        <w:rPr>
          <w:rFonts w:ascii="Arial" w:hAnsi="Arial" w:cs="Arial"/>
          <w:spacing w:val="-4"/>
          <w:sz w:val="20"/>
        </w:rPr>
        <w:t> prodeji a opravách motorových vozidel</w:t>
      </w:r>
      <w:r w:rsidR="004E0EAF" w:rsidRPr="00175C9B">
        <w:rPr>
          <w:rFonts w:ascii="Arial" w:hAnsi="Arial" w:cs="Arial"/>
          <w:spacing w:val="-4"/>
          <w:sz w:val="20"/>
        </w:rPr>
        <w:t xml:space="preserve"> (</w:t>
      </w:r>
      <w:r w:rsidR="004E0EAF">
        <w:rPr>
          <w:rFonts w:ascii="Arial" w:hAnsi="Arial" w:cs="Arial"/>
          <w:spacing w:val="-4"/>
          <w:sz w:val="20"/>
        </w:rPr>
        <w:t>75 %), v </w:t>
      </w:r>
      <w:r w:rsidR="004E0EAF" w:rsidRPr="00175C9B">
        <w:rPr>
          <w:rFonts w:ascii="Arial" w:hAnsi="Arial" w:cs="Arial"/>
          <w:spacing w:val="-4"/>
          <w:sz w:val="20"/>
        </w:rPr>
        <w:t>cestovních agenturách (7</w:t>
      </w:r>
      <w:r w:rsidR="004E0EAF">
        <w:rPr>
          <w:rFonts w:ascii="Arial" w:hAnsi="Arial" w:cs="Arial"/>
          <w:spacing w:val="-4"/>
          <w:sz w:val="20"/>
        </w:rPr>
        <w:t>9 </w:t>
      </w:r>
      <w:r w:rsidR="004E0EAF" w:rsidRPr="00175C9B">
        <w:rPr>
          <w:rFonts w:ascii="Arial" w:hAnsi="Arial" w:cs="Arial"/>
          <w:spacing w:val="-4"/>
          <w:sz w:val="20"/>
        </w:rPr>
        <w:t xml:space="preserve">%) či </w:t>
      </w:r>
      <w:r w:rsidR="004E0EAF">
        <w:rPr>
          <w:rFonts w:ascii="Arial" w:hAnsi="Arial" w:cs="Arial"/>
          <w:spacing w:val="-4"/>
          <w:sz w:val="20"/>
        </w:rPr>
        <w:t xml:space="preserve">v </w:t>
      </w:r>
      <w:r w:rsidR="004E0EAF" w:rsidRPr="00175C9B">
        <w:rPr>
          <w:rFonts w:ascii="Arial" w:hAnsi="Arial" w:cs="Arial"/>
          <w:spacing w:val="-4"/>
          <w:sz w:val="20"/>
        </w:rPr>
        <w:t>odvětvové sekci Profesní, vědecké a technické činnosti, kam patří např. vedení účetnictví, právní činnosti, výzkum a vývoj či provádění průzkumů trhu</w:t>
      </w:r>
      <w:r w:rsidR="004E0EAF">
        <w:rPr>
          <w:rFonts w:ascii="Arial" w:hAnsi="Arial" w:cs="Arial"/>
          <w:spacing w:val="-4"/>
          <w:sz w:val="20"/>
        </w:rPr>
        <w:t xml:space="preserve"> (84 %)</w:t>
      </w:r>
      <w:r w:rsidR="004E0EAF" w:rsidRPr="00175C9B">
        <w:rPr>
          <w:rFonts w:ascii="Arial" w:hAnsi="Arial" w:cs="Arial"/>
          <w:spacing w:val="-4"/>
          <w:sz w:val="20"/>
        </w:rPr>
        <w:t>.</w:t>
      </w:r>
    </w:p>
    <w:p w14:paraId="73DA750B" w14:textId="77777777" w:rsidR="006049EE" w:rsidRPr="009E3C85" w:rsidRDefault="006049EE" w:rsidP="006049EE">
      <w:pPr>
        <w:numPr>
          <w:ilvl w:val="0"/>
          <w:numId w:val="2"/>
        </w:numPr>
        <w:tabs>
          <w:tab w:val="clear" w:pos="360"/>
          <w:tab w:val="num" w:pos="284"/>
        </w:tabs>
        <w:autoSpaceDE w:val="0"/>
        <w:autoSpaceDN w:val="0"/>
        <w:adjustRightInd w:val="0"/>
        <w:spacing w:after="40" w:line="288" w:lineRule="auto"/>
        <w:ind w:left="284" w:hanging="284"/>
        <w:jc w:val="both"/>
        <w:rPr>
          <w:rFonts w:ascii="Arial" w:hAnsi="Arial" w:cs="Arial"/>
          <w:sz w:val="20"/>
        </w:rPr>
      </w:pPr>
      <w:r>
        <w:rPr>
          <w:rFonts w:ascii="Arial" w:hAnsi="Arial" w:cs="Arial"/>
          <w:sz w:val="20"/>
        </w:rPr>
        <w:t>Ve zpracovatelském průmyslu požívalo v práci internet 44 % zaměstnanců, s tím, že v elektrotechnickém průmyslu to byla cca polovina zaměstnanců a v elektronickém průmyslu dokonce 65 %, naopak v textilních a obuvnickém průmyslu jen 30 % zaměstnanců, tj. stejně jako ve stravování a pohostinství.</w:t>
      </w:r>
      <w:r w:rsidRPr="009E3C85">
        <w:rPr>
          <w:rFonts w:ascii="Arial" w:hAnsi="Arial" w:cs="Arial"/>
          <w:sz w:val="20"/>
        </w:rPr>
        <w:t xml:space="preserve"> </w:t>
      </w:r>
    </w:p>
    <w:p w14:paraId="36DD301D" w14:textId="4AC835BA" w:rsidR="006049EE" w:rsidRPr="00F916F4" w:rsidRDefault="006049EE" w:rsidP="006049EE">
      <w:pPr>
        <w:numPr>
          <w:ilvl w:val="0"/>
          <w:numId w:val="2"/>
        </w:numPr>
        <w:tabs>
          <w:tab w:val="clear" w:pos="360"/>
          <w:tab w:val="left" w:pos="284"/>
        </w:tabs>
        <w:autoSpaceDE w:val="0"/>
        <w:autoSpaceDN w:val="0"/>
        <w:adjustRightInd w:val="0"/>
        <w:spacing w:after="40" w:line="288" w:lineRule="auto"/>
        <w:ind w:left="284" w:hanging="284"/>
        <w:jc w:val="both"/>
        <w:rPr>
          <w:rFonts w:ascii="Arial" w:hAnsi="Arial" w:cs="Arial"/>
          <w:sz w:val="20"/>
        </w:rPr>
      </w:pPr>
      <w:r w:rsidRPr="00F916F4">
        <w:rPr>
          <w:rFonts w:ascii="Arial" w:hAnsi="Arial" w:cs="Arial"/>
          <w:sz w:val="20"/>
        </w:rPr>
        <w:t xml:space="preserve">Ve srovnání s ostatními </w:t>
      </w:r>
      <w:r w:rsidRPr="00370CB3">
        <w:rPr>
          <w:rFonts w:ascii="Arial" w:hAnsi="Arial" w:cs="Arial"/>
          <w:b/>
          <w:sz w:val="20"/>
        </w:rPr>
        <w:t>zeměmi EU</w:t>
      </w:r>
      <w:r w:rsidRPr="007D665F">
        <w:rPr>
          <w:rStyle w:val="Znakapoznpodarou"/>
          <w:rFonts w:ascii="Arial" w:hAnsi="Arial" w:cs="Arial"/>
          <w:sz w:val="20"/>
        </w:rPr>
        <w:footnoteReference w:id="1"/>
      </w:r>
      <w:r w:rsidRPr="00F916F4">
        <w:rPr>
          <w:rFonts w:ascii="Arial" w:hAnsi="Arial" w:cs="Arial"/>
          <w:sz w:val="20"/>
        </w:rPr>
        <w:t xml:space="preserve"> vykazovaly firmy v Česku v roce 2021 </w:t>
      </w:r>
      <w:r w:rsidRPr="00370CB3">
        <w:rPr>
          <w:rFonts w:ascii="Arial" w:hAnsi="Arial" w:cs="Arial"/>
          <w:sz w:val="20"/>
        </w:rPr>
        <w:t>pátý nejnižší podíl zaměstnanců</w:t>
      </w:r>
      <w:r w:rsidRPr="00F916F4">
        <w:rPr>
          <w:rFonts w:ascii="Arial" w:hAnsi="Arial" w:cs="Arial"/>
          <w:sz w:val="20"/>
        </w:rPr>
        <w:t>, kteří v práci používají internet. Jak bylo uvedeno výše, je tato skutečnost mimo jiné podmíněna strukturou českého hospodářství s vysokým zastoupením zpracovatelského průmyslu. Nejvyšší podíl mezi zaměstnanci používající v práci internet najdeme v podnicích ve Finsku a</w:t>
      </w:r>
      <w:r>
        <w:rPr>
          <w:rFonts w:ascii="Arial" w:hAnsi="Arial" w:cs="Arial"/>
          <w:sz w:val="20"/>
        </w:rPr>
        <w:t> </w:t>
      </w:r>
      <w:r w:rsidRPr="00F916F4">
        <w:rPr>
          <w:rFonts w:ascii="Arial" w:hAnsi="Arial" w:cs="Arial"/>
          <w:sz w:val="20"/>
        </w:rPr>
        <w:t>ve</w:t>
      </w:r>
      <w:r>
        <w:rPr>
          <w:rFonts w:ascii="Arial" w:hAnsi="Arial" w:cs="Arial"/>
          <w:sz w:val="20"/>
        </w:rPr>
        <w:t> </w:t>
      </w:r>
      <w:r w:rsidRPr="00F916F4">
        <w:rPr>
          <w:rFonts w:ascii="Arial" w:hAnsi="Arial" w:cs="Arial"/>
          <w:sz w:val="20"/>
        </w:rPr>
        <w:t>Švédsku. V roce 2021 v nich používalo počítač či jiné zařízení s přístupem na internet téměř 85 % zaměstnanců v jejich podnicích s deseti a více zaměstnanci.</w:t>
      </w:r>
      <w:r>
        <w:rPr>
          <w:rFonts w:ascii="Arial" w:hAnsi="Arial" w:cs="Arial"/>
          <w:sz w:val="20"/>
        </w:rPr>
        <w:t xml:space="preserve"> Pro srovnání v Bulharsku a v Rumunsko byl tento podíl zaměstnanců niž než 40 %.   </w:t>
      </w:r>
      <w:r w:rsidRPr="00F916F4">
        <w:rPr>
          <w:rFonts w:ascii="Arial" w:hAnsi="Arial" w:cs="Arial"/>
          <w:sz w:val="20"/>
        </w:rPr>
        <w:t xml:space="preserve"> </w:t>
      </w:r>
    </w:p>
    <w:p w14:paraId="41DAF63A" w14:textId="1C69A159" w:rsidR="006049EE" w:rsidRPr="00F916F4" w:rsidRDefault="006049EE" w:rsidP="006049EE">
      <w:pPr>
        <w:numPr>
          <w:ilvl w:val="0"/>
          <w:numId w:val="2"/>
        </w:numPr>
        <w:tabs>
          <w:tab w:val="clear" w:pos="360"/>
          <w:tab w:val="num" w:pos="284"/>
        </w:tabs>
        <w:autoSpaceDE w:val="0"/>
        <w:autoSpaceDN w:val="0"/>
        <w:adjustRightInd w:val="0"/>
        <w:spacing w:after="40" w:line="288" w:lineRule="auto"/>
        <w:ind w:left="284" w:hanging="284"/>
        <w:jc w:val="both"/>
        <w:rPr>
          <w:rFonts w:ascii="Arial" w:hAnsi="Arial" w:cs="Arial"/>
          <w:sz w:val="20"/>
        </w:rPr>
      </w:pPr>
      <w:r w:rsidRPr="00F916F4">
        <w:rPr>
          <w:rFonts w:ascii="Arial" w:hAnsi="Arial" w:cs="Arial"/>
          <w:sz w:val="20"/>
        </w:rPr>
        <w:t xml:space="preserve">Firmy v posledních letech poskytují svým zaměstnancům pro pracovní účely čím dál častěji </w:t>
      </w:r>
      <w:r w:rsidRPr="00370CB3">
        <w:rPr>
          <w:rFonts w:ascii="Arial" w:hAnsi="Arial" w:cs="Arial"/>
          <w:b/>
          <w:sz w:val="20"/>
        </w:rPr>
        <w:t>přenosná zařízení s přístupem na internet</w:t>
      </w:r>
      <w:r w:rsidRPr="00F916F4">
        <w:rPr>
          <w:rFonts w:ascii="Arial" w:hAnsi="Arial" w:cs="Arial"/>
          <w:sz w:val="20"/>
        </w:rPr>
        <w:t xml:space="preserve">. Přenosný počítač, tablet či </w:t>
      </w:r>
      <w:proofErr w:type="spellStart"/>
      <w:r w:rsidRPr="00F916F4">
        <w:rPr>
          <w:rFonts w:ascii="Arial" w:hAnsi="Arial" w:cs="Arial"/>
          <w:sz w:val="20"/>
        </w:rPr>
        <w:t>smartphone</w:t>
      </w:r>
      <w:proofErr w:type="spellEnd"/>
      <w:r w:rsidRPr="00F916F4">
        <w:rPr>
          <w:rFonts w:ascii="Arial" w:hAnsi="Arial" w:cs="Arial"/>
          <w:sz w:val="20"/>
        </w:rPr>
        <w:t xml:space="preserve"> s přístupem na internet přes datové sítě mobilních operátorů měla v roce 202</w:t>
      </w:r>
      <w:r>
        <w:rPr>
          <w:rFonts w:ascii="Arial" w:hAnsi="Arial" w:cs="Arial"/>
          <w:sz w:val="20"/>
        </w:rPr>
        <w:t>1</w:t>
      </w:r>
      <w:r w:rsidRPr="00F916F4">
        <w:rPr>
          <w:rFonts w:ascii="Arial" w:hAnsi="Arial" w:cs="Arial"/>
          <w:sz w:val="20"/>
        </w:rPr>
        <w:t xml:space="preserve"> v práci </w:t>
      </w:r>
      <w:r>
        <w:rPr>
          <w:rFonts w:ascii="Arial" w:hAnsi="Arial" w:cs="Arial"/>
          <w:sz w:val="20"/>
        </w:rPr>
        <w:t xml:space="preserve">v Česku </w:t>
      </w:r>
      <w:r w:rsidRPr="00F916F4">
        <w:rPr>
          <w:rFonts w:ascii="Arial" w:hAnsi="Arial" w:cs="Arial"/>
          <w:sz w:val="20"/>
        </w:rPr>
        <w:t>k dispozici téměř třetina zaměstnanců firem s deseti a více zaměstnanci. V roce 201</w:t>
      </w:r>
      <w:r>
        <w:rPr>
          <w:rFonts w:ascii="Arial" w:hAnsi="Arial" w:cs="Arial"/>
          <w:sz w:val="20"/>
        </w:rPr>
        <w:t>7</w:t>
      </w:r>
      <w:r w:rsidRPr="00F916F4">
        <w:rPr>
          <w:rFonts w:ascii="Arial" w:hAnsi="Arial" w:cs="Arial"/>
          <w:sz w:val="20"/>
        </w:rPr>
        <w:t xml:space="preserve"> tuto možnost mohl</w:t>
      </w:r>
      <w:r>
        <w:rPr>
          <w:rFonts w:ascii="Arial" w:hAnsi="Arial" w:cs="Arial"/>
          <w:sz w:val="20"/>
        </w:rPr>
        <w:t>a</w:t>
      </w:r>
      <w:r w:rsidRPr="00F916F4">
        <w:rPr>
          <w:rFonts w:ascii="Arial" w:hAnsi="Arial" w:cs="Arial"/>
          <w:sz w:val="20"/>
        </w:rPr>
        <w:t xml:space="preserve"> využívat </w:t>
      </w:r>
      <w:r>
        <w:rPr>
          <w:rFonts w:ascii="Arial" w:hAnsi="Arial" w:cs="Arial"/>
          <w:sz w:val="20"/>
        </w:rPr>
        <w:t xml:space="preserve">čtvrtina </w:t>
      </w:r>
      <w:r w:rsidRPr="00F916F4">
        <w:rPr>
          <w:rFonts w:ascii="Arial" w:hAnsi="Arial" w:cs="Arial"/>
          <w:sz w:val="20"/>
        </w:rPr>
        <w:t>zaměstnanců a</w:t>
      </w:r>
      <w:r>
        <w:rPr>
          <w:rFonts w:ascii="Arial" w:hAnsi="Arial" w:cs="Arial"/>
          <w:sz w:val="20"/>
        </w:rPr>
        <w:t> </w:t>
      </w:r>
      <w:r w:rsidRPr="00F916F4">
        <w:rPr>
          <w:rFonts w:ascii="Arial" w:hAnsi="Arial" w:cs="Arial"/>
          <w:sz w:val="20"/>
        </w:rPr>
        <w:t>v</w:t>
      </w:r>
      <w:r>
        <w:rPr>
          <w:rFonts w:ascii="Arial" w:hAnsi="Arial" w:cs="Arial"/>
          <w:sz w:val="20"/>
        </w:rPr>
        <w:t> </w:t>
      </w:r>
      <w:r w:rsidRPr="00F916F4">
        <w:rPr>
          <w:rFonts w:ascii="Arial" w:hAnsi="Arial" w:cs="Arial"/>
          <w:sz w:val="20"/>
        </w:rPr>
        <w:t>roce 201</w:t>
      </w:r>
      <w:r>
        <w:rPr>
          <w:rFonts w:ascii="Arial" w:hAnsi="Arial" w:cs="Arial"/>
          <w:sz w:val="20"/>
        </w:rPr>
        <w:t>1</w:t>
      </w:r>
      <w:r w:rsidRPr="00F916F4">
        <w:rPr>
          <w:rFonts w:ascii="Arial" w:hAnsi="Arial" w:cs="Arial"/>
          <w:sz w:val="20"/>
        </w:rPr>
        <w:t xml:space="preserve"> jen cca každý dvacátý. </w:t>
      </w:r>
    </w:p>
    <w:p w14:paraId="0824E325" w14:textId="77777777" w:rsidR="006049EE" w:rsidRPr="007D665F" w:rsidRDefault="006049EE" w:rsidP="006049EE">
      <w:pPr>
        <w:numPr>
          <w:ilvl w:val="0"/>
          <w:numId w:val="2"/>
        </w:numPr>
        <w:tabs>
          <w:tab w:val="clear" w:pos="360"/>
          <w:tab w:val="left" w:pos="284"/>
        </w:tabs>
        <w:autoSpaceDE w:val="0"/>
        <w:autoSpaceDN w:val="0"/>
        <w:adjustRightInd w:val="0"/>
        <w:spacing w:after="40" w:line="288" w:lineRule="auto"/>
        <w:ind w:left="284" w:hanging="284"/>
        <w:jc w:val="both"/>
        <w:rPr>
          <w:rFonts w:ascii="Arial" w:hAnsi="Arial" w:cs="Arial"/>
          <w:sz w:val="20"/>
        </w:rPr>
      </w:pPr>
      <w:r w:rsidRPr="007D665F">
        <w:rPr>
          <w:rFonts w:ascii="Arial" w:hAnsi="Arial" w:cs="Arial"/>
          <w:sz w:val="20"/>
        </w:rPr>
        <w:t xml:space="preserve">Stejně jako v případě počtu zaměstnanců používajících ICT zařízení s přístupem na internet, nalézáme i v případě přenosných zařízení určité </w:t>
      </w:r>
      <w:r w:rsidRPr="007D665F">
        <w:rPr>
          <w:rFonts w:ascii="Arial" w:hAnsi="Arial" w:cs="Arial"/>
          <w:b/>
          <w:sz w:val="20"/>
        </w:rPr>
        <w:t xml:space="preserve">rozdíly v závislosti </w:t>
      </w:r>
      <w:r>
        <w:rPr>
          <w:rFonts w:ascii="Arial" w:hAnsi="Arial" w:cs="Arial"/>
          <w:b/>
          <w:sz w:val="20"/>
        </w:rPr>
        <w:t>na</w:t>
      </w:r>
      <w:r w:rsidRPr="005A21E6">
        <w:rPr>
          <w:rFonts w:ascii="Arial" w:hAnsi="Arial" w:cs="Arial"/>
          <w:b/>
          <w:sz w:val="20"/>
        </w:rPr>
        <w:t xml:space="preserve"> převažující ekonomické činnosti</w:t>
      </w:r>
      <w:r w:rsidRPr="007D665F">
        <w:rPr>
          <w:rFonts w:ascii="Arial" w:hAnsi="Arial" w:cs="Arial"/>
          <w:sz w:val="20"/>
        </w:rPr>
        <w:t xml:space="preserve">. Nejvíce zaměstnanců používajících přenosná zařízení v práci je v sekci CZ-NACE J </w:t>
      </w:r>
      <w:r w:rsidRPr="007D665F">
        <w:rPr>
          <w:rFonts w:ascii="Arial" w:hAnsi="Arial" w:cs="Arial"/>
          <w:i/>
          <w:sz w:val="20"/>
        </w:rPr>
        <w:t>Informační a komunikační činnosti</w:t>
      </w:r>
      <w:r w:rsidRPr="007D665F">
        <w:rPr>
          <w:rFonts w:ascii="Arial" w:hAnsi="Arial" w:cs="Arial"/>
          <w:sz w:val="20"/>
        </w:rPr>
        <w:t xml:space="preserve"> (7</w:t>
      </w:r>
      <w:r>
        <w:rPr>
          <w:rFonts w:ascii="Arial" w:hAnsi="Arial" w:cs="Arial"/>
          <w:sz w:val="20"/>
        </w:rPr>
        <w:t>6</w:t>
      </w:r>
      <w:r w:rsidRPr="007D665F">
        <w:rPr>
          <w:rFonts w:ascii="Arial" w:hAnsi="Arial" w:cs="Arial"/>
          <w:sz w:val="20"/>
        </w:rPr>
        <w:t> %), podle předpokladů především v telekomunikacích (</w:t>
      </w:r>
      <w:r>
        <w:rPr>
          <w:rFonts w:ascii="Arial" w:hAnsi="Arial" w:cs="Arial"/>
          <w:sz w:val="20"/>
        </w:rPr>
        <w:t>90</w:t>
      </w:r>
      <w:r w:rsidRPr="007D665F">
        <w:rPr>
          <w:rFonts w:ascii="Arial" w:hAnsi="Arial" w:cs="Arial"/>
          <w:sz w:val="20"/>
        </w:rPr>
        <w:t> %). Nejmenší podíl zaměstnanců pracujících s přenosnými zařízeními byl v posledním šetření v textilním průmyslu (1</w:t>
      </w:r>
      <w:r>
        <w:rPr>
          <w:rFonts w:ascii="Arial" w:hAnsi="Arial" w:cs="Arial"/>
          <w:sz w:val="20"/>
        </w:rPr>
        <w:t>6</w:t>
      </w:r>
      <w:r w:rsidRPr="007D665F">
        <w:rPr>
          <w:rFonts w:ascii="Arial" w:hAnsi="Arial" w:cs="Arial"/>
          <w:sz w:val="20"/>
        </w:rPr>
        <w:t> %), v ostatních administrativních a</w:t>
      </w:r>
      <w:r>
        <w:rPr>
          <w:rFonts w:ascii="Arial" w:hAnsi="Arial" w:cs="Arial"/>
          <w:sz w:val="20"/>
        </w:rPr>
        <w:t> </w:t>
      </w:r>
      <w:r w:rsidRPr="007D665F">
        <w:rPr>
          <w:rFonts w:ascii="Arial" w:hAnsi="Arial" w:cs="Arial"/>
          <w:sz w:val="20"/>
        </w:rPr>
        <w:t>podpůrných činnostech (17 %) a ve stravování a pohostinství (1</w:t>
      </w:r>
      <w:r>
        <w:rPr>
          <w:rFonts w:ascii="Arial" w:hAnsi="Arial" w:cs="Arial"/>
          <w:sz w:val="20"/>
        </w:rPr>
        <w:t>9</w:t>
      </w:r>
      <w:r w:rsidRPr="007D665F">
        <w:rPr>
          <w:rFonts w:ascii="Arial" w:hAnsi="Arial" w:cs="Arial"/>
          <w:sz w:val="20"/>
        </w:rPr>
        <w:t> %).</w:t>
      </w:r>
    </w:p>
    <w:p w14:paraId="0A2AC548" w14:textId="77777777" w:rsidR="006049EE" w:rsidRPr="006049EE" w:rsidRDefault="006049EE" w:rsidP="006049EE">
      <w:pPr>
        <w:numPr>
          <w:ilvl w:val="0"/>
          <w:numId w:val="2"/>
        </w:numPr>
        <w:tabs>
          <w:tab w:val="clear" w:pos="360"/>
          <w:tab w:val="num" w:pos="284"/>
        </w:tabs>
        <w:autoSpaceDE w:val="0"/>
        <w:autoSpaceDN w:val="0"/>
        <w:adjustRightInd w:val="0"/>
        <w:spacing w:after="60"/>
        <w:ind w:left="284" w:hanging="284"/>
        <w:jc w:val="both"/>
        <w:rPr>
          <w:rFonts w:ascii="Arial" w:hAnsi="Arial" w:cs="Arial"/>
          <w:spacing w:val="-6"/>
          <w:sz w:val="20"/>
        </w:rPr>
      </w:pPr>
      <w:r w:rsidRPr="006049EE">
        <w:rPr>
          <w:rFonts w:ascii="Arial" w:hAnsi="Arial" w:cs="Arial"/>
          <w:spacing w:val="-6"/>
          <w:sz w:val="20"/>
        </w:rPr>
        <w:lastRenderedPageBreak/>
        <w:t xml:space="preserve">V evropském srovnání počtu zaměstnanců používajících v práci přenosná zařízení s přístupem na internet přes mobilní sítě byly </w:t>
      </w:r>
      <w:r w:rsidRPr="006049EE">
        <w:rPr>
          <w:rFonts w:ascii="Arial" w:hAnsi="Arial" w:cs="Arial"/>
          <w:b/>
          <w:spacing w:val="-6"/>
          <w:sz w:val="20"/>
        </w:rPr>
        <w:t>české podniky za rok 2021 na nadprůměrném devátém místě</w:t>
      </w:r>
      <w:r w:rsidRPr="006049EE">
        <w:rPr>
          <w:rFonts w:ascii="Arial" w:hAnsi="Arial" w:cs="Arial"/>
          <w:spacing w:val="-6"/>
          <w:sz w:val="20"/>
        </w:rPr>
        <w:t xml:space="preserve">. Jednalo se ale o nepovinně zařazený ukazatel, a proto nejsou pro srovnání dostupná data za řadu zemí. I v tomto případě jsou rozdíly mezi státy Unie ovlivněny nejen celkovou vyspělostí jednotlivých ekonomik a pokroku v digitalizaci či automatizaci v podnikové sféře, ale z významné části také velikostní a odvětvovou skladbou podniků v ekonomice. </w:t>
      </w:r>
    </w:p>
    <w:p w14:paraId="25DF0F88" w14:textId="77777777" w:rsidR="006049EE" w:rsidRPr="0071362F" w:rsidRDefault="006049EE" w:rsidP="006049EE">
      <w:pPr>
        <w:pStyle w:val="Odstavecseseznamem"/>
        <w:numPr>
          <w:ilvl w:val="0"/>
          <w:numId w:val="2"/>
        </w:numPr>
        <w:tabs>
          <w:tab w:val="clear" w:pos="360"/>
          <w:tab w:val="num" w:pos="284"/>
        </w:tabs>
        <w:spacing w:after="60"/>
        <w:ind w:left="284" w:hanging="284"/>
        <w:jc w:val="both"/>
        <w:rPr>
          <w:rFonts w:ascii="Arial" w:hAnsi="Arial" w:cs="Arial"/>
          <w:spacing w:val="-6"/>
          <w:sz w:val="20"/>
        </w:rPr>
      </w:pPr>
      <w:r w:rsidRPr="0071362F">
        <w:rPr>
          <w:rFonts w:ascii="Arial" w:hAnsi="Arial" w:cs="Arial"/>
          <w:spacing w:val="-6"/>
          <w:sz w:val="20"/>
        </w:rPr>
        <w:t xml:space="preserve">V období </w:t>
      </w:r>
      <w:r w:rsidRPr="0071362F">
        <w:rPr>
          <w:rFonts w:ascii="Arial" w:hAnsi="Arial" w:cs="Arial"/>
          <w:b/>
          <w:spacing w:val="-6"/>
          <w:sz w:val="20"/>
        </w:rPr>
        <w:t>pandemie pracovalo z domova 12 % zaměstnanců</w:t>
      </w:r>
      <w:r w:rsidRPr="0071362F">
        <w:rPr>
          <w:rFonts w:ascii="Arial" w:hAnsi="Arial" w:cs="Arial"/>
          <w:spacing w:val="-6"/>
          <w:sz w:val="20"/>
        </w:rPr>
        <w:t xml:space="preserve"> podniků s 10 a více zaměstnanci. Nejvíce zaměstnanců na </w:t>
      </w:r>
      <w:proofErr w:type="spellStart"/>
      <w:r w:rsidRPr="0071362F">
        <w:rPr>
          <w:rFonts w:ascii="Arial" w:hAnsi="Arial" w:cs="Arial"/>
          <w:spacing w:val="-6"/>
          <w:sz w:val="20"/>
        </w:rPr>
        <w:t>home</w:t>
      </w:r>
      <w:proofErr w:type="spellEnd"/>
      <w:r w:rsidRPr="0071362F">
        <w:rPr>
          <w:rFonts w:ascii="Arial" w:hAnsi="Arial" w:cs="Arial"/>
          <w:spacing w:val="-6"/>
          <w:sz w:val="20"/>
        </w:rPr>
        <w:t xml:space="preserve"> </w:t>
      </w:r>
      <w:proofErr w:type="spellStart"/>
      <w:r w:rsidRPr="0071362F">
        <w:rPr>
          <w:rFonts w:ascii="Arial" w:hAnsi="Arial" w:cs="Arial"/>
          <w:spacing w:val="-6"/>
          <w:sz w:val="20"/>
        </w:rPr>
        <w:t>office</w:t>
      </w:r>
      <w:proofErr w:type="spellEnd"/>
      <w:r w:rsidRPr="0071362F">
        <w:rPr>
          <w:rFonts w:ascii="Arial" w:hAnsi="Arial" w:cs="Arial"/>
          <w:spacing w:val="-6"/>
          <w:sz w:val="20"/>
        </w:rPr>
        <w:t xml:space="preserve"> bylo v době pandemie </w:t>
      </w:r>
      <w:r w:rsidRPr="0071362F">
        <w:rPr>
          <w:rFonts w:ascii="Arial" w:hAnsi="Arial" w:cs="Arial"/>
          <w:b/>
          <w:spacing w:val="-6"/>
          <w:sz w:val="20"/>
        </w:rPr>
        <w:t>ve velkých podnicích</w:t>
      </w:r>
      <w:r w:rsidRPr="0071362F">
        <w:rPr>
          <w:rFonts w:ascii="Arial" w:hAnsi="Arial" w:cs="Arial"/>
          <w:spacing w:val="-6"/>
          <w:sz w:val="20"/>
        </w:rPr>
        <w:t xml:space="preserve"> s 250 a více zaměstnanci (21 %). Práci na dálku využívali podle údajů ČSÚ </w:t>
      </w:r>
      <w:r w:rsidRPr="0071362F">
        <w:rPr>
          <w:rFonts w:ascii="Arial" w:hAnsi="Arial" w:cs="Arial"/>
          <w:b/>
          <w:spacing w:val="-6"/>
          <w:sz w:val="20"/>
        </w:rPr>
        <w:t>nejvíce zaměstnanci v odvětví telekomunikační činnosti</w:t>
      </w:r>
      <w:r w:rsidRPr="0071362F">
        <w:rPr>
          <w:rFonts w:ascii="Arial" w:hAnsi="Arial" w:cs="Arial"/>
          <w:spacing w:val="-6"/>
          <w:sz w:val="20"/>
        </w:rPr>
        <w:t xml:space="preserve"> (69 % ze všech zaměstnanců v tomto odvětví), dále pak zaměstnanci </w:t>
      </w:r>
      <w:r w:rsidRPr="0071362F">
        <w:rPr>
          <w:rFonts w:ascii="Arial" w:hAnsi="Arial" w:cs="Arial"/>
          <w:b/>
          <w:spacing w:val="-6"/>
          <w:sz w:val="20"/>
        </w:rPr>
        <w:t>z mediálního sektoru</w:t>
      </w:r>
      <w:r w:rsidRPr="0071362F">
        <w:rPr>
          <w:rFonts w:ascii="Arial" w:hAnsi="Arial" w:cs="Arial"/>
          <w:spacing w:val="-6"/>
          <w:sz w:val="20"/>
        </w:rPr>
        <w:t xml:space="preserve"> (59 %), nebo zaměstnanci </w:t>
      </w:r>
      <w:r w:rsidRPr="0071362F">
        <w:rPr>
          <w:rFonts w:ascii="Arial" w:hAnsi="Arial" w:cs="Arial"/>
          <w:b/>
          <w:spacing w:val="-6"/>
          <w:sz w:val="20"/>
        </w:rPr>
        <w:t>z oboru IT</w:t>
      </w:r>
      <w:r w:rsidRPr="0071362F">
        <w:rPr>
          <w:rFonts w:ascii="Arial" w:hAnsi="Arial" w:cs="Arial"/>
          <w:spacing w:val="-6"/>
          <w:sz w:val="20"/>
        </w:rPr>
        <w:t xml:space="preserve"> (53 %). Nejméně zaměstnanců, kteří pracovali z domova, je z odvětví stravování a pohostinství (2 %), dále pak zaměstnanci z textilního, kožedělného a obuvnického průmyslu (3 %) nebo z ubytování (5 %).</w:t>
      </w:r>
    </w:p>
    <w:p w14:paraId="7963ACF8" w14:textId="77777777" w:rsidR="006049EE" w:rsidRPr="00B043AB" w:rsidRDefault="006049EE" w:rsidP="006049EE">
      <w:pPr>
        <w:pStyle w:val="Odstavecseseznamem"/>
        <w:numPr>
          <w:ilvl w:val="0"/>
          <w:numId w:val="2"/>
        </w:numPr>
        <w:tabs>
          <w:tab w:val="clear" w:pos="360"/>
          <w:tab w:val="num" w:pos="284"/>
        </w:tabs>
        <w:spacing w:after="60"/>
        <w:ind w:left="284" w:hanging="284"/>
        <w:jc w:val="both"/>
        <w:rPr>
          <w:rFonts w:ascii="Arial" w:hAnsi="Arial" w:cs="Arial"/>
          <w:sz w:val="20"/>
        </w:rPr>
      </w:pPr>
      <w:r w:rsidRPr="00B043AB">
        <w:rPr>
          <w:rFonts w:ascii="Arial" w:hAnsi="Arial" w:cs="Arial"/>
          <w:sz w:val="20"/>
        </w:rPr>
        <w:t xml:space="preserve">Aby bylo možné pracovat s firemními aplikacemi nebo daty, </w:t>
      </w:r>
      <w:r w:rsidRPr="00B043AB">
        <w:rPr>
          <w:rFonts w:ascii="Arial" w:hAnsi="Arial" w:cs="Arial"/>
          <w:b/>
          <w:sz w:val="20"/>
        </w:rPr>
        <w:t>umožňuje řada firem svým zaměstnancům vzdálený přístup přes internet</w:t>
      </w:r>
      <w:r w:rsidRPr="00B043AB">
        <w:rPr>
          <w:rFonts w:ascii="Arial" w:hAnsi="Arial" w:cs="Arial"/>
          <w:sz w:val="20"/>
        </w:rPr>
        <w:t xml:space="preserve">. Mohou se tak prakticky odkudkoli přes internet nebo např. přes zabezpečenou VPN síť dostat ke svému pracovnímu e-mailu, ale i k dokumentům či pracovním souborům a v neposlední řadě i k aplikacím firmy nebo informačním systémům. </w:t>
      </w:r>
    </w:p>
    <w:p w14:paraId="7FEF9AC1" w14:textId="77777777" w:rsidR="006049EE" w:rsidRDefault="006049EE" w:rsidP="006049EE">
      <w:pPr>
        <w:numPr>
          <w:ilvl w:val="0"/>
          <w:numId w:val="2"/>
        </w:numPr>
        <w:tabs>
          <w:tab w:val="clear" w:pos="360"/>
          <w:tab w:val="left" w:pos="284"/>
        </w:tabs>
        <w:autoSpaceDE w:val="0"/>
        <w:autoSpaceDN w:val="0"/>
        <w:adjustRightInd w:val="0"/>
        <w:spacing w:after="0" w:line="288" w:lineRule="auto"/>
        <w:ind w:left="284" w:hanging="284"/>
        <w:jc w:val="both"/>
        <w:rPr>
          <w:rFonts w:ascii="Arial" w:hAnsi="Arial" w:cs="Arial"/>
          <w:sz w:val="20"/>
        </w:rPr>
      </w:pPr>
      <w:r>
        <w:rPr>
          <w:rFonts w:ascii="Arial" w:hAnsi="Arial" w:cs="Arial"/>
          <w:sz w:val="20"/>
        </w:rPr>
        <w:t xml:space="preserve">Vzdálený přístup k pracovním dokumentům nebo firemním aplikacím mělo v roce 2021 průměrně 17% zaměstnanců podniků s 10 a více zaměstnanci, nejčastěji zaměstnanci velkých podniků s více než 250 zaměstnanci (29 % zaměstnanců). Možnost pracovat z domova do jisté míry závisí na tom, zda firma zaměstnancům zajistí, aby se vzdáleně dostali např. na jejich pracovní disk nebo třeba na intranet.   Odvětví, kde má nejvíce zaměstnanců vzdálený přístup k pracovním souborům nebo firemním aplikacím proto korespondují s odvětvími, které nejčastěji umožnují zaměstnancům pracovat z domova. </w:t>
      </w:r>
    </w:p>
    <w:p w14:paraId="2610D746" w14:textId="77777777" w:rsidR="006049EE" w:rsidRPr="003F4A56" w:rsidRDefault="006049EE" w:rsidP="006049EE">
      <w:pPr>
        <w:numPr>
          <w:ilvl w:val="0"/>
          <w:numId w:val="2"/>
        </w:numPr>
        <w:tabs>
          <w:tab w:val="clear" w:pos="360"/>
          <w:tab w:val="left" w:pos="284"/>
        </w:tabs>
        <w:autoSpaceDE w:val="0"/>
        <w:autoSpaceDN w:val="0"/>
        <w:adjustRightInd w:val="0"/>
        <w:spacing w:after="0" w:line="288" w:lineRule="auto"/>
        <w:ind w:left="284" w:hanging="284"/>
        <w:jc w:val="both"/>
        <w:rPr>
          <w:rFonts w:ascii="Arial" w:hAnsi="Arial" w:cs="Arial"/>
          <w:sz w:val="20"/>
        </w:rPr>
      </w:pPr>
      <w:r>
        <w:rPr>
          <w:rFonts w:ascii="Arial" w:hAnsi="Arial" w:cs="Arial"/>
          <w:sz w:val="20"/>
        </w:rPr>
        <w:t xml:space="preserve">Vzdálený přístup využívají nejčastěji zaměstnanci z odvětví </w:t>
      </w:r>
      <w:r w:rsidRPr="006049EE">
        <w:rPr>
          <w:rFonts w:ascii="Arial" w:hAnsi="Arial" w:cs="Arial"/>
          <w:b/>
          <w:sz w:val="20"/>
        </w:rPr>
        <w:t>telekomunikační činnosti</w:t>
      </w:r>
      <w:r>
        <w:rPr>
          <w:rFonts w:ascii="Arial" w:hAnsi="Arial" w:cs="Arial"/>
          <w:sz w:val="20"/>
        </w:rPr>
        <w:t xml:space="preserve"> (89 %),</w:t>
      </w:r>
      <w:r w:rsidRPr="001E7293">
        <w:rPr>
          <w:rFonts w:ascii="Arial" w:hAnsi="Arial" w:cs="Arial"/>
          <w:sz w:val="20"/>
        </w:rPr>
        <w:t xml:space="preserve"> </w:t>
      </w:r>
      <w:r w:rsidRPr="00B043AB">
        <w:rPr>
          <w:rFonts w:ascii="Arial" w:hAnsi="Arial" w:cs="Arial"/>
          <w:sz w:val="20"/>
        </w:rPr>
        <w:t xml:space="preserve">dále pak </w:t>
      </w:r>
      <w:r w:rsidRPr="001E7293">
        <w:rPr>
          <w:rFonts w:ascii="Arial" w:hAnsi="Arial" w:cs="Arial"/>
          <w:sz w:val="20"/>
        </w:rPr>
        <w:t>zaměstnanci z </w:t>
      </w:r>
      <w:r w:rsidRPr="006049EE">
        <w:rPr>
          <w:rFonts w:ascii="Arial" w:hAnsi="Arial" w:cs="Arial"/>
          <w:b/>
          <w:sz w:val="20"/>
        </w:rPr>
        <w:t>mediálního sektoru</w:t>
      </w:r>
      <w:r w:rsidRPr="00B043AB">
        <w:rPr>
          <w:rFonts w:ascii="Arial" w:hAnsi="Arial" w:cs="Arial"/>
          <w:sz w:val="20"/>
        </w:rPr>
        <w:t xml:space="preserve"> (</w:t>
      </w:r>
      <w:r>
        <w:rPr>
          <w:rFonts w:ascii="Arial" w:hAnsi="Arial" w:cs="Arial"/>
          <w:sz w:val="20"/>
        </w:rPr>
        <w:t>67</w:t>
      </w:r>
      <w:r w:rsidRPr="00B043AB">
        <w:rPr>
          <w:rFonts w:ascii="Arial" w:hAnsi="Arial" w:cs="Arial"/>
          <w:sz w:val="20"/>
        </w:rPr>
        <w:t xml:space="preserve"> %), nebo zaměstnanci </w:t>
      </w:r>
      <w:r w:rsidRPr="00B043AB">
        <w:rPr>
          <w:rFonts w:ascii="Arial" w:hAnsi="Arial" w:cs="Arial"/>
          <w:b/>
          <w:sz w:val="20"/>
        </w:rPr>
        <w:t>z oboru IT</w:t>
      </w:r>
      <w:r w:rsidRPr="00B043AB">
        <w:rPr>
          <w:rFonts w:ascii="Arial" w:hAnsi="Arial" w:cs="Arial"/>
          <w:sz w:val="20"/>
        </w:rPr>
        <w:t xml:space="preserve"> (5</w:t>
      </w:r>
      <w:r>
        <w:rPr>
          <w:rFonts w:ascii="Arial" w:hAnsi="Arial" w:cs="Arial"/>
          <w:sz w:val="20"/>
        </w:rPr>
        <w:t>5</w:t>
      </w:r>
      <w:r w:rsidRPr="00B043AB">
        <w:rPr>
          <w:rFonts w:ascii="Arial" w:hAnsi="Arial" w:cs="Arial"/>
          <w:sz w:val="20"/>
        </w:rPr>
        <w:t xml:space="preserve"> %).</w:t>
      </w:r>
      <w:r>
        <w:rPr>
          <w:rFonts w:ascii="Arial" w:hAnsi="Arial" w:cs="Arial"/>
          <w:sz w:val="20"/>
        </w:rPr>
        <w:t xml:space="preserve"> </w:t>
      </w:r>
    </w:p>
    <w:p w14:paraId="1D7516D1" w14:textId="77777777" w:rsidR="00481EBE" w:rsidRPr="00452667" w:rsidRDefault="00481EBE" w:rsidP="000F1D7F">
      <w:pPr>
        <w:tabs>
          <w:tab w:val="left" w:pos="360"/>
        </w:tabs>
        <w:autoSpaceDE w:val="0"/>
        <w:autoSpaceDN w:val="0"/>
        <w:adjustRightInd w:val="0"/>
        <w:spacing w:before="240" w:after="120" w:line="240" w:lineRule="auto"/>
        <w:jc w:val="both"/>
        <w:rPr>
          <w:rFonts w:ascii="Arial" w:hAnsi="Arial" w:cs="Arial"/>
          <w:b/>
          <w:spacing w:val="-10"/>
          <w:sz w:val="20"/>
        </w:rPr>
      </w:pPr>
      <w:r w:rsidRPr="00452667">
        <w:rPr>
          <w:rFonts w:ascii="Arial" w:hAnsi="Arial" w:cs="Arial"/>
          <w:b/>
          <w:spacing w:val="-10"/>
          <w:sz w:val="20"/>
        </w:rPr>
        <w:t xml:space="preserve">Tab. </w:t>
      </w:r>
      <w:r w:rsidR="00452667" w:rsidRPr="00452667">
        <w:rPr>
          <w:rFonts w:ascii="Arial" w:hAnsi="Arial" w:cs="Arial"/>
          <w:b/>
          <w:spacing w:val="-10"/>
          <w:sz w:val="20"/>
        </w:rPr>
        <w:t>12</w:t>
      </w:r>
      <w:r w:rsidRPr="00452667">
        <w:rPr>
          <w:rFonts w:ascii="Arial" w:hAnsi="Arial" w:cs="Arial"/>
          <w:b/>
          <w:spacing w:val="-10"/>
          <w:sz w:val="20"/>
        </w:rPr>
        <w:t xml:space="preserve">.1: Zaměstnanci </w:t>
      </w:r>
      <w:r w:rsidR="00452667" w:rsidRPr="00452667">
        <w:rPr>
          <w:rFonts w:ascii="Arial" w:hAnsi="Arial" w:cs="Arial"/>
          <w:b/>
          <w:spacing w:val="-10"/>
          <w:sz w:val="20"/>
        </w:rPr>
        <w:t>podniků</w:t>
      </w:r>
      <w:r w:rsidRPr="00452667">
        <w:rPr>
          <w:rFonts w:ascii="Arial" w:hAnsi="Arial" w:cs="Arial"/>
          <w:b/>
          <w:spacing w:val="-10"/>
          <w:sz w:val="20"/>
        </w:rPr>
        <w:t xml:space="preserve"> </w:t>
      </w:r>
      <w:r w:rsidR="008B60E1" w:rsidRPr="00452667">
        <w:rPr>
          <w:rFonts w:ascii="Arial" w:hAnsi="Arial" w:cs="Arial"/>
          <w:b/>
          <w:spacing w:val="-10"/>
          <w:sz w:val="20"/>
        </w:rPr>
        <w:t xml:space="preserve">s 10 a více zaměstnanci </w:t>
      </w:r>
      <w:r w:rsidRPr="00452667">
        <w:rPr>
          <w:rFonts w:ascii="Arial" w:hAnsi="Arial" w:cs="Arial"/>
          <w:b/>
          <w:spacing w:val="-10"/>
          <w:sz w:val="20"/>
        </w:rPr>
        <w:t>v</w:t>
      </w:r>
      <w:r w:rsidR="008B60E1" w:rsidRPr="00452667">
        <w:rPr>
          <w:rFonts w:ascii="Arial" w:hAnsi="Arial" w:cs="Arial"/>
          <w:b/>
          <w:spacing w:val="-10"/>
          <w:sz w:val="20"/>
        </w:rPr>
        <w:t> </w:t>
      </w:r>
      <w:r w:rsidRPr="00452667">
        <w:rPr>
          <w:rFonts w:ascii="Arial" w:hAnsi="Arial" w:cs="Arial"/>
          <w:b/>
          <w:spacing w:val="-10"/>
          <w:sz w:val="20"/>
        </w:rPr>
        <w:t>ČR</w:t>
      </w:r>
      <w:r w:rsidR="008B60E1" w:rsidRPr="00452667">
        <w:rPr>
          <w:rFonts w:ascii="Arial" w:hAnsi="Arial" w:cs="Arial"/>
          <w:b/>
          <w:spacing w:val="-10"/>
          <w:sz w:val="20"/>
        </w:rPr>
        <w:t xml:space="preserve">, kteří </w:t>
      </w:r>
      <w:r w:rsidRPr="00452667">
        <w:rPr>
          <w:rFonts w:ascii="Arial" w:hAnsi="Arial" w:cs="Arial"/>
          <w:b/>
          <w:spacing w:val="-10"/>
          <w:sz w:val="20"/>
        </w:rPr>
        <w:t>používají v práci počítač a jiná ICT v</w:t>
      </w:r>
      <w:r w:rsidR="008B60E1" w:rsidRPr="00452667">
        <w:rPr>
          <w:rFonts w:ascii="Arial" w:hAnsi="Arial" w:cs="Arial"/>
          <w:b/>
          <w:spacing w:val="-10"/>
          <w:sz w:val="20"/>
        </w:rPr>
        <w:t> </w:t>
      </w:r>
      <w:r w:rsidRPr="00452667">
        <w:rPr>
          <w:rFonts w:ascii="Arial" w:hAnsi="Arial" w:cs="Arial"/>
          <w:b/>
          <w:spacing w:val="-10"/>
          <w:sz w:val="20"/>
        </w:rPr>
        <w:t>r</w:t>
      </w:r>
      <w:r w:rsidR="008B60E1" w:rsidRPr="00452667">
        <w:rPr>
          <w:rFonts w:ascii="Arial" w:hAnsi="Arial" w:cs="Arial"/>
          <w:b/>
          <w:spacing w:val="-10"/>
          <w:sz w:val="20"/>
        </w:rPr>
        <w:t xml:space="preserve">. </w:t>
      </w:r>
      <w:r w:rsidRPr="00452667">
        <w:rPr>
          <w:rFonts w:ascii="Arial" w:hAnsi="Arial" w:cs="Arial"/>
          <w:b/>
          <w:spacing w:val="-10"/>
          <w:sz w:val="20"/>
        </w:rPr>
        <w:t>202</w:t>
      </w:r>
      <w:r w:rsidR="00452667" w:rsidRPr="00452667">
        <w:rPr>
          <w:rFonts w:ascii="Arial" w:hAnsi="Arial" w:cs="Arial"/>
          <w:b/>
          <w:spacing w:val="-10"/>
          <w:sz w:val="20"/>
        </w:rPr>
        <w:t>1</w:t>
      </w:r>
      <w:r w:rsidRPr="00452667">
        <w:rPr>
          <w:rFonts w:ascii="Arial" w:hAnsi="Arial" w:cs="Arial"/>
          <w:b/>
          <w:spacing w:val="-10"/>
          <w:sz w:val="20"/>
        </w:rPr>
        <w:t xml:space="preserve"> </w:t>
      </w:r>
    </w:p>
    <w:tbl>
      <w:tblPr>
        <w:tblW w:w="9781" w:type="dxa"/>
        <w:tblInd w:w="70" w:type="dxa"/>
        <w:tblCellMar>
          <w:left w:w="70" w:type="dxa"/>
          <w:right w:w="70" w:type="dxa"/>
        </w:tblCellMar>
        <w:tblLook w:val="04A0" w:firstRow="1" w:lastRow="0" w:firstColumn="1" w:lastColumn="0" w:noHBand="0" w:noVBand="1"/>
      </w:tblPr>
      <w:tblGrid>
        <w:gridCol w:w="3402"/>
        <w:gridCol w:w="1426"/>
        <w:gridCol w:w="1427"/>
        <w:gridCol w:w="1258"/>
        <w:gridCol w:w="1101"/>
        <w:gridCol w:w="1167"/>
      </w:tblGrid>
      <w:tr w:rsidR="0010460E" w:rsidRPr="0010460E" w14:paraId="754E99E4" w14:textId="77777777" w:rsidTr="0010460E">
        <w:trPr>
          <w:trHeight w:val="300"/>
        </w:trPr>
        <w:tc>
          <w:tcPr>
            <w:tcW w:w="3402" w:type="dxa"/>
            <w:vMerge w:val="restart"/>
            <w:tcBorders>
              <w:top w:val="single" w:sz="8" w:space="0" w:color="969696"/>
              <w:left w:val="nil"/>
              <w:bottom w:val="nil"/>
              <w:right w:val="single" w:sz="4" w:space="0" w:color="969696"/>
            </w:tcBorders>
            <w:shd w:val="clear" w:color="auto" w:fill="auto"/>
            <w:noWrap/>
            <w:vAlign w:val="bottom"/>
            <w:hideMark/>
          </w:tcPr>
          <w:p w14:paraId="2FF9166F" w14:textId="77777777" w:rsidR="0010460E" w:rsidRPr="0010460E" w:rsidRDefault="0010460E" w:rsidP="0010460E">
            <w:pPr>
              <w:spacing w:after="0" w:line="240" w:lineRule="auto"/>
              <w:jc w:val="center"/>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 </w:t>
            </w:r>
          </w:p>
        </w:tc>
        <w:tc>
          <w:tcPr>
            <w:tcW w:w="2853" w:type="dxa"/>
            <w:gridSpan w:val="2"/>
            <w:tcBorders>
              <w:top w:val="single" w:sz="8" w:space="0" w:color="969696"/>
              <w:left w:val="nil"/>
              <w:bottom w:val="single" w:sz="4" w:space="0" w:color="969696"/>
              <w:right w:val="nil"/>
            </w:tcBorders>
            <w:shd w:val="clear" w:color="auto" w:fill="auto"/>
            <w:vAlign w:val="center"/>
            <w:hideMark/>
          </w:tcPr>
          <w:p w14:paraId="01DE773F" w14:textId="77777777" w:rsidR="0010460E" w:rsidRPr="0010460E" w:rsidRDefault="0010460E" w:rsidP="0010460E">
            <w:pPr>
              <w:spacing w:after="0" w:line="240" w:lineRule="auto"/>
              <w:jc w:val="center"/>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zaměstnanci používající v práci</w:t>
            </w:r>
          </w:p>
        </w:tc>
        <w:tc>
          <w:tcPr>
            <w:tcW w:w="1258" w:type="dxa"/>
            <w:vMerge w:val="restart"/>
            <w:tcBorders>
              <w:top w:val="single" w:sz="8" w:space="0" w:color="969696"/>
              <w:left w:val="single" w:sz="4" w:space="0" w:color="969696"/>
              <w:bottom w:val="single" w:sz="4" w:space="0" w:color="969696"/>
              <w:right w:val="single" w:sz="4" w:space="0" w:color="969696"/>
            </w:tcBorders>
            <w:shd w:val="clear" w:color="auto" w:fill="auto"/>
            <w:vAlign w:val="center"/>
            <w:hideMark/>
          </w:tcPr>
          <w:p w14:paraId="4E9153F9" w14:textId="77777777" w:rsidR="0010460E" w:rsidRPr="0010460E" w:rsidRDefault="000D684D" w:rsidP="0010460E">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w:t>
            </w:r>
            <w:r w:rsidR="0010460E" w:rsidRPr="0010460E">
              <w:rPr>
                <w:rFonts w:ascii="Arial" w:eastAsia="Times New Roman" w:hAnsi="Arial" w:cs="Arial"/>
                <w:color w:val="000000"/>
                <w:sz w:val="16"/>
                <w:szCs w:val="16"/>
                <w:lang w:eastAsia="cs-CZ"/>
              </w:rPr>
              <w:t xml:space="preserve">aměstnanci, kteří mají vzdálený přístup k firemním dokumentům, souborům nebo aplikacím </w:t>
            </w:r>
          </w:p>
        </w:tc>
        <w:tc>
          <w:tcPr>
            <w:tcW w:w="1101" w:type="dxa"/>
            <w:vMerge w:val="restart"/>
            <w:tcBorders>
              <w:top w:val="single" w:sz="8" w:space="0" w:color="969696"/>
              <w:left w:val="single" w:sz="4" w:space="0" w:color="969696"/>
              <w:bottom w:val="single" w:sz="4" w:space="0" w:color="969696"/>
              <w:right w:val="single" w:sz="4" w:space="0" w:color="969696"/>
            </w:tcBorders>
            <w:shd w:val="clear" w:color="auto" w:fill="auto"/>
            <w:vAlign w:val="center"/>
            <w:hideMark/>
          </w:tcPr>
          <w:p w14:paraId="384F581E" w14:textId="77777777" w:rsidR="0010460E" w:rsidRPr="0010460E" w:rsidRDefault="000D684D" w:rsidP="0010460E">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w:t>
            </w:r>
            <w:r w:rsidR="0010460E" w:rsidRPr="0010460E">
              <w:rPr>
                <w:rFonts w:ascii="Arial" w:eastAsia="Times New Roman" w:hAnsi="Arial" w:cs="Arial"/>
                <w:color w:val="000000"/>
                <w:sz w:val="16"/>
                <w:szCs w:val="16"/>
                <w:lang w:eastAsia="cs-CZ"/>
              </w:rPr>
              <w:t>aměstnanci, kteří mohou alespoň někdy pracovat z domova</w:t>
            </w:r>
          </w:p>
        </w:tc>
        <w:tc>
          <w:tcPr>
            <w:tcW w:w="1167" w:type="dxa"/>
            <w:vMerge w:val="restart"/>
            <w:tcBorders>
              <w:top w:val="single" w:sz="8" w:space="0" w:color="969696"/>
              <w:left w:val="single" w:sz="4" w:space="0" w:color="969696"/>
              <w:bottom w:val="single" w:sz="4" w:space="0" w:color="969696"/>
              <w:right w:val="nil"/>
            </w:tcBorders>
            <w:shd w:val="clear" w:color="auto" w:fill="auto"/>
            <w:vAlign w:val="center"/>
            <w:hideMark/>
          </w:tcPr>
          <w:p w14:paraId="56F44D84" w14:textId="77777777" w:rsidR="0010460E" w:rsidRPr="0010460E" w:rsidRDefault="000D684D" w:rsidP="0010460E">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z</w:t>
            </w:r>
            <w:r w:rsidR="0010460E" w:rsidRPr="0010460E">
              <w:rPr>
                <w:rFonts w:ascii="Arial" w:eastAsia="Times New Roman" w:hAnsi="Arial" w:cs="Arial"/>
                <w:color w:val="000000"/>
                <w:sz w:val="16"/>
                <w:szCs w:val="16"/>
                <w:lang w:eastAsia="cs-CZ"/>
              </w:rPr>
              <w:t>aměstnanci, kteří mohli pracovat z domova v období pandemie covid-19</w:t>
            </w:r>
          </w:p>
        </w:tc>
      </w:tr>
      <w:tr w:rsidR="0010460E" w:rsidRPr="0010460E" w14:paraId="1DFE59B0" w14:textId="77777777" w:rsidTr="0010460E">
        <w:trPr>
          <w:trHeight w:val="270"/>
        </w:trPr>
        <w:tc>
          <w:tcPr>
            <w:tcW w:w="3402" w:type="dxa"/>
            <w:vMerge/>
            <w:tcBorders>
              <w:top w:val="single" w:sz="8" w:space="0" w:color="969696"/>
              <w:left w:val="nil"/>
              <w:bottom w:val="nil"/>
              <w:right w:val="single" w:sz="4" w:space="0" w:color="969696"/>
            </w:tcBorders>
            <w:vAlign w:val="center"/>
            <w:hideMark/>
          </w:tcPr>
          <w:p w14:paraId="6372B0F8" w14:textId="77777777" w:rsidR="0010460E" w:rsidRPr="0010460E" w:rsidRDefault="0010460E" w:rsidP="0010460E">
            <w:pPr>
              <w:spacing w:after="0" w:line="240" w:lineRule="auto"/>
              <w:rPr>
                <w:rFonts w:ascii="Arial" w:eastAsia="Times New Roman" w:hAnsi="Arial" w:cs="Arial"/>
                <w:b/>
                <w:bCs/>
                <w:color w:val="000000"/>
                <w:sz w:val="16"/>
                <w:szCs w:val="16"/>
                <w:lang w:eastAsia="cs-CZ"/>
              </w:rPr>
            </w:pPr>
          </w:p>
        </w:tc>
        <w:tc>
          <w:tcPr>
            <w:tcW w:w="1426" w:type="dxa"/>
            <w:vMerge w:val="restart"/>
            <w:tcBorders>
              <w:top w:val="nil"/>
              <w:left w:val="single" w:sz="4" w:space="0" w:color="969696"/>
              <w:bottom w:val="single" w:sz="4" w:space="0" w:color="969696"/>
              <w:right w:val="single" w:sz="4" w:space="0" w:color="969696"/>
            </w:tcBorders>
            <w:shd w:val="clear" w:color="000000" w:fill="FFFFFF"/>
            <w:vAlign w:val="center"/>
            <w:hideMark/>
          </w:tcPr>
          <w:p w14:paraId="41FBFEB9" w14:textId="77777777" w:rsidR="0010460E" w:rsidRPr="0010460E" w:rsidRDefault="00452667" w:rsidP="00452667">
            <w:pPr>
              <w:spacing w:after="0" w:line="240" w:lineRule="auto"/>
              <w:jc w:val="center"/>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firemní počítač nebo jiné ICT </w:t>
            </w:r>
            <w:r w:rsidR="0010460E" w:rsidRPr="0010460E">
              <w:rPr>
                <w:rFonts w:ascii="Arial" w:eastAsia="Times New Roman" w:hAnsi="Arial" w:cs="Arial"/>
                <w:color w:val="000000"/>
                <w:sz w:val="16"/>
                <w:szCs w:val="16"/>
                <w:lang w:eastAsia="cs-CZ"/>
              </w:rPr>
              <w:t>zařízení s přístupem na internet</w:t>
            </w:r>
          </w:p>
        </w:tc>
        <w:tc>
          <w:tcPr>
            <w:tcW w:w="1427" w:type="dxa"/>
            <w:vMerge w:val="restart"/>
            <w:tcBorders>
              <w:top w:val="nil"/>
              <w:left w:val="nil"/>
              <w:bottom w:val="single" w:sz="4" w:space="0" w:color="969696"/>
              <w:right w:val="nil"/>
            </w:tcBorders>
            <w:shd w:val="clear" w:color="000000" w:fill="FFFFFF"/>
            <w:vAlign w:val="center"/>
            <w:hideMark/>
          </w:tcPr>
          <w:p w14:paraId="7B67D6DF" w14:textId="77777777" w:rsidR="0010460E" w:rsidRPr="0010460E" w:rsidRDefault="0010460E" w:rsidP="0010460E">
            <w:pPr>
              <w:spacing w:after="0" w:line="240" w:lineRule="auto"/>
              <w:jc w:val="center"/>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přenosná </w:t>
            </w:r>
            <w:r w:rsidR="00452667">
              <w:rPr>
                <w:rFonts w:ascii="Arial" w:eastAsia="Times New Roman" w:hAnsi="Arial" w:cs="Arial"/>
                <w:color w:val="000000"/>
                <w:sz w:val="16"/>
                <w:szCs w:val="16"/>
                <w:lang w:eastAsia="cs-CZ"/>
              </w:rPr>
              <w:t xml:space="preserve">firemní ICT </w:t>
            </w:r>
            <w:r w:rsidRPr="0010460E">
              <w:rPr>
                <w:rFonts w:ascii="Arial" w:eastAsia="Times New Roman" w:hAnsi="Arial" w:cs="Arial"/>
                <w:color w:val="000000"/>
                <w:sz w:val="16"/>
                <w:szCs w:val="16"/>
                <w:lang w:eastAsia="cs-CZ"/>
              </w:rPr>
              <w:t xml:space="preserve">zařízení </w:t>
            </w:r>
            <w:r w:rsidRPr="0010460E">
              <w:rPr>
                <w:rFonts w:ascii="Arial" w:eastAsia="Times New Roman" w:hAnsi="Arial" w:cs="Arial"/>
                <w:color w:val="000000"/>
                <w:sz w:val="16"/>
                <w:szCs w:val="16"/>
                <w:lang w:eastAsia="cs-CZ"/>
              </w:rPr>
              <w:br/>
              <w:t xml:space="preserve">s přístupem </w:t>
            </w:r>
            <w:r w:rsidRPr="0010460E">
              <w:rPr>
                <w:rFonts w:ascii="Arial" w:eastAsia="Times New Roman" w:hAnsi="Arial" w:cs="Arial"/>
                <w:color w:val="000000"/>
                <w:sz w:val="16"/>
                <w:szCs w:val="16"/>
                <w:lang w:eastAsia="cs-CZ"/>
              </w:rPr>
              <w:br/>
              <w:t>na internet přes mobilní sítě</w:t>
            </w:r>
          </w:p>
        </w:tc>
        <w:tc>
          <w:tcPr>
            <w:tcW w:w="1258" w:type="dxa"/>
            <w:vMerge/>
            <w:tcBorders>
              <w:top w:val="single" w:sz="8" w:space="0" w:color="969696"/>
              <w:left w:val="single" w:sz="4" w:space="0" w:color="969696"/>
              <w:bottom w:val="single" w:sz="4" w:space="0" w:color="969696"/>
              <w:right w:val="single" w:sz="4" w:space="0" w:color="969696"/>
            </w:tcBorders>
            <w:vAlign w:val="center"/>
            <w:hideMark/>
          </w:tcPr>
          <w:p w14:paraId="59AB16C8"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c>
          <w:tcPr>
            <w:tcW w:w="1101" w:type="dxa"/>
            <w:vMerge/>
            <w:tcBorders>
              <w:top w:val="single" w:sz="8" w:space="0" w:color="969696"/>
              <w:left w:val="single" w:sz="4" w:space="0" w:color="969696"/>
              <w:bottom w:val="single" w:sz="4" w:space="0" w:color="969696"/>
              <w:right w:val="single" w:sz="4" w:space="0" w:color="969696"/>
            </w:tcBorders>
            <w:vAlign w:val="center"/>
            <w:hideMark/>
          </w:tcPr>
          <w:p w14:paraId="1395D48B"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c>
          <w:tcPr>
            <w:tcW w:w="1167" w:type="dxa"/>
            <w:vMerge/>
            <w:tcBorders>
              <w:top w:val="single" w:sz="8" w:space="0" w:color="969696"/>
              <w:left w:val="single" w:sz="4" w:space="0" w:color="969696"/>
              <w:bottom w:val="single" w:sz="4" w:space="0" w:color="969696"/>
              <w:right w:val="nil"/>
            </w:tcBorders>
            <w:vAlign w:val="center"/>
            <w:hideMark/>
          </w:tcPr>
          <w:p w14:paraId="7607A2D2"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r>
      <w:tr w:rsidR="0010460E" w:rsidRPr="0010460E" w14:paraId="17A868F3" w14:textId="77777777" w:rsidTr="0010460E">
        <w:trPr>
          <w:trHeight w:val="735"/>
        </w:trPr>
        <w:tc>
          <w:tcPr>
            <w:tcW w:w="3402" w:type="dxa"/>
            <w:vMerge/>
            <w:tcBorders>
              <w:top w:val="single" w:sz="8" w:space="0" w:color="969696"/>
              <w:left w:val="nil"/>
              <w:bottom w:val="nil"/>
              <w:right w:val="single" w:sz="4" w:space="0" w:color="969696"/>
            </w:tcBorders>
            <w:vAlign w:val="center"/>
            <w:hideMark/>
          </w:tcPr>
          <w:p w14:paraId="41C3711B" w14:textId="77777777" w:rsidR="0010460E" w:rsidRPr="0010460E" w:rsidRDefault="0010460E" w:rsidP="0010460E">
            <w:pPr>
              <w:spacing w:after="0" w:line="240" w:lineRule="auto"/>
              <w:rPr>
                <w:rFonts w:ascii="Arial" w:eastAsia="Times New Roman" w:hAnsi="Arial" w:cs="Arial"/>
                <w:b/>
                <w:bCs/>
                <w:color w:val="000000"/>
                <w:sz w:val="16"/>
                <w:szCs w:val="16"/>
                <w:lang w:eastAsia="cs-CZ"/>
              </w:rPr>
            </w:pPr>
          </w:p>
        </w:tc>
        <w:tc>
          <w:tcPr>
            <w:tcW w:w="1426" w:type="dxa"/>
            <w:vMerge/>
            <w:tcBorders>
              <w:top w:val="nil"/>
              <w:left w:val="single" w:sz="4" w:space="0" w:color="969696"/>
              <w:bottom w:val="single" w:sz="4" w:space="0" w:color="969696"/>
              <w:right w:val="single" w:sz="4" w:space="0" w:color="969696"/>
            </w:tcBorders>
            <w:vAlign w:val="center"/>
            <w:hideMark/>
          </w:tcPr>
          <w:p w14:paraId="01D6ED2F"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c>
          <w:tcPr>
            <w:tcW w:w="1427" w:type="dxa"/>
            <w:vMerge/>
            <w:tcBorders>
              <w:top w:val="nil"/>
              <w:left w:val="nil"/>
              <w:bottom w:val="single" w:sz="4" w:space="0" w:color="969696"/>
              <w:right w:val="nil"/>
            </w:tcBorders>
            <w:vAlign w:val="center"/>
            <w:hideMark/>
          </w:tcPr>
          <w:p w14:paraId="2D55C56B"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c>
          <w:tcPr>
            <w:tcW w:w="1258" w:type="dxa"/>
            <w:vMerge/>
            <w:tcBorders>
              <w:top w:val="single" w:sz="8" w:space="0" w:color="969696"/>
              <w:left w:val="single" w:sz="4" w:space="0" w:color="969696"/>
              <w:bottom w:val="single" w:sz="4" w:space="0" w:color="969696"/>
              <w:right w:val="single" w:sz="4" w:space="0" w:color="969696"/>
            </w:tcBorders>
            <w:vAlign w:val="center"/>
            <w:hideMark/>
          </w:tcPr>
          <w:p w14:paraId="4E836D31"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c>
          <w:tcPr>
            <w:tcW w:w="1101" w:type="dxa"/>
            <w:vMerge/>
            <w:tcBorders>
              <w:top w:val="single" w:sz="8" w:space="0" w:color="969696"/>
              <w:left w:val="single" w:sz="4" w:space="0" w:color="969696"/>
              <w:bottom w:val="single" w:sz="4" w:space="0" w:color="969696"/>
              <w:right w:val="single" w:sz="4" w:space="0" w:color="969696"/>
            </w:tcBorders>
            <w:vAlign w:val="center"/>
            <w:hideMark/>
          </w:tcPr>
          <w:p w14:paraId="2300E10C"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c>
          <w:tcPr>
            <w:tcW w:w="1167" w:type="dxa"/>
            <w:vMerge/>
            <w:tcBorders>
              <w:top w:val="single" w:sz="8" w:space="0" w:color="969696"/>
              <w:left w:val="single" w:sz="4" w:space="0" w:color="969696"/>
              <w:bottom w:val="single" w:sz="4" w:space="0" w:color="969696"/>
              <w:right w:val="nil"/>
            </w:tcBorders>
            <w:vAlign w:val="center"/>
            <w:hideMark/>
          </w:tcPr>
          <w:p w14:paraId="73C64094"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r>
      <w:tr w:rsidR="0010460E" w:rsidRPr="0010460E" w14:paraId="539958C5" w14:textId="77777777" w:rsidTr="006049EE">
        <w:trPr>
          <w:trHeight w:hRule="exact" w:val="227"/>
        </w:trPr>
        <w:tc>
          <w:tcPr>
            <w:tcW w:w="3402" w:type="dxa"/>
            <w:tcBorders>
              <w:top w:val="single" w:sz="4" w:space="0" w:color="808080"/>
              <w:left w:val="nil"/>
              <w:bottom w:val="nil"/>
              <w:right w:val="single" w:sz="4" w:space="0" w:color="808080"/>
            </w:tcBorders>
            <w:shd w:val="clear" w:color="000000" w:fill="B7DEE8"/>
            <w:noWrap/>
            <w:vAlign w:val="bottom"/>
            <w:hideMark/>
          </w:tcPr>
          <w:p w14:paraId="32CEFD6E" w14:textId="77777777" w:rsidR="0010460E" w:rsidRPr="0010460E" w:rsidRDefault="0010460E" w:rsidP="0010460E">
            <w:pPr>
              <w:spacing w:after="0" w:line="240" w:lineRule="auto"/>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Podniky celkem (10+)</w:t>
            </w:r>
          </w:p>
        </w:tc>
        <w:tc>
          <w:tcPr>
            <w:tcW w:w="1426" w:type="dxa"/>
            <w:tcBorders>
              <w:top w:val="nil"/>
              <w:left w:val="nil"/>
              <w:bottom w:val="nil"/>
              <w:right w:val="single" w:sz="4" w:space="0" w:color="808080"/>
            </w:tcBorders>
            <w:shd w:val="clear" w:color="000000" w:fill="B7DEE8"/>
            <w:noWrap/>
            <w:vAlign w:val="center"/>
            <w:hideMark/>
          </w:tcPr>
          <w:p w14:paraId="49DD45EB" w14:textId="77777777" w:rsidR="0010460E" w:rsidRPr="0010460E" w:rsidRDefault="0010460E" w:rsidP="0010460E">
            <w:pPr>
              <w:spacing w:after="0" w:line="240" w:lineRule="auto"/>
              <w:jc w:val="right"/>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 xml:space="preserve">49,8 </w:t>
            </w:r>
          </w:p>
        </w:tc>
        <w:tc>
          <w:tcPr>
            <w:tcW w:w="1427" w:type="dxa"/>
            <w:tcBorders>
              <w:top w:val="nil"/>
              <w:left w:val="nil"/>
              <w:bottom w:val="nil"/>
              <w:right w:val="single" w:sz="4" w:space="0" w:color="808080"/>
            </w:tcBorders>
            <w:shd w:val="clear" w:color="000000" w:fill="B7DEE8"/>
            <w:noWrap/>
            <w:vAlign w:val="center"/>
            <w:hideMark/>
          </w:tcPr>
          <w:p w14:paraId="48D023DC" w14:textId="77777777" w:rsidR="0010460E" w:rsidRPr="0010460E" w:rsidRDefault="0010460E" w:rsidP="0010460E">
            <w:pPr>
              <w:spacing w:after="0" w:line="240" w:lineRule="auto"/>
              <w:jc w:val="right"/>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 xml:space="preserve">32,4 </w:t>
            </w:r>
          </w:p>
        </w:tc>
        <w:tc>
          <w:tcPr>
            <w:tcW w:w="1258" w:type="dxa"/>
            <w:tcBorders>
              <w:top w:val="nil"/>
              <w:left w:val="nil"/>
              <w:bottom w:val="nil"/>
              <w:right w:val="single" w:sz="4" w:space="0" w:color="808080"/>
            </w:tcBorders>
            <w:shd w:val="clear" w:color="000000" w:fill="B7DEE8"/>
            <w:noWrap/>
            <w:vAlign w:val="center"/>
            <w:hideMark/>
          </w:tcPr>
          <w:p w14:paraId="73FC8071" w14:textId="77777777" w:rsidR="0010460E" w:rsidRPr="0010460E" w:rsidRDefault="0010460E" w:rsidP="0010460E">
            <w:pPr>
              <w:spacing w:after="0" w:line="240" w:lineRule="auto"/>
              <w:jc w:val="right"/>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 xml:space="preserve">16,5 </w:t>
            </w:r>
          </w:p>
        </w:tc>
        <w:tc>
          <w:tcPr>
            <w:tcW w:w="1101" w:type="dxa"/>
            <w:tcBorders>
              <w:top w:val="nil"/>
              <w:left w:val="nil"/>
              <w:bottom w:val="nil"/>
              <w:right w:val="single" w:sz="4" w:space="0" w:color="808080"/>
            </w:tcBorders>
            <w:shd w:val="clear" w:color="000000" w:fill="B7DEE8"/>
            <w:noWrap/>
            <w:vAlign w:val="center"/>
            <w:hideMark/>
          </w:tcPr>
          <w:p w14:paraId="38D860DE" w14:textId="77777777" w:rsidR="0010460E" w:rsidRPr="0010460E" w:rsidRDefault="0010460E" w:rsidP="0010460E">
            <w:pPr>
              <w:spacing w:after="0" w:line="240" w:lineRule="auto"/>
              <w:jc w:val="right"/>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 xml:space="preserve">9,1 </w:t>
            </w:r>
          </w:p>
        </w:tc>
        <w:tc>
          <w:tcPr>
            <w:tcW w:w="1167" w:type="dxa"/>
            <w:tcBorders>
              <w:top w:val="nil"/>
              <w:left w:val="nil"/>
              <w:bottom w:val="nil"/>
              <w:right w:val="nil"/>
            </w:tcBorders>
            <w:shd w:val="clear" w:color="000000" w:fill="B7DEE8"/>
            <w:noWrap/>
            <w:vAlign w:val="center"/>
            <w:hideMark/>
          </w:tcPr>
          <w:p w14:paraId="6008FB30" w14:textId="77777777" w:rsidR="0010460E" w:rsidRPr="0010460E" w:rsidRDefault="0010460E" w:rsidP="0010460E">
            <w:pPr>
              <w:spacing w:after="0" w:line="240" w:lineRule="auto"/>
              <w:jc w:val="right"/>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 xml:space="preserve">12,0 </w:t>
            </w:r>
          </w:p>
        </w:tc>
      </w:tr>
      <w:tr w:rsidR="0010460E" w:rsidRPr="0010460E" w14:paraId="56E9C9EF" w14:textId="77777777" w:rsidTr="006049EE">
        <w:trPr>
          <w:trHeight w:hRule="exact" w:val="227"/>
        </w:trPr>
        <w:tc>
          <w:tcPr>
            <w:tcW w:w="3402" w:type="dxa"/>
            <w:tcBorders>
              <w:top w:val="nil"/>
              <w:left w:val="nil"/>
              <w:bottom w:val="nil"/>
              <w:right w:val="single" w:sz="4" w:space="0" w:color="808080"/>
            </w:tcBorders>
            <w:shd w:val="clear" w:color="auto" w:fill="auto"/>
            <w:noWrap/>
            <w:vAlign w:val="bottom"/>
            <w:hideMark/>
          </w:tcPr>
          <w:p w14:paraId="3CEF72D4" w14:textId="77777777" w:rsidR="0010460E" w:rsidRPr="0010460E" w:rsidRDefault="0010460E" w:rsidP="0010460E">
            <w:pPr>
              <w:spacing w:after="0" w:line="240" w:lineRule="auto"/>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Velikost podniku</w:t>
            </w:r>
          </w:p>
        </w:tc>
        <w:tc>
          <w:tcPr>
            <w:tcW w:w="1426" w:type="dxa"/>
            <w:tcBorders>
              <w:top w:val="nil"/>
              <w:left w:val="nil"/>
              <w:bottom w:val="nil"/>
              <w:right w:val="single" w:sz="4" w:space="0" w:color="808080"/>
            </w:tcBorders>
            <w:shd w:val="clear" w:color="auto" w:fill="auto"/>
            <w:noWrap/>
            <w:vAlign w:val="center"/>
            <w:hideMark/>
          </w:tcPr>
          <w:p w14:paraId="4915131F"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427" w:type="dxa"/>
            <w:tcBorders>
              <w:top w:val="nil"/>
              <w:left w:val="nil"/>
              <w:bottom w:val="nil"/>
              <w:right w:val="single" w:sz="4" w:space="0" w:color="808080"/>
            </w:tcBorders>
            <w:shd w:val="clear" w:color="auto" w:fill="auto"/>
            <w:noWrap/>
            <w:vAlign w:val="center"/>
            <w:hideMark/>
          </w:tcPr>
          <w:p w14:paraId="488B5983"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258" w:type="dxa"/>
            <w:tcBorders>
              <w:top w:val="nil"/>
              <w:left w:val="nil"/>
              <w:bottom w:val="nil"/>
              <w:right w:val="single" w:sz="4" w:space="0" w:color="808080"/>
            </w:tcBorders>
            <w:shd w:val="clear" w:color="auto" w:fill="auto"/>
            <w:noWrap/>
            <w:vAlign w:val="center"/>
            <w:hideMark/>
          </w:tcPr>
          <w:p w14:paraId="24F5DAD9"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101" w:type="dxa"/>
            <w:tcBorders>
              <w:top w:val="nil"/>
              <w:left w:val="nil"/>
              <w:bottom w:val="nil"/>
              <w:right w:val="single" w:sz="4" w:space="0" w:color="808080"/>
            </w:tcBorders>
            <w:shd w:val="clear" w:color="auto" w:fill="auto"/>
            <w:noWrap/>
            <w:vAlign w:val="center"/>
            <w:hideMark/>
          </w:tcPr>
          <w:p w14:paraId="06D96BA9"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167" w:type="dxa"/>
            <w:tcBorders>
              <w:top w:val="nil"/>
              <w:left w:val="nil"/>
              <w:bottom w:val="nil"/>
              <w:right w:val="nil"/>
            </w:tcBorders>
            <w:shd w:val="clear" w:color="auto" w:fill="auto"/>
            <w:noWrap/>
            <w:vAlign w:val="center"/>
            <w:hideMark/>
          </w:tcPr>
          <w:p w14:paraId="5E03E80B"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r>
      <w:tr w:rsidR="0010460E" w:rsidRPr="0010460E" w14:paraId="44F0823E"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61F4AACB"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10–49 zaměstnanců</w:t>
            </w:r>
          </w:p>
        </w:tc>
        <w:tc>
          <w:tcPr>
            <w:tcW w:w="1426" w:type="dxa"/>
            <w:tcBorders>
              <w:top w:val="nil"/>
              <w:left w:val="nil"/>
              <w:bottom w:val="nil"/>
              <w:right w:val="single" w:sz="4" w:space="0" w:color="808080"/>
            </w:tcBorders>
            <w:shd w:val="clear" w:color="auto" w:fill="auto"/>
            <w:noWrap/>
            <w:vAlign w:val="center"/>
            <w:hideMark/>
          </w:tcPr>
          <w:p w14:paraId="024906D7"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48,8 </w:t>
            </w:r>
          </w:p>
        </w:tc>
        <w:tc>
          <w:tcPr>
            <w:tcW w:w="1427" w:type="dxa"/>
            <w:tcBorders>
              <w:top w:val="nil"/>
              <w:left w:val="nil"/>
              <w:bottom w:val="nil"/>
              <w:right w:val="single" w:sz="4" w:space="0" w:color="808080"/>
            </w:tcBorders>
            <w:shd w:val="clear" w:color="auto" w:fill="auto"/>
            <w:noWrap/>
            <w:vAlign w:val="center"/>
            <w:hideMark/>
          </w:tcPr>
          <w:p w14:paraId="4698187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35,5 </w:t>
            </w:r>
          </w:p>
        </w:tc>
        <w:tc>
          <w:tcPr>
            <w:tcW w:w="1258" w:type="dxa"/>
            <w:tcBorders>
              <w:top w:val="nil"/>
              <w:left w:val="nil"/>
              <w:bottom w:val="nil"/>
              <w:right w:val="single" w:sz="4" w:space="0" w:color="808080"/>
            </w:tcBorders>
            <w:shd w:val="clear" w:color="auto" w:fill="auto"/>
            <w:noWrap/>
            <w:vAlign w:val="center"/>
            <w:hideMark/>
          </w:tcPr>
          <w:p w14:paraId="53EF1CBE"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3,5 </w:t>
            </w:r>
          </w:p>
        </w:tc>
        <w:tc>
          <w:tcPr>
            <w:tcW w:w="1101" w:type="dxa"/>
            <w:tcBorders>
              <w:top w:val="nil"/>
              <w:left w:val="nil"/>
              <w:bottom w:val="nil"/>
              <w:right w:val="single" w:sz="4" w:space="0" w:color="808080"/>
            </w:tcBorders>
            <w:shd w:val="clear" w:color="auto" w:fill="auto"/>
            <w:noWrap/>
            <w:vAlign w:val="center"/>
            <w:hideMark/>
          </w:tcPr>
          <w:p w14:paraId="172E8682"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1,9 </w:t>
            </w:r>
          </w:p>
        </w:tc>
        <w:tc>
          <w:tcPr>
            <w:tcW w:w="1167" w:type="dxa"/>
            <w:tcBorders>
              <w:top w:val="nil"/>
              <w:left w:val="nil"/>
              <w:bottom w:val="nil"/>
              <w:right w:val="nil"/>
            </w:tcBorders>
            <w:shd w:val="clear" w:color="auto" w:fill="auto"/>
            <w:noWrap/>
            <w:vAlign w:val="center"/>
            <w:hideMark/>
          </w:tcPr>
          <w:p w14:paraId="6EEAE8C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2,6 </w:t>
            </w:r>
          </w:p>
        </w:tc>
      </w:tr>
      <w:tr w:rsidR="0010460E" w:rsidRPr="0010460E" w14:paraId="2E0CB73C"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59C152AC"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50–249 zaměstnanců</w:t>
            </w:r>
          </w:p>
        </w:tc>
        <w:tc>
          <w:tcPr>
            <w:tcW w:w="1426" w:type="dxa"/>
            <w:tcBorders>
              <w:top w:val="nil"/>
              <w:left w:val="nil"/>
              <w:bottom w:val="nil"/>
              <w:right w:val="single" w:sz="4" w:space="0" w:color="808080"/>
            </w:tcBorders>
            <w:shd w:val="clear" w:color="auto" w:fill="auto"/>
            <w:noWrap/>
            <w:vAlign w:val="center"/>
            <w:hideMark/>
          </w:tcPr>
          <w:p w14:paraId="688D7BA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47,7 </w:t>
            </w:r>
          </w:p>
        </w:tc>
        <w:tc>
          <w:tcPr>
            <w:tcW w:w="1427" w:type="dxa"/>
            <w:tcBorders>
              <w:top w:val="nil"/>
              <w:left w:val="nil"/>
              <w:bottom w:val="nil"/>
              <w:right w:val="single" w:sz="4" w:space="0" w:color="808080"/>
            </w:tcBorders>
            <w:shd w:val="clear" w:color="auto" w:fill="auto"/>
            <w:noWrap/>
            <w:vAlign w:val="center"/>
            <w:hideMark/>
          </w:tcPr>
          <w:p w14:paraId="16CCC5F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32,1 </w:t>
            </w:r>
          </w:p>
        </w:tc>
        <w:tc>
          <w:tcPr>
            <w:tcW w:w="1258" w:type="dxa"/>
            <w:tcBorders>
              <w:top w:val="nil"/>
              <w:left w:val="nil"/>
              <w:bottom w:val="nil"/>
              <w:right w:val="single" w:sz="4" w:space="0" w:color="808080"/>
            </w:tcBorders>
            <w:shd w:val="clear" w:color="auto" w:fill="auto"/>
            <w:noWrap/>
            <w:vAlign w:val="center"/>
            <w:hideMark/>
          </w:tcPr>
          <w:p w14:paraId="48D2DBC9"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7,3 </w:t>
            </w:r>
          </w:p>
        </w:tc>
        <w:tc>
          <w:tcPr>
            <w:tcW w:w="1101" w:type="dxa"/>
            <w:tcBorders>
              <w:top w:val="nil"/>
              <w:left w:val="nil"/>
              <w:bottom w:val="nil"/>
              <w:right w:val="single" w:sz="4" w:space="0" w:color="808080"/>
            </w:tcBorders>
            <w:shd w:val="clear" w:color="auto" w:fill="auto"/>
            <w:noWrap/>
            <w:vAlign w:val="center"/>
            <w:hideMark/>
          </w:tcPr>
          <w:p w14:paraId="5C46860F"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4,2 </w:t>
            </w:r>
          </w:p>
        </w:tc>
        <w:tc>
          <w:tcPr>
            <w:tcW w:w="1167" w:type="dxa"/>
            <w:tcBorders>
              <w:top w:val="nil"/>
              <w:left w:val="nil"/>
              <w:bottom w:val="nil"/>
              <w:right w:val="nil"/>
            </w:tcBorders>
            <w:shd w:val="clear" w:color="auto" w:fill="auto"/>
            <w:noWrap/>
            <w:vAlign w:val="center"/>
            <w:hideMark/>
          </w:tcPr>
          <w:p w14:paraId="1891D7B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5,7 </w:t>
            </w:r>
          </w:p>
        </w:tc>
      </w:tr>
      <w:tr w:rsidR="0010460E" w:rsidRPr="0010460E" w14:paraId="7A3A06DB"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38DE3E08"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250 a více zaměstnanců</w:t>
            </w:r>
          </w:p>
        </w:tc>
        <w:tc>
          <w:tcPr>
            <w:tcW w:w="1426" w:type="dxa"/>
            <w:tcBorders>
              <w:top w:val="nil"/>
              <w:left w:val="nil"/>
              <w:bottom w:val="nil"/>
              <w:right w:val="single" w:sz="4" w:space="0" w:color="808080"/>
            </w:tcBorders>
            <w:shd w:val="clear" w:color="auto" w:fill="auto"/>
            <w:noWrap/>
            <w:vAlign w:val="center"/>
            <w:hideMark/>
          </w:tcPr>
          <w:p w14:paraId="40FE8C7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51,6 </w:t>
            </w:r>
          </w:p>
        </w:tc>
        <w:tc>
          <w:tcPr>
            <w:tcW w:w="1427" w:type="dxa"/>
            <w:tcBorders>
              <w:top w:val="nil"/>
              <w:left w:val="nil"/>
              <w:bottom w:val="nil"/>
              <w:right w:val="single" w:sz="4" w:space="0" w:color="808080"/>
            </w:tcBorders>
            <w:shd w:val="clear" w:color="auto" w:fill="auto"/>
            <w:noWrap/>
            <w:vAlign w:val="center"/>
            <w:hideMark/>
          </w:tcPr>
          <w:p w14:paraId="005F05E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30,8 </w:t>
            </w:r>
          </w:p>
        </w:tc>
        <w:tc>
          <w:tcPr>
            <w:tcW w:w="1258" w:type="dxa"/>
            <w:tcBorders>
              <w:top w:val="nil"/>
              <w:left w:val="nil"/>
              <w:bottom w:val="nil"/>
              <w:right w:val="single" w:sz="4" w:space="0" w:color="808080"/>
            </w:tcBorders>
            <w:shd w:val="clear" w:color="auto" w:fill="auto"/>
            <w:noWrap/>
            <w:vAlign w:val="center"/>
            <w:hideMark/>
          </w:tcPr>
          <w:p w14:paraId="5873090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28,9 </w:t>
            </w:r>
          </w:p>
        </w:tc>
        <w:tc>
          <w:tcPr>
            <w:tcW w:w="1101" w:type="dxa"/>
            <w:tcBorders>
              <w:top w:val="nil"/>
              <w:left w:val="nil"/>
              <w:bottom w:val="nil"/>
              <w:right w:val="single" w:sz="4" w:space="0" w:color="808080"/>
            </w:tcBorders>
            <w:shd w:val="clear" w:color="auto" w:fill="auto"/>
            <w:noWrap/>
            <w:vAlign w:val="center"/>
            <w:hideMark/>
          </w:tcPr>
          <w:p w14:paraId="502E004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15,9 </w:t>
            </w:r>
          </w:p>
        </w:tc>
        <w:tc>
          <w:tcPr>
            <w:tcW w:w="1167" w:type="dxa"/>
            <w:tcBorders>
              <w:top w:val="nil"/>
              <w:left w:val="nil"/>
              <w:bottom w:val="nil"/>
              <w:right w:val="nil"/>
            </w:tcBorders>
            <w:shd w:val="clear" w:color="auto" w:fill="auto"/>
            <w:noWrap/>
            <w:vAlign w:val="center"/>
            <w:hideMark/>
          </w:tcPr>
          <w:p w14:paraId="0FCE590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20,7 </w:t>
            </w:r>
          </w:p>
        </w:tc>
      </w:tr>
      <w:tr w:rsidR="0010460E" w:rsidRPr="0010460E" w14:paraId="7A89C9FE"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1F25EAEF" w14:textId="77777777" w:rsidR="0010460E" w:rsidRPr="0010460E" w:rsidRDefault="0010460E" w:rsidP="0010460E">
            <w:pPr>
              <w:spacing w:after="0" w:line="240" w:lineRule="auto"/>
              <w:rPr>
                <w:rFonts w:ascii="Arial" w:eastAsia="Times New Roman" w:hAnsi="Arial" w:cs="Arial"/>
                <w:b/>
                <w:bCs/>
                <w:color w:val="000000"/>
                <w:sz w:val="16"/>
                <w:szCs w:val="16"/>
                <w:lang w:eastAsia="cs-CZ"/>
              </w:rPr>
            </w:pPr>
            <w:r w:rsidRPr="0010460E">
              <w:rPr>
                <w:rFonts w:ascii="Arial" w:eastAsia="Times New Roman" w:hAnsi="Arial" w:cs="Arial"/>
                <w:b/>
                <w:bCs/>
                <w:color w:val="000000"/>
                <w:sz w:val="16"/>
                <w:szCs w:val="16"/>
                <w:lang w:eastAsia="cs-CZ"/>
              </w:rPr>
              <w:t>Odvětví (ekonomická činnost)</w:t>
            </w:r>
          </w:p>
        </w:tc>
        <w:tc>
          <w:tcPr>
            <w:tcW w:w="1426" w:type="dxa"/>
            <w:tcBorders>
              <w:top w:val="nil"/>
              <w:left w:val="nil"/>
              <w:bottom w:val="nil"/>
              <w:right w:val="single" w:sz="4" w:space="0" w:color="808080"/>
            </w:tcBorders>
            <w:shd w:val="clear" w:color="auto" w:fill="auto"/>
            <w:noWrap/>
            <w:vAlign w:val="center"/>
            <w:hideMark/>
          </w:tcPr>
          <w:p w14:paraId="0CB2918B"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427" w:type="dxa"/>
            <w:tcBorders>
              <w:top w:val="nil"/>
              <w:left w:val="nil"/>
              <w:bottom w:val="nil"/>
              <w:right w:val="single" w:sz="4" w:space="0" w:color="808080"/>
            </w:tcBorders>
            <w:shd w:val="clear" w:color="auto" w:fill="auto"/>
            <w:noWrap/>
            <w:vAlign w:val="center"/>
            <w:hideMark/>
          </w:tcPr>
          <w:p w14:paraId="3986363F"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258" w:type="dxa"/>
            <w:tcBorders>
              <w:top w:val="nil"/>
              <w:left w:val="nil"/>
              <w:bottom w:val="nil"/>
              <w:right w:val="single" w:sz="4" w:space="0" w:color="808080"/>
            </w:tcBorders>
            <w:shd w:val="clear" w:color="auto" w:fill="auto"/>
            <w:noWrap/>
            <w:vAlign w:val="center"/>
            <w:hideMark/>
          </w:tcPr>
          <w:p w14:paraId="6CDBE3EE"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101" w:type="dxa"/>
            <w:tcBorders>
              <w:top w:val="nil"/>
              <w:left w:val="nil"/>
              <w:bottom w:val="nil"/>
              <w:right w:val="single" w:sz="4" w:space="0" w:color="808080"/>
            </w:tcBorders>
            <w:shd w:val="clear" w:color="auto" w:fill="auto"/>
            <w:noWrap/>
            <w:vAlign w:val="center"/>
            <w:hideMark/>
          </w:tcPr>
          <w:p w14:paraId="4AC40185"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w:t>
            </w:r>
          </w:p>
        </w:tc>
        <w:tc>
          <w:tcPr>
            <w:tcW w:w="1167" w:type="dxa"/>
            <w:tcBorders>
              <w:top w:val="nil"/>
              <w:left w:val="nil"/>
              <w:bottom w:val="nil"/>
              <w:right w:val="nil"/>
            </w:tcBorders>
            <w:shd w:val="clear" w:color="auto" w:fill="auto"/>
            <w:noWrap/>
            <w:vAlign w:val="center"/>
            <w:hideMark/>
          </w:tcPr>
          <w:p w14:paraId="5C7B200F" w14:textId="77777777" w:rsidR="0010460E" w:rsidRPr="0010460E" w:rsidRDefault="0010460E" w:rsidP="0010460E">
            <w:pPr>
              <w:spacing w:after="0" w:line="240" w:lineRule="auto"/>
              <w:rPr>
                <w:rFonts w:ascii="Arial" w:eastAsia="Times New Roman" w:hAnsi="Arial" w:cs="Arial"/>
                <w:color w:val="000000"/>
                <w:sz w:val="16"/>
                <w:szCs w:val="16"/>
                <w:lang w:eastAsia="cs-CZ"/>
              </w:rPr>
            </w:pPr>
          </w:p>
        </w:tc>
      </w:tr>
      <w:tr w:rsidR="0010460E" w:rsidRPr="0010460E" w14:paraId="11781B3D"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131720B8"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Zpracovatelský průmysl</w:t>
            </w:r>
          </w:p>
        </w:tc>
        <w:tc>
          <w:tcPr>
            <w:tcW w:w="1426" w:type="dxa"/>
            <w:tcBorders>
              <w:top w:val="nil"/>
              <w:left w:val="nil"/>
              <w:bottom w:val="nil"/>
              <w:right w:val="single" w:sz="4" w:space="0" w:color="808080"/>
            </w:tcBorders>
            <w:shd w:val="clear" w:color="auto" w:fill="auto"/>
            <w:noWrap/>
            <w:vAlign w:val="center"/>
            <w:hideMark/>
          </w:tcPr>
          <w:p w14:paraId="794EE7A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43,8 </w:t>
            </w:r>
          </w:p>
        </w:tc>
        <w:tc>
          <w:tcPr>
            <w:tcW w:w="1427" w:type="dxa"/>
            <w:tcBorders>
              <w:top w:val="nil"/>
              <w:left w:val="nil"/>
              <w:bottom w:val="nil"/>
              <w:right w:val="single" w:sz="4" w:space="0" w:color="808080"/>
            </w:tcBorders>
            <w:shd w:val="clear" w:color="auto" w:fill="auto"/>
            <w:noWrap/>
            <w:vAlign w:val="center"/>
            <w:hideMark/>
          </w:tcPr>
          <w:p w14:paraId="631A6722"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25,5 </w:t>
            </w:r>
          </w:p>
        </w:tc>
        <w:tc>
          <w:tcPr>
            <w:tcW w:w="1258" w:type="dxa"/>
            <w:tcBorders>
              <w:top w:val="nil"/>
              <w:left w:val="nil"/>
              <w:bottom w:val="nil"/>
              <w:right w:val="single" w:sz="4" w:space="0" w:color="808080"/>
            </w:tcBorders>
            <w:shd w:val="clear" w:color="auto" w:fill="auto"/>
            <w:noWrap/>
            <w:vAlign w:val="center"/>
            <w:hideMark/>
          </w:tcPr>
          <w:p w14:paraId="06F35F4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14,9 </w:t>
            </w:r>
          </w:p>
        </w:tc>
        <w:tc>
          <w:tcPr>
            <w:tcW w:w="1101" w:type="dxa"/>
            <w:tcBorders>
              <w:top w:val="nil"/>
              <w:left w:val="nil"/>
              <w:bottom w:val="nil"/>
              <w:right w:val="single" w:sz="4" w:space="0" w:color="808080"/>
            </w:tcBorders>
            <w:shd w:val="clear" w:color="auto" w:fill="auto"/>
            <w:noWrap/>
            <w:vAlign w:val="center"/>
            <w:hideMark/>
          </w:tcPr>
          <w:p w14:paraId="419B6ED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6,5 </w:t>
            </w:r>
          </w:p>
        </w:tc>
        <w:tc>
          <w:tcPr>
            <w:tcW w:w="1167" w:type="dxa"/>
            <w:tcBorders>
              <w:top w:val="nil"/>
              <w:left w:val="nil"/>
              <w:bottom w:val="nil"/>
              <w:right w:val="nil"/>
            </w:tcBorders>
            <w:shd w:val="clear" w:color="auto" w:fill="auto"/>
            <w:noWrap/>
            <w:vAlign w:val="center"/>
            <w:hideMark/>
          </w:tcPr>
          <w:p w14:paraId="02F87A4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9,9 </w:t>
            </w:r>
          </w:p>
        </w:tc>
      </w:tr>
      <w:tr w:rsidR="0010460E" w:rsidRPr="0010460E" w14:paraId="3047BF20"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47B9A909"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Výroba a rozvod energie, plynu, tepla</w:t>
            </w:r>
          </w:p>
        </w:tc>
        <w:tc>
          <w:tcPr>
            <w:tcW w:w="1426" w:type="dxa"/>
            <w:tcBorders>
              <w:top w:val="nil"/>
              <w:left w:val="nil"/>
              <w:bottom w:val="nil"/>
              <w:right w:val="single" w:sz="4" w:space="0" w:color="808080"/>
            </w:tcBorders>
            <w:shd w:val="clear" w:color="auto" w:fill="auto"/>
            <w:noWrap/>
            <w:vAlign w:val="center"/>
            <w:hideMark/>
          </w:tcPr>
          <w:p w14:paraId="38969FC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57,9 </w:t>
            </w:r>
          </w:p>
        </w:tc>
        <w:tc>
          <w:tcPr>
            <w:tcW w:w="1427" w:type="dxa"/>
            <w:tcBorders>
              <w:top w:val="nil"/>
              <w:left w:val="nil"/>
              <w:bottom w:val="nil"/>
              <w:right w:val="single" w:sz="4" w:space="0" w:color="808080"/>
            </w:tcBorders>
            <w:shd w:val="clear" w:color="auto" w:fill="auto"/>
            <w:noWrap/>
            <w:vAlign w:val="center"/>
            <w:hideMark/>
          </w:tcPr>
          <w:p w14:paraId="057B6EA8"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40,8 </w:t>
            </w:r>
          </w:p>
        </w:tc>
        <w:tc>
          <w:tcPr>
            <w:tcW w:w="1258" w:type="dxa"/>
            <w:tcBorders>
              <w:top w:val="nil"/>
              <w:left w:val="nil"/>
              <w:bottom w:val="nil"/>
              <w:right w:val="single" w:sz="4" w:space="0" w:color="808080"/>
            </w:tcBorders>
            <w:shd w:val="clear" w:color="auto" w:fill="auto"/>
            <w:noWrap/>
            <w:vAlign w:val="center"/>
            <w:hideMark/>
          </w:tcPr>
          <w:p w14:paraId="6B50D7B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27,9 </w:t>
            </w:r>
          </w:p>
        </w:tc>
        <w:tc>
          <w:tcPr>
            <w:tcW w:w="1101" w:type="dxa"/>
            <w:tcBorders>
              <w:top w:val="nil"/>
              <w:left w:val="nil"/>
              <w:bottom w:val="nil"/>
              <w:right w:val="single" w:sz="4" w:space="0" w:color="808080"/>
            </w:tcBorders>
            <w:shd w:val="clear" w:color="auto" w:fill="auto"/>
            <w:noWrap/>
            <w:vAlign w:val="center"/>
            <w:hideMark/>
          </w:tcPr>
          <w:p w14:paraId="177008D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18,3 </w:t>
            </w:r>
          </w:p>
        </w:tc>
        <w:tc>
          <w:tcPr>
            <w:tcW w:w="1167" w:type="dxa"/>
            <w:tcBorders>
              <w:top w:val="nil"/>
              <w:left w:val="nil"/>
              <w:bottom w:val="nil"/>
              <w:right w:val="nil"/>
            </w:tcBorders>
            <w:shd w:val="clear" w:color="auto" w:fill="auto"/>
            <w:noWrap/>
            <w:vAlign w:val="center"/>
            <w:hideMark/>
          </w:tcPr>
          <w:p w14:paraId="400F9158"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19,8 </w:t>
            </w:r>
          </w:p>
        </w:tc>
      </w:tr>
      <w:tr w:rsidR="0010460E" w:rsidRPr="0010460E" w14:paraId="0EDA17E0"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4B7C0684"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Stavebnictví</w:t>
            </w:r>
          </w:p>
        </w:tc>
        <w:tc>
          <w:tcPr>
            <w:tcW w:w="1426" w:type="dxa"/>
            <w:tcBorders>
              <w:top w:val="nil"/>
              <w:left w:val="nil"/>
              <w:bottom w:val="nil"/>
              <w:right w:val="single" w:sz="4" w:space="0" w:color="808080"/>
            </w:tcBorders>
            <w:shd w:val="clear" w:color="auto" w:fill="auto"/>
            <w:noWrap/>
            <w:vAlign w:val="center"/>
            <w:hideMark/>
          </w:tcPr>
          <w:p w14:paraId="7012D24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48,4 </w:t>
            </w:r>
          </w:p>
        </w:tc>
        <w:tc>
          <w:tcPr>
            <w:tcW w:w="1427" w:type="dxa"/>
            <w:tcBorders>
              <w:top w:val="nil"/>
              <w:left w:val="nil"/>
              <w:bottom w:val="nil"/>
              <w:right w:val="single" w:sz="4" w:space="0" w:color="808080"/>
            </w:tcBorders>
            <w:shd w:val="clear" w:color="auto" w:fill="auto"/>
            <w:noWrap/>
            <w:vAlign w:val="center"/>
            <w:hideMark/>
          </w:tcPr>
          <w:p w14:paraId="1D194C27"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38,6 </w:t>
            </w:r>
          </w:p>
        </w:tc>
        <w:tc>
          <w:tcPr>
            <w:tcW w:w="1258" w:type="dxa"/>
            <w:tcBorders>
              <w:top w:val="nil"/>
              <w:left w:val="nil"/>
              <w:bottom w:val="nil"/>
              <w:right w:val="single" w:sz="4" w:space="0" w:color="808080"/>
            </w:tcBorders>
            <w:shd w:val="clear" w:color="auto" w:fill="auto"/>
            <w:noWrap/>
            <w:vAlign w:val="center"/>
            <w:hideMark/>
          </w:tcPr>
          <w:p w14:paraId="6E8B38B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11,7 </w:t>
            </w:r>
          </w:p>
        </w:tc>
        <w:tc>
          <w:tcPr>
            <w:tcW w:w="1101" w:type="dxa"/>
            <w:tcBorders>
              <w:top w:val="nil"/>
              <w:left w:val="nil"/>
              <w:bottom w:val="nil"/>
              <w:right w:val="single" w:sz="4" w:space="0" w:color="808080"/>
            </w:tcBorders>
            <w:shd w:val="clear" w:color="auto" w:fill="auto"/>
            <w:noWrap/>
            <w:vAlign w:val="center"/>
            <w:hideMark/>
          </w:tcPr>
          <w:p w14:paraId="6E0C1920"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4,4 </w:t>
            </w:r>
          </w:p>
        </w:tc>
        <w:tc>
          <w:tcPr>
            <w:tcW w:w="1167" w:type="dxa"/>
            <w:tcBorders>
              <w:top w:val="nil"/>
              <w:left w:val="nil"/>
              <w:bottom w:val="nil"/>
              <w:right w:val="nil"/>
            </w:tcBorders>
            <w:shd w:val="clear" w:color="auto" w:fill="auto"/>
            <w:noWrap/>
            <w:vAlign w:val="center"/>
            <w:hideMark/>
          </w:tcPr>
          <w:p w14:paraId="612CCDA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6,5 </w:t>
            </w:r>
          </w:p>
        </w:tc>
      </w:tr>
      <w:tr w:rsidR="0010460E" w:rsidRPr="0010460E" w14:paraId="2CD4EA6F"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5FD29330"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Obchod a opravy motorových vozidel</w:t>
            </w:r>
          </w:p>
        </w:tc>
        <w:tc>
          <w:tcPr>
            <w:tcW w:w="1426" w:type="dxa"/>
            <w:tcBorders>
              <w:top w:val="nil"/>
              <w:left w:val="nil"/>
              <w:bottom w:val="nil"/>
              <w:right w:val="single" w:sz="4" w:space="0" w:color="808080"/>
            </w:tcBorders>
            <w:shd w:val="clear" w:color="auto" w:fill="auto"/>
            <w:noWrap/>
            <w:vAlign w:val="center"/>
            <w:hideMark/>
          </w:tcPr>
          <w:p w14:paraId="2C6575B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75,0 </w:t>
            </w:r>
          </w:p>
        </w:tc>
        <w:tc>
          <w:tcPr>
            <w:tcW w:w="1427" w:type="dxa"/>
            <w:tcBorders>
              <w:top w:val="nil"/>
              <w:left w:val="nil"/>
              <w:bottom w:val="nil"/>
              <w:right w:val="single" w:sz="4" w:space="0" w:color="808080"/>
            </w:tcBorders>
            <w:shd w:val="clear" w:color="auto" w:fill="auto"/>
            <w:noWrap/>
            <w:vAlign w:val="center"/>
            <w:hideMark/>
          </w:tcPr>
          <w:p w14:paraId="4B62198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46,0 </w:t>
            </w:r>
          </w:p>
        </w:tc>
        <w:tc>
          <w:tcPr>
            <w:tcW w:w="1258" w:type="dxa"/>
            <w:tcBorders>
              <w:top w:val="nil"/>
              <w:left w:val="nil"/>
              <w:bottom w:val="nil"/>
              <w:right w:val="single" w:sz="4" w:space="0" w:color="808080"/>
            </w:tcBorders>
            <w:shd w:val="clear" w:color="auto" w:fill="auto"/>
            <w:noWrap/>
            <w:vAlign w:val="center"/>
            <w:hideMark/>
          </w:tcPr>
          <w:p w14:paraId="0D79B898"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11,6 </w:t>
            </w:r>
          </w:p>
        </w:tc>
        <w:tc>
          <w:tcPr>
            <w:tcW w:w="1101" w:type="dxa"/>
            <w:tcBorders>
              <w:top w:val="nil"/>
              <w:left w:val="nil"/>
              <w:bottom w:val="nil"/>
              <w:right w:val="single" w:sz="4" w:space="0" w:color="808080"/>
            </w:tcBorders>
            <w:shd w:val="clear" w:color="auto" w:fill="auto"/>
            <w:noWrap/>
            <w:vAlign w:val="center"/>
            <w:hideMark/>
          </w:tcPr>
          <w:p w14:paraId="11AB585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5,0 </w:t>
            </w:r>
          </w:p>
        </w:tc>
        <w:tc>
          <w:tcPr>
            <w:tcW w:w="1167" w:type="dxa"/>
            <w:tcBorders>
              <w:top w:val="nil"/>
              <w:left w:val="nil"/>
              <w:bottom w:val="nil"/>
              <w:right w:val="nil"/>
            </w:tcBorders>
            <w:shd w:val="clear" w:color="auto" w:fill="auto"/>
            <w:noWrap/>
            <w:vAlign w:val="center"/>
            <w:hideMark/>
          </w:tcPr>
          <w:p w14:paraId="7567DEA2"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8,1 </w:t>
            </w:r>
          </w:p>
        </w:tc>
      </w:tr>
      <w:tr w:rsidR="0010460E" w:rsidRPr="0010460E" w14:paraId="4BAEDBDB"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7F326848"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Velkoobchod</w:t>
            </w:r>
          </w:p>
        </w:tc>
        <w:tc>
          <w:tcPr>
            <w:tcW w:w="1426" w:type="dxa"/>
            <w:tcBorders>
              <w:top w:val="nil"/>
              <w:left w:val="nil"/>
              <w:bottom w:val="nil"/>
              <w:right w:val="single" w:sz="4" w:space="0" w:color="808080"/>
            </w:tcBorders>
            <w:shd w:val="clear" w:color="auto" w:fill="auto"/>
            <w:noWrap/>
            <w:vAlign w:val="center"/>
            <w:hideMark/>
          </w:tcPr>
          <w:p w14:paraId="4BD788B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70,5 </w:t>
            </w:r>
          </w:p>
        </w:tc>
        <w:tc>
          <w:tcPr>
            <w:tcW w:w="1427" w:type="dxa"/>
            <w:tcBorders>
              <w:top w:val="nil"/>
              <w:left w:val="nil"/>
              <w:bottom w:val="nil"/>
              <w:right w:val="single" w:sz="4" w:space="0" w:color="808080"/>
            </w:tcBorders>
            <w:shd w:val="clear" w:color="auto" w:fill="auto"/>
            <w:noWrap/>
            <w:vAlign w:val="center"/>
            <w:hideMark/>
          </w:tcPr>
          <w:p w14:paraId="26A3D5EE"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50,3 </w:t>
            </w:r>
          </w:p>
        </w:tc>
        <w:tc>
          <w:tcPr>
            <w:tcW w:w="1258" w:type="dxa"/>
            <w:tcBorders>
              <w:top w:val="nil"/>
              <w:left w:val="nil"/>
              <w:bottom w:val="nil"/>
              <w:right w:val="single" w:sz="4" w:space="0" w:color="808080"/>
            </w:tcBorders>
            <w:shd w:val="clear" w:color="auto" w:fill="auto"/>
            <w:noWrap/>
            <w:vAlign w:val="center"/>
            <w:hideMark/>
          </w:tcPr>
          <w:p w14:paraId="7652C6F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13,4 </w:t>
            </w:r>
          </w:p>
        </w:tc>
        <w:tc>
          <w:tcPr>
            <w:tcW w:w="1101" w:type="dxa"/>
            <w:tcBorders>
              <w:top w:val="nil"/>
              <w:left w:val="nil"/>
              <w:bottom w:val="nil"/>
              <w:right w:val="single" w:sz="4" w:space="0" w:color="808080"/>
            </w:tcBorders>
            <w:shd w:val="clear" w:color="auto" w:fill="auto"/>
            <w:noWrap/>
            <w:vAlign w:val="center"/>
            <w:hideMark/>
          </w:tcPr>
          <w:p w14:paraId="60A7610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7,2 </w:t>
            </w:r>
          </w:p>
        </w:tc>
        <w:tc>
          <w:tcPr>
            <w:tcW w:w="1167" w:type="dxa"/>
            <w:tcBorders>
              <w:top w:val="nil"/>
              <w:left w:val="nil"/>
              <w:bottom w:val="nil"/>
              <w:right w:val="nil"/>
            </w:tcBorders>
            <w:shd w:val="clear" w:color="auto" w:fill="auto"/>
            <w:noWrap/>
            <w:vAlign w:val="center"/>
            <w:hideMark/>
          </w:tcPr>
          <w:p w14:paraId="1041E9B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9,2 </w:t>
            </w:r>
          </w:p>
        </w:tc>
      </w:tr>
      <w:tr w:rsidR="0010460E" w:rsidRPr="0010460E" w14:paraId="592484BA"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0E352F03"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Maloobchod</w:t>
            </w:r>
          </w:p>
        </w:tc>
        <w:tc>
          <w:tcPr>
            <w:tcW w:w="1426" w:type="dxa"/>
            <w:tcBorders>
              <w:top w:val="nil"/>
              <w:left w:val="nil"/>
              <w:bottom w:val="nil"/>
              <w:right w:val="single" w:sz="4" w:space="0" w:color="808080"/>
            </w:tcBorders>
            <w:shd w:val="clear" w:color="auto" w:fill="auto"/>
            <w:noWrap/>
            <w:vAlign w:val="center"/>
            <w:hideMark/>
          </w:tcPr>
          <w:p w14:paraId="2959406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42,1 </w:t>
            </w:r>
          </w:p>
        </w:tc>
        <w:tc>
          <w:tcPr>
            <w:tcW w:w="1427" w:type="dxa"/>
            <w:tcBorders>
              <w:top w:val="nil"/>
              <w:left w:val="nil"/>
              <w:bottom w:val="nil"/>
              <w:right w:val="single" w:sz="4" w:space="0" w:color="808080"/>
            </w:tcBorders>
            <w:shd w:val="clear" w:color="auto" w:fill="auto"/>
            <w:noWrap/>
            <w:vAlign w:val="center"/>
            <w:hideMark/>
          </w:tcPr>
          <w:p w14:paraId="6007D59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18,3 </w:t>
            </w:r>
          </w:p>
        </w:tc>
        <w:tc>
          <w:tcPr>
            <w:tcW w:w="1258" w:type="dxa"/>
            <w:tcBorders>
              <w:top w:val="nil"/>
              <w:left w:val="nil"/>
              <w:bottom w:val="nil"/>
              <w:right w:val="single" w:sz="4" w:space="0" w:color="808080"/>
            </w:tcBorders>
            <w:shd w:val="clear" w:color="auto" w:fill="auto"/>
            <w:noWrap/>
            <w:vAlign w:val="center"/>
            <w:hideMark/>
          </w:tcPr>
          <w:p w14:paraId="279970C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12,5 </w:t>
            </w:r>
          </w:p>
        </w:tc>
        <w:tc>
          <w:tcPr>
            <w:tcW w:w="1101" w:type="dxa"/>
            <w:tcBorders>
              <w:top w:val="nil"/>
              <w:left w:val="nil"/>
              <w:bottom w:val="nil"/>
              <w:right w:val="single" w:sz="4" w:space="0" w:color="808080"/>
            </w:tcBorders>
            <w:shd w:val="clear" w:color="auto" w:fill="auto"/>
            <w:noWrap/>
            <w:vAlign w:val="center"/>
            <w:hideMark/>
          </w:tcPr>
          <w:p w14:paraId="448825E2"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5,5 </w:t>
            </w:r>
          </w:p>
        </w:tc>
        <w:tc>
          <w:tcPr>
            <w:tcW w:w="1167" w:type="dxa"/>
            <w:tcBorders>
              <w:top w:val="nil"/>
              <w:left w:val="nil"/>
              <w:bottom w:val="nil"/>
              <w:right w:val="nil"/>
            </w:tcBorders>
            <w:shd w:val="clear" w:color="auto" w:fill="auto"/>
            <w:noWrap/>
            <w:vAlign w:val="center"/>
            <w:hideMark/>
          </w:tcPr>
          <w:p w14:paraId="362233A8"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6,9 </w:t>
            </w:r>
          </w:p>
        </w:tc>
      </w:tr>
      <w:tr w:rsidR="0010460E" w:rsidRPr="0010460E" w14:paraId="479E4360"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6904C576"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Doprava a skladování</w:t>
            </w:r>
          </w:p>
        </w:tc>
        <w:tc>
          <w:tcPr>
            <w:tcW w:w="1426" w:type="dxa"/>
            <w:tcBorders>
              <w:top w:val="nil"/>
              <w:left w:val="nil"/>
              <w:bottom w:val="nil"/>
              <w:right w:val="single" w:sz="4" w:space="0" w:color="808080"/>
            </w:tcBorders>
            <w:shd w:val="clear" w:color="auto" w:fill="auto"/>
            <w:noWrap/>
            <w:vAlign w:val="center"/>
            <w:hideMark/>
          </w:tcPr>
          <w:p w14:paraId="77181D4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46,3 </w:t>
            </w:r>
          </w:p>
        </w:tc>
        <w:tc>
          <w:tcPr>
            <w:tcW w:w="1427" w:type="dxa"/>
            <w:tcBorders>
              <w:top w:val="nil"/>
              <w:left w:val="nil"/>
              <w:bottom w:val="nil"/>
              <w:right w:val="single" w:sz="4" w:space="0" w:color="808080"/>
            </w:tcBorders>
            <w:shd w:val="clear" w:color="auto" w:fill="auto"/>
            <w:noWrap/>
            <w:vAlign w:val="center"/>
            <w:hideMark/>
          </w:tcPr>
          <w:p w14:paraId="73290037"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32,8 </w:t>
            </w:r>
          </w:p>
        </w:tc>
        <w:tc>
          <w:tcPr>
            <w:tcW w:w="1258" w:type="dxa"/>
            <w:tcBorders>
              <w:top w:val="nil"/>
              <w:left w:val="nil"/>
              <w:bottom w:val="nil"/>
              <w:right w:val="single" w:sz="4" w:space="0" w:color="808080"/>
            </w:tcBorders>
            <w:shd w:val="clear" w:color="auto" w:fill="auto"/>
            <w:noWrap/>
            <w:vAlign w:val="center"/>
            <w:hideMark/>
          </w:tcPr>
          <w:p w14:paraId="06FA37E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12,2 </w:t>
            </w:r>
          </w:p>
        </w:tc>
        <w:tc>
          <w:tcPr>
            <w:tcW w:w="1101" w:type="dxa"/>
            <w:tcBorders>
              <w:top w:val="nil"/>
              <w:left w:val="nil"/>
              <w:bottom w:val="nil"/>
              <w:right w:val="single" w:sz="4" w:space="0" w:color="808080"/>
            </w:tcBorders>
            <w:shd w:val="clear" w:color="auto" w:fill="auto"/>
            <w:noWrap/>
            <w:vAlign w:val="center"/>
            <w:hideMark/>
          </w:tcPr>
          <w:p w14:paraId="483EEDAF"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5,3 </w:t>
            </w:r>
          </w:p>
        </w:tc>
        <w:tc>
          <w:tcPr>
            <w:tcW w:w="1167" w:type="dxa"/>
            <w:tcBorders>
              <w:top w:val="nil"/>
              <w:left w:val="nil"/>
              <w:bottom w:val="nil"/>
              <w:right w:val="nil"/>
            </w:tcBorders>
            <w:shd w:val="clear" w:color="auto" w:fill="auto"/>
            <w:noWrap/>
            <w:vAlign w:val="center"/>
            <w:hideMark/>
          </w:tcPr>
          <w:p w14:paraId="313133D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8,2 </w:t>
            </w:r>
          </w:p>
        </w:tc>
      </w:tr>
      <w:tr w:rsidR="0010460E" w:rsidRPr="0010460E" w14:paraId="0E380114"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1D8BA147"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Ubytování</w:t>
            </w:r>
          </w:p>
        </w:tc>
        <w:tc>
          <w:tcPr>
            <w:tcW w:w="1426" w:type="dxa"/>
            <w:tcBorders>
              <w:top w:val="nil"/>
              <w:left w:val="nil"/>
              <w:bottom w:val="nil"/>
              <w:right w:val="single" w:sz="4" w:space="0" w:color="808080"/>
            </w:tcBorders>
            <w:shd w:val="clear" w:color="auto" w:fill="auto"/>
            <w:noWrap/>
            <w:vAlign w:val="center"/>
            <w:hideMark/>
          </w:tcPr>
          <w:p w14:paraId="10B6EDBF"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42,1 </w:t>
            </w:r>
          </w:p>
        </w:tc>
        <w:tc>
          <w:tcPr>
            <w:tcW w:w="1427" w:type="dxa"/>
            <w:tcBorders>
              <w:top w:val="nil"/>
              <w:left w:val="nil"/>
              <w:bottom w:val="nil"/>
              <w:right w:val="single" w:sz="4" w:space="0" w:color="808080"/>
            </w:tcBorders>
            <w:shd w:val="clear" w:color="auto" w:fill="auto"/>
            <w:noWrap/>
            <w:vAlign w:val="center"/>
            <w:hideMark/>
          </w:tcPr>
          <w:p w14:paraId="54CB80C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25,0 </w:t>
            </w:r>
          </w:p>
        </w:tc>
        <w:tc>
          <w:tcPr>
            <w:tcW w:w="1258" w:type="dxa"/>
            <w:tcBorders>
              <w:top w:val="nil"/>
              <w:left w:val="nil"/>
              <w:bottom w:val="nil"/>
              <w:right w:val="single" w:sz="4" w:space="0" w:color="808080"/>
            </w:tcBorders>
            <w:shd w:val="clear" w:color="auto" w:fill="auto"/>
            <w:noWrap/>
            <w:vAlign w:val="center"/>
            <w:hideMark/>
          </w:tcPr>
          <w:p w14:paraId="1E17CAE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7,2 </w:t>
            </w:r>
          </w:p>
        </w:tc>
        <w:tc>
          <w:tcPr>
            <w:tcW w:w="1101" w:type="dxa"/>
            <w:tcBorders>
              <w:top w:val="nil"/>
              <w:left w:val="nil"/>
              <w:bottom w:val="nil"/>
              <w:right w:val="single" w:sz="4" w:space="0" w:color="808080"/>
            </w:tcBorders>
            <w:shd w:val="clear" w:color="auto" w:fill="auto"/>
            <w:noWrap/>
            <w:vAlign w:val="center"/>
            <w:hideMark/>
          </w:tcPr>
          <w:p w14:paraId="11CECDE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3,6 </w:t>
            </w:r>
          </w:p>
        </w:tc>
        <w:tc>
          <w:tcPr>
            <w:tcW w:w="1167" w:type="dxa"/>
            <w:tcBorders>
              <w:top w:val="nil"/>
              <w:left w:val="nil"/>
              <w:bottom w:val="nil"/>
              <w:right w:val="nil"/>
            </w:tcBorders>
            <w:shd w:val="clear" w:color="auto" w:fill="auto"/>
            <w:noWrap/>
            <w:vAlign w:val="center"/>
            <w:hideMark/>
          </w:tcPr>
          <w:p w14:paraId="45BD677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5,1 </w:t>
            </w:r>
          </w:p>
        </w:tc>
      </w:tr>
      <w:tr w:rsidR="0010460E" w:rsidRPr="0010460E" w14:paraId="664860CF"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158E0781"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Stravování a pohostinství</w:t>
            </w:r>
          </w:p>
        </w:tc>
        <w:tc>
          <w:tcPr>
            <w:tcW w:w="1426" w:type="dxa"/>
            <w:tcBorders>
              <w:top w:val="nil"/>
              <w:left w:val="nil"/>
              <w:bottom w:val="nil"/>
              <w:right w:val="single" w:sz="4" w:space="0" w:color="808080"/>
            </w:tcBorders>
            <w:shd w:val="clear" w:color="auto" w:fill="auto"/>
            <w:noWrap/>
            <w:vAlign w:val="center"/>
            <w:hideMark/>
          </w:tcPr>
          <w:p w14:paraId="04C28BE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30,3 </w:t>
            </w:r>
          </w:p>
        </w:tc>
        <w:tc>
          <w:tcPr>
            <w:tcW w:w="1427" w:type="dxa"/>
            <w:tcBorders>
              <w:top w:val="nil"/>
              <w:left w:val="nil"/>
              <w:bottom w:val="nil"/>
              <w:right w:val="single" w:sz="4" w:space="0" w:color="808080"/>
            </w:tcBorders>
            <w:shd w:val="clear" w:color="auto" w:fill="auto"/>
            <w:noWrap/>
            <w:vAlign w:val="center"/>
            <w:hideMark/>
          </w:tcPr>
          <w:p w14:paraId="367EAF1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19,1 </w:t>
            </w:r>
          </w:p>
        </w:tc>
        <w:tc>
          <w:tcPr>
            <w:tcW w:w="1258" w:type="dxa"/>
            <w:tcBorders>
              <w:top w:val="nil"/>
              <w:left w:val="nil"/>
              <w:bottom w:val="nil"/>
              <w:right w:val="single" w:sz="4" w:space="0" w:color="808080"/>
            </w:tcBorders>
            <w:shd w:val="clear" w:color="auto" w:fill="auto"/>
            <w:noWrap/>
            <w:vAlign w:val="center"/>
            <w:hideMark/>
          </w:tcPr>
          <w:p w14:paraId="350F8402"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2,9 </w:t>
            </w:r>
          </w:p>
        </w:tc>
        <w:tc>
          <w:tcPr>
            <w:tcW w:w="1101" w:type="dxa"/>
            <w:tcBorders>
              <w:top w:val="nil"/>
              <w:left w:val="nil"/>
              <w:bottom w:val="nil"/>
              <w:right w:val="single" w:sz="4" w:space="0" w:color="808080"/>
            </w:tcBorders>
            <w:shd w:val="clear" w:color="auto" w:fill="auto"/>
            <w:noWrap/>
            <w:vAlign w:val="center"/>
            <w:hideMark/>
          </w:tcPr>
          <w:p w14:paraId="2F48103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1,3 </w:t>
            </w:r>
          </w:p>
        </w:tc>
        <w:tc>
          <w:tcPr>
            <w:tcW w:w="1167" w:type="dxa"/>
            <w:tcBorders>
              <w:top w:val="nil"/>
              <w:left w:val="nil"/>
              <w:bottom w:val="nil"/>
              <w:right w:val="nil"/>
            </w:tcBorders>
            <w:shd w:val="clear" w:color="auto" w:fill="auto"/>
            <w:noWrap/>
            <w:vAlign w:val="center"/>
            <w:hideMark/>
          </w:tcPr>
          <w:p w14:paraId="7AA35031"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1,7 </w:t>
            </w:r>
          </w:p>
        </w:tc>
      </w:tr>
      <w:tr w:rsidR="0010460E" w:rsidRPr="0010460E" w14:paraId="09311A47"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01B6CC88"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Činnosti cestovních agentur a kanceláří</w:t>
            </w:r>
          </w:p>
        </w:tc>
        <w:tc>
          <w:tcPr>
            <w:tcW w:w="1426" w:type="dxa"/>
            <w:tcBorders>
              <w:top w:val="nil"/>
              <w:left w:val="nil"/>
              <w:bottom w:val="nil"/>
              <w:right w:val="single" w:sz="4" w:space="0" w:color="808080"/>
            </w:tcBorders>
            <w:shd w:val="clear" w:color="auto" w:fill="auto"/>
            <w:noWrap/>
            <w:vAlign w:val="center"/>
            <w:hideMark/>
          </w:tcPr>
          <w:p w14:paraId="5CD11D0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78,6 </w:t>
            </w:r>
          </w:p>
        </w:tc>
        <w:tc>
          <w:tcPr>
            <w:tcW w:w="1427" w:type="dxa"/>
            <w:tcBorders>
              <w:top w:val="nil"/>
              <w:left w:val="nil"/>
              <w:bottom w:val="nil"/>
              <w:right w:val="single" w:sz="4" w:space="0" w:color="808080"/>
            </w:tcBorders>
            <w:shd w:val="clear" w:color="auto" w:fill="auto"/>
            <w:noWrap/>
            <w:vAlign w:val="center"/>
            <w:hideMark/>
          </w:tcPr>
          <w:p w14:paraId="5D53620C"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43,7 </w:t>
            </w:r>
          </w:p>
        </w:tc>
        <w:tc>
          <w:tcPr>
            <w:tcW w:w="1258" w:type="dxa"/>
            <w:tcBorders>
              <w:top w:val="nil"/>
              <w:left w:val="nil"/>
              <w:bottom w:val="nil"/>
              <w:right w:val="single" w:sz="4" w:space="0" w:color="808080"/>
            </w:tcBorders>
            <w:shd w:val="clear" w:color="auto" w:fill="auto"/>
            <w:noWrap/>
            <w:vAlign w:val="center"/>
            <w:hideMark/>
          </w:tcPr>
          <w:p w14:paraId="62E5424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47,6 </w:t>
            </w:r>
          </w:p>
        </w:tc>
        <w:tc>
          <w:tcPr>
            <w:tcW w:w="1101" w:type="dxa"/>
            <w:tcBorders>
              <w:top w:val="nil"/>
              <w:left w:val="nil"/>
              <w:bottom w:val="nil"/>
              <w:right w:val="single" w:sz="4" w:space="0" w:color="808080"/>
            </w:tcBorders>
            <w:shd w:val="clear" w:color="auto" w:fill="auto"/>
            <w:noWrap/>
            <w:vAlign w:val="center"/>
            <w:hideMark/>
          </w:tcPr>
          <w:p w14:paraId="102D329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31,8 </w:t>
            </w:r>
          </w:p>
        </w:tc>
        <w:tc>
          <w:tcPr>
            <w:tcW w:w="1167" w:type="dxa"/>
            <w:tcBorders>
              <w:top w:val="nil"/>
              <w:left w:val="nil"/>
              <w:bottom w:val="nil"/>
              <w:right w:val="nil"/>
            </w:tcBorders>
            <w:shd w:val="clear" w:color="auto" w:fill="auto"/>
            <w:noWrap/>
            <w:vAlign w:val="center"/>
            <w:hideMark/>
          </w:tcPr>
          <w:p w14:paraId="30FA30D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42,3 </w:t>
            </w:r>
          </w:p>
        </w:tc>
      </w:tr>
      <w:tr w:rsidR="0010460E" w:rsidRPr="0010460E" w14:paraId="6580C4ED"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3BC9CBAB"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Audiovizuální činnosti; vydavatelství</w:t>
            </w:r>
          </w:p>
        </w:tc>
        <w:tc>
          <w:tcPr>
            <w:tcW w:w="1426" w:type="dxa"/>
            <w:tcBorders>
              <w:top w:val="nil"/>
              <w:left w:val="nil"/>
              <w:bottom w:val="nil"/>
              <w:right w:val="single" w:sz="4" w:space="0" w:color="808080"/>
            </w:tcBorders>
            <w:shd w:val="clear" w:color="auto" w:fill="auto"/>
            <w:noWrap/>
            <w:vAlign w:val="center"/>
            <w:hideMark/>
          </w:tcPr>
          <w:p w14:paraId="4797299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91,9 </w:t>
            </w:r>
          </w:p>
        </w:tc>
        <w:tc>
          <w:tcPr>
            <w:tcW w:w="1427" w:type="dxa"/>
            <w:tcBorders>
              <w:top w:val="nil"/>
              <w:left w:val="nil"/>
              <w:bottom w:val="nil"/>
              <w:right w:val="single" w:sz="4" w:space="0" w:color="808080"/>
            </w:tcBorders>
            <w:shd w:val="clear" w:color="auto" w:fill="auto"/>
            <w:noWrap/>
            <w:vAlign w:val="center"/>
            <w:hideMark/>
          </w:tcPr>
          <w:p w14:paraId="0D23C18E"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67,0 </w:t>
            </w:r>
          </w:p>
        </w:tc>
        <w:tc>
          <w:tcPr>
            <w:tcW w:w="1258" w:type="dxa"/>
            <w:tcBorders>
              <w:top w:val="nil"/>
              <w:left w:val="nil"/>
              <w:bottom w:val="nil"/>
              <w:right w:val="single" w:sz="4" w:space="0" w:color="808080"/>
            </w:tcBorders>
            <w:shd w:val="clear" w:color="auto" w:fill="auto"/>
            <w:noWrap/>
            <w:vAlign w:val="center"/>
            <w:hideMark/>
          </w:tcPr>
          <w:p w14:paraId="2FC51870"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66,8 </w:t>
            </w:r>
          </w:p>
        </w:tc>
        <w:tc>
          <w:tcPr>
            <w:tcW w:w="1101" w:type="dxa"/>
            <w:tcBorders>
              <w:top w:val="nil"/>
              <w:left w:val="nil"/>
              <w:bottom w:val="nil"/>
              <w:right w:val="single" w:sz="4" w:space="0" w:color="808080"/>
            </w:tcBorders>
            <w:shd w:val="clear" w:color="auto" w:fill="auto"/>
            <w:noWrap/>
            <w:vAlign w:val="center"/>
            <w:hideMark/>
          </w:tcPr>
          <w:p w14:paraId="37474ED7"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52,2 </w:t>
            </w:r>
          </w:p>
        </w:tc>
        <w:tc>
          <w:tcPr>
            <w:tcW w:w="1167" w:type="dxa"/>
            <w:tcBorders>
              <w:top w:val="nil"/>
              <w:left w:val="nil"/>
              <w:bottom w:val="nil"/>
              <w:right w:val="nil"/>
            </w:tcBorders>
            <w:shd w:val="clear" w:color="auto" w:fill="auto"/>
            <w:noWrap/>
            <w:vAlign w:val="center"/>
            <w:hideMark/>
          </w:tcPr>
          <w:p w14:paraId="45A852E4"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58,7 </w:t>
            </w:r>
          </w:p>
        </w:tc>
      </w:tr>
      <w:tr w:rsidR="0010460E" w:rsidRPr="0010460E" w14:paraId="07D2166F"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180F989C"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Telekomunikační činnosti</w:t>
            </w:r>
          </w:p>
        </w:tc>
        <w:tc>
          <w:tcPr>
            <w:tcW w:w="1426" w:type="dxa"/>
            <w:tcBorders>
              <w:top w:val="nil"/>
              <w:left w:val="nil"/>
              <w:bottom w:val="nil"/>
              <w:right w:val="single" w:sz="4" w:space="0" w:color="808080"/>
            </w:tcBorders>
            <w:shd w:val="clear" w:color="auto" w:fill="auto"/>
            <w:noWrap/>
            <w:vAlign w:val="center"/>
            <w:hideMark/>
          </w:tcPr>
          <w:p w14:paraId="295E4A5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97,0 </w:t>
            </w:r>
          </w:p>
        </w:tc>
        <w:tc>
          <w:tcPr>
            <w:tcW w:w="1427" w:type="dxa"/>
            <w:tcBorders>
              <w:top w:val="nil"/>
              <w:left w:val="nil"/>
              <w:bottom w:val="nil"/>
              <w:right w:val="single" w:sz="4" w:space="0" w:color="808080"/>
            </w:tcBorders>
            <w:shd w:val="clear" w:color="auto" w:fill="auto"/>
            <w:noWrap/>
            <w:vAlign w:val="center"/>
            <w:hideMark/>
          </w:tcPr>
          <w:p w14:paraId="2157229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89,6 </w:t>
            </w:r>
          </w:p>
        </w:tc>
        <w:tc>
          <w:tcPr>
            <w:tcW w:w="1258" w:type="dxa"/>
            <w:tcBorders>
              <w:top w:val="nil"/>
              <w:left w:val="nil"/>
              <w:bottom w:val="nil"/>
              <w:right w:val="single" w:sz="4" w:space="0" w:color="808080"/>
            </w:tcBorders>
            <w:shd w:val="clear" w:color="auto" w:fill="auto"/>
            <w:noWrap/>
            <w:vAlign w:val="center"/>
            <w:hideMark/>
          </w:tcPr>
          <w:p w14:paraId="26D6775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88,5 </w:t>
            </w:r>
          </w:p>
        </w:tc>
        <w:tc>
          <w:tcPr>
            <w:tcW w:w="1101" w:type="dxa"/>
            <w:tcBorders>
              <w:top w:val="nil"/>
              <w:left w:val="nil"/>
              <w:bottom w:val="nil"/>
              <w:right w:val="single" w:sz="4" w:space="0" w:color="808080"/>
            </w:tcBorders>
            <w:shd w:val="clear" w:color="auto" w:fill="auto"/>
            <w:noWrap/>
            <w:vAlign w:val="center"/>
            <w:hideMark/>
          </w:tcPr>
          <w:p w14:paraId="0CACE37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59,5 </w:t>
            </w:r>
          </w:p>
        </w:tc>
        <w:tc>
          <w:tcPr>
            <w:tcW w:w="1167" w:type="dxa"/>
            <w:tcBorders>
              <w:top w:val="nil"/>
              <w:left w:val="nil"/>
              <w:bottom w:val="nil"/>
              <w:right w:val="nil"/>
            </w:tcBorders>
            <w:shd w:val="clear" w:color="auto" w:fill="auto"/>
            <w:noWrap/>
            <w:vAlign w:val="center"/>
            <w:hideMark/>
          </w:tcPr>
          <w:p w14:paraId="5F9F92D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68,7 </w:t>
            </w:r>
          </w:p>
        </w:tc>
      </w:tr>
      <w:tr w:rsidR="0010460E" w:rsidRPr="0010460E" w14:paraId="75B69864"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21B35440"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Činnosti v oblasti IT</w:t>
            </w:r>
          </w:p>
        </w:tc>
        <w:tc>
          <w:tcPr>
            <w:tcW w:w="1426" w:type="dxa"/>
            <w:tcBorders>
              <w:top w:val="nil"/>
              <w:left w:val="nil"/>
              <w:bottom w:val="nil"/>
              <w:right w:val="single" w:sz="4" w:space="0" w:color="808080"/>
            </w:tcBorders>
            <w:shd w:val="clear" w:color="auto" w:fill="auto"/>
            <w:noWrap/>
            <w:vAlign w:val="center"/>
            <w:hideMark/>
          </w:tcPr>
          <w:p w14:paraId="77B3F05E"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93,7 </w:t>
            </w:r>
          </w:p>
        </w:tc>
        <w:tc>
          <w:tcPr>
            <w:tcW w:w="1427" w:type="dxa"/>
            <w:tcBorders>
              <w:top w:val="nil"/>
              <w:left w:val="nil"/>
              <w:bottom w:val="nil"/>
              <w:right w:val="single" w:sz="4" w:space="0" w:color="808080"/>
            </w:tcBorders>
            <w:shd w:val="clear" w:color="auto" w:fill="auto"/>
            <w:noWrap/>
            <w:vAlign w:val="center"/>
            <w:hideMark/>
          </w:tcPr>
          <w:p w14:paraId="4D192D2D"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74,1 </w:t>
            </w:r>
          </w:p>
        </w:tc>
        <w:tc>
          <w:tcPr>
            <w:tcW w:w="1258" w:type="dxa"/>
            <w:tcBorders>
              <w:top w:val="nil"/>
              <w:left w:val="nil"/>
              <w:bottom w:val="nil"/>
              <w:right w:val="single" w:sz="4" w:space="0" w:color="808080"/>
            </w:tcBorders>
            <w:shd w:val="clear" w:color="auto" w:fill="auto"/>
            <w:noWrap/>
            <w:vAlign w:val="center"/>
            <w:hideMark/>
          </w:tcPr>
          <w:p w14:paraId="59E6E7E5"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54,8 </w:t>
            </w:r>
          </w:p>
        </w:tc>
        <w:tc>
          <w:tcPr>
            <w:tcW w:w="1101" w:type="dxa"/>
            <w:tcBorders>
              <w:top w:val="nil"/>
              <w:left w:val="nil"/>
              <w:bottom w:val="nil"/>
              <w:right w:val="single" w:sz="4" w:space="0" w:color="808080"/>
            </w:tcBorders>
            <w:shd w:val="clear" w:color="auto" w:fill="auto"/>
            <w:noWrap/>
            <w:vAlign w:val="center"/>
            <w:hideMark/>
          </w:tcPr>
          <w:p w14:paraId="0A5B202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46,4 </w:t>
            </w:r>
          </w:p>
        </w:tc>
        <w:tc>
          <w:tcPr>
            <w:tcW w:w="1167" w:type="dxa"/>
            <w:tcBorders>
              <w:top w:val="nil"/>
              <w:left w:val="nil"/>
              <w:bottom w:val="nil"/>
              <w:right w:val="nil"/>
            </w:tcBorders>
            <w:shd w:val="clear" w:color="auto" w:fill="auto"/>
            <w:noWrap/>
            <w:vAlign w:val="center"/>
            <w:hideMark/>
          </w:tcPr>
          <w:p w14:paraId="64ED111E"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52,8 </w:t>
            </w:r>
          </w:p>
        </w:tc>
      </w:tr>
      <w:tr w:rsidR="0010460E" w:rsidRPr="0010460E" w14:paraId="49F4C50A"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79013520"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Činnosti v oblasti nemovitostí</w:t>
            </w:r>
          </w:p>
        </w:tc>
        <w:tc>
          <w:tcPr>
            <w:tcW w:w="1426" w:type="dxa"/>
            <w:tcBorders>
              <w:top w:val="nil"/>
              <w:left w:val="nil"/>
              <w:bottom w:val="nil"/>
              <w:right w:val="single" w:sz="4" w:space="0" w:color="808080"/>
            </w:tcBorders>
            <w:shd w:val="clear" w:color="auto" w:fill="auto"/>
            <w:noWrap/>
            <w:vAlign w:val="center"/>
            <w:hideMark/>
          </w:tcPr>
          <w:p w14:paraId="3E60161E"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67,9 </w:t>
            </w:r>
          </w:p>
        </w:tc>
        <w:tc>
          <w:tcPr>
            <w:tcW w:w="1427" w:type="dxa"/>
            <w:tcBorders>
              <w:top w:val="nil"/>
              <w:left w:val="nil"/>
              <w:bottom w:val="nil"/>
              <w:right w:val="single" w:sz="4" w:space="0" w:color="808080"/>
            </w:tcBorders>
            <w:shd w:val="clear" w:color="auto" w:fill="auto"/>
            <w:noWrap/>
            <w:vAlign w:val="center"/>
            <w:hideMark/>
          </w:tcPr>
          <w:p w14:paraId="073D62B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46,6 </w:t>
            </w:r>
          </w:p>
        </w:tc>
        <w:tc>
          <w:tcPr>
            <w:tcW w:w="1258" w:type="dxa"/>
            <w:tcBorders>
              <w:top w:val="nil"/>
              <w:left w:val="nil"/>
              <w:bottom w:val="nil"/>
              <w:right w:val="single" w:sz="4" w:space="0" w:color="808080"/>
            </w:tcBorders>
            <w:shd w:val="clear" w:color="auto" w:fill="auto"/>
            <w:noWrap/>
            <w:vAlign w:val="center"/>
            <w:hideMark/>
          </w:tcPr>
          <w:p w14:paraId="59014DA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14,9 </w:t>
            </w:r>
          </w:p>
        </w:tc>
        <w:tc>
          <w:tcPr>
            <w:tcW w:w="1101" w:type="dxa"/>
            <w:tcBorders>
              <w:top w:val="nil"/>
              <w:left w:val="nil"/>
              <w:bottom w:val="nil"/>
              <w:right w:val="single" w:sz="4" w:space="0" w:color="808080"/>
            </w:tcBorders>
            <w:shd w:val="clear" w:color="auto" w:fill="auto"/>
            <w:noWrap/>
            <w:vAlign w:val="center"/>
            <w:hideMark/>
          </w:tcPr>
          <w:p w14:paraId="220C5EC7"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8,6 </w:t>
            </w:r>
          </w:p>
        </w:tc>
        <w:tc>
          <w:tcPr>
            <w:tcW w:w="1167" w:type="dxa"/>
            <w:tcBorders>
              <w:top w:val="nil"/>
              <w:left w:val="nil"/>
              <w:bottom w:val="nil"/>
              <w:right w:val="nil"/>
            </w:tcBorders>
            <w:shd w:val="clear" w:color="auto" w:fill="auto"/>
            <w:noWrap/>
            <w:vAlign w:val="center"/>
            <w:hideMark/>
          </w:tcPr>
          <w:p w14:paraId="4F9CB5BC"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11,6 </w:t>
            </w:r>
          </w:p>
        </w:tc>
      </w:tr>
      <w:tr w:rsidR="0010460E" w:rsidRPr="0010460E" w14:paraId="5987DBC9" w14:textId="77777777" w:rsidTr="006049EE">
        <w:trPr>
          <w:trHeight w:hRule="exact" w:val="227"/>
        </w:trPr>
        <w:tc>
          <w:tcPr>
            <w:tcW w:w="3402" w:type="dxa"/>
            <w:tcBorders>
              <w:top w:val="nil"/>
              <w:left w:val="nil"/>
              <w:bottom w:val="nil"/>
              <w:right w:val="single" w:sz="4" w:space="0" w:color="808080"/>
            </w:tcBorders>
            <w:shd w:val="clear" w:color="auto" w:fill="auto"/>
            <w:noWrap/>
            <w:vAlign w:val="center"/>
            <w:hideMark/>
          </w:tcPr>
          <w:p w14:paraId="4E37DF02"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Profesní, vědecké a technické činnosti</w:t>
            </w:r>
          </w:p>
        </w:tc>
        <w:tc>
          <w:tcPr>
            <w:tcW w:w="1426" w:type="dxa"/>
            <w:tcBorders>
              <w:top w:val="nil"/>
              <w:left w:val="nil"/>
              <w:bottom w:val="nil"/>
              <w:right w:val="single" w:sz="4" w:space="0" w:color="808080"/>
            </w:tcBorders>
            <w:shd w:val="clear" w:color="auto" w:fill="auto"/>
            <w:noWrap/>
            <w:vAlign w:val="center"/>
            <w:hideMark/>
          </w:tcPr>
          <w:p w14:paraId="5073296A"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84,0 </w:t>
            </w:r>
          </w:p>
        </w:tc>
        <w:tc>
          <w:tcPr>
            <w:tcW w:w="1427" w:type="dxa"/>
            <w:tcBorders>
              <w:top w:val="nil"/>
              <w:left w:val="nil"/>
              <w:bottom w:val="nil"/>
              <w:right w:val="single" w:sz="4" w:space="0" w:color="808080"/>
            </w:tcBorders>
            <w:shd w:val="clear" w:color="auto" w:fill="auto"/>
            <w:noWrap/>
            <w:vAlign w:val="center"/>
            <w:hideMark/>
          </w:tcPr>
          <w:p w14:paraId="6D08B19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61,0 </w:t>
            </w:r>
          </w:p>
        </w:tc>
        <w:tc>
          <w:tcPr>
            <w:tcW w:w="1258" w:type="dxa"/>
            <w:tcBorders>
              <w:top w:val="nil"/>
              <w:left w:val="nil"/>
              <w:bottom w:val="nil"/>
              <w:right w:val="single" w:sz="4" w:space="0" w:color="808080"/>
            </w:tcBorders>
            <w:shd w:val="clear" w:color="auto" w:fill="auto"/>
            <w:noWrap/>
            <w:vAlign w:val="center"/>
            <w:hideMark/>
          </w:tcPr>
          <w:p w14:paraId="019268F2"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28,9 </w:t>
            </w:r>
          </w:p>
        </w:tc>
        <w:tc>
          <w:tcPr>
            <w:tcW w:w="1101" w:type="dxa"/>
            <w:tcBorders>
              <w:top w:val="nil"/>
              <w:left w:val="nil"/>
              <w:bottom w:val="nil"/>
              <w:right w:val="single" w:sz="4" w:space="0" w:color="808080"/>
            </w:tcBorders>
            <w:shd w:val="clear" w:color="auto" w:fill="auto"/>
            <w:noWrap/>
            <w:vAlign w:val="center"/>
            <w:hideMark/>
          </w:tcPr>
          <w:p w14:paraId="68D0B319"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21,4 </w:t>
            </w:r>
          </w:p>
        </w:tc>
        <w:tc>
          <w:tcPr>
            <w:tcW w:w="1167" w:type="dxa"/>
            <w:tcBorders>
              <w:top w:val="nil"/>
              <w:left w:val="nil"/>
              <w:bottom w:val="nil"/>
              <w:right w:val="nil"/>
            </w:tcBorders>
            <w:shd w:val="clear" w:color="auto" w:fill="auto"/>
            <w:noWrap/>
            <w:vAlign w:val="center"/>
            <w:hideMark/>
          </w:tcPr>
          <w:p w14:paraId="2973C636"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24,7 </w:t>
            </w:r>
          </w:p>
        </w:tc>
      </w:tr>
      <w:tr w:rsidR="0010460E" w:rsidRPr="0010460E" w14:paraId="398A83C6" w14:textId="77777777" w:rsidTr="006049EE">
        <w:trPr>
          <w:trHeight w:hRule="exact" w:val="227"/>
        </w:trPr>
        <w:tc>
          <w:tcPr>
            <w:tcW w:w="3402" w:type="dxa"/>
            <w:tcBorders>
              <w:top w:val="nil"/>
              <w:left w:val="nil"/>
              <w:bottom w:val="single" w:sz="8" w:space="0" w:color="969696"/>
              <w:right w:val="single" w:sz="4" w:space="0" w:color="808080"/>
            </w:tcBorders>
            <w:shd w:val="clear" w:color="auto" w:fill="auto"/>
            <w:noWrap/>
            <w:vAlign w:val="center"/>
            <w:hideMark/>
          </w:tcPr>
          <w:p w14:paraId="4C078383" w14:textId="77777777" w:rsidR="0010460E" w:rsidRPr="0010460E" w:rsidRDefault="0010460E" w:rsidP="0010460E">
            <w:pPr>
              <w:spacing w:after="0" w:line="240" w:lineRule="auto"/>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  Ostatní administrativní a podpůrné činnosti</w:t>
            </w:r>
          </w:p>
        </w:tc>
        <w:tc>
          <w:tcPr>
            <w:tcW w:w="1426" w:type="dxa"/>
            <w:tcBorders>
              <w:top w:val="nil"/>
              <w:left w:val="nil"/>
              <w:bottom w:val="single" w:sz="8" w:space="0" w:color="969696"/>
              <w:right w:val="single" w:sz="4" w:space="0" w:color="808080"/>
            </w:tcBorders>
            <w:shd w:val="clear" w:color="auto" w:fill="auto"/>
            <w:noWrap/>
            <w:vAlign w:val="center"/>
            <w:hideMark/>
          </w:tcPr>
          <w:p w14:paraId="574D1C18"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25,1 </w:t>
            </w:r>
          </w:p>
        </w:tc>
        <w:tc>
          <w:tcPr>
            <w:tcW w:w="1427" w:type="dxa"/>
            <w:tcBorders>
              <w:top w:val="nil"/>
              <w:left w:val="nil"/>
              <w:bottom w:val="single" w:sz="8" w:space="0" w:color="969696"/>
              <w:right w:val="single" w:sz="4" w:space="0" w:color="808080"/>
            </w:tcBorders>
            <w:shd w:val="clear" w:color="auto" w:fill="auto"/>
            <w:noWrap/>
            <w:vAlign w:val="center"/>
            <w:hideMark/>
          </w:tcPr>
          <w:p w14:paraId="443BA6F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16,5 </w:t>
            </w:r>
          </w:p>
        </w:tc>
        <w:tc>
          <w:tcPr>
            <w:tcW w:w="1258" w:type="dxa"/>
            <w:tcBorders>
              <w:top w:val="nil"/>
              <w:left w:val="nil"/>
              <w:bottom w:val="single" w:sz="8" w:space="0" w:color="969696"/>
              <w:right w:val="single" w:sz="4" w:space="0" w:color="808080"/>
            </w:tcBorders>
            <w:shd w:val="clear" w:color="auto" w:fill="auto"/>
            <w:noWrap/>
            <w:vAlign w:val="center"/>
            <w:hideMark/>
          </w:tcPr>
          <w:p w14:paraId="3F809723"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7,4 </w:t>
            </w:r>
          </w:p>
        </w:tc>
        <w:tc>
          <w:tcPr>
            <w:tcW w:w="1101" w:type="dxa"/>
            <w:tcBorders>
              <w:top w:val="nil"/>
              <w:left w:val="nil"/>
              <w:bottom w:val="single" w:sz="8" w:space="0" w:color="969696"/>
              <w:right w:val="single" w:sz="4" w:space="0" w:color="808080"/>
            </w:tcBorders>
            <w:shd w:val="clear" w:color="auto" w:fill="auto"/>
            <w:noWrap/>
            <w:vAlign w:val="center"/>
            <w:hideMark/>
          </w:tcPr>
          <w:p w14:paraId="4332F1E8"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6,2 </w:t>
            </w:r>
          </w:p>
        </w:tc>
        <w:tc>
          <w:tcPr>
            <w:tcW w:w="1167" w:type="dxa"/>
            <w:tcBorders>
              <w:top w:val="nil"/>
              <w:left w:val="nil"/>
              <w:bottom w:val="single" w:sz="8" w:space="0" w:color="969696"/>
              <w:right w:val="nil"/>
            </w:tcBorders>
            <w:shd w:val="clear" w:color="auto" w:fill="auto"/>
            <w:noWrap/>
            <w:vAlign w:val="center"/>
            <w:hideMark/>
          </w:tcPr>
          <w:p w14:paraId="1477231B" w14:textId="77777777" w:rsidR="0010460E" w:rsidRPr="0010460E" w:rsidRDefault="0010460E" w:rsidP="0010460E">
            <w:pPr>
              <w:spacing w:after="0" w:line="240" w:lineRule="auto"/>
              <w:jc w:val="right"/>
              <w:rPr>
                <w:rFonts w:ascii="Arial" w:eastAsia="Times New Roman" w:hAnsi="Arial" w:cs="Arial"/>
                <w:color w:val="000000"/>
                <w:sz w:val="16"/>
                <w:szCs w:val="16"/>
                <w:lang w:eastAsia="cs-CZ"/>
              </w:rPr>
            </w:pPr>
            <w:r w:rsidRPr="0010460E">
              <w:rPr>
                <w:rFonts w:ascii="Arial" w:eastAsia="Times New Roman" w:hAnsi="Arial" w:cs="Arial"/>
                <w:color w:val="000000"/>
                <w:sz w:val="16"/>
                <w:szCs w:val="16"/>
                <w:lang w:eastAsia="cs-CZ"/>
              </w:rPr>
              <w:t xml:space="preserve">7,1 </w:t>
            </w:r>
          </w:p>
        </w:tc>
      </w:tr>
    </w:tbl>
    <w:p w14:paraId="11EE08EA" w14:textId="77777777" w:rsidR="00481EBE" w:rsidRDefault="00481EBE" w:rsidP="000D684D">
      <w:pPr>
        <w:autoSpaceDE w:val="0"/>
        <w:autoSpaceDN w:val="0"/>
        <w:adjustRightInd w:val="0"/>
        <w:spacing w:before="120" w:after="0" w:line="240" w:lineRule="auto"/>
        <w:rPr>
          <w:rFonts w:ascii="Arial" w:hAnsi="Arial" w:cs="Arial"/>
          <w:i/>
          <w:sz w:val="18"/>
          <w:szCs w:val="18"/>
        </w:rPr>
      </w:pPr>
      <w:r w:rsidRPr="00B411F6">
        <w:rPr>
          <w:rFonts w:ascii="Arial" w:hAnsi="Arial" w:cs="Arial"/>
          <w:i/>
          <w:sz w:val="18"/>
          <w:szCs w:val="18"/>
        </w:rPr>
        <w:t xml:space="preserve">podíl na celkovém počtu </w:t>
      </w:r>
      <w:r w:rsidRPr="000A2528">
        <w:rPr>
          <w:rFonts w:ascii="Arial" w:hAnsi="Arial" w:cs="Arial"/>
          <w:i/>
          <w:sz w:val="18"/>
          <w:szCs w:val="18"/>
          <w:u w:val="single"/>
        </w:rPr>
        <w:t>zaměstnanců</w:t>
      </w:r>
      <w:r>
        <w:rPr>
          <w:rFonts w:ascii="Arial" w:hAnsi="Arial" w:cs="Arial"/>
          <w:i/>
          <w:sz w:val="18"/>
          <w:szCs w:val="18"/>
        </w:rPr>
        <w:t xml:space="preserve"> pracujících </w:t>
      </w:r>
      <w:r w:rsidRPr="00B411F6">
        <w:rPr>
          <w:rFonts w:ascii="Arial" w:hAnsi="Arial" w:cs="Arial"/>
          <w:i/>
          <w:sz w:val="18"/>
          <w:szCs w:val="18"/>
        </w:rPr>
        <w:t>v</w:t>
      </w:r>
      <w:r>
        <w:rPr>
          <w:rFonts w:ascii="Arial" w:hAnsi="Arial" w:cs="Arial"/>
          <w:i/>
          <w:sz w:val="18"/>
          <w:szCs w:val="18"/>
        </w:rPr>
        <w:t xml:space="preserve"> </w:t>
      </w:r>
      <w:r w:rsidR="000D684D">
        <w:rPr>
          <w:rFonts w:ascii="Arial" w:hAnsi="Arial" w:cs="Arial"/>
          <w:i/>
          <w:sz w:val="18"/>
          <w:szCs w:val="18"/>
        </w:rPr>
        <w:t>podnicích</w:t>
      </w:r>
      <w:r w:rsidRPr="0075349D">
        <w:rPr>
          <w:rFonts w:ascii="Arial" w:hAnsi="Arial" w:cs="Arial"/>
          <w:i/>
          <w:sz w:val="18"/>
          <w:szCs w:val="18"/>
        </w:rPr>
        <w:t xml:space="preserve"> </w:t>
      </w:r>
      <w:r>
        <w:rPr>
          <w:rFonts w:ascii="Arial" w:hAnsi="Arial" w:cs="Arial"/>
          <w:i/>
          <w:sz w:val="18"/>
          <w:szCs w:val="18"/>
        </w:rPr>
        <w:t>s</w:t>
      </w:r>
      <w:r w:rsidR="000A02E2">
        <w:rPr>
          <w:rFonts w:ascii="Arial" w:hAnsi="Arial" w:cs="Arial"/>
          <w:i/>
          <w:sz w:val="18"/>
          <w:szCs w:val="18"/>
        </w:rPr>
        <w:t> </w:t>
      </w:r>
      <w:r w:rsidRPr="00DB697D">
        <w:rPr>
          <w:rFonts w:ascii="Arial" w:hAnsi="Arial" w:cs="Arial"/>
          <w:i/>
          <w:sz w:val="18"/>
          <w:szCs w:val="18"/>
        </w:rPr>
        <w:t>10</w:t>
      </w:r>
      <w:r w:rsidR="000A02E2">
        <w:rPr>
          <w:rFonts w:ascii="Arial" w:hAnsi="Arial" w:cs="Arial"/>
          <w:i/>
          <w:sz w:val="18"/>
          <w:szCs w:val="18"/>
        </w:rPr>
        <w:t>+</w:t>
      </w:r>
      <w:r w:rsidRPr="00DB697D">
        <w:rPr>
          <w:rFonts w:ascii="Arial" w:hAnsi="Arial" w:cs="Arial"/>
          <w:i/>
          <w:sz w:val="18"/>
          <w:szCs w:val="18"/>
        </w:rPr>
        <w:t xml:space="preserve"> zaměstnanci</w:t>
      </w:r>
      <w:r>
        <w:rPr>
          <w:rFonts w:ascii="Arial" w:hAnsi="Arial" w:cs="Arial"/>
          <w:i/>
          <w:sz w:val="18"/>
          <w:szCs w:val="18"/>
        </w:rPr>
        <w:t xml:space="preserve"> v dané velikostní a odvětvové skupině</w:t>
      </w:r>
    </w:p>
    <w:p w14:paraId="73D8C582" w14:textId="77777777" w:rsidR="0071362F" w:rsidRDefault="0071362F" w:rsidP="0071362F">
      <w:pPr>
        <w:autoSpaceDE w:val="0"/>
        <w:autoSpaceDN w:val="0"/>
        <w:adjustRightInd w:val="0"/>
        <w:spacing w:before="200" w:after="0" w:line="240" w:lineRule="auto"/>
        <w:jc w:val="right"/>
        <w:rPr>
          <w:rFonts w:ascii="Arial" w:hAnsi="Arial" w:cs="Arial"/>
          <w:sz w:val="18"/>
          <w:szCs w:val="18"/>
        </w:rPr>
      </w:pPr>
      <w:r w:rsidRPr="008F10A7">
        <w:rPr>
          <w:rFonts w:ascii="Arial" w:hAnsi="Arial" w:cs="Arial"/>
          <w:sz w:val="18"/>
          <w:szCs w:val="18"/>
        </w:rPr>
        <w:t>Zdroj: Český statistický úřad,</w:t>
      </w:r>
      <w:r>
        <w:rPr>
          <w:rFonts w:ascii="Arial" w:hAnsi="Arial" w:cs="Arial"/>
          <w:sz w:val="18"/>
          <w:szCs w:val="18"/>
        </w:rPr>
        <w:t xml:space="preserve"> 2021</w:t>
      </w:r>
    </w:p>
    <w:p w14:paraId="5E1DF786" w14:textId="77777777" w:rsidR="00B043AB" w:rsidRDefault="00B043AB" w:rsidP="0097108C">
      <w:pPr>
        <w:spacing w:after="0" w:line="240" w:lineRule="auto"/>
        <w:rPr>
          <w:rFonts w:ascii="Arial" w:hAnsi="Arial" w:cs="Arial"/>
          <w:b/>
          <w:sz w:val="20"/>
        </w:rPr>
      </w:pPr>
      <w:r w:rsidRPr="00C3040A">
        <w:rPr>
          <w:rFonts w:ascii="Arial" w:hAnsi="Arial" w:cs="Arial"/>
          <w:b/>
          <w:sz w:val="20"/>
        </w:rPr>
        <w:lastRenderedPageBreak/>
        <w:t xml:space="preserve">Graf </w:t>
      </w:r>
      <w:r>
        <w:rPr>
          <w:rFonts w:ascii="Arial" w:hAnsi="Arial" w:cs="Arial"/>
          <w:b/>
          <w:sz w:val="20"/>
        </w:rPr>
        <w:t>12</w:t>
      </w:r>
      <w:r w:rsidRPr="00C3040A">
        <w:rPr>
          <w:rFonts w:ascii="Arial" w:hAnsi="Arial" w:cs="Arial"/>
          <w:b/>
          <w:sz w:val="20"/>
        </w:rPr>
        <w:t>.</w:t>
      </w:r>
      <w:r>
        <w:rPr>
          <w:rFonts w:ascii="Arial" w:hAnsi="Arial" w:cs="Arial"/>
          <w:b/>
          <w:sz w:val="20"/>
        </w:rPr>
        <w:t>1</w:t>
      </w:r>
      <w:r w:rsidRPr="00C3040A">
        <w:rPr>
          <w:rFonts w:ascii="Arial" w:hAnsi="Arial" w:cs="Arial"/>
          <w:b/>
          <w:sz w:val="20"/>
        </w:rPr>
        <w:t xml:space="preserve">: Zaměstnanci </w:t>
      </w:r>
      <w:r>
        <w:rPr>
          <w:rFonts w:ascii="Arial" w:hAnsi="Arial" w:cs="Arial"/>
          <w:b/>
          <w:sz w:val="20"/>
        </w:rPr>
        <w:t>podniků</w:t>
      </w:r>
      <w:r w:rsidRPr="00C3040A">
        <w:rPr>
          <w:rFonts w:ascii="Arial" w:hAnsi="Arial" w:cs="Arial"/>
          <w:b/>
          <w:sz w:val="20"/>
        </w:rPr>
        <w:t xml:space="preserve"> </w:t>
      </w:r>
      <w:r>
        <w:rPr>
          <w:rFonts w:ascii="Arial" w:hAnsi="Arial" w:cs="Arial"/>
          <w:b/>
          <w:sz w:val="20"/>
        </w:rPr>
        <w:t xml:space="preserve">s 10 a více zaměstnanci </w:t>
      </w:r>
      <w:r w:rsidRPr="00C3040A">
        <w:rPr>
          <w:rFonts w:ascii="Arial" w:hAnsi="Arial" w:cs="Arial"/>
          <w:b/>
          <w:sz w:val="20"/>
        </w:rPr>
        <w:t xml:space="preserve">v ČR používající </w:t>
      </w:r>
      <w:r>
        <w:rPr>
          <w:rFonts w:ascii="Arial" w:hAnsi="Arial" w:cs="Arial"/>
          <w:b/>
          <w:sz w:val="20"/>
        </w:rPr>
        <w:t>v práci počítač nebo jiné ICT s přístupem na internet</w:t>
      </w:r>
      <w:r w:rsidRPr="00C3040A">
        <w:rPr>
          <w:rFonts w:ascii="Arial" w:hAnsi="Arial" w:cs="Arial"/>
          <w:b/>
          <w:sz w:val="20"/>
        </w:rPr>
        <w:t xml:space="preserve"> </w:t>
      </w:r>
    </w:p>
    <w:p w14:paraId="3EADADB7" w14:textId="77777777" w:rsidR="00B043AB" w:rsidRDefault="0097108C" w:rsidP="00B043AB">
      <w:pPr>
        <w:spacing w:after="0" w:line="240" w:lineRule="auto"/>
        <w:rPr>
          <w:rFonts w:ascii="Arial" w:hAnsi="Arial" w:cs="Arial"/>
          <w:b/>
          <w:sz w:val="20"/>
        </w:rPr>
      </w:pPr>
      <w:r>
        <w:rPr>
          <w:rFonts w:ascii="Arial" w:hAnsi="Arial" w:cs="Arial"/>
          <w:b/>
          <w:noProof/>
          <w:sz w:val="20"/>
          <w:lang w:eastAsia="cs-CZ"/>
        </w:rPr>
        <w:drawing>
          <wp:inline distT="0" distB="0" distL="0" distR="0" wp14:anchorId="78F4051A" wp14:editId="4474B5F9">
            <wp:extent cx="6096000" cy="1970034"/>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29" cy="1972079"/>
                    </a:xfrm>
                    <a:prstGeom prst="rect">
                      <a:avLst/>
                    </a:prstGeom>
                    <a:noFill/>
                  </pic:spPr>
                </pic:pic>
              </a:graphicData>
            </a:graphic>
          </wp:inline>
        </w:drawing>
      </w:r>
    </w:p>
    <w:p w14:paraId="27EE1DBF" w14:textId="77777777" w:rsidR="00B043AB" w:rsidRDefault="00B043AB" w:rsidP="00B043AB">
      <w:pPr>
        <w:autoSpaceDE w:val="0"/>
        <w:autoSpaceDN w:val="0"/>
        <w:adjustRightInd w:val="0"/>
        <w:spacing w:after="0" w:line="240" w:lineRule="auto"/>
        <w:jc w:val="both"/>
        <w:rPr>
          <w:rFonts w:ascii="Arial" w:hAnsi="Arial" w:cs="Arial"/>
          <w:i/>
          <w:sz w:val="18"/>
          <w:szCs w:val="18"/>
        </w:rPr>
      </w:pPr>
      <w:r w:rsidRPr="00B411F6">
        <w:rPr>
          <w:rFonts w:ascii="Arial" w:hAnsi="Arial" w:cs="Arial"/>
          <w:i/>
          <w:sz w:val="18"/>
          <w:szCs w:val="18"/>
        </w:rPr>
        <w:t xml:space="preserve">podíl na celkovém počtu </w:t>
      </w:r>
      <w:r w:rsidRPr="00A83C13">
        <w:rPr>
          <w:rFonts w:ascii="Arial" w:hAnsi="Arial" w:cs="Arial"/>
          <w:i/>
          <w:sz w:val="18"/>
          <w:szCs w:val="18"/>
          <w:u w:val="single"/>
        </w:rPr>
        <w:t>zaměstnanců</w:t>
      </w:r>
      <w:r>
        <w:rPr>
          <w:rFonts w:ascii="Arial" w:hAnsi="Arial" w:cs="Arial"/>
          <w:i/>
          <w:sz w:val="18"/>
          <w:szCs w:val="18"/>
        </w:rPr>
        <w:t xml:space="preserve"> pracujících </w:t>
      </w:r>
      <w:r w:rsidRPr="00B411F6">
        <w:rPr>
          <w:rFonts w:ascii="Arial" w:hAnsi="Arial" w:cs="Arial"/>
          <w:i/>
          <w:sz w:val="18"/>
          <w:szCs w:val="18"/>
        </w:rPr>
        <w:t>v</w:t>
      </w:r>
      <w:r>
        <w:rPr>
          <w:rFonts w:ascii="Arial" w:hAnsi="Arial" w:cs="Arial"/>
          <w:i/>
          <w:sz w:val="18"/>
          <w:szCs w:val="18"/>
        </w:rPr>
        <w:t xml:space="preserve"> podnicích s </w:t>
      </w:r>
      <w:r w:rsidRPr="00DB697D">
        <w:rPr>
          <w:rFonts w:ascii="Arial" w:hAnsi="Arial" w:cs="Arial"/>
          <w:i/>
          <w:sz w:val="18"/>
          <w:szCs w:val="18"/>
        </w:rPr>
        <w:t>10 a více zaměstnanci</w:t>
      </w:r>
      <w:r>
        <w:rPr>
          <w:rFonts w:ascii="Arial" w:hAnsi="Arial" w:cs="Arial"/>
          <w:i/>
          <w:sz w:val="18"/>
          <w:szCs w:val="18"/>
        </w:rPr>
        <w:t xml:space="preserve"> v </w:t>
      </w:r>
      <w:r w:rsidRPr="00B411F6">
        <w:rPr>
          <w:rFonts w:ascii="Arial" w:hAnsi="Arial" w:cs="Arial"/>
          <w:i/>
          <w:sz w:val="18"/>
          <w:szCs w:val="18"/>
        </w:rPr>
        <w:t>dan</w:t>
      </w:r>
      <w:r>
        <w:rPr>
          <w:rFonts w:ascii="Arial" w:hAnsi="Arial" w:cs="Arial"/>
          <w:i/>
          <w:sz w:val="18"/>
          <w:szCs w:val="18"/>
        </w:rPr>
        <w:t>ých letech</w:t>
      </w:r>
      <w:r w:rsidRPr="00B411F6">
        <w:rPr>
          <w:rFonts w:ascii="Arial" w:hAnsi="Arial" w:cs="Arial"/>
          <w:i/>
          <w:sz w:val="18"/>
          <w:szCs w:val="18"/>
        </w:rPr>
        <w:t xml:space="preserve"> </w:t>
      </w:r>
    </w:p>
    <w:p w14:paraId="74F8012D" w14:textId="77777777" w:rsidR="00B043AB" w:rsidRDefault="00B043AB" w:rsidP="000F1D7F">
      <w:pPr>
        <w:autoSpaceDE w:val="0"/>
        <w:autoSpaceDN w:val="0"/>
        <w:adjustRightInd w:val="0"/>
        <w:spacing w:after="120" w:line="240" w:lineRule="auto"/>
        <w:jc w:val="right"/>
        <w:rPr>
          <w:rFonts w:ascii="Arial" w:hAnsi="Arial" w:cs="Arial"/>
          <w:sz w:val="18"/>
          <w:szCs w:val="18"/>
        </w:rPr>
      </w:pPr>
    </w:p>
    <w:p w14:paraId="6951FE8D" w14:textId="77777777" w:rsidR="00B043AB" w:rsidRDefault="00B043AB" w:rsidP="0097108C">
      <w:pPr>
        <w:spacing w:after="0" w:line="240" w:lineRule="auto"/>
        <w:rPr>
          <w:rFonts w:ascii="Arial" w:hAnsi="Arial" w:cs="Arial"/>
          <w:b/>
          <w:sz w:val="20"/>
        </w:rPr>
      </w:pPr>
      <w:r w:rsidRPr="00452667">
        <w:rPr>
          <w:rFonts w:ascii="Arial" w:hAnsi="Arial" w:cs="Arial"/>
          <w:b/>
          <w:spacing w:val="-4"/>
          <w:sz w:val="20"/>
        </w:rPr>
        <w:t>Graf 12.</w:t>
      </w:r>
      <w:r>
        <w:rPr>
          <w:rFonts w:ascii="Arial" w:hAnsi="Arial" w:cs="Arial"/>
          <w:b/>
          <w:spacing w:val="-4"/>
          <w:sz w:val="20"/>
        </w:rPr>
        <w:t>2</w:t>
      </w:r>
      <w:r w:rsidRPr="00452667">
        <w:rPr>
          <w:rFonts w:ascii="Arial" w:hAnsi="Arial" w:cs="Arial"/>
          <w:b/>
          <w:spacing w:val="-4"/>
          <w:sz w:val="20"/>
        </w:rPr>
        <w:t xml:space="preserve">: Zaměstnanci podniků s 10 a více zaměstnanci v ČR používající </w:t>
      </w:r>
      <w:r>
        <w:rPr>
          <w:rFonts w:ascii="Arial" w:hAnsi="Arial" w:cs="Arial"/>
          <w:b/>
          <w:sz w:val="20"/>
        </w:rPr>
        <w:t>v práci počítač nebo jiné ICT s přístupem na internet</w:t>
      </w:r>
      <w:r w:rsidRPr="00C3040A">
        <w:rPr>
          <w:rFonts w:ascii="Arial" w:hAnsi="Arial" w:cs="Arial"/>
          <w:b/>
          <w:sz w:val="20"/>
        </w:rPr>
        <w:t xml:space="preserve"> </w:t>
      </w:r>
      <w:r>
        <w:rPr>
          <w:rFonts w:ascii="Arial" w:hAnsi="Arial" w:cs="Arial"/>
          <w:b/>
          <w:sz w:val="20"/>
        </w:rPr>
        <w:t>v roce 2021</w:t>
      </w:r>
    </w:p>
    <w:p w14:paraId="099F53F2" w14:textId="77777777" w:rsidR="00B043AB" w:rsidRDefault="0097108C" w:rsidP="00B043AB">
      <w:pPr>
        <w:autoSpaceDE w:val="0"/>
        <w:autoSpaceDN w:val="0"/>
        <w:adjustRightInd w:val="0"/>
        <w:spacing w:after="80" w:line="240" w:lineRule="auto"/>
        <w:rPr>
          <w:rFonts w:ascii="Arial" w:hAnsi="Arial" w:cs="Arial"/>
          <w:b/>
          <w:sz w:val="20"/>
        </w:rPr>
      </w:pPr>
      <w:r>
        <w:rPr>
          <w:rFonts w:ascii="Arial" w:hAnsi="Arial" w:cs="Arial"/>
          <w:b/>
          <w:noProof/>
          <w:sz w:val="20"/>
          <w:lang w:eastAsia="cs-CZ"/>
        </w:rPr>
        <w:drawing>
          <wp:inline distT="0" distB="0" distL="0" distR="0" wp14:anchorId="4C75F14A" wp14:editId="63B689EF">
            <wp:extent cx="6010910" cy="191452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910" cy="1914525"/>
                    </a:xfrm>
                    <a:prstGeom prst="rect">
                      <a:avLst/>
                    </a:prstGeom>
                    <a:noFill/>
                  </pic:spPr>
                </pic:pic>
              </a:graphicData>
            </a:graphic>
          </wp:inline>
        </w:drawing>
      </w:r>
    </w:p>
    <w:p w14:paraId="406433E5" w14:textId="43C10091" w:rsidR="00B043AB" w:rsidRDefault="00B043AB" w:rsidP="00B043AB">
      <w:pPr>
        <w:autoSpaceDE w:val="0"/>
        <w:autoSpaceDN w:val="0"/>
        <w:adjustRightInd w:val="0"/>
        <w:spacing w:before="60" w:after="0" w:line="240" w:lineRule="auto"/>
        <w:jc w:val="both"/>
        <w:rPr>
          <w:rFonts w:ascii="Arial" w:hAnsi="Arial" w:cs="Arial"/>
          <w:i/>
          <w:sz w:val="18"/>
          <w:szCs w:val="18"/>
        </w:rPr>
      </w:pPr>
      <w:r w:rsidRPr="00B411F6">
        <w:rPr>
          <w:rFonts w:ascii="Arial" w:hAnsi="Arial" w:cs="Arial"/>
          <w:i/>
          <w:sz w:val="18"/>
          <w:szCs w:val="18"/>
        </w:rPr>
        <w:t xml:space="preserve">podíl na celkovém počtu </w:t>
      </w:r>
      <w:r w:rsidRPr="000A2528">
        <w:rPr>
          <w:rFonts w:ascii="Arial" w:hAnsi="Arial" w:cs="Arial"/>
          <w:i/>
          <w:sz w:val="18"/>
          <w:szCs w:val="18"/>
          <w:u w:val="single"/>
        </w:rPr>
        <w:t>zaměstnanců</w:t>
      </w:r>
      <w:r>
        <w:rPr>
          <w:rFonts w:ascii="Arial" w:hAnsi="Arial" w:cs="Arial"/>
          <w:i/>
          <w:sz w:val="18"/>
          <w:szCs w:val="18"/>
        </w:rPr>
        <w:t xml:space="preserve"> pracujících </w:t>
      </w:r>
      <w:r w:rsidRPr="00B411F6">
        <w:rPr>
          <w:rFonts w:ascii="Arial" w:hAnsi="Arial" w:cs="Arial"/>
          <w:i/>
          <w:sz w:val="18"/>
          <w:szCs w:val="18"/>
        </w:rPr>
        <w:t>v</w:t>
      </w:r>
      <w:r>
        <w:rPr>
          <w:rFonts w:ascii="Arial" w:hAnsi="Arial" w:cs="Arial"/>
          <w:i/>
          <w:sz w:val="18"/>
          <w:szCs w:val="18"/>
        </w:rPr>
        <w:t xml:space="preserve"> podnicích</w:t>
      </w:r>
      <w:r w:rsidRPr="0075349D">
        <w:rPr>
          <w:rFonts w:ascii="Arial" w:hAnsi="Arial" w:cs="Arial"/>
          <w:i/>
          <w:sz w:val="18"/>
          <w:szCs w:val="18"/>
        </w:rPr>
        <w:t xml:space="preserve"> </w:t>
      </w:r>
      <w:r>
        <w:rPr>
          <w:rFonts w:ascii="Arial" w:hAnsi="Arial" w:cs="Arial"/>
          <w:i/>
          <w:sz w:val="18"/>
          <w:szCs w:val="18"/>
        </w:rPr>
        <w:t xml:space="preserve">s </w:t>
      </w:r>
      <w:r w:rsidRPr="00DB697D">
        <w:rPr>
          <w:rFonts w:ascii="Arial" w:hAnsi="Arial" w:cs="Arial"/>
          <w:i/>
          <w:sz w:val="18"/>
          <w:szCs w:val="18"/>
        </w:rPr>
        <w:t>10 a více zaměstnanci</w:t>
      </w:r>
      <w:r>
        <w:rPr>
          <w:rFonts w:ascii="Arial" w:hAnsi="Arial" w:cs="Arial"/>
          <w:i/>
          <w:sz w:val="18"/>
          <w:szCs w:val="18"/>
        </w:rPr>
        <w:t xml:space="preserve"> v dané velikostní skupině</w:t>
      </w:r>
    </w:p>
    <w:p w14:paraId="4676B18B" w14:textId="77777777" w:rsidR="00D263D9" w:rsidRDefault="00D263D9" w:rsidP="00D263D9">
      <w:pPr>
        <w:autoSpaceDE w:val="0"/>
        <w:autoSpaceDN w:val="0"/>
        <w:adjustRightInd w:val="0"/>
        <w:spacing w:before="240" w:after="0" w:line="240" w:lineRule="auto"/>
        <w:jc w:val="right"/>
        <w:rPr>
          <w:rFonts w:ascii="Arial" w:hAnsi="Arial" w:cs="Arial"/>
          <w:sz w:val="18"/>
          <w:szCs w:val="18"/>
        </w:rPr>
      </w:pPr>
      <w:r w:rsidRPr="008F10A7">
        <w:rPr>
          <w:rFonts w:ascii="Arial" w:hAnsi="Arial" w:cs="Arial"/>
          <w:sz w:val="18"/>
          <w:szCs w:val="18"/>
        </w:rPr>
        <w:t>Zdroj: Český statistický úřad,</w:t>
      </w:r>
      <w:r>
        <w:rPr>
          <w:rFonts w:ascii="Arial" w:hAnsi="Arial" w:cs="Arial"/>
          <w:sz w:val="18"/>
          <w:szCs w:val="18"/>
        </w:rPr>
        <w:t xml:space="preserve"> 2021</w:t>
      </w:r>
    </w:p>
    <w:p w14:paraId="5F27AEE2" w14:textId="77777777" w:rsidR="0097108C" w:rsidRDefault="0097108C" w:rsidP="0097108C">
      <w:pPr>
        <w:autoSpaceDE w:val="0"/>
        <w:autoSpaceDN w:val="0"/>
        <w:adjustRightInd w:val="0"/>
        <w:spacing w:after="0" w:line="240" w:lineRule="auto"/>
        <w:jc w:val="both"/>
        <w:rPr>
          <w:rFonts w:ascii="Arial" w:hAnsi="Arial" w:cs="Arial"/>
          <w:b/>
          <w:sz w:val="20"/>
        </w:rPr>
      </w:pPr>
    </w:p>
    <w:p w14:paraId="106CF403" w14:textId="77777777" w:rsidR="00E67293" w:rsidRDefault="00E67293" w:rsidP="0097108C">
      <w:pPr>
        <w:autoSpaceDE w:val="0"/>
        <w:autoSpaceDN w:val="0"/>
        <w:adjustRightInd w:val="0"/>
        <w:spacing w:after="0" w:line="240" w:lineRule="auto"/>
        <w:jc w:val="both"/>
        <w:rPr>
          <w:rFonts w:ascii="Arial" w:hAnsi="Arial" w:cs="Arial"/>
          <w:b/>
          <w:sz w:val="20"/>
        </w:rPr>
      </w:pPr>
      <w:r w:rsidRPr="00D51846">
        <w:rPr>
          <w:rFonts w:ascii="Arial" w:hAnsi="Arial" w:cs="Arial"/>
          <w:b/>
          <w:sz w:val="20"/>
        </w:rPr>
        <w:t xml:space="preserve">Graf </w:t>
      </w:r>
      <w:r w:rsidR="000D684D">
        <w:rPr>
          <w:rFonts w:ascii="Arial" w:hAnsi="Arial" w:cs="Arial"/>
          <w:b/>
          <w:sz w:val="20"/>
        </w:rPr>
        <w:t>12</w:t>
      </w:r>
      <w:r w:rsidRPr="00D51846">
        <w:rPr>
          <w:rFonts w:ascii="Arial" w:hAnsi="Arial" w:cs="Arial"/>
          <w:b/>
          <w:sz w:val="20"/>
        </w:rPr>
        <w:t>.</w:t>
      </w:r>
      <w:r>
        <w:rPr>
          <w:rFonts w:ascii="Arial" w:hAnsi="Arial" w:cs="Arial"/>
          <w:b/>
          <w:sz w:val="20"/>
        </w:rPr>
        <w:t>3</w:t>
      </w:r>
      <w:r w:rsidRPr="00D51846">
        <w:rPr>
          <w:rFonts w:ascii="Arial" w:hAnsi="Arial" w:cs="Arial"/>
          <w:b/>
          <w:sz w:val="20"/>
        </w:rPr>
        <w:t xml:space="preserve">: </w:t>
      </w:r>
      <w:r>
        <w:rPr>
          <w:rFonts w:ascii="Arial" w:hAnsi="Arial" w:cs="Arial"/>
          <w:b/>
          <w:sz w:val="20"/>
        </w:rPr>
        <w:t xml:space="preserve">Zaměstnanci </w:t>
      </w:r>
      <w:r w:rsidR="000D684D">
        <w:rPr>
          <w:rFonts w:ascii="Arial" w:hAnsi="Arial" w:cs="Arial"/>
          <w:b/>
          <w:sz w:val="20"/>
        </w:rPr>
        <w:t>podniků s 10 a více zaměstnanci</w:t>
      </w:r>
      <w:r w:rsidR="00AC64F2">
        <w:rPr>
          <w:rFonts w:ascii="Arial" w:hAnsi="Arial" w:cs="Arial"/>
          <w:b/>
          <w:sz w:val="20"/>
        </w:rPr>
        <w:t xml:space="preserve"> </w:t>
      </w:r>
      <w:r>
        <w:rPr>
          <w:rFonts w:ascii="Arial" w:hAnsi="Arial" w:cs="Arial"/>
          <w:b/>
          <w:sz w:val="20"/>
        </w:rPr>
        <w:t>v zemích EU</w:t>
      </w:r>
      <w:r w:rsidRPr="00D51846">
        <w:rPr>
          <w:rFonts w:ascii="Arial" w:hAnsi="Arial" w:cs="Arial"/>
          <w:b/>
          <w:sz w:val="20"/>
        </w:rPr>
        <w:t xml:space="preserve"> </w:t>
      </w:r>
      <w:r>
        <w:rPr>
          <w:rFonts w:ascii="Arial" w:hAnsi="Arial" w:cs="Arial"/>
          <w:b/>
          <w:sz w:val="20"/>
        </w:rPr>
        <w:t>používající</w:t>
      </w:r>
      <w:r w:rsidR="00F40D1B">
        <w:rPr>
          <w:rFonts w:ascii="Arial" w:hAnsi="Arial" w:cs="Arial"/>
          <w:b/>
          <w:sz w:val="20"/>
        </w:rPr>
        <w:t xml:space="preserve"> v práci</w:t>
      </w:r>
      <w:r>
        <w:rPr>
          <w:rFonts w:ascii="Arial" w:hAnsi="Arial" w:cs="Arial"/>
          <w:b/>
          <w:sz w:val="20"/>
        </w:rPr>
        <w:t xml:space="preserve"> počítač </w:t>
      </w:r>
      <w:r w:rsidR="007C79FA">
        <w:rPr>
          <w:rFonts w:ascii="Arial" w:hAnsi="Arial" w:cs="Arial"/>
          <w:b/>
          <w:sz w:val="20"/>
        </w:rPr>
        <w:t xml:space="preserve">nebo jiné ICT </w:t>
      </w:r>
      <w:r>
        <w:rPr>
          <w:rFonts w:ascii="Arial" w:hAnsi="Arial" w:cs="Arial"/>
          <w:b/>
          <w:sz w:val="20"/>
        </w:rPr>
        <w:t>s přístupem na internet</w:t>
      </w:r>
      <w:r w:rsidR="000D684D" w:rsidRPr="000D684D">
        <w:rPr>
          <w:rFonts w:ascii="Arial" w:hAnsi="Arial" w:cs="Arial"/>
          <w:b/>
          <w:sz w:val="20"/>
        </w:rPr>
        <w:t xml:space="preserve"> </w:t>
      </w:r>
      <w:r w:rsidR="000D684D">
        <w:rPr>
          <w:rFonts w:ascii="Arial" w:hAnsi="Arial" w:cs="Arial"/>
          <w:b/>
          <w:sz w:val="20"/>
        </w:rPr>
        <w:t>v roce 2021</w:t>
      </w:r>
    </w:p>
    <w:p w14:paraId="3ED9DDBF" w14:textId="6F8BD642" w:rsidR="005E3D17" w:rsidRDefault="007139FE" w:rsidP="0097108C">
      <w:pPr>
        <w:autoSpaceDE w:val="0"/>
        <w:autoSpaceDN w:val="0"/>
        <w:adjustRightInd w:val="0"/>
        <w:spacing w:before="120" w:after="0" w:line="240" w:lineRule="auto"/>
        <w:jc w:val="both"/>
        <w:rPr>
          <w:rFonts w:ascii="Arial" w:hAnsi="Arial" w:cs="Arial"/>
          <w:b/>
          <w:sz w:val="20"/>
        </w:rPr>
      </w:pPr>
      <w:r>
        <w:rPr>
          <w:rFonts w:ascii="Arial" w:hAnsi="Arial" w:cs="Arial"/>
          <w:b/>
          <w:noProof/>
          <w:sz w:val="20"/>
          <w:lang w:eastAsia="cs-CZ"/>
        </w:rPr>
        <w:drawing>
          <wp:inline distT="0" distB="0" distL="0" distR="0" wp14:anchorId="30C161DC" wp14:editId="35393AA7">
            <wp:extent cx="5980430" cy="26701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30" cy="2670175"/>
                    </a:xfrm>
                    <a:prstGeom prst="rect">
                      <a:avLst/>
                    </a:prstGeom>
                    <a:noFill/>
                  </pic:spPr>
                </pic:pic>
              </a:graphicData>
            </a:graphic>
          </wp:inline>
        </w:drawing>
      </w:r>
    </w:p>
    <w:p w14:paraId="6D4DFAAA" w14:textId="77777777" w:rsidR="007139FE" w:rsidRDefault="007139FE" w:rsidP="000F1D7F">
      <w:pPr>
        <w:autoSpaceDE w:val="0"/>
        <w:autoSpaceDN w:val="0"/>
        <w:adjustRightInd w:val="0"/>
        <w:spacing w:after="0" w:line="288" w:lineRule="auto"/>
        <w:jc w:val="both"/>
        <w:rPr>
          <w:rFonts w:ascii="Arial" w:hAnsi="Arial" w:cs="Arial"/>
          <w:i/>
          <w:sz w:val="18"/>
          <w:szCs w:val="18"/>
        </w:rPr>
      </w:pPr>
    </w:p>
    <w:p w14:paraId="471CCD3D" w14:textId="12088E76" w:rsidR="000D684D" w:rsidRDefault="00E67293" w:rsidP="000F1D7F">
      <w:pPr>
        <w:autoSpaceDE w:val="0"/>
        <w:autoSpaceDN w:val="0"/>
        <w:adjustRightInd w:val="0"/>
        <w:spacing w:after="0" w:line="288" w:lineRule="auto"/>
        <w:jc w:val="both"/>
        <w:rPr>
          <w:rFonts w:ascii="Arial" w:hAnsi="Arial" w:cs="Arial"/>
          <w:i/>
          <w:sz w:val="18"/>
          <w:szCs w:val="18"/>
        </w:rPr>
      </w:pPr>
      <w:r w:rsidRPr="00DB697D">
        <w:rPr>
          <w:rFonts w:ascii="Arial" w:hAnsi="Arial" w:cs="Arial"/>
          <w:i/>
          <w:sz w:val="18"/>
          <w:szCs w:val="18"/>
        </w:rPr>
        <w:t xml:space="preserve">podíl </w:t>
      </w:r>
      <w:r>
        <w:rPr>
          <w:rFonts w:ascii="Arial" w:hAnsi="Arial" w:cs="Arial"/>
          <w:i/>
          <w:sz w:val="18"/>
          <w:szCs w:val="18"/>
        </w:rPr>
        <w:t>na celkovém</w:t>
      </w:r>
      <w:r w:rsidRPr="00DB697D">
        <w:rPr>
          <w:rFonts w:ascii="Arial" w:hAnsi="Arial" w:cs="Arial"/>
          <w:i/>
          <w:sz w:val="18"/>
          <w:szCs w:val="18"/>
        </w:rPr>
        <w:t xml:space="preserve"> počtu </w:t>
      </w:r>
      <w:r w:rsidRPr="00A83C13">
        <w:rPr>
          <w:rFonts w:ascii="Arial" w:hAnsi="Arial" w:cs="Arial"/>
          <w:i/>
          <w:sz w:val="18"/>
          <w:szCs w:val="18"/>
          <w:u w:val="single"/>
        </w:rPr>
        <w:t>zaměstnanců</w:t>
      </w:r>
      <w:r>
        <w:rPr>
          <w:rFonts w:ascii="Arial" w:hAnsi="Arial" w:cs="Arial"/>
          <w:i/>
          <w:sz w:val="18"/>
          <w:szCs w:val="18"/>
        </w:rPr>
        <w:t xml:space="preserve"> </w:t>
      </w:r>
      <w:r w:rsidR="000D684D">
        <w:rPr>
          <w:rFonts w:ascii="Arial" w:hAnsi="Arial" w:cs="Arial"/>
          <w:i/>
          <w:sz w:val="18"/>
          <w:szCs w:val="18"/>
        </w:rPr>
        <w:t>v podnicích</w:t>
      </w:r>
      <w:r w:rsidRPr="00DB697D">
        <w:rPr>
          <w:rFonts w:ascii="Arial" w:hAnsi="Arial" w:cs="Arial"/>
          <w:i/>
          <w:sz w:val="18"/>
          <w:szCs w:val="18"/>
        </w:rPr>
        <w:t xml:space="preserve"> s 10 a více zaměstnanci v dané zem</w:t>
      </w:r>
      <w:r>
        <w:rPr>
          <w:rFonts w:ascii="Arial" w:hAnsi="Arial" w:cs="Arial"/>
          <w:i/>
          <w:sz w:val="18"/>
          <w:szCs w:val="18"/>
        </w:rPr>
        <w:t xml:space="preserve">i   </w:t>
      </w:r>
    </w:p>
    <w:p w14:paraId="36FA89BB" w14:textId="77777777" w:rsidR="00E67293" w:rsidRDefault="00E67293" w:rsidP="000D684D">
      <w:pPr>
        <w:autoSpaceDE w:val="0"/>
        <w:autoSpaceDN w:val="0"/>
        <w:adjustRightInd w:val="0"/>
        <w:spacing w:after="0" w:line="288" w:lineRule="auto"/>
        <w:jc w:val="right"/>
        <w:rPr>
          <w:rFonts w:ascii="Arial" w:hAnsi="Arial" w:cs="Arial"/>
          <w:sz w:val="18"/>
          <w:szCs w:val="18"/>
        </w:rPr>
      </w:pPr>
      <w:bookmarkStart w:id="0" w:name="_GoBack"/>
      <w:bookmarkEnd w:id="0"/>
      <w:r>
        <w:rPr>
          <w:rFonts w:ascii="Arial" w:hAnsi="Arial" w:cs="Arial"/>
          <w:i/>
          <w:sz w:val="18"/>
          <w:szCs w:val="18"/>
        </w:rPr>
        <w:t>z</w:t>
      </w:r>
      <w:r w:rsidRPr="00DB697D">
        <w:rPr>
          <w:rFonts w:ascii="Arial" w:hAnsi="Arial" w:cs="Arial"/>
          <w:sz w:val="18"/>
          <w:szCs w:val="18"/>
        </w:rPr>
        <w:t>droj</w:t>
      </w:r>
      <w:r>
        <w:rPr>
          <w:rFonts w:ascii="Arial" w:hAnsi="Arial" w:cs="Arial"/>
          <w:sz w:val="18"/>
          <w:szCs w:val="18"/>
        </w:rPr>
        <w:t xml:space="preserve"> dat</w:t>
      </w:r>
      <w:r w:rsidRPr="00DB697D">
        <w:rPr>
          <w:rFonts w:ascii="Arial" w:hAnsi="Arial" w:cs="Arial"/>
          <w:sz w:val="18"/>
          <w:szCs w:val="18"/>
        </w:rPr>
        <w:t xml:space="preserve">: </w:t>
      </w:r>
      <w:proofErr w:type="spellStart"/>
      <w:r w:rsidRPr="00DB697D">
        <w:rPr>
          <w:rFonts w:ascii="Arial" w:hAnsi="Arial" w:cs="Arial"/>
          <w:sz w:val="18"/>
          <w:szCs w:val="18"/>
        </w:rPr>
        <w:t>Eurostat</w:t>
      </w:r>
      <w:proofErr w:type="spellEnd"/>
      <w:r w:rsidRPr="00DB697D">
        <w:rPr>
          <w:rFonts w:ascii="Arial" w:hAnsi="Arial" w:cs="Arial"/>
          <w:sz w:val="18"/>
          <w:szCs w:val="18"/>
        </w:rPr>
        <w:t xml:space="preserve">, </w:t>
      </w:r>
      <w:r w:rsidR="000D684D">
        <w:rPr>
          <w:rFonts w:ascii="Arial" w:hAnsi="Arial" w:cs="Arial"/>
          <w:sz w:val="18"/>
          <w:szCs w:val="18"/>
        </w:rPr>
        <w:t>prosinec</w:t>
      </w:r>
      <w:r w:rsidR="00481EBE">
        <w:rPr>
          <w:rFonts w:ascii="Arial" w:hAnsi="Arial" w:cs="Arial"/>
          <w:sz w:val="18"/>
          <w:szCs w:val="18"/>
        </w:rPr>
        <w:t xml:space="preserve"> 202</w:t>
      </w:r>
      <w:r w:rsidR="000D684D">
        <w:rPr>
          <w:rFonts w:ascii="Arial" w:hAnsi="Arial" w:cs="Arial"/>
          <w:sz w:val="18"/>
          <w:szCs w:val="18"/>
        </w:rPr>
        <w:t>1</w:t>
      </w:r>
    </w:p>
    <w:p w14:paraId="641A648A" w14:textId="77777777" w:rsidR="002C471F" w:rsidRDefault="00C035EE" w:rsidP="002233BA">
      <w:r w:rsidRPr="00452667">
        <w:rPr>
          <w:rFonts w:ascii="Arial" w:hAnsi="Arial" w:cs="Arial"/>
          <w:b/>
          <w:spacing w:val="-4"/>
          <w:sz w:val="20"/>
        </w:rPr>
        <w:lastRenderedPageBreak/>
        <w:t>Graf 12.</w:t>
      </w:r>
      <w:r>
        <w:rPr>
          <w:rFonts w:ascii="Arial" w:hAnsi="Arial" w:cs="Arial"/>
          <w:b/>
          <w:spacing w:val="-4"/>
          <w:sz w:val="20"/>
        </w:rPr>
        <w:t>4</w:t>
      </w:r>
      <w:r w:rsidRPr="00452667">
        <w:rPr>
          <w:rFonts w:ascii="Arial" w:hAnsi="Arial" w:cs="Arial"/>
          <w:b/>
          <w:spacing w:val="-4"/>
          <w:sz w:val="20"/>
        </w:rPr>
        <w:t>: Zaměstnanci podniků s 10 a více zaměstnanci v</w:t>
      </w:r>
      <w:r>
        <w:rPr>
          <w:rFonts w:ascii="Arial" w:hAnsi="Arial" w:cs="Arial"/>
          <w:b/>
          <w:spacing w:val="-4"/>
          <w:sz w:val="20"/>
        </w:rPr>
        <w:t> </w:t>
      </w:r>
      <w:r w:rsidRPr="00452667">
        <w:rPr>
          <w:rFonts w:ascii="Arial" w:hAnsi="Arial" w:cs="Arial"/>
          <w:b/>
          <w:spacing w:val="-4"/>
          <w:sz w:val="20"/>
        </w:rPr>
        <w:t>ČR</w:t>
      </w:r>
      <w:r>
        <w:rPr>
          <w:rFonts w:ascii="Arial" w:hAnsi="Arial" w:cs="Arial"/>
          <w:b/>
          <w:spacing w:val="-4"/>
          <w:sz w:val="20"/>
        </w:rPr>
        <w:t>, kteří</w:t>
      </w:r>
      <w:r w:rsidRPr="00452667">
        <w:rPr>
          <w:rFonts w:ascii="Arial" w:hAnsi="Arial" w:cs="Arial"/>
          <w:b/>
          <w:spacing w:val="-4"/>
          <w:sz w:val="20"/>
        </w:rPr>
        <w:t xml:space="preserve"> </w:t>
      </w:r>
      <w:r>
        <w:rPr>
          <w:rFonts w:ascii="Arial" w:hAnsi="Arial" w:cs="Arial"/>
          <w:b/>
          <w:sz w:val="20"/>
        </w:rPr>
        <w:t>v roce 2021 měli nebo mohli:</w:t>
      </w:r>
    </w:p>
    <w:p w14:paraId="638FE14A" w14:textId="77777777" w:rsidR="002233BA" w:rsidRDefault="002233BA" w:rsidP="002233BA">
      <w:pPr>
        <w:rPr>
          <w:rFonts w:ascii="Arial" w:hAnsi="Arial" w:cs="Arial"/>
          <w:b/>
          <w:sz w:val="18"/>
          <w:szCs w:val="18"/>
        </w:rPr>
      </w:pPr>
      <w:r>
        <w:rPr>
          <w:rFonts w:ascii="Arial" w:hAnsi="Arial" w:cs="Arial"/>
          <w:b/>
          <w:noProof/>
          <w:sz w:val="18"/>
          <w:szCs w:val="18"/>
          <w:lang w:eastAsia="cs-CZ"/>
        </w:rPr>
        <w:drawing>
          <wp:inline distT="0" distB="0" distL="0" distR="0" wp14:anchorId="40084944" wp14:editId="18EF82F5">
            <wp:extent cx="6153150" cy="2096048"/>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7107" cy="2100802"/>
                    </a:xfrm>
                    <a:prstGeom prst="rect">
                      <a:avLst/>
                    </a:prstGeom>
                    <a:noFill/>
                  </pic:spPr>
                </pic:pic>
              </a:graphicData>
            </a:graphic>
          </wp:inline>
        </w:drawing>
      </w:r>
    </w:p>
    <w:p w14:paraId="21C2C7F3" w14:textId="77777777" w:rsidR="00C035EE" w:rsidRDefault="00C035EE" w:rsidP="00C035EE">
      <w:pPr>
        <w:autoSpaceDE w:val="0"/>
        <w:autoSpaceDN w:val="0"/>
        <w:adjustRightInd w:val="0"/>
        <w:spacing w:before="60" w:after="0" w:line="240" w:lineRule="auto"/>
        <w:jc w:val="both"/>
        <w:rPr>
          <w:rFonts w:ascii="Arial" w:hAnsi="Arial" w:cs="Arial"/>
          <w:i/>
          <w:sz w:val="18"/>
          <w:szCs w:val="18"/>
        </w:rPr>
      </w:pPr>
      <w:r w:rsidRPr="00B411F6">
        <w:rPr>
          <w:rFonts w:ascii="Arial" w:hAnsi="Arial" w:cs="Arial"/>
          <w:i/>
          <w:sz w:val="18"/>
          <w:szCs w:val="18"/>
        </w:rPr>
        <w:t xml:space="preserve">podíl na celkovém počtu </w:t>
      </w:r>
      <w:r w:rsidRPr="000A2528">
        <w:rPr>
          <w:rFonts w:ascii="Arial" w:hAnsi="Arial" w:cs="Arial"/>
          <w:i/>
          <w:sz w:val="18"/>
          <w:szCs w:val="18"/>
          <w:u w:val="single"/>
        </w:rPr>
        <w:t>zaměstnanců</w:t>
      </w:r>
      <w:r>
        <w:rPr>
          <w:rFonts w:ascii="Arial" w:hAnsi="Arial" w:cs="Arial"/>
          <w:i/>
          <w:sz w:val="18"/>
          <w:szCs w:val="18"/>
        </w:rPr>
        <w:t xml:space="preserve"> pracujících </w:t>
      </w:r>
      <w:r w:rsidRPr="00B411F6">
        <w:rPr>
          <w:rFonts w:ascii="Arial" w:hAnsi="Arial" w:cs="Arial"/>
          <w:i/>
          <w:sz w:val="18"/>
          <w:szCs w:val="18"/>
        </w:rPr>
        <w:t>v</w:t>
      </w:r>
      <w:r>
        <w:rPr>
          <w:rFonts w:ascii="Arial" w:hAnsi="Arial" w:cs="Arial"/>
          <w:i/>
          <w:sz w:val="18"/>
          <w:szCs w:val="18"/>
        </w:rPr>
        <w:t xml:space="preserve"> podnicích</w:t>
      </w:r>
      <w:r w:rsidRPr="0075349D">
        <w:rPr>
          <w:rFonts w:ascii="Arial" w:hAnsi="Arial" w:cs="Arial"/>
          <w:i/>
          <w:sz w:val="18"/>
          <w:szCs w:val="18"/>
        </w:rPr>
        <w:t xml:space="preserve"> </w:t>
      </w:r>
      <w:r>
        <w:rPr>
          <w:rFonts w:ascii="Arial" w:hAnsi="Arial" w:cs="Arial"/>
          <w:i/>
          <w:sz w:val="18"/>
          <w:szCs w:val="18"/>
        </w:rPr>
        <w:t xml:space="preserve">s </w:t>
      </w:r>
      <w:r w:rsidRPr="00DB697D">
        <w:rPr>
          <w:rFonts w:ascii="Arial" w:hAnsi="Arial" w:cs="Arial"/>
          <w:i/>
          <w:sz w:val="18"/>
          <w:szCs w:val="18"/>
        </w:rPr>
        <w:t>10 a více zaměstnanci</w:t>
      </w:r>
      <w:r>
        <w:rPr>
          <w:rFonts w:ascii="Arial" w:hAnsi="Arial" w:cs="Arial"/>
          <w:i/>
          <w:sz w:val="18"/>
          <w:szCs w:val="18"/>
        </w:rPr>
        <w:t xml:space="preserve"> v dané velikostní skupině</w:t>
      </w:r>
    </w:p>
    <w:p w14:paraId="487D769D" w14:textId="77777777" w:rsidR="00C035EE" w:rsidRDefault="00C035EE" w:rsidP="002233BA">
      <w:pPr>
        <w:rPr>
          <w:rFonts w:ascii="Arial" w:hAnsi="Arial" w:cs="Arial"/>
          <w:b/>
          <w:sz w:val="18"/>
          <w:szCs w:val="18"/>
        </w:rPr>
      </w:pPr>
    </w:p>
    <w:p w14:paraId="103C4DDD" w14:textId="77777777" w:rsidR="00C035EE" w:rsidRPr="00C035EE" w:rsidRDefault="00C035EE" w:rsidP="00C035EE">
      <w:pPr>
        <w:autoSpaceDE w:val="0"/>
        <w:autoSpaceDN w:val="0"/>
        <w:adjustRightInd w:val="0"/>
        <w:spacing w:before="240" w:after="0" w:line="240" w:lineRule="auto"/>
        <w:ind w:right="142"/>
        <w:rPr>
          <w:rFonts w:ascii="Arial" w:hAnsi="Arial" w:cs="Arial"/>
          <w:b/>
          <w:spacing w:val="-4"/>
          <w:sz w:val="20"/>
        </w:rPr>
      </w:pPr>
      <w:r w:rsidRPr="00C035EE">
        <w:rPr>
          <w:rFonts w:ascii="Arial" w:hAnsi="Arial" w:cs="Arial"/>
          <w:b/>
          <w:spacing w:val="-4"/>
          <w:sz w:val="20"/>
        </w:rPr>
        <w:t xml:space="preserve">Graf </w:t>
      </w:r>
      <w:r>
        <w:rPr>
          <w:rFonts w:ascii="Arial" w:hAnsi="Arial" w:cs="Arial"/>
          <w:b/>
          <w:spacing w:val="-4"/>
          <w:sz w:val="20"/>
        </w:rPr>
        <w:t>12</w:t>
      </w:r>
      <w:r w:rsidRPr="00C035EE">
        <w:rPr>
          <w:rFonts w:ascii="Arial" w:hAnsi="Arial" w:cs="Arial"/>
          <w:b/>
          <w:spacing w:val="-4"/>
          <w:sz w:val="20"/>
        </w:rPr>
        <w:t>.</w:t>
      </w:r>
      <w:r>
        <w:rPr>
          <w:rFonts w:ascii="Arial" w:hAnsi="Arial" w:cs="Arial"/>
          <w:b/>
          <w:spacing w:val="-4"/>
          <w:sz w:val="20"/>
        </w:rPr>
        <w:t>5</w:t>
      </w:r>
      <w:r w:rsidRPr="00C035EE">
        <w:rPr>
          <w:rFonts w:ascii="Arial" w:hAnsi="Arial" w:cs="Arial"/>
          <w:b/>
          <w:spacing w:val="-4"/>
          <w:sz w:val="20"/>
        </w:rPr>
        <w:t>: Zaměstnanci podniků s 10 a více zaměstnanci v ČR, kteří mohli pracovat z domova v období pandemie covid-19</w:t>
      </w:r>
      <w:r>
        <w:rPr>
          <w:rFonts w:ascii="Arial" w:hAnsi="Arial" w:cs="Arial"/>
          <w:b/>
          <w:spacing w:val="-4"/>
          <w:sz w:val="20"/>
        </w:rPr>
        <w:t xml:space="preserve"> a kteří mají vzdálený přístup k pracovním dokumentům </w:t>
      </w:r>
      <w:r w:rsidRPr="00C035EE">
        <w:rPr>
          <w:rFonts w:ascii="Arial" w:hAnsi="Arial" w:cs="Arial"/>
          <w:b/>
          <w:spacing w:val="-4"/>
          <w:sz w:val="20"/>
        </w:rPr>
        <w:t>– top 5 odvětví v roce 2021</w:t>
      </w:r>
    </w:p>
    <w:p w14:paraId="7483CF2E" w14:textId="77777777" w:rsidR="00C035EE" w:rsidRDefault="00C035EE" w:rsidP="00C035EE">
      <w:pPr>
        <w:autoSpaceDE w:val="0"/>
        <w:autoSpaceDN w:val="0"/>
        <w:adjustRightInd w:val="0"/>
        <w:spacing w:before="240" w:after="0" w:line="240" w:lineRule="auto"/>
        <w:ind w:right="-1"/>
        <w:rPr>
          <w:rFonts w:cs="Arial"/>
          <w:b/>
        </w:rPr>
      </w:pPr>
      <w:r>
        <w:rPr>
          <w:rFonts w:cs="Arial"/>
          <w:b/>
          <w:noProof/>
          <w:lang w:eastAsia="cs-CZ"/>
        </w:rPr>
        <w:drawing>
          <wp:inline distT="0" distB="0" distL="0" distR="0" wp14:anchorId="377FAEE5" wp14:editId="38656261">
            <wp:extent cx="6153150" cy="369189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3691890"/>
                    </a:xfrm>
                    <a:prstGeom prst="rect">
                      <a:avLst/>
                    </a:prstGeom>
                    <a:noFill/>
                  </pic:spPr>
                </pic:pic>
              </a:graphicData>
            </a:graphic>
          </wp:inline>
        </w:drawing>
      </w:r>
    </w:p>
    <w:p w14:paraId="7FB004E1" w14:textId="77777777" w:rsidR="00C035EE" w:rsidRPr="00C035EE" w:rsidRDefault="00C035EE" w:rsidP="00C035EE">
      <w:pPr>
        <w:autoSpaceDE w:val="0"/>
        <w:autoSpaceDN w:val="0"/>
        <w:adjustRightInd w:val="0"/>
        <w:spacing w:before="60" w:after="0" w:line="240" w:lineRule="auto"/>
        <w:ind w:right="142"/>
        <w:jc w:val="both"/>
        <w:rPr>
          <w:rFonts w:ascii="Arial" w:hAnsi="Arial" w:cs="Arial"/>
          <w:i/>
          <w:sz w:val="18"/>
          <w:szCs w:val="18"/>
        </w:rPr>
      </w:pPr>
      <w:r w:rsidRPr="00C035EE">
        <w:rPr>
          <w:rFonts w:ascii="Arial" w:hAnsi="Arial" w:cs="Arial"/>
          <w:i/>
          <w:sz w:val="18"/>
          <w:szCs w:val="18"/>
        </w:rPr>
        <w:t xml:space="preserve">podíl na celkovém počtu </w:t>
      </w:r>
      <w:r w:rsidRPr="00C035EE">
        <w:rPr>
          <w:rFonts w:ascii="Arial" w:hAnsi="Arial" w:cs="Arial"/>
          <w:i/>
          <w:sz w:val="18"/>
          <w:szCs w:val="18"/>
          <w:u w:val="single"/>
        </w:rPr>
        <w:t>zaměstnanců</w:t>
      </w:r>
      <w:r w:rsidRPr="00C035EE">
        <w:rPr>
          <w:rFonts w:ascii="Arial" w:hAnsi="Arial" w:cs="Arial"/>
          <w:i/>
          <w:sz w:val="18"/>
          <w:szCs w:val="18"/>
        </w:rPr>
        <w:t xml:space="preserve"> pracujících v podnicích s 10 a více zaměstnanci v dané odvětvové skupině</w:t>
      </w:r>
    </w:p>
    <w:p w14:paraId="1EB81E9B" w14:textId="77777777" w:rsidR="00C035EE" w:rsidRDefault="00C035EE" w:rsidP="002233BA">
      <w:pPr>
        <w:rPr>
          <w:rFonts w:ascii="Arial" w:hAnsi="Arial" w:cs="Arial"/>
          <w:b/>
          <w:sz w:val="18"/>
          <w:szCs w:val="18"/>
        </w:rPr>
      </w:pPr>
    </w:p>
    <w:p w14:paraId="187AE552" w14:textId="77777777" w:rsidR="00C035EE" w:rsidRDefault="00C035EE" w:rsidP="00C035EE">
      <w:pPr>
        <w:autoSpaceDE w:val="0"/>
        <w:autoSpaceDN w:val="0"/>
        <w:adjustRightInd w:val="0"/>
        <w:spacing w:before="240" w:after="0" w:line="240" w:lineRule="auto"/>
        <w:jc w:val="right"/>
        <w:rPr>
          <w:rFonts w:ascii="Arial" w:hAnsi="Arial" w:cs="Arial"/>
          <w:sz w:val="18"/>
          <w:szCs w:val="18"/>
        </w:rPr>
      </w:pPr>
      <w:r w:rsidRPr="008F10A7">
        <w:rPr>
          <w:rFonts w:ascii="Arial" w:hAnsi="Arial" w:cs="Arial"/>
          <w:sz w:val="18"/>
          <w:szCs w:val="18"/>
        </w:rPr>
        <w:t>Zdroj: Český statistický úřad,</w:t>
      </w:r>
      <w:r>
        <w:rPr>
          <w:rFonts w:ascii="Arial" w:hAnsi="Arial" w:cs="Arial"/>
          <w:sz w:val="18"/>
          <w:szCs w:val="18"/>
        </w:rPr>
        <w:t xml:space="preserve"> 2021</w:t>
      </w:r>
    </w:p>
    <w:p w14:paraId="3DBC396E" w14:textId="77777777" w:rsidR="00C035EE" w:rsidRPr="008F10A7" w:rsidRDefault="00C035EE" w:rsidP="002233BA">
      <w:pPr>
        <w:rPr>
          <w:rFonts w:ascii="Arial" w:hAnsi="Arial" w:cs="Arial"/>
          <w:b/>
          <w:sz w:val="18"/>
          <w:szCs w:val="18"/>
        </w:rPr>
      </w:pPr>
    </w:p>
    <w:sectPr w:rsidR="00C035EE" w:rsidRPr="008F10A7" w:rsidSect="000F1D7F">
      <w:footerReference w:type="default" r:id="rId13"/>
      <w:pgSz w:w="11906" w:h="16838" w:code="9"/>
      <w:pgMar w:top="1134" w:right="1133" w:bottom="1418" w:left="1134" w:header="680" w:footer="680"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5DDB2" w14:textId="77777777" w:rsidR="00705CDE" w:rsidRDefault="00705CDE" w:rsidP="00E71A58">
      <w:r>
        <w:separator/>
      </w:r>
    </w:p>
  </w:endnote>
  <w:endnote w:type="continuationSeparator" w:id="0">
    <w:p w14:paraId="528E3B9B" w14:textId="77777777" w:rsidR="00705CDE" w:rsidRDefault="00705CD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C82E" w14:textId="77777777" w:rsidR="002F6FE3" w:rsidRDefault="002F6FE3" w:rsidP="003A6B38">
    <w:pPr>
      <w:pStyle w:val="Zpat"/>
      <w:tabs>
        <w:tab w:val="clear" w:pos="4536"/>
        <w:tab w:val="clear" w:pos="9072"/>
        <w:tab w:val="left" w:pos="1134"/>
        <w:tab w:val="left" w:pos="1920"/>
        <w:tab w:val="center" w:pos="4820"/>
        <w:tab w:val="right" w:pos="9639"/>
      </w:tabs>
    </w:pPr>
    <w:r>
      <w:tab/>
    </w:r>
    <w:r>
      <w:tab/>
    </w:r>
    <w:r w:rsidRPr="00DC5B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CED7" w14:textId="77777777" w:rsidR="00705CDE" w:rsidRDefault="00705CDE" w:rsidP="00E71A58">
      <w:r>
        <w:separator/>
      </w:r>
    </w:p>
  </w:footnote>
  <w:footnote w:type="continuationSeparator" w:id="0">
    <w:p w14:paraId="46101789" w14:textId="77777777" w:rsidR="00705CDE" w:rsidRDefault="00705CDE" w:rsidP="00E71A58">
      <w:r>
        <w:continuationSeparator/>
      </w:r>
    </w:p>
  </w:footnote>
  <w:footnote w:id="1">
    <w:p w14:paraId="5E8BAA77" w14:textId="77777777" w:rsidR="006049EE" w:rsidRPr="00326DC3" w:rsidRDefault="006049EE" w:rsidP="006049EE">
      <w:pPr>
        <w:pStyle w:val="Textpoznpodarou"/>
        <w:spacing w:after="0"/>
        <w:rPr>
          <w:rFonts w:ascii="Arial" w:hAnsi="Arial" w:cs="Arial"/>
          <w:sz w:val="16"/>
          <w:szCs w:val="16"/>
        </w:rPr>
      </w:pPr>
      <w:r w:rsidRPr="0022756F">
        <w:rPr>
          <w:rStyle w:val="Znakapoznpodarou"/>
          <w:rFonts w:ascii="Arial" w:hAnsi="Arial" w:cs="Arial"/>
          <w:sz w:val="16"/>
          <w:szCs w:val="16"/>
        </w:rPr>
        <w:footnoteRef/>
      </w:r>
      <w:r w:rsidRPr="0022756F">
        <w:rPr>
          <w:rFonts w:ascii="Arial" w:hAnsi="Arial" w:cs="Arial"/>
          <w:sz w:val="16"/>
          <w:szCs w:val="16"/>
        </w:rPr>
        <w:t xml:space="preserve"> </w:t>
      </w:r>
      <w:r>
        <w:rPr>
          <w:rFonts w:ascii="Arial" w:hAnsi="Arial" w:cs="Arial"/>
          <w:sz w:val="16"/>
          <w:szCs w:val="16"/>
        </w:rPr>
        <w:t>Z</w:t>
      </w:r>
      <w:r w:rsidRPr="0022756F">
        <w:rPr>
          <w:rFonts w:ascii="Arial" w:hAnsi="Arial" w:cs="Arial"/>
          <w:sz w:val="16"/>
          <w:szCs w:val="16"/>
        </w:rPr>
        <w:t xml:space="preserve">drojem </w:t>
      </w:r>
      <w:r>
        <w:rPr>
          <w:rFonts w:ascii="Arial" w:hAnsi="Arial" w:cs="Arial"/>
          <w:sz w:val="16"/>
          <w:szCs w:val="16"/>
        </w:rPr>
        <w:t xml:space="preserve">dat pro mezinárodní srovnání </w:t>
      </w:r>
      <w:r w:rsidRPr="0022756F">
        <w:rPr>
          <w:rFonts w:ascii="Arial" w:hAnsi="Arial" w:cs="Arial"/>
          <w:sz w:val="16"/>
          <w:szCs w:val="16"/>
        </w:rPr>
        <w:t>je</w:t>
      </w:r>
      <w:r>
        <w:rPr>
          <w:rFonts w:ascii="Arial" w:hAnsi="Arial" w:cs="Arial"/>
          <w:sz w:val="16"/>
          <w:szCs w:val="16"/>
        </w:rPr>
        <w:t xml:space="preserve"> databáze </w:t>
      </w:r>
      <w:proofErr w:type="spellStart"/>
      <w:r w:rsidRPr="0022756F">
        <w:rPr>
          <w:rFonts w:ascii="Arial" w:hAnsi="Arial" w:cs="Arial"/>
          <w:sz w:val="16"/>
          <w:szCs w:val="16"/>
        </w:rPr>
        <w:t>Eurostat</w:t>
      </w:r>
      <w:r>
        <w:rPr>
          <w:rFonts w:ascii="Arial" w:hAnsi="Arial" w:cs="Arial"/>
          <w:sz w:val="16"/>
          <w:szCs w:val="16"/>
        </w:rPr>
        <w:t>u</w:t>
      </w:r>
      <w:proofErr w:type="spellEnd"/>
      <w:r>
        <w:rPr>
          <w:rFonts w:ascii="Arial" w:hAnsi="Arial" w:cs="Arial"/>
          <w:sz w:val="16"/>
          <w:szCs w:val="16"/>
        </w:rPr>
        <w:t>, která byla aktualizována na začátku prosince 2021 a údaje v ní se vztahují k roku 2021</w:t>
      </w:r>
      <w:r w:rsidRPr="0022756F">
        <w:rPr>
          <w:rFonts w:ascii="Arial" w:hAnsi="Arial" w:cs="Arial"/>
          <w:sz w:val="16"/>
          <w:szCs w:val="16"/>
        </w:rPr>
        <w:t xml:space="preserve">: </w:t>
      </w:r>
      <w:hyperlink r:id="rId1" w:history="1">
        <w:r w:rsidRPr="0022756F">
          <w:rPr>
            <w:rStyle w:val="Hypertextovodkaz"/>
            <w:rFonts w:ascii="Arial" w:hAnsi="Arial" w:cs="Arial"/>
            <w:sz w:val="16"/>
            <w:szCs w:val="16"/>
          </w:rPr>
          <w:t xml:space="preserve">http://ec.europa.eu/eurostat/web/digital-economy-and-society/data/comprehensive-database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3146"/>
    <w:multiLevelType w:val="hybridMultilevel"/>
    <w:tmpl w:val="F1387C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F720E"/>
    <w:multiLevelType w:val="hybridMultilevel"/>
    <w:tmpl w:val="5AAE4370"/>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D4E8C"/>
    <w:multiLevelType w:val="hybridMultilevel"/>
    <w:tmpl w:val="31DE8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3B4673"/>
    <w:multiLevelType w:val="hybridMultilevel"/>
    <w:tmpl w:val="7A40518A"/>
    <w:lvl w:ilvl="0" w:tplc="3174A966">
      <w:start w:val="1"/>
      <w:numFmt w:val="bullet"/>
      <w:lvlText w:val=""/>
      <w:lvlJc w:val="left"/>
      <w:pPr>
        <w:tabs>
          <w:tab w:val="num" w:pos="360"/>
        </w:tabs>
        <w:ind w:left="360" w:hanging="360"/>
      </w:pPr>
      <w:rPr>
        <w:rFonts w:ascii="Symbol" w:hAnsi="Symbol" w:hint="default"/>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84"/>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D1416F"/>
    <w:rsid w:val="0000767A"/>
    <w:rsid w:val="00010702"/>
    <w:rsid w:val="00013538"/>
    <w:rsid w:val="00020E08"/>
    <w:rsid w:val="00024661"/>
    <w:rsid w:val="0004396D"/>
    <w:rsid w:val="0004694F"/>
    <w:rsid w:val="00062EC5"/>
    <w:rsid w:val="00065010"/>
    <w:rsid w:val="000677D8"/>
    <w:rsid w:val="00087634"/>
    <w:rsid w:val="00091EB4"/>
    <w:rsid w:val="00092869"/>
    <w:rsid w:val="000A02E2"/>
    <w:rsid w:val="000A1183"/>
    <w:rsid w:val="000A2528"/>
    <w:rsid w:val="000A40E1"/>
    <w:rsid w:val="000A627B"/>
    <w:rsid w:val="000B664C"/>
    <w:rsid w:val="000C3408"/>
    <w:rsid w:val="000D684D"/>
    <w:rsid w:val="000F1D7F"/>
    <w:rsid w:val="001041FC"/>
    <w:rsid w:val="0010460E"/>
    <w:rsid w:val="001073C1"/>
    <w:rsid w:val="00111B12"/>
    <w:rsid w:val="00112D2E"/>
    <w:rsid w:val="001376DA"/>
    <w:rsid w:val="001405FA"/>
    <w:rsid w:val="00140B4E"/>
    <w:rsid w:val="001425C3"/>
    <w:rsid w:val="00143453"/>
    <w:rsid w:val="0015109B"/>
    <w:rsid w:val="001573CF"/>
    <w:rsid w:val="00161F96"/>
    <w:rsid w:val="00163793"/>
    <w:rsid w:val="0016380A"/>
    <w:rsid w:val="001714F2"/>
    <w:rsid w:val="00171C99"/>
    <w:rsid w:val="00181DD6"/>
    <w:rsid w:val="00184B9E"/>
    <w:rsid w:val="00185010"/>
    <w:rsid w:val="00192B8E"/>
    <w:rsid w:val="00193E5B"/>
    <w:rsid w:val="00194F66"/>
    <w:rsid w:val="001A552F"/>
    <w:rsid w:val="001A5D74"/>
    <w:rsid w:val="001A60C9"/>
    <w:rsid w:val="001A641B"/>
    <w:rsid w:val="001B3110"/>
    <w:rsid w:val="001C3542"/>
    <w:rsid w:val="001D2798"/>
    <w:rsid w:val="001E7293"/>
    <w:rsid w:val="001F3765"/>
    <w:rsid w:val="001F4597"/>
    <w:rsid w:val="001F6759"/>
    <w:rsid w:val="001F74F8"/>
    <w:rsid w:val="00213D70"/>
    <w:rsid w:val="0022139E"/>
    <w:rsid w:val="00221910"/>
    <w:rsid w:val="002233BA"/>
    <w:rsid w:val="002252E0"/>
    <w:rsid w:val="002255F6"/>
    <w:rsid w:val="00232211"/>
    <w:rsid w:val="00236443"/>
    <w:rsid w:val="002436BA"/>
    <w:rsid w:val="00244A15"/>
    <w:rsid w:val="0024799E"/>
    <w:rsid w:val="00251FD3"/>
    <w:rsid w:val="00281EFD"/>
    <w:rsid w:val="0028698F"/>
    <w:rsid w:val="002873E7"/>
    <w:rsid w:val="00294CD1"/>
    <w:rsid w:val="002B4C9F"/>
    <w:rsid w:val="002C31D3"/>
    <w:rsid w:val="002C43BD"/>
    <w:rsid w:val="002C471F"/>
    <w:rsid w:val="002C4CA4"/>
    <w:rsid w:val="002D4CBE"/>
    <w:rsid w:val="002D59B1"/>
    <w:rsid w:val="002D6C0F"/>
    <w:rsid w:val="002E02A1"/>
    <w:rsid w:val="002E575D"/>
    <w:rsid w:val="002F6FE3"/>
    <w:rsid w:val="00302A3A"/>
    <w:rsid w:val="00304771"/>
    <w:rsid w:val="00304CAD"/>
    <w:rsid w:val="00306C5B"/>
    <w:rsid w:val="00310FDC"/>
    <w:rsid w:val="003209D6"/>
    <w:rsid w:val="00322E99"/>
    <w:rsid w:val="00326DC3"/>
    <w:rsid w:val="00340698"/>
    <w:rsid w:val="00343195"/>
    <w:rsid w:val="00343E00"/>
    <w:rsid w:val="00353788"/>
    <w:rsid w:val="00364A6C"/>
    <w:rsid w:val="003657F3"/>
    <w:rsid w:val="00365D1E"/>
    <w:rsid w:val="00385AAB"/>
    <w:rsid w:val="00385D98"/>
    <w:rsid w:val="0038778D"/>
    <w:rsid w:val="00394553"/>
    <w:rsid w:val="003A2B4D"/>
    <w:rsid w:val="003A327C"/>
    <w:rsid w:val="003A478C"/>
    <w:rsid w:val="003A5525"/>
    <w:rsid w:val="003A6B38"/>
    <w:rsid w:val="003B5A32"/>
    <w:rsid w:val="003C1044"/>
    <w:rsid w:val="003D521C"/>
    <w:rsid w:val="003D7BEA"/>
    <w:rsid w:val="003F313C"/>
    <w:rsid w:val="003F4A56"/>
    <w:rsid w:val="003F7CA1"/>
    <w:rsid w:val="00405AE5"/>
    <w:rsid w:val="00413550"/>
    <w:rsid w:val="00414240"/>
    <w:rsid w:val="0043194A"/>
    <w:rsid w:val="00452667"/>
    <w:rsid w:val="004532A0"/>
    <w:rsid w:val="00467F6A"/>
    <w:rsid w:val="00471948"/>
    <w:rsid w:val="0048139F"/>
    <w:rsid w:val="00481EBE"/>
    <w:rsid w:val="004821EF"/>
    <w:rsid w:val="0049232C"/>
    <w:rsid w:val="0049799E"/>
    <w:rsid w:val="004A77DF"/>
    <w:rsid w:val="004B55B7"/>
    <w:rsid w:val="004B62B6"/>
    <w:rsid w:val="004C3867"/>
    <w:rsid w:val="004C4CD0"/>
    <w:rsid w:val="004C5D83"/>
    <w:rsid w:val="004C70DC"/>
    <w:rsid w:val="004D0211"/>
    <w:rsid w:val="004D4E05"/>
    <w:rsid w:val="004D77B7"/>
    <w:rsid w:val="004E0EAF"/>
    <w:rsid w:val="004E5F7B"/>
    <w:rsid w:val="004F06F5"/>
    <w:rsid w:val="004F0DF9"/>
    <w:rsid w:val="004F33A0"/>
    <w:rsid w:val="004F4666"/>
    <w:rsid w:val="005068F4"/>
    <w:rsid w:val="005108C0"/>
    <w:rsid w:val="00511873"/>
    <w:rsid w:val="00513B7E"/>
    <w:rsid w:val="0052251C"/>
    <w:rsid w:val="00525135"/>
    <w:rsid w:val="00525137"/>
    <w:rsid w:val="005251DD"/>
    <w:rsid w:val="00553139"/>
    <w:rsid w:val="0055707E"/>
    <w:rsid w:val="00567DFC"/>
    <w:rsid w:val="00572309"/>
    <w:rsid w:val="00576CD1"/>
    <w:rsid w:val="00583FFD"/>
    <w:rsid w:val="00584DCD"/>
    <w:rsid w:val="00585475"/>
    <w:rsid w:val="00593152"/>
    <w:rsid w:val="005A21E0"/>
    <w:rsid w:val="005A21E6"/>
    <w:rsid w:val="005A34A7"/>
    <w:rsid w:val="005B4204"/>
    <w:rsid w:val="005C6378"/>
    <w:rsid w:val="005D5802"/>
    <w:rsid w:val="005E3D17"/>
    <w:rsid w:val="005E7241"/>
    <w:rsid w:val="005F419A"/>
    <w:rsid w:val="005F7FA5"/>
    <w:rsid w:val="00604307"/>
    <w:rsid w:val="0060487F"/>
    <w:rsid w:val="006049EE"/>
    <w:rsid w:val="006123F0"/>
    <w:rsid w:val="00624093"/>
    <w:rsid w:val="00631B6B"/>
    <w:rsid w:val="0064036A"/>
    <w:rsid w:val="006404A7"/>
    <w:rsid w:val="00641710"/>
    <w:rsid w:val="006451E4"/>
    <w:rsid w:val="00650FED"/>
    <w:rsid w:val="0065485A"/>
    <w:rsid w:val="00657968"/>
    <w:rsid w:val="00657E87"/>
    <w:rsid w:val="006710C9"/>
    <w:rsid w:val="00675E37"/>
    <w:rsid w:val="006824B6"/>
    <w:rsid w:val="0068260E"/>
    <w:rsid w:val="00684ECC"/>
    <w:rsid w:val="00693C50"/>
    <w:rsid w:val="006953D1"/>
    <w:rsid w:val="00695BEF"/>
    <w:rsid w:val="006977F6"/>
    <w:rsid w:val="00697A13"/>
    <w:rsid w:val="006A09CC"/>
    <w:rsid w:val="006A109C"/>
    <w:rsid w:val="006B78D8"/>
    <w:rsid w:val="006C113F"/>
    <w:rsid w:val="006D1307"/>
    <w:rsid w:val="006D50BD"/>
    <w:rsid w:val="006D61F6"/>
    <w:rsid w:val="006D7127"/>
    <w:rsid w:val="006E113B"/>
    <w:rsid w:val="006E279A"/>
    <w:rsid w:val="006E313B"/>
    <w:rsid w:val="006E7DE3"/>
    <w:rsid w:val="00705CDE"/>
    <w:rsid w:val="007108D3"/>
    <w:rsid w:val="0071362F"/>
    <w:rsid w:val="007139FE"/>
    <w:rsid w:val="007140F1"/>
    <w:rsid w:val="0071510F"/>
    <w:rsid w:val="007211F5"/>
    <w:rsid w:val="00721EE7"/>
    <w:rsid w:val="007234EB"/>
    <w:rsid w:val="00730AE8"/>
    <w:rsid w:val="00741493"/>
    <w:rsid w:val="0074613B"/>
    <w:rsid w:val="00746B9F"/>
    <w:rsid w:val="0074770B"/>
    <w:rsid w:val="00752180"/>
    <w:rsid w:val="0075349D"/>
    <w:rsid w:val="00755D3A"/>
    <w:rsid w:val="007609C6"/>
    <w:rsid w:val="00761B3D"/>
    <w:rsid w:val="00772929"/>
    <w:rsid w:val="00774742"/>
    <w:rsid w:val="00776527"/>
    <w:rsid w:val="00785B2D"/>
    <w:rsid w:val="007949B4"/>
    <w:rsid w:val="007A5C36"/>
    <w:rsid w:val="007C3F6A"/>
    <w:rsid w:val="007C79FA"/>
    <w:rsid w:val="007D2B39"/>
    <w:rsid w:val="007D665F"/>
    <w:rsid w:val="007D7174"/>
    <w:rsid w:val="007E3D24"/>
    <w:rsid w:val="007E7E61"/>
    <w:rsid w:val="007F0845"/>
    <w:rsid w:val="007F7D8B"/>
    <w:rsid w:val="00807732"/>
    <w:rsid w:val="00814B24"/>
    <w:rsid w:val="00821FF6"/>
    <w:rsid w:val="00824884"/>
    <w:rsid w:val="0083143E"/>
    <w:rsid w:val="00831CCF"/>
    <w:rsid w:val="00834FAA"/>
    <w:rsid w:val="00836086"/>
    <w:rsid w:val="00852D8B"/>
    <w:rsid w:val="00855BF3"/>
    <w:rsid w:val="00867019"/>
    <w:rsid w:val="00876086"/>
    <w:rsid w:val="008801A7"/>
    <w:rsid w:val="008B60E1"/>
    <w:rsid w:val="008B7C02"/>
    <w:rsid w:val="008C0E88"/>
    <w:rsid w:val="008D2A16"/>
    <w:rsid w:val="008E31FF"/>
    <w:rsid w:val="008F10A7"/>
    <w:rsid w:val="008F41A9"/>
    <w:rsid w:val="009003A8"/>
    <w:rsid w:val="00902EFF"/>
    <w:rsid w:val="00911712"/>
    <w:rsid w:val="00921E2E"/>
    <w:rsid w:val="00921F14"/>
    <w:rsid w:val="009349CD"/>
    <w:rsid w:val="0094427A"/>
    <w:rsid w:val="00957F6D"/>
    <w:rsid w:val="00967F43"/>
    <w:rsid w:val="009708C4"/>
    <w:rsid w:val="0097108C"/>
    <w:rsid w:val="00974923"/>
    <w:rsid w:val="0098620F"/>
    <w:rsid w:val="00987E97"/>
    <w:rsid w:val="00994473"/>
    <w:rsid w:val="009B5436"/>
    <w:rsid w:val="009B6FD3"/>
    <w:rsid w:val="009C238A"/>
    <w:rsid w:val="009C3EFA"/>
    <w:rsid w:val="009D5896"/>
    <w:rsid w:val="009F303B"/>
    <w:rsid w:val="009F5F81"/>
    <w:rsid w:val="00A061F3"/>
    <w:rsid w:val="00A10D66"/>
    <w:rsid w:val="00A22C4D"/>
    <w:rsid w:val="00A23E43"/>
    <w:rsid w:val="00A42547"/>
    <w:rsid w:val="00A46DE0"/>
    <w:rsid w:val="00A5521E"/>
    <w:rsid w:val="00A60AB8"/>
    <w:rsid w:val="00A62CE1"/>
    <w:rsid w:val="00A70E2D"/>
    <w:rsid w:val="00A732A5"/>
    <w:rsid w:val="00A75E40"/>
    <w:rsid w:val="00A83C13"/>
    <w:rsid w:val="00A857C0"/>
    <w:rsid w:val="00A9264C"/>
    <w:rsid w:val="00AA0243"/>
    <w:rsid w:val="00AA559A"/>
    <w:rsid w:val="00AB2AF1"/>
    <w:rsid w:val="00AB76F3"/>
    <w:rsid w:val="00AC1445"/>
    <w:rsid w:val="00AC2293"/>
    <w:rsid w:val="00AC64F2"/>
    <w:rsid w:val="00AC77ED"/>
    <w:rsid w:val="00AD059F"/>
    <w:rsid w:val="00AD306C"/>
    <w:rsid w:val="00AE511A"/>
    <w:rsid w:val="00AF2A1B"/>
    <w:rsid w:val="00B043AB"/>
    <w:rsid w:val="00B07008"/>
    <w:rsid w:val="00B112AC"/>
    <w:rsid w:val="00B14740"/>
    <w:rsid w:val="00B17E71"/>
    <w:rsid w:val="00B17FDE"/>
    <w:rsid w:val="00B21D75"/>
    <w:rsid w:val="00B320D0"/>
    <w:rsid w:val="00B32DDB"/>
    <w:rsid w:val="00B445A6"/>
    <w:rsid w:val="00B5042E"/>
    <w:rsid w:val="00B526E3"/>
    <w:rsid w:val="00B60BB7"/>
    <w:rsid w:val="00B6531C"/>
    <w:rsid w:val="00B6608F"/>
    <w:rsid w:val="00B70B2B"/>
    <w:rsid w:val="00B71F4B"/>
    <w:rsid w:val="00B76D1E"/>
    <w:rsid w:val="00B82EB5"/>
    <w:rsid w:val="00B83ED0"/>
    <w:rsid w:val="00B93AF0"/>
    <w:rsid w:val="00B95940"/>
    <w:rsid w:val="00BA77C1"/>
    <w:rsid w:val="00BC6DEC"/>
    <w:rsid w:val="00BD258B"/>
    <w:rsid w:val="00BD366B"/>
    <w:rsid w:val="00BD6D50"/>
    <w:rsid w:val="00BE0C8D"/>
    <w:rsid w:val="00BE2C3A"/>
    <w:rsid w:val="00C035EE"/>
    <w:rsid w:val="00C041C2"/>
    <w:rsid w:val="00C0475C"/>
    <w:rsid w:val="00C04CFE"/>
    <w:rsid w:val="00C21F94"/>
    <w:rsid w:val="00C26F86"/>
    <w:rsid w:val="00C3040A"/>
    <w:rsid w:val="00C35A1C"/>
    <w:rsid w:val="00C40209"/>
    <w:rsid w:val="00C44604"/>
    <w:rsid w:val="00C46A08"/>
    <w:rsid w:val="00C47866"/>
    <w:rsid w:val="00C50853"/>
    <w:rsid w:val="00C53740"/>
    <w:rsid w:val="00C649AF"/>
    <w:rsid w:val="00C847A8"/>
    <w:rsid w:val="00C90CF4"/>
    <w:rsid w:val="00C93389"/>
    <w:rsid w:val="00CA0C7F"/>
    <w:rsid w:val="00CA5AC0"/>
    <w:rsid w:val="00CB2C32"/>
    <w:rsid w:val="00CB35AC"/>
    <w:rsid w:val="00CB4690"/>
    <w:rsid w:val="00CC0868"/>
    <w:rsid w:val="00CC61F7"/>
    <w:rsid w:val="00CD57C7"/>
    <w:rsid w:val="00CD5C77"/>
    <w:rsid w:val="00CE1800"/>
    <w:rsid w:val="00CF51EC"/>
    <w:rsid w:val="00CF797C"/>
    <w:rsid w:val="00D03154"/>
    <w:rsid w:val="00D040DD"/>
    <w:rsid w:val="00D1416F"/>
    <w:rsid w:val="00D16CC5"/>
    <w:rsid w:val="00D21ACC"/>
    <w:rsid w:val="00D263D9"/>
    <w:rsid w:val="00D517A7"/>
    <w:rsid w:val="00D541BD"/>
    <w:rsid w:val="00D57B0B"/>
    <w:rsid w:val="00D72D54"/>
    <w:rsid w:val="00D87787"/>
    <w:rsid w:val="00D90543"/>
    <w:rsid w:val="00DB4D42"/>
    <w:rsid w:val="00DB6B38"/>
    <w:rsid w:val="00DC5B3B"/>
    <w:rsid w:val="00DD48D9"/>
    <w:rsid w:val="00E01C0E"/>
    <w:rsid w:val="00E04694"/>
    <w:rsid w:val="00E15CA9"/>
    <w:rsid w:val="00E20E07"/>
    <w:rsid w:val="00E43BA4"/>
    <w:rsid w:val="00E454AB"/>
    <w:rsid w:val="00E50EAE"/>
    <w:rsid w:val="00E602B5"/>
    <w:rsid w:val="00E67293"/>
    <w:rsid w:val="00E719C4"/>
    <w:rsid w:val="00E71A58"/>
    <w:rsid w:val="00E979B8"/>
    <w:rsid w:val="00EA0C68"/>
    <w:rsid w:val="00EA27C4"/>
    <w:rsid w:val="00EC7132"/>
    <w:rsid w:val="00ED0817"/>
    <w:rsid w:val="00EE01F9"/>
    <w:rsid w:val="00EE07B8"/>
    <w:rsid w:val="00EE3E78"/>
    <w:rsid w:val="00EF1F5A"/>
    <w:rsid w:val="00EF2245"/>
    <w:rsid w:val="00F04811"/>
    <w:rsid w:val="00F0488C"/>
    <w:rsid w:val="00F0701B"/>
    <w:rsid w:val="00F1253E"/>
    <w:rsid w:val="00F15987"/>
    <w:rsid w:val="00F15BEF"/>
    <w:rsid w:val="00F22277"/>
    <w:rsid w:val="00F226D7"/>
    <w:rsid w:val="00F24FAA"/>
    <w:rsid w:val="00F31BBF"/>
    <w:rsid w:val="00F3364D"/>
    <w:rsid w:val="00F40D1B"/>
    <w:rsid w:val="00F4274E"/>
    <w:rsid w:val="00F42C99"/>
    <w:rsid w:val="00F63DDE"/>
    <w:rsid w:val="00F63FB7"/>
    <w:rsid w:val="00F66522"/>
    <w:rsid w:val="00F675A9"/>
    <w:rsid w:val="00F71554"/>
    <w:rsid w:val="00F73064"/>
    <w:rsid w:val="00F73A0C"/>
    <w:rsid w:val="00F75B7B"/>
    <w:rsid w:val="00F841B2"/>
    <w:rsid w:val="00F9587D"/>
    <w:rsid w:val="00FA7BB2"/>
    <w:rsid w:val="00FB2FFE"/>
    <w:rsid w:val="00FC0E5F"/>
    <w:rsid w:val="00FC2525"/>
    <w:rsid w:val="00FC534B"/>
    <w:rsid w:val="00FC56DE"/>
    <w:rsid w:val="00FD0C48"/>
    <w:rsid w:val="00FE15A4"/>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8FBC5EC"/>
  <w15:docId w15:val="{1678E85D-C037-4ECA-9059-9FE3567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74E"/>
    <w:pPr>
      <w:spacing w:after="200" w:line="276" w:lineRule="auto"/>
    </w:pPr>
    <w:rPr>
      <w:rFonts w:ascii="Times New Roman" w:hAnsi="Times New Roman"/>
      <w:sz w:val="24"/>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cs="Times New Roman"/>
      <w:b/>
      <w:iCs/>
      <w:color w:val="009BB4"/>
      <w:sz w:val="28"/>
      <w:szCs w:val="24"/>
    </w:rPr>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TL-identifikace-sted">
    <w:name w:val="TL - identifikace - střed"/>
    <w:basedOn w:val="Normln"/>
    <w:link w:val="TL-identifikace-stedChar"/>
    <w:qFormat/>
    <w:rsid w:val="006C113F"/>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paragraph" w:styleId="Odstavecseseznamem">
    <w:name w:val="List Paragraph"/>
    <w:basedOn w:val="Normln"/>
    <w:uiPriority w:val="34"/>
    <w:qFormat/>
    <w:rsid w:val="00F4274E"/>
    <w:pPr>
      <w:ind w:left="720"/>
      <w:contextualSpacing/>
    </w:pPr>
  </w:style>
  <w:style w:type="character" w:customStyle="1" w:styleId="ObsahChar">
    <w:name w:val="Obsah Char"/>
    <w:link w:val="Obsah"/>
    <w:rsid w:val="00CD57C7"/>
    <w:rPr>
      <w:rFonts w:ascii="Arial" w:eastAsia="MS Gothic" w:hAnsi="Arial"/>
      <w:b/>
      <w:bCs/>
      <w:color w:val="009BB4"/>
      <w:sz w:val="32"/>
      <w:szCs w:val="28"/>
    </w:rPr>
  </w:style>
  <w:style w:type="paragraph" w:styleId="Zkladntext">
    <w:name w:val="Body Text"/>
    <w:basedOn w:val="Normln"/>
    <w:link w:val="ZkladntextChar"/>
    <w:semiHidden/>
    <w:rsid w:val="00194F66"/>
    <w:pPr>
      <w:spacing w:before="120" w:after="120" w:line="240" w:lineRule="auto"/>
      <w:ind w:right="-13"/>
      <w:jc w:val="both"/>
    </w:pPr>
    <w:rPr>
      <w:rFonts w:eastAsia="Times New Roman"/>
      <w:sz w:val="22"/>
      <w:szCs w:val="24"/>
      <w:lang w:eastAsia="cs-CZ"/>
    </w:rPr>
  </w:style>
  <w:style w:type="character" w:customStyle="1" w:styleId="ZkladntextChar">
    <w:name w:val="Základní text Char"/>
    <w:link w:val="Zkladntext"/>
    <w:semiHidden/>
    <w:rsid w:val="00194F66"/>
    <w:rPr>
      <w:rFonts w:ascii="Times New Roman" w:eastAsia="Times New Roman" w:hAnsi="Times New Roman"/>
      <w:sz w:val="22"/>
      <w:szCs w:val="24"/>
    </w:rPr>
  </w:style>
  <w:style w:type="character" w:styleId="Odkaznakoment">
    <w:name w:val="annotation reference"/>
    <w:basedOn w:val="Standardnpsmoodstavce"/>
    <w:uiPriority w:val="99"/>
    <w:semiHidden/>
    <w:unhideWhenUsed/>
    <w:rsid w:val="003D7BEA"/>
    <w:rPr>
      <w:sz w:val="16"/>
      <w:szCs w:val="16"/>
    </w:rPr>
  </w:style>
  <w:style w:type="paragraph" w:styleId="Textkomente">
    <w:name w:val="annotation text"/>
    <w:basedOn w:val="Normln"/>
    <w:link w:val="TextkomenteChar"/>
    <w:uiPriority w:val="99"/>
    <w:semiHidden/>
    <w:unhideWhenUsed/>
    <w:rsid w:val="003D7BEA"/>
    <w:rPr>
      <w:sz w:val="20"/>
      <w:szCs w:val="20"/>
    </w:rPr>
  </w:style>
  <w:style w:type="character" w:customStyle="1" w:styleId="TextkomenteChar">
    <w:name w:val="Text komentáře Char"/>
    <w:basedOn w:val="Standardnpsmoodstavce"/>
    <w:link w:val="Textkomente"/>
    <w:uiPriority w:val="99"/>
    <w:semiHidden/>
    <w:rsid w:val="003D7BEA"/>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3D7BEA"/>
    <w:rPr>
      <w:b/>
      <w:bCs/>
    </w:rPr>
  </w:style>
  <w:style w:type="character" w:customStyle="1" w:styleId="PedmtkomenteChar">
    <w:name w:val="Předmět komentáře Char"/>
    <w:basedOn w:val="TextkomenteChar"/>
    <w:link w:val="Pedmtkomente"/>
    <w:uiPriority w:val="99"/>
    <w:semiHidden/>
    <w:rsid w:val="003D7BEA"/>
    <w:rPr>
      <w:rFonts w:ascii="Times New Roman" w:hAnsi="Times New Roman"/>
      <w:b/>
      <w:bCs/>
      <w:lang w:eastAsia="en-US"/>
    </w:rPr>
  </w:style>
  <w:style w:type="paragraph" w:styleId="Textpoznpodarou">
    <w:name w:val="footnote text"/>
    <w:basedOn w:val="Normln"/>
    <w:link w:val="TextpoznpodarouChar"/>
    <w:uiPriority w:val="99"/>
    <w:semiHidden/>
    <w:unhideWhenUsed/>
    <w:rsid w:val="00326DC3"/>
    <w:rPr>
      <w:sz w:val="20"/>
      <w:szCs w:val="20"/>
    </w:rPr>
  </w:style>
  <w:style w:type="character" w:customStyle="1" w:styleId="TextpoznpodarouChar">
    <w:name w:val="Text pozn. pod čarou Char"/>
    <w:basedOn w:val="Standardnpsmoodstavce"/>
    <w:link w:val="Textpoznpodarou"/>
    <w:uiPriority w:val="99"/>
    <w:semiHidden/>
    <w:rsid w:val="00326DC3"/>
    <w:rPr>
      <w:rFonts w:ascii="Times New Roman" w:hAnsi="Times New Roman"/>
      <w:lang w:eastAsia="en-US"/>
    </w:rPr>
  </w:style>
  <w:style w:type="character" w:styleId="Znakapoznpodarou">
    <w:name w:val="footnote reference"/>
    <w:basedOn w:val="Standardnpsmoodstavce"/>
    <w:uiPriority w:val="99"/>
    <w:semiHidden/>
    <w:unhideWhenUsed/>
    <w:rsid w:val="00326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74811755">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73370291">
      <w:bodyDiv w:val="1"/>
      <w:marLeft w:val="0"/>
      <w:marRight w:val="0"/>
      <w:marTop w:val="0"/>
      <w:marBottom w:val="0"/>
      <w:divBdr>
        <w:top w:val="none" w:sz="0" w:space="0" w:color="auto"/>
        <w:left w:val="none" w:sz="0" w:space="0" w:color="auto"/>
        <w:bottom w:val="none" w:sz="0" w:space="0" w:color="auto"/>
        <w:right w:val="none" w:sz="0" w:space="0" w:color="auto"/>
      </w:divBdr>
    </w:div>
    <w:div w:id="301271737">
      <w:bodyDiv w:val="1"/>
      <w:marLeft w:val="0"/>
      <w:marRight w:val="0"/>
      <w:marTop w:val="0"/>
      <w:marBottom w:val="0"/>
      <w:divBdr>
        <w:top w:val="none" w:sz="0" w:space="0" w:color="auto"/>
        <w:left w:val="none" w:sz="0" w:space="0" w:color="auto"/>
        <w:bottom w:val="none" w:sz="0" w:space="0" w:color="auto"/>
        <w:right w:val="none" w:sz="0" w:space="0" w:color="auto"/>
      </w:divBdr>
    </w:div>
    <w:div w:id="307979066">
      <w:bodyDiv w:val="1"/>
      <w:marLeft w:val="0"/>
      <w:marRight w:val="0"/>
      <w:marTop w:val="0"/>
      <w:marBottom w:val="0"/>
      <w:divBdr>
        <w:top w:val="none" w:sz="0" w:space="0" w:color="auto"/>
        <w:left w:val="none" w:sz="0" w:space="0" w:color="auto"/>
        <w:bottom w:val="none" w:sz="0" w:space="0" w:color="auto"/>
        <w:right w:val="none" w:sz="0" w:space="0" w:color="auto"/>
      </w:divBdr>
    </w:div>
    <w:div w:id="411851078">
      <w:bodyDiv w:val="1"/>
      <w:marLeft w:val="0"/>
      <w:marRight w:val="0"/>
      <w:marTop w:val="0"/>
      <w:marBottom w:val="0"/>
      <w:divBdr>
        <w:top w:val="none" w:sz="0" w:space="0" w:color="auto"/>
        <w:left w:val="none" w:sz="0" w:space="0" w:color="auto"/>
        <w:bottom w:val="none" w:sz="0" w:space="0" w:color="auto"/>
        <w:right w:val="none" w:sz="0" w:space="0" w:color="auto"/>
      </w:divBdr>
    </w:div>
    <w:div w:id="4819660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1135032">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1390813">
      <w:bodyDiv w:val="1"/>
      <w:marLeft w:val="0"/>
      <w:marRight w:val="0"/>
      <w:marTop w:val="0"/>
      <w:marBottom w:val="0"/>
      <w:divBdr>
        <w:top w:val="none" w:sz="0" w:space="0" w:color="auto"/>
        <w:left w:val="none" w:sz="0" w:space="0" w:color="auto"/>
        <w:bottom w:val="none" w:sz="0" w:space="0" w:color="auto"/>
        <w:right w:val="none" w:sz="0" w:space="0" w:color="auto"/>
      </w:divBdr>
    </w:div>
    <w:div w:id="859439558">
      <w:bodyDiv w:val="1"/>
      <w:marLeft w:val="0"/>
      <w:marRight w:val="0"/>
      <w:marTop w:val="0"/>
      <w:marBottom w:val="0"/>
      <w:divBdr>
        <w:top w:val="none" w:sz="0" w:space="0" w:color="auto"/>
        <w:left w:val="none" w:sz="0" w:space="0" w:color="auto"/>
        <w:bottom w:val="none" w:sz="0" w:space="0" w:color="auto"/>
        <w:right w:val="none" w:sz="0" w:space="0" w:color="auto"/>
      </w:divBdr>
    </w:div>
    <w:div w:id="866061045">
      <w:bodyDiv w:val="1"/>
      <w:marLeft w:val="0"/>
      <w:marRight w:val="0"/>
      <w:marTop w:val="0"/>
      <w:marBottom w:val="0"/>
      <w:divBdr>
        <w:top w:val="none" w:sz="0" w:space="0" w:color="auto"/>
        <w:left w:val="none" w:sz="0" w:space="0" w:color="auto"/>
        <w:bottom w:val="none" w:sz="0" w:space="0" w:color="auto"/>
        <w:right w:val="none" w:sz="0" w:space="0" w:color="auto"/>
      </w:divBdr>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01889715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80107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47501693">
      <w:bodyDiv w:val="1"/>
      <w:marLeft w:val="0"/>
      <w:marRight w:val="0"/>
      <w:marTop w:val="0"/>
      <w:marBottom w:val="0"/>
      <w:divBdr>
        <w:top w:val="none" w:sz="0" w:space="0" w:color="auto"/>
        <w:left w:val="none" w:sz="0" w:space="0" w:color="auto"/>
        <w:bottom w:val="none" w:sz="0" w:space="0" w:color="auto"/>
        <w:right w:val="none" w:sz="0" w:space="0" w:color="auto"/>
      </w:divBdr>
    </w:div>
    <w:div w:id="14708570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0967828">
      <w:bodyDiv w:val="1"/>
      <w:marLeft w:val="0"/>
      <w:marRight w:val="0"/>
      <w:marTop w:val="0"/>
      <w:marBottom w:val="0"/>
      <w:divBdr>
        <w:top w:val="none" w:sz="0" w:space="0" w:color="auto"/>
        <w:left w:val="none" w:sz="0" w:space="0" w:color="auto"/>
        <w:bottom w:val="none" w:sz="0" w:space="0" w:color="auto"/>
        <w:right w:val="none" w:sz="0" w:space="0" w:color="auto"/>
      </w:divBdr>
    </w:div>
    <w:div w:id="1595675172">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695691490">
      <w:bodyDiv w:val="1"/>
      <w:marLeft w:val="0"/>
      <w:marRight w:val="0"/>
      <w:marTop w:val="0"/>
      <w:marBottom w:val="0"/>
      <w:divBdr>
        <w:top w:val="none" w:sz="0" w:space="0" w:color="auto"/>
        <w:left w:val="none" w:sz="0" w:space="0" w:color="auto"/>
        <w:bottom w:val="none" w:sz="0" w:space="0" w:color="auto"/>
        <w:right w:val="none" w:sz="0" w:space="0" w:color="auto"/>
      </w:divBdr>
    </w:div>
    <w:div w:id="1740054713">
      <w:bodyDiv w:val="1"/>
      <w:marLeft w:val="0"/>
      <w:marRight w:val="0"/>
      <w:marTop w:val="0"/>
      <w:marBottom w:val="0"/>
      <w:divBdr>
        <w:top w:val="none" w:sz="0" w:space="0" w:color="auto"/>
        <w:left w:val="none" w:sz="0" w:space="0" w:color="auto"/>
        <w:bottom w:val="none" w:sz="0" w:space="0" w:color="auto"/>
        <w:right w:val="none" w:sz="0" w:space="0" w:color="auto"/>
      </w:divBdr>
    </w:div>
    <w:div w:id="1760906335">
      <w:bodyDiv w:val="1"/>
      <w:marLeft w:val="0"/>
      <w:marRight w:val="0"/>
      <w:marTop w:val="0"/>
      <w:marBottom w:val="0"/>
      <w:divBdr>
        <w:top w:val="none" w:sz="0" w:space="0" w:color="auto"/>
        <w:left w:val="none" w:sz="0" w:space="0" w:color="auto"/>
        <w:bottom w:val="none" w:sz="0" w:space="0" w:color="auto"/>
        <w:right w:val="none" w:sz="0" w:space="0" w:color="auto"/>
      </w:divBdr>
    </w:div>
    <w:div w:id="186123546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06144214">
      <w:bodyDiv w:val="1"/>
      <w:marLeft w:val="0"/>
      <w:marRight w:val="0"/>
      <w:marTop w:val="0"/>
      <w:marBottom w:val="0"/>
      <w:divBdr>
        <w:top w:val="none" w:sz="0" w:space="0" w:color="auto"/>
        <w:left w:val="none" w:sz="0" w:space="0" w:color="auto"/>
        <w:bottom w:val="none" w:sz="0" w:space="0" w:color="auto"/>
        <w:right w:val="none" w:sz="0" w:space="0" w:color="auto"/>
      </w:divBdr>
    </w:div>
    <w:div w:id="208583768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21340424">
      <w:bodyDiv w:val="1"/>
      <w:marLeft w:val="0"/>
      <w:marRight w:val="0"/>
      <w:marTop w:val="0"/>
      <w:marBottom w:val="0"/>
      <w:divBdr>
        <w:top w:val="none" w:sz="0" w:space="0" w:color="auto"/>
        <w:left w:val="none" w:sz="0" w:space="0" w:color="auto"/>
        <w:bottom w:val="none" w:sz="0" w:space="0" w:color="auto"/>
        <w:right w:val="none" w:sz="0" w:space="0" w:color="auto"/>
      </w:divBdr>
    </w:div>
    <w:div w:id="212260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web/digital-economy-and-society/data/comprehensive-database%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ADEE-A18C-448E-8B41-D86DE494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1211</TotalTime>
  <Pages>4</Pages>
  <Words>1370</Words>
  <Characters>8083</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Burešová Kamila</cp:lastModifiedBy>
  <cp:revision>58</cp:revision>
  <cp:lastPrinted>2019-01-18T09:53:00Z</cp:lastPrinted>
  <dcterms:created xsi:type="dcterms:W3CDTF">2017-11-14T10:30:00Z</dcterms:created>
  <dcterms:modified xsi:type="dcterms:W3CDTF">2022-01-07T17:30:00Z</dcterms:modified>
</cp:coreProperties>
</file>