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777C9" w14:textId="528F2E8E" w:rsidR="00EE4B1B" w:rsidRPr="00360DE3" w:rsidRDefault="005D1516" w:rsidP="00F46502">
      <w:pPr>
        <w:pStyle w:val="Nadpis11"/>
      </w:pPr>
      <w:bookmarkStart w:id="0" w:name="_Toc16089234"/>
      <w:r>
        <w:t xml:space="preserve">1. </w:t>
      </w:r>
      <w:bookmarkStart w:id="1" w:name="_GoBack"/>
      <w:bookmarkEnd w:id="1"/>
      <w:r w:rsidR="00F46502" w:rsidRPr="00360DE3">
        <w:t>Shrnutí</w:t>
      </w:r>
      <w:bookmarkEnd w:id="0"/>
    </w:p>
    <w:p w14:paraId="311B3D4D" w14:textId="77777777" w:rsidR="00953F28" w:rsidRDefault="00953F28" w:rsidP="00067A82">
      <w:pPr>
        <w:pStyle w:val="Normalodrka"/>
        <w:spacing w:after="160"/>
        <w:rPr>
          <w:spacing w:val="-4"/>
        </w:rPr>
      </w:pPr>
      <w:r>
        <w:rPr>
          <w:spacing w:val="-4"/>
        </w:rPr>
        <w:t>V roce 2018 reálně vzrostl hrubý domácí produkt (HDP) o 3,0</w:t>
      </w:r>
      <w:r w:rsidR="001D51EB">
        <w:rPr>
          <w:spacing w:val="-4"/>
        </w:rPr>
        <w:t> %</w:t>
      </w:r>
      <w:r>
        <w:rPr>
          <w:spacing w:val="-4"/>
        </w:rPr>
        <w:t>. Ekonomiku poháněla především domácí poptávka. Slab</w:t>
      </w:r>
      <w:r w:rsidR="000500AB">
        <w:rPr>
          <w:spacing w:val="-4"/>
        </w:rPr>
        <w:t>š</w:t>
      </w:r>
      <w:r>
        <w:rPr>
          <w:spacing w:val="-4"/>
        </w:rPr>
        <w:t xml:space="preserve">í vliv na růst v porovnání s předchozími lety měla bilance zahraničního obchodu. Hospodářské zpomalení v některých významných ekonomikách Evropské unie se totiž negativně projevovalo na </w:t>
      </w:r>
      <w:r w:rsidR="006254CB">
        <w:rPr>
          <w:spacing w:val="-4"/>
        </w:rPr>
        <w:t>části domácího</w:t>
      </w:r>
      <w:r>
        <w:rPr>
          <w:spacing w:val="-4"/>
        </w:rPr>
        <w:t xml:space="preserve"> vývozu. Zároveň byl silný růst domácí spotřební i investiční poptávky zčásti saturován dovozem, což dále zhoršovalo bilanci. </w:t>
      </w:r>
    </w:p>
    <w:p w14:paraId="7D0B804C" w14:textId="77777777" w:rsidR="00953F28" w:rsidRDefault="001A5387" w:rsidP="00067A82">
      <w:pPr>
        <w:pStyle w:val="Normalodrka"/>
        <w:spacing w:after="160"/>
        <w:rPr>
          <w:spacing w:val="-4"/>
        </w:rPr>
      </w:pPr>
      <w:r>
        <w:rPr>
          <w:spacing w:val="-4"/>
        </w:rPr>
        <w:t>Ačkoli hodnota vývozu zboží a služeb loni vzrostla o 153,0</w:t>
      </w:r>
      <w:r w:rsidR="001F138C">
        <w:rPr>
          <w:spacing w:val="-4"/>
        </w:rPr>
        <w:t> mld.</w:t>
      </w:r>
      <w:r>
        <w:rPr>
          <w:spacing w:val="-4"/>
        </w:rPr>
        <w:t xml:space="preserve"> korun, výsledná bilance zahraničního obchodu se zhoršila. Přebytek dosáhl 340,1</w:t>
      </w:r>
      <w:r w:rsidR="001F138C">
        <w:rPr>
          <w:spacing w:val="-4"/>
        </w:rPr>
        <w:t> mld.</w:t>
      </w:r>
      <w:r>
        <w:rPr>
          <w:spacing w:val="-4"/>
        </w:rPr>
        <w:t xml:space="preserve"> korun, což je o 39,6</w:t>
      </w:r>
      <w:r w:rsidR="001F138C">
        <w:rPr>
          <w:spacing w:val="-4"/>
        </w:rPr>
        <w:t> mld.</w:t>
      </w:r>
      <w:r>
        <w:rPr>
          <w:spacing w:val="-4"/>
        </w:rPr>
        <w:t xml:space="preserve"> méně než v předchozím roce.</w:t>
      </w:r>
      <w:r w:rsidR="00A27C85">
        <w:rPr>
          <w:spacing w:val="-4"/>
        </w:rPr>
        <w:t xml:space="preserve"> Zmírnilo se však záporné saldo prvotních důchodů. </w:t>
      </w:r>
      <w:r w:rsidR="00C8418E">
        <w:rPr>
          <w:spacing w:val="-4"/>
        </w:rPr>
        <w:t>Snížil</w:t>
      </w:r>
      <w:r w:rsidR="00A27C85">
        <w:rPr>
          <w:spacing w:val="-4"/>
        </w:rPr>
        <w:t xml:space="preserve"> se totiž čistý odliv</w:t>
      </w:r>
      <w:r w:rsidR="007F661C">
        <w:rPr>
          <w:spacing w:val="-4"/>
        </w:rPr>
        <w:t xml:space="preserve"> důchodů z vlastnictví do zahraničí. </w:t>
      </w:r>
      <w:r w:rsidR="00C8418E">
        <w:rPr>
          <w:spacing w:val="-4"/>
        </w:rPr>
        <w:t>Čistý příliv kapitálových transferů se zvýšil na 58,8</w:t>
      </w:r>
      <w:r w:rsidR="001F138C">
        <w:rPr>
          <w:spacing w:val="-4"/>
        </w:rPr>
        <w:t> mld.</w:t>
      </w:r>
      <w:r w:rsidR="00C8418E">
        <w:rPr>
          <w:spacing w:val="-4"/>
        </w:rPr>
        <w:t xml:space="preserve"> korun. Silný byl příliv investičních dotací (61,4</w:t>
      </w:r>
      <w:r w:rsidR="001F138C">
        <w:rPr>
          <w:spacing w:val="-4"/>
        </w:rPr>
        <w:t> mld.</w:t>
      </w:r>
      <w:r w:rsidR="00C8418E">
        <w:rPr>
          <w:spacing w:val="-4"/>
        </w:rPr>
        <w:t xml:space="preserve"> korun).</w:t>
      </w:r>
    </w:p>
    <w:p w14:paraId="3D45CED5" w14:textId="57183B29" w:rsidR="00953F28" w:rsidRDefault="00C8418E" w:rsidP="00067A82">
      <w:pPr>
        <w:pStyle w:val="Normalodrka"/>
        <w:spacing w:after="160"/>
        <w:rPr>
          <w:spacing w:val="-4"/>
        </w:rPr>
      </w:pPr>
      <w:r>
        <w:rPr>
          <w:spacing w:val="-4"/>
        </w:rPr>
        <w:t xml:space="preserve">Investiční aktivita loni </w:t>
      </w:r>
      <w:r w:rsidR="00BC7075">
        <w:rPr>
          <w:spacing w:val="-4"/>
        </w:rPr>
        <w:t xml:space="preserve">přispívala </w:t>
      </w:r>
      <w:r>
        <w:rPr>
          <w:spacing w:val="-4"/>
        </w:rPr>
        <w:t xml:space="preserve">k růstu HDP. Výdaje na tvorbu hrubého fixního kapitálu </w:t>
      </w:r>
      <w:r w:rsidR="006863B2">
        <w:rPr>
          <w:spacing w:val="-4"/>
        </w:rPr>
        <w:t>se meziročně zvýšily o</w:t>
      </w:r>
      <w:r w:rsidR="00347604">
        <w:rPr>
          <w:spacing w:val="-4"/>
        </w:rPr>
        <w:t> </w:t>
      </w:r>
      <w:r w:rsidR="006863B2">
        <w:rPr>
          <w:spacing w:val="-4"/>
        </w:rPr>
        <w:t>108,1</w:t>
      </w:r>
      <w:r w:rsidR="001F138C">
        <w:rPr>
          <w:spacing w:val="-4"/>
        </w:rPr>
        <w:t> mld.</w:t>
      </w:r>
      <w:r w:rsidR="006863B2">
        <w:rPr>
          <w:spacing w:val="-4"/>
        </w:rPr>
        <w:t xml:space="preserve"> korun a</w:t>
      </w:r>
      <w:r w:rsidR="00347604">
        <w:rPr>
          <w:spacing w:val="-4"/>
        </w:rPr>
        <w:t> </w:t>
      </w:r>
      <w:r w:rsidR="006863B2">
        <w:rPr>
          <w:spacing w:val="-4"/>
        </w:rPr>
        <w:t xml:space="preserve">s výjimkou finančních institucí rostly napříč všemi sektory. Nejvíce ale loňský nárůst poháněly nefinanční podniky a sektor vládních institucí. To se projevovalo i na věcné struktuře investic. </w:t>
      </w:r>
      <w:r w:rsidR="001B28D3">
        <w:rPr>
          <w:spacing w:val="-4"/>
        </w:rPr>
        <w:t>N</w:t>
      </w:r>
      <w:r w:rsidR="006863B2">
        <w:rPr>
          <w:spacing w:val="-4"/>
        </w:rPr>
        <w:t xml:space="preserve">arůstaly </w:t>
      </w:r>
      <w:r w:rsidR="001B28D3">
        <w:rPr>
          <w:spacing w:val="-4"/>
        </w:rPr>
        <w:t xml:space="preserve">především </w:t>
      </w:r>
      <w:r w:rsidR="006863B2">
        <w:rPr>
          <w:spacing w:val="-4"/>
        </w:rPr>
        <w:t>výdaje na stroje a zařízení a na ostatní budovy a stavby.</w:t>
      </w:r>
    </w:p>
    <w:p w14:paraId="3A1C9885" w14:textId="20308261" w:rsidR="00D92FD1" w:rsidRDefault="001671FF" w:rsidP="00A54250">
      <w:pPr>
        <w:pStyle w:val="Normalodrka"/>
        <w:spacing w:after="160"/>
        <w:rPr>
          <w:spacing w:val="-4"/>
        </w:rPr>
      </w:pPr>
      <w:r w:rsidRPr="00D92FD1">
        <w:rPr>
          <w:spacing w:val="-4"/>
        </w:rPr>
        <w:t>Růst hrubé přidané hodnoty (HPH) nefinančních podniků loni oslabil v porovnání s předchozím rokem. Důvodem byl zejména slabší výkon průmyslových odvětví závislých na exportu. Pokles HPH zaznamenala například výroba motorových vozidel. Naproti tomu pr</w:t>
      </w:r>
      <w:r w:rsidR="00596F92">
        <w:rPr>
          <w:spacing w:val="-4"/>
        </w:rPr>
        <w:t>osperovala odvětví služeb, které</w:t>
      </w:r>
      <w:r w:rsidRPr="00D92FD1">
        <w:rPr>
          <w:spacing w:val="-4"/>
        </w:rPr>
        <w:t xml:space="preserve"> podpořila rostoucí domácí poptávka.</w:t>
      </w:r>
      <w:r w:rsidR="00D92FD1" w:rsidRPr="00D92FD1">
        <w:rPr>
          <w:spacing w:val="-4"/>
        </w:rPr>
        <w:t xml:space="preserve"> </w:t>
      </w:r>
      <w:r w:rsidR="00596F92">
        <w:rPr>
          <w:spacing w:val="-4"/>
        </w:rPr>
        <w:t xml:space="preserve">Stavebnictví </w:t>
      </w:r>
      <w:r w:rsidR="006254CB">
        <w:rPr>
          <w:spacing w:val="-4"/>
        </w:rPr>
        <w:t xml:space="preserve">se </w:t>
      </w:r>
      <w:r w:rsidR="00596F92">
        <w:rPr>
          <w:spacing w:val="-4"/>
        </w:rPr>
        <w:t>díky s</w:t>
      </w:r>
      <w:r w:rsidR="00D92FD1" w:rsidRPr="00D92FD1">
        <w:rPr>
          <w:spacing w:val="-4"/>
        </w:rPr>
        <w:t>ilnější investiční aktivit</w:t>
      </w:r>
      <w:r w:rsidR="00596F92">
        <w:rPr>
          <w:spacing w:val="-4"/>
        </w:rPr>
        <w:t>ě</w:t>
      </w:r>
      <w:r w:rsidR="00D92FD1" w:rsidRPr="00D92FD1">
        <w:rPr>
          <w:spacing w:val="-4"/>
        </w:rPr>
        <w:t xml:space="preserve"> v ekonomice </w:t>
      </w:r>
      <w:r w:rsidR="00596F92">
        <w:rPr>
          <w:spacing w:val="-4"/>
        </w:rPr>
        <w:t>dočkalo oživení.</w:t>
      </w:r>
      <w:r w:rsidR="005C35A1">
        <w:rPr>
          <w:spacing w:val="-4"/>
        </w:rPr>
        <w:t xml:space="preserve"> Vzhledem k výrazné investiční aktivitě sektoru, kterou nemohly zcela pokrýt úspory, došlo </w:t>
      </w:r>
      <w:r w:rsidR="006254CB">
        <w:rPr>
          <w:spacing w:val="-4"/>
        </w:rPr>
        <w:t xml:space="preserve">v rozvaze nefinančních institucí </w:t>
      </w:r>
      <w:r w:rsidR="005C35A1">
        <w:rPr>
          <w:spacing w:val="-4"/>
        </w:rPr>
        <w:t>také k nárůstu půjček o 113,0</w:t>
      </w:r>
      <w:r w:rsidR="001F138C">
        <w:rPr>
          <w:spacing w:val="-4"/>
        </w:rPr>
        <w:t> mld.</w:t>
      </w:r>
      <w:r w:rsidR="005C35A1">
        <w:rPr>
          <w:spacing w:val="-4"/>
        </w:rPr>
        <w:t xml:space="preserve"> korun.</w:t>
      </w:r>
    </w:p>
    <w:p w14:paraId="761409AB" w14:textId="537DE467" w:rsidR="00953F28" w:rsidRPr="00D92FD1" w:rsidRDefault="00596F92" w:rsidP="00A54250">
      <w:pPr>
        <w:pStyle w:val="Normalodrka"/>
        <w:spacing w:after="160"/>
        <w:rPr>
          <w:spacing w:val="-4"/>
        </w:rPr>
      </w:pPr>
      <w:r>
        <w:rPr>
          <w:spacing w:val="-4"/>
        </w:rPr>
        <w:t>V sektoru finančních institucí došlo po několika letech stagnace k výraznějšímu nárůstu výdajů na mzdy a</w:t>
      </w:r>
      <w:r w:rsidR="00347604">
        <w:rPr>
          <w:spacing w:val="-4"/>
        </w:rPr>
        <w:t> </w:t>
      </w:r>
      <w:r>
        <w:rPr>
          <w:spacing w:val="-4"/>
        </w:rPr>
        <w:t>platy. Naopak v porovnání s lety 2016 a 2017 se zmírnila investiční aktivita. Na činnosti finančních institucí se projevilo zvýšení úrokových sazeb v ekonomice – narostl objem vyplacených i přijatých úroků</w:t>
      </w:r>
      <w:r w:rsidR="00D22038">
        <w:rPr>
          <w:rStyle w:val="Znakapoznpodarou"/>
          <w:spacing w:val="-4"/>
        </w:rPr>
        <w:footnoteReference w:id="1"/>
      </w:r>
      <w:r>
        <w:rPr>
          <w:spacing w:val="-4"/>
        </w:rPr>
        <w:t>. Rostoucí úroky byly spojeny i</w:t>
      </w:r>
      <w:r w:rsidR="00347604">
        <w:rPr>
          <w:spacing w:val="-4"/>
        </w:rPr>
        <w:t> </w:t>
      </w:r>
      <w:r>
        <w:rPr>
          <w:spacing w:val="-4"/>
        </w:rPr>
        <w:t>s výrazným nárůstem zaplacených běžných daní. Finanční instituce poskytovaly úvěrové financování ostatním sektorům – objem poskytnutých úvěrů se zvýšil o 306,8</w:t>
      </w:r>
      <w:r w:rsidR="001F138C">
        <w:rPr>
          <w:spacing w:val="-4"/>
        </w:rPr>
        <w:t> mld.</w:t>
      </w:r>
      <w:r>
        <w:rPr>
          <w:spacing w:val="-4"/>
        </w:rPr>
        <w:t xml:space="preserve"> korun a dluhových cenných papírů o 178,0</w:t>
      </w:r>
      <w:r w:rsidR="001F138C">
        <w:rPr>
          <w:spacing w:val="-4"/>
        </w:rPr>
        <w:t> mld.</w:t>
      </w:r>
    </w:p>
    <w:p w14:paraId="79C3DFC7" w14:textId="27540A3F" w:rsidR="00953F28" w:rsidRDefault="00C936C3" w:rsidP="00067A82">
      <w:pPr>
        <w:pStyle w:val="Normalodrka"/>
        <w:spacing w:after="160"/>
        <w:rPr>
          <w:spacing w:val="-4"/>
        </w:rPr>
      </w:pPr>
      <w:r>
        <w:rPr>
          <w:spacing w:val="-4"/>
        </w:rPr>
        <w:t>Sektor vládních institucí v roce 2018 hospodařil s přebytkem 47,4</w:t>
      </w:r>
      <w:r w:rsidR="001F138C">
        <w:rPr>
          <w:spacing w:val="-4"/>
        </w:rPr>
        <w:t> mld.</w:t>
      </w:r>
      <w:r>
        <w:rPr>
          <w:spacing w:val="-4"/>
        </w:rPr>
        <w:t xml:space="preserve"> korun (0,9</w:t>
      </w:r>
      <w:r w:rsidR="001D51EB">
        <w:rPr>
          <w:spacing w:val="-4"/>
        </w:rPr>
        <w:t> %</w:t>
      </w:r>
      <w:r>
        <w:rPr>
          <w:spacing w:val="-4"/>
        </w:rPr>
        <w:t xml:space="preserve"> HDP). </w:t>
      </w:r>
      <w:r w:rsidR="0096154D">
        <w:rPr>
          <w:spacing w:val="-4"/>
        </w:rPr>
        <w:t>Ten se meziročně snížil o 31,3</w:t>
      </w:r>
      <w:r w:rsidR="001F138C">
        <w:rPr>
          <w:spacing w:val="-4"/>
        </w:rPr>
        <w:t> mld.</w:t>
      </w:r>
      <w:r w:rsidR="0096154D">
        <w:rPr>
          <w:spacing w:val="-4"/>
        </w:rPr>
        <w:t xml:space="preserve"> </w:t>
      </w:r>
      <w:r>
        <w:rPr>
          <w:spacing w:val="-4"/>
        </w:rPr>
        <w:t>Kladného salda dosáhly všechny subsektory. Na straně příjmů vládní instituce čerpaly z rostoucí ekonomiky, díky které se zvyšoval objem vybraných daní z</w:t>
      </w:r>
      <w:r w:rsidR="00A32759">
        <w:rPr>
          <w:spacing w:val="-4"/>
        </w:rPr>
        <w:t> </w:t>
      </w:r>
      <w:r>
        <w:rPr>
          <w:spacing w:val="-4"/>
        </w:rPr>
        <w:t>výroby</w:t>
      </w:r>
      <w:r w:rsidR="0096154D">
        <w:rPr>
          <w:spacing w:val="-4"/>
        </w:rPr>
        <w:t>, a také z prudkého růstu mezd. Ten navyšoval objem přijatých daní z příjmů i sociálních příspěvků. Na straně výdajů sektor stále více tížily rostoucí náhrady zaměstnancům, ke kterým se loni přidalo i výrazné navýšení investičních výdajů.</w:t>
      </w:r>
      <w:r w:rsidR="00A32759">
        <w:rPr>
          <w:spacing w:val="-4"/>
        </w:rPr>
        <w:t xml:space="preserve"> Na druhé straně nízká nezaměstnanost znamenala také nízké výdaje na podporu v nezaměstnanosti.</w:t>
      </w:r>
      <w:r w:rsidR="0096154D">
        <w:rPr>
          <w:spacing w:val="-4"/>
        </w:rPr>
        <w:t xml:space="preserve"> Celkový dluh sektoru vládních institucí se snížil o 14,5</w:t>
      </w:r>
      <w:r w:rsidR="001F138C">
        <w:rPr>
          <w:spacing w:val="-4"/>
        </w:rPr>
        <w:t> mld.</w:t>
      </w:r>
      <w:r w:rsidR="0096154D">
        <w:rPr>
          <w:spacing w:val="-4"/>
        </w:rPr>
        <w:t xml:space="preserve"> korun a dosáhl 1 735,1</w:t>
      </w:r>
      <w:r w:rsidR="001F138C">
        <w:rPr>
          <w:spacing w:val="-4"/>
        </w:rPr>
        <w:t> mld.</w:t>
      </w:r>
      <w:r w:rsidR="0096154D">
        <w:rPr>
          <w:spacing w:val="-4"/>
        </w:rPr>
        <w:t xml:space="preserve"> (32,7</w:t>
      </w:r>
      <w:r w:rsidR="001D51EB">
        <w:rPr>
          <w:spacing w:val="-4"/>
        </w:rPr>
        <w:t> %</w:t>
      </w:r>
      <w:r w:rsidR="00347604">
        <w:rPr>
          <w:spacing w:val="-4"/>
        </w:rPr>
        <w:t> </w:t>
      </w:r>
      <w:r w:rsidR="0096154D">
        <w:rPr>
          <w:spacing w:val="-4"/>
        </w:rPr>
        <w:t>HDP).</w:t>
      </w:r>
    </w:p>
    <w:p w14:paraId="6A6CBC78" w14:textId="431BD7CD" w:rsidR="00953F28" w:rsidRDefault="00A54250" w:rsidP="00067A82">
      <w:pPr>
        <w:pStyle w:val="Normalodrka"/>
        <w:spacing w:after="160"/>
        <w:rPr>
          <w:spacing w:val="-4"/>
        </w:rPr>
      </w:pPr>
      <w:r>
        <w:rPr>
          <w:spacing w:val="-4"/>
        </w:rPr>
        <w:t>Růst příjmů domácností loni výrazně zrychlil. Hrubý disponibilní důchod se zvýšil o 186,8</w:t>
      </w:r>
      <w:r w:rsidR="001F138C">
        <w:rPr>
          <w:spacing w:val="-4"/>
        </w:rPr>
        <w:t> mld.</w:t>
      </w:r>
      <w:r>
        <w:rPr>
          <w:spacing w:val="-4"/>
        </w:rPr>
        <w:t xml:space="preserve"> korun. Silně rostly zejména mzdy a platy, které jsou hlavním zdrojem pro sektor domácností</w:t>
      </w:r>
      <w:r w:rsidR="006254CB">
        <w:rPr>
          <w:spacing w:val="-4"/>
        </w:rPr>
        <w:t>. Z</w:t>
      </w:r>
      <w:r>
        <w:rPr>
          <w:spacing w:val="-4"/>
        </w:rPr>
        <w:t xml:space="preserve">vyšoval se ale také hrubý smíšený důchod, který v předchozích dvou letech spíše stagnoval. </w:t>
      </w:r>
      <w:r w:rsidR="008856A3">
        <w:rPr>
          <w:spacing w:val="-4"/>
        </w:rPr>
        <w:t>Ve směru poklesu disponibilního důchodu působilo s</w:t>
      </w:r>
      <w:r>
        <w:rPr>
          <w:spacing w:val="-4"/>
        </w:rPr>
        <w:t>aldo druhotného rozdělení</w:t>
      </w:r>
      <w:r w:rsidR="008856A3">
        <w:rPr>
          <w:spacing w:val="-4"/>
        </w:rPr>
        <w:t>, které s</w:t>
      </w:r>
      <w:r>
        <w:rPr>
          <w:spacing w:val="-4"/>
        </w:rPr>
        <w:t>končilo ve výrazném deficitu.</w:t>
      </w:r>
      <w:r w:rsidR="008856A3">
        <w:rPr>
          <w:spacing w:val="-4"/>
        </w:rPr>
        <w:t xml:space="preserve"> Spotřeba domácností loni rostla méně než příjmy – o</w:t>
      </w:r>
      <w:r w:rsidR="00347604">
        <w:rPr>
          <w:spacing w:val="-4"/>
        </w:rPr>
        <w:t> </w:t>
      </w:r>
      <w:r w:rsidR="008856A3">
        <w:rPr>
          <w:spacing w:val="-4"/>
        </w:rPr>
        <w:t>133,7</w:t>
      </w:r>
      <w:r w:rsidR="001F138C">
        <w:rPr>
          <w:spacing w:val="-4"/>
        </w:rPr>
        <w:t> mld.</w:t>
      </w:r>
      <w:r w:rsidR="008856A3">
        <w:rPr>
          <w:spacing w:val="-4"/>
        </w:rPr>
        <w:t xml:space="preserve"> korun. Výsledkem byl nárůst míry úspor na 10,8</w:t>
      </w:r>
      <w:r w:rsidR="001D51EB">
        <w:rPr>
          <w:spacing w:val="-4"/>
        </w:rPr>
        <w:t> %</w:t>
      </w:r>
      <w:r w:rsidR="008856A3">
        <w:rPr>
          <w:spacing w:val="-4"/>
        </w:rPr>
        <w:t xml:space="preserve">. </w:t>
      </w:r>
      <w:r w:rsidR="00596F92">
        <w:rPr>
          <w:spacing w:val="-4"/>
        </w:rPr>
        <w:t xml:space="preserve">Naopak mírnější růst </w:t>
      </w:r>
      <w:r w:rsidR="006254CB">
        <w:rPr>
          <w:spacing w:val="-4"/>
        </w:rPr>
        <w:t>kapitálových výdajů</w:t>
      </w:r>
      <w:r w:rsidR="00596F92">
        <w:rPr>
          <w:spacing w:val="-4"/>
        </w:rPr>
        <w:t xml:space="preserve"> vedl k poklesu míry investic na</w:t>
      </w:r>
      <w:r w:rsidR="00347604">
        <w:rPr>
          <w:spacing w:val="-4"/>
        </w:rPr>
        <w:t> </w:t>
      </w:r>
      <w:r w:rsidR="00596F92">
        <w:rPr>
          <w:spacing w:val="-4"/>
        </w:rPr>
        <w:t>8,8</w:t>
      </w:r>
      <w:r w:rsidR="001D51EB">
        <w:rPr>
          <w:spacing w:val="-4"/>
        </w:rPr>
        <w:t> %</w:t>
      </w:r>
      <w:r w:rsidR="00596F92">
        <w:rPr>
          <w:spacing w:val="-4"/>
        </w:rPr>
        <w:t>.</w:t>
      </w:r>
    </w:p>
    <w:p w14:paraId="1E32BED9" w14:textId="7C6E6E02" w:rsidR="00F231AE" w:rsidRDefault="00F231AE" w:rsidP="00F231AE">
      <w:pPr>
        <w:pStyle w:val="Normalodrka"/>
        <w:numPr>
          <w:ilvl w:val="0"/>
          <w:numId w:val="0"/>
        </w:numPr>
        <w:spacing w:after="160"/>
        <w:ind w:left="357" w:hanging="357"/>
        <w:rPr>
          <w:spacing w:val="-4"/>
        </w:rPr>
      </w:pPr>
    </w:p>
    <w:p w14:paraId="337F2B7A" w14:textId="3708BEBF" w:rsidR="00F231AE" w:rsidRDefault="00F231AE" w:rsidP="00F231AE">
      <w:pPr>
        <w:pStyle w:val="Normalodrka"/>
        <w:numPr>
          <w:ilvl w:val="0"/>
          <w:numId w:val="0"/>
        </w:numPr>
        <w:spacing w:after="160"/>
        <w:ind w:left="357" w:hanging="357"/>
        <w:rPr>
          <w:spacing w:val="-4"/>
        </w:rPr>
      </w:pPr>
    </w:p>
    <w:p w14:paraId="7241F812" w14:textId="6EC59D4B" w:rsidR="00F231AE" w:rsidRDefault="00F231AE" w:rsidP="00F231AE">
      <w:pPr>
        <w:pStyle w:val="Normalodrka"/>
        <w:numPr>
          <w:ilvl w:val="0"/>
          <w:numId w:val="0"/>
        </w:numPr>
        <w:spacing w:after="160"/>
        <w:ind w:left="357" w:hanging="357"/>
        <w:rPr>
          <w:spacing w:val="-4"/>
        </w:rPr>
      </w:pPr>
    </w:p>
    <w:p w14:paraId="68872614" w14:textId="41396060" w:rsidR="00953F28" w:rsidRDefault="00953F28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28"/>
        </w:rPr>
      </w:pPr>
    </w:p>
    <w:sectPr w:rsidR="00953F28" w:rsidSect="00620D17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619E2" w16cid:durableId="20F6CE05"/>
  <w16cid:commentId w16cid:paraId="734AC7CE" w16cid:durableId="20F6DCBD"/>
  <w16cid:commentId w16cid:paraId="6AF8D911" w16cid:durableId="20F7078E"/>
  <w16cid:commentId w16cid:paraId="50768BEC" w16cid:durableId="20F70A8B"/>
  <w16cid:commentId w16cid:paraId="15B0C836" w16cid:durableId="20F70CE2"/>
  <w16cid:commentId w16cid:paraId="413DE529" w16cid:durableId="20F82616"/>
  <w16cid:commentId w16cid:paraId="141B886B" w16cid:durableId="20F82A5A"/>
  <w16cid:commentId w16cid:paraId="29661C99" w16cid:durableId="20F92C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F8B99" w14:textId="77777777" w:rsidR="000C1980" w:rsidRDefault="000C1980" w:rsidP="00E71A58">
      <w:r>
        <w:separator/>
      </w:r>
    </w:p>
  </w:endnote>
  <w:endnote w:type="continuationSeparator" w:id="0">
    <w:p w14:paraId="5C44062F" w14:textId="77777777" w:rsidR="000C1980" w:rsidRDefault="000C198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84EB" w14:textId="46E6DD9D" w:rsidR="00AD7D0B" w:rsidRPr="00932443" w:rsidRDefault="00AD7D0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BA63FD4" wp14:editId="33EBA599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3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5D1516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368E" w14:textId="2F8E396A" w:rsidR="00AD7D0B" w:rsidRPr="00932443" w:rsidRDefault="00AD7D0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6192" behindDoc="0" locked="0" layoutInCell="1" allowOverlap="1" wp14:anchorId="723CA28A" wp14:editId="1B347EAC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1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2018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620D17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FF650" w14:textId="77777777" w:rsidR="000C1980" w:rsidRDefault="000C1980" w:rsidP="0084727E">
      <w:pPr>
        <w:spacing w:after="0"/>
      </w:pPr>
      <w:r>
        <w:separator/>
      </w:r>
    </w:p>
  </w:footnote>
  <w:footnote w:type="continuationSeparator" w:id="0">
    <w:p w14:paraId="389620E5" w14:textId="77777777" w:rsidR="000C1980" w:rsidRDefault="000C1980" w:rsidP="00E71A58">
      <w:r>
        <w:continuationSeparator/>
      </w:r>
    </w:p>
  </w:footnote>
  <w:footnote w:id="1">
    <w:p w14:paraId="1FB01FA8" w14:textId="59F43591" w:rsidR="00D22038" w:rsidRPr="00D22038" w:rsidRDefault="00D22038">
      <w:pPr>
        <w:pStyle w:val="Textpoznpodarou"/>
        <w:rPr>
          <w:sz w:val="16"/>
          <w:szCs w:val="16"/>
        </w:rPr>
      </w:pPr>
      <w:r w:rsidRPr="00D22038">
        <w:rPr>
          <w:rStyle w:val="Znakapoznpodarou"/>
          <w:sz w:val="16"/>
          <w:szCs w:val="16"/>
        </w:rPr>
        <w:footnoteRef/>
      </w:r>
      <w:r w:rsidRPr="00D22038">
        <w:rPr>
          <w:sz w:val="16"/>
          <w:szCs w:val="16"/>
        </w:rPr>
        <w:t xml:space="preserve"> Úroky v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B81D" w14:textId="77777777" w:rsidR="00AD7D0B" w:rsidRPr="00601A2E" w:rsidRDefault="00AD7D0B" w:rsidP="00601A2E">
    <w:pPr>
      <w:pStyle w:val="Zhlav"/>
    </w:pPr>
    <w:r>
      <w:t>Analýza ekonomického vývoje v roce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7858" w14:textId="77777777" w:rsidR="00AD7D0B" w:rsidRDefault="00AD7D0B" w:rsidP="00937AE2">
    <w:pPr>
      <w:pStyle w:val="Zhlav"/>
    </w:pPr>
    <w:r>
      <w:t>Analýza ekonomického vývoje v roce 2018</w:t>
    </w:r>
  </w:p>
  <w:p w14:paraId="427F87BC" w14:textId="77777777" w:rsidR="00AD7D0B" w:rsidRPr="006F5416" w:rsidRDefault="00AD7D0B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15AC1"/>
    <w:multiLevelType w:val="hybridMultilevel"/>
    <w:tmpl w:val="7464A696"/>
    <w:lvl w:ilvl="0" w:tplc="4246FC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4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02"/>
    <w:rsid w:val="0000209D"/>
    <w:rsid w:val="00004D5A"/>
    <w:rsid w:val="000056D5"/>
    <w:rsid w:val="00006ABD"/>
    <w:rsid w:val="0000767A"/>
    <w:rsid w:val="00007BEF"/>
    <w:rsid w:val="00010256"/>
    <w:rsid w:val="00010702"/>
    <w:rsid w:val="00011912"/>
    <w:rsid w:val="00012408"/>
    <w:rsid w:val="00014E7F"/>
    <w:rsid w:val="0002195D"/>
    <w:rsid w:val="000234D6"/>
    <w:rsid w:val="00023D29"/>
    <w:rsid w:val="00026389"/>
    <w:rsid w:val="00031AE0"/>
    <w:rsid w:val="000322EF"/>
    <w:rsid w:val="000333B9"/>
    <w:rsid w:val="00033FCD"/>
    <w:rsid w:val="00041CEC"/>
    <w:rsid w:val="0004694F"/>
    <w:rsid w:val="000500AB"/>
    <w:rsid w:val="000522E4"/>
    <w:rsid w:val="000610E1"/>
    <w:rsid w:val="00062EC5"/>
    <w:rsid w:val="00062F22"/>
    <w:rsid w:val="00067A82"/>
    <w:rsid w:val="000712B3"/>
    <w:rsid w:val="000748F2"/>
    <w:rsid w:val="0008263E"/>
    <w:rsid w:val="00082A55"/>
    <w:rsid w:val="00082C19"/>
    <w:rsid w:val="00085395"/>
    <w:rsid w:val="00087634"/>
    <w:rsid w:val="00087F2B"/>
    <w:rsid w:val="00093E3F"/>
    <w:rsid w:val="00093E53"/>
    <w:rsid w:val="00095135"/>
    <w:rsid w:val="00096085"/>
    <w:rsid w:val="000974D1"/>
    <w:rsid w:val="0009799E"/>
    <w:rsid w:val="000A1183"/>
    <w:rsid w:val="000A256D"/>
    <w:rsid w:val="000A3A2C"/>
    <w:rsid w:val="000B525B"/>
    <w:rsid w:val="000C1980"/>
    <w:rsid w:val="000C1D78"/>
    <w:rsid w:val="000C3408"/>
    <w:rsid w:val="000C6AFD"/>
    <w:rsid w:val="000D5637"/>
    <w:rsid w:val="000E3D0E"/>
    <w:rsid w:val="000E6C04"/>
    <w:rsid w:val="000E6FBD"/>
    <w:rsid w:val="000F7084"/>
    <w:rsid w:val="00100F5C"/>
    <w:rsid w:val="0010106F"/>
    <w:rsid w:val="00101CDA"/>
    <w:rsid w:val="00104C4C"/>
    <w:rsid w:val="00117623"/>
    <w:rsid w:val="0012192F"/>
    <w:rsid w:val="00122BB3"/>
    <w:rsid w:val="00125A9C"/>
    <w:rsid w:val="00125D69"/>
    <w:rsid w:val="001405FA"/>
    <w:rsid w:val="00141782"/>
    <w:rsid w:val="001425C3"/>
    <w:rsid w:val="0014794C"/>
    <w:rsid w:val="001528B9"/>
    <w:rsid w:val="001612F4"/>
    <w:rsid w:val="00162312"/>
    <w:rsid w:val="0016256B"/>
    <w:rsid w:val="00163793"/>
    <w:rsid w:val="001671FF"/>
    <w:rsid w:val="001706D6"/>
    <w:rsid w:val="001714F2"/>
    <w:rsid w:val="00175B9F"/>
    <w:rsid w:val="00181BBC"/>
    <w:rsid w:val="00182799"/>
    <w:rsid w:val="00184B08"/>
    <w:rsid w:val="00185010"/>
    <w:rsid w:val="00186919"/>
    <w:rsid w:val="001916DB"/>
    <w:rsid w:val="00193818"/>
    <w:rsid w:val="001A0487"/>
    <w:rsid w:val="001A0D6B"/>
    <w:rsid w:val="001A5387"/>
    <w:rsid w:val="001A552F"/>
    <w:rsid w:val="001B28D3"/>
    <w:rsid w:val="001B2CA9"/>
    <w:rsid w:val="001B3110"/>
    <w:rsid w:val="001B4729"/>
    <w:rsid w:val="001B6310"/>
    <w:rsid w:val="001B6C09"/>
    <w:rsid w:val="001C05CD"/>
    <w:rsid w:val="001C1B66"/>
    <w:rsid w:val="001C487C"/>
    <w:rsid w:val="001D198A"/>
    <w:rsid w:val="001D463E"/>
    <w:rsid w:val="001D51EB"/>
    <w:rsid w:val="001D68B2"/>
    <w:rsid w:val="001D70E9"/>
    <w:rsid w:val="001E504C"/>
    <w:rsid w:val="001F138C"/>
    <w:rsid w:val="001F4063"/>
    <w:rsid w:val="001F4597"/>
    <w:rsid w:val="001F52D6"/>
    <w:rsid w:val="00203DA4"/>
    <w:rsid w:val="002052C6"/>
    <w:rsid w:val="002054B4"/>
    <w:rsid w:val="002118B9"/>
    <w:rsid w:val="00217C5B"/>
    <w:rsid w:val="0022139E"/>
    <w:rsid w:val="00222729"/>
    <w:rsid w:val="00222FFB"/>
    <w:rsid w:val="002252E0"/>
    <w:rsid w:val="002255F6"/>
    <w:rsid w:val="00227850"/>
    <w:rsid w:val="00227A53"/>
    <w:rsid w:val="00230C6E"/>
    <w:rsid w:val="00236443"/>
    <w:rsid w:val="00241035"/>
    <w:rsid w:val="00241B06"/>
    <w:rsid w:val="002436BA"/>
    <w:rsid w:val="00244A15"/>
    <w:rsid w:val="00247319"/>
    <w:rsid w:val="0024799E"/>
    <w:rsid w:val="00253C0F"/>
    <w:rsid w:val="002558C1"/>
    <w:rsid w:val="00260FC5"/>
    <w:rsid w:val="00271465"/>
    <w:rsid w:val="00274037"/>
    <w:rsid w:val="00285412"/>
    <w:rsid w:val="0028587B"/>
    <w:rsid w:val="00291640"/>
    <w:rsid w:val="002A16D4"/>
    <w:rsid w:val="002A230C"/>
    <w:rsid w:val="002A5D97"/>
    <w:rsid w:val="002A7679"/>
    <w:rsid w:val="002B2127"/>
    <w:rsid w:val="002B213A"/>
    <w:rsid w:val="002B4845"/>
    <w:rsid w:val="002B6B06"/>
    <w:rsid w:val="002C43BD"/>
    <w:rsid w:val="002D0E59"/>
    <w:rsid w:val="002E02A1"/>
    <w:rsid w:val="002E1A9C"/>
    <w:rsid w:val="002E4E4C"/>
    <w:rsid w:val="00303533"/>
    <w:rsid w:val="00304771"/>
    <w:rsid w:val="003052D4"/>
    <w:rsid w:val="00306C5B"/>
    <w:rsid w:val="00314A41"/>
    <w:rsid w:val="003209D6"/>
    <w:rsid w:val="00321924"/>
    <w:rsid w:val="0032656E"/>
    <w:rsid w:val="003268DD"/>
    <w:rsid w:val="00330060"/>
    <w:rsid w:val="00332190"/>
    <w:rsid w:val="0033250B"/>
    <w:rsid w:val="0034335E"/>
    <w:rsid w:val="00344668"/>
    <w:rsid w:val="003462D9"/>
    <w:rsid w:val="00347378"/>
    <w:rsid w:val="00347604"/>
    <w:rsid w:val="00357908"/>
    <w:rsid w:val="00360C86"/>
    <w:rsid w:val="00360DE3"/>
    <w:rsid w:val="00360FBC"/>
    <w:rsid w:val="00362E90"/>
    <w:rsid w:val="00364C32"/>
    <w:rsid w:val="00364FA0"/>
    <w:rsid w:val="003657F3"/>
    <w:rsid w:val="00376C3B"/>
    <w:rsid w:val="003818DC"/>
    <w:rsid w:val="00384327"/>
    <w:rsid w:val="00385D98"/>
    <w:rsid w:val="003870EE"/>
    <w:rsid w:val="003A2B4D"/>
    <w:rsid w:val="003A2D12"/>
    <w:rsid w:val="003A478C"/>
    <w:rsid w:val="003A5525"/>
    <w:rsid w:val="003A6B38"/>
    <w:rsid w:val="003B461F"/>
    <w:rsid w:val="003B5A32"/>
    <w:rsid w:val="003C3490"/>
    <w:rsid w:val="003C4BE8"/>
    <w:rsid w:val="003C7E62"/>
    <w:rsid w:val="003D6920"/>
    <w:rsid w:val="003E38BA"/>
    <w:rsid w:val="003E4C91"/>
    <w:rsid w:val="003F313C"/>
    <w:rsid w:val="003F37FC"/>
    <w:rsid w:val="003F3890"/>
    <w:rsid w:val="003F4B2C"/>
    <w:rsid w:val="003F551C"/>
    <w:rsid w:val="003F72ED"/>
    <w:rsid w:val="003F7D23"/>
    <w:rsid w:val="00407C13"/>
    <w:rsid w:val="00410638"/>
    <w:rsid w:val="0041501E"/>
    <w:rsid w:val="004159C3"/>
    <w:rsid w:val="00425F45"/>
    <w:rsid w:val="00432A58"/>
    <w:rsid w:val="00433C0C"/>
    <w:rsid w:val="00434617"/>
    <w:rsid w:val="00436778"/>
    <w:rsid w:val="00440900"/>
    <w:rsid w:val="00441BF6"/>
    <w:rsid w:val="004441A0"/>
    <w:rsid w:val="0045078A"/>
    <w:rsid w:val="0045086D"/>
    <w:rsid w:val="00460FB3"/>
    <w:rsid w:val="00467ABC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5494"/>
    <w:rsid w:val="004A61C5"/>
    <w:rsid w:val="004A77DF"/>
    <w:rsid w:val="004B1417"/>
    <w:rsid w:val="004B48DF"/>
    <w:rsid w:val="004B55B7"/>
    <w:rsid w:val="004B6468"/>
    <w:rsid w:val="004B7125"/>
    <w:rsid w:val="004C26B0"/>
    <w:rsid w:val="004C384C"/>
    <w:rsid w:val="004C3867"/>
    <w:rsid w:val="004C4CD0"/>
    <w:rsid w:val="004C5FBF"/>
    <w:rsid w:val="004C70DC"/>
    <w:rsid w:val="004D0211"/>
    <w:rsid w:val="004D0794"/>
    <w:rsid w:val="004D3177"/>
    <w:rsid w:val="004E326C"/>
    <w:rsid w:val="004F06F5"/>
    <w:rsid w:val="004F16F7"/>
    <w:rsid w:val="004F33A0"/>
    <w:rsid w:val="004F6EDC"/>
    <w:rsid w:val="0050689D"/>
    <w:rsid w:val="005108C0"/>
    <w:rsid w:val="00511873"/>
    <w:rsid w:val="00512A2F"/>
    <w:rsid w:val="00513B7E"/>
    <w:rsid w:val="005152D9"/>
    <w:rsid w:val="00515C74"/>
    <w:rsid w:val="00515FFA"/>
    <w:rsid w:val="005173AF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437E9"/>
    <w:rsid w:val="00551238"/>
    <w:rsid w:val="0055599F"/>
    <w:rsid w:val="00556D68"/>
    <w:rsid w:val="00561B03"/>
    <w:rsid w:val="00563EB8"/>
    <w:rsid w:val="005647BF"/>
    <w:rsid w:val="00564AF1"/>
    <w:rsid w:val="0057364B"/>
    <w:rsid w:val="00574773"/>
    <w:rsid w:val="00581AC8"/>
    <w:rsid w:val="00583FFD"/>
    <w:rsid w:val="005911BE"/>
    <w:rsid w:val="00593152"/>
    <w:rsid w:val="00596F92"/>
    <w:rsid w:val="005A10F2"/>
    <w:rsid w:val="005A21E0"/>
    <w:rsid w:val="005A28FF"/>
    <w:rsid w:val="005A2A19"/>
    <w:rsid w:val="005A2C7B"/>
    <w:rsid w:val="005A3DF8"/>
    <w:rsid w:val="005A5549"/>
    <w:rsid w:val="005A5D45"/>
    <w:rsid w:val="005A655B"/>
    <w:rsid w:val="005A7666"/>
    <w:rsid w:val="005B121D"/>
    <w:rsid w:val="005C06ED"/>
    <w:rsid w:val="005C2609"/>
    <w:rsid w:val="005C35A1"/>
    <w:rsid w:val="005D1516"/>
    <w:rsid w:val="005D3386"/>
    <w:rsid w:val="005D5802"/>
    <w:rsid w:val="005D7119"/>
    <w:rsid w:val="005D7890"/>
    <w:rsid w:val="005E2A7C"/>
    <w:rsid w:val="005E7C78"/>
    <w:rsid w:val="005F18C5"/>
    <w:rsid w:val="005F3EB1"/>
    <w:rsid w:val="005F46D8"/>
    <w:rsid w:val="005F5469"/>
    <w:rsid w:val="00600079"/>
    <w:rsid w:val="006003D1"/>
    <w:rsid w:val="00601A2E"/>
    <w:rsid w:val="0060404F"/>
    <w:rsid w:val="00604307"/>
    <w:rsid w:val="0060487F"/>
    <w:rsid w:val="00604EAD"/>
    <w:rsid w:val="006104FB"/>
    <w:rsid w:val="0061249B"/>
    <w:rsid w:val="00612A2F"/>
    <w:rsid w:val="00616E05"/>
    <w:rsid w:val="00620D17"/>
    <w:rsid w:val="00624093"/>
    <w:rsid w:val="006254CB"/>
    <w:rsid w:val="0063201A"/>
    <w:rsid w:val="006350D5"/>
    <w:rsid w:val="006404A7"/>
    <w:rsid w:val="006451E4"/>
    <w:rsid w:val="00645B33"/>
    <w:rsid w:val="00650330"/>
    <w:rsid w:val="006516CB"/>
    <w:rsid w:val="006558BD"/>
    <w:rsid w:val="00657E87"/>
    <w:rsid w:val="00664803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63B2"/>
    <w:rsid w:val="00695BEF"/>
    <w:rsid w:val="006977F6"/>
    <w:rsid w:val="00697A13"/>
    <w:rsid w:val="006A109C"/>
    <w:rsid w:val="006A3E08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56D4"/>
    <w:rsid w:val="006C6924"/>
    <w:rsid w:val="006C7CA6"/>
    <w:rsid w:val="006D3E8A"/>
    <w:rsid w:val="006D61F6"/>
    <w:rsid w:val="006D64C2"/>
    <w:rsid w:val="006E279A"/>
    <w:rsid w:val="006E313B"/>
    <w:rsid w:val="006E7227"/>
    <w:rsid w:val="006F2595"/>
    <w:rsid w:val="006F438E"/>
    <w:rsid w:val="006F5416"/>
    <w:rsid w:val="00705242"/>
    <w:rsid w:val="00706AD4"/>
    <w:rsid w:val="00707150"/>
    <w:rsid w:val="007140BE"/>
    <w:rsid w:val="00716E3F"/>
    <w:rsid w:val="007211F5"/>
    <w:rsid w:val="007240E2"/>
    <w:rsid w:val="00725BB5"/>
    <w:rsid w:val="00730AE8"/>
    <w:rsid w:val="00730F1B"/>
    <w:rsid w:val="00740575"/>
    <w:rsid w:val="00741493"/>
    <w:rsid w:val="0074369B"/>
    <w:rsid w:val="00744EE6"/>
    <w:rsid w:val="00745062"/>
    <w:rsid w:val="007506A5"/>
    <w:rsid w:val="00750EF8"/>
    <w:rsid w:val="00752180"/>
    <w:rsid w:val="00753CAB"/>
    <w:rsid w:val="00755202"/>
    <w:rsid w:val="00755D3A"/>
    <w:rsid w:val="007578D3"/>
    <w:rsid w:val="007609C6"/>
    <w:rsid w:val="0076175D"/>
    <w:rsid w:val="00763B85"/>
    <w:rsid w:val="0076521E"/>
    <w:rsid w:val="007661E9"/>
    <w:rsid w:val="00775F45"/>
    <w:rsid w:val="00776169"/>
    <w:rsid w:val="00776527"/>
    <w:rsid w:val="00780EF1"/>
    <w:rsid w:val="00785232"/>
    <w:rsid w:val="00790764"/>
    <w:rsid w:val="0079453C"/>
    <w:rsid w:val="00794677"/>
    <w:rsid w:val="007A38F2"/>
    <w:rsid w:val="007A516D"/>
    <w:rsid w:val="007B0750"/>
    <w:rsid w:val="007B6689"/>
    <w:rsid w:val="007C13A4"/>
    <w:rsid w:val="007C6BBD"/>
    <w:rsid w:val="007C7BAE"/>
    <w:rsid w:val="007D0C24"/>
    <w:rsid w:val="007D40DF"/>
    <w:rsid w:val="007E29B4"/>
    <w:rsid w:val="007E435A"/>
    <w:rsid w:val="007E7E61"/>
    <w:rsid w:val="007F0845"/>
    <w:rsid w:val="007F661C"/>
    <w:rsid w:val="007F708D"/>
    <w:rsid w:val="00801E13"/>
    <w:rsid w:val="00805381"/>
    <w:rsid w:val="00807674"/>
    <w:rsid w:val="00807C82"/>
    <w:rsid w:val="00816905"/>
    <w:rsid w:val="00821FF6"/>
    <w:rsid w:val="00822574"/>
    <w:rsid w:val="00825C4D"/>
    <w:rsid w:val="0083143E"/>
    <w:rsid w:val="00831CDE"/>
    <w:rsid w:val="00833BF2"/>
    <w:rsid w:val="00834304"/>
    <w:rsid w:val="00834FAA"/>
    <w:rsid w:val="00836086"/>
    <w:rsid w:val="008364D5"/>
    <w:rsid w:val="00846121"/>
    <w:rsid w:val="0084708F"/>
    <w:rsid w:val="0084727E"/>
    <w:rsid w:val="008477C8"/>
    <w:rsid w:val="00847931"/>
    <w:rsid w:val="0085114D"/>
    <w:rsid w:val="00852217"/>
    <w:rsid w:val="00855408"/>
    <w:rsid w:val="00856D65"/>
    <w:rsid w:val="00861B41"/>
    <w:rsid w:val="00861BE3"/>
    <w:rsid w:val="00863434"/>
    <w:rsid w:val="008637A2"/>
    <w:rsid w:val="00865E4C"/>
    <w:rsid w:val="008701E4"/>
    <w:rsid w:val="00875A32"/>
    <w:rsid w:val="00876086"/>
    <w:rsid w:val="00884A6F"/>
    <w:rsid w:val="008856A3"/>
    <w:rsid w:val="008873D4"/>
    <w:rsid w:val="0089296D"/>
    <w:rsid w:val="00893E85"/>
    <w:rsid w:val="00894031"/>
    <w:rsid w:val="00895508"/>
    <w:rsid w:val="008B7C02"/>
    <w:rsid w:val="008B7D2B"/>
    <w:rsid w:val="008C0049"/>
    <w:rsid w:val="008C0E88"/>
    <w:rsid w:val="008D0DBD"/>
    <w:rsid w:val="008D1E6A"/>
    <w:rsid w:val="008D2A16"/>
    <w:rsid w:val="008E0DC9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5CF4"/>
    <w:rsid w:val="0091728D"/>
    <w:rsid w:val="0092180B"/>
    <w:rsid w:val="00921F14"/>
    <w:rsid w:val="00924AC8"/>
    <w:rsid w:val="0092597A"/>
    <w:rsid w:val="00930FB1"/>
    <w:rsid w:val="0093139F"/>
    <w:rsid w:val="00932443"/>
    <w:rsid w:val="00937AE2"/>
    <w:rsid w:val="00942C19"/>
    <w:rsid w:val="0094427A"/>
    <w:rsid w:val="00945245"/>
    <w:rsid w:val="00953F28"/>
    <w:rsid w:val="009540B7"/>
    <w:rsid w:val="0095759C"/>
    <w:rsid w:val="0096154D"/>
    <w:rsid w:val="0096221A"/>
    <w:rsid w:val="00974923"/>
    <w:rsid w:val="00976BAF"/>
    <w:rsid w:val="00980D3D"/>
    <w:rsid w:val="00987A30"/>
    <w:rsid w:val="00992CF3"/>
    <w:rsid w:val="009942B6"/>
    <w:rsid w:val="00994868"/>
    <w:rsid w:val="009968D6"/>
    <w:rsid w:val="009A1CAB"/>
    <w:rsid w:val="009A4901"/>
    <w:rsid w:val="009A60D1"/>
    <w:rsid w:val="009B6FD3"/>
    <w:rsid w:val="009B7C82"/>
    <w:rsid w:val="009C03C8"/>
    <w:rsid w:val="009C1750"/>
    <w:rsid w:val="009C1EEA"/>
    <w:rsid w:val="009C2E29"/>
    <w:rsid w:val="009C554B"/>
    <w:rsid w:val="009C719E"/>
    <w:rsid w:val="009D3ACD"/>
    <w:rsid w:val="009E5273"/>
    <w:rsid w:val="009E5DDB"/>
    <w:rsid w:val="009F46EA"/>
    <w:rsid w:val="009F4CA7"/>
    <w:rsid w:val="00A10D66"/>
    <w:rsid w:val="00A1260E"/>
    <w:rsid w:val="00A14114"/>
    <w:rsid w:val="00A16413"/>
    <w:rsid w:val="00A16E1D"/>
    <w:rsid w:val="00A17D5B"/>
    <w:rsid w:val="00A20028"/>
    <w:rsid w:val="00A230A8"/>
    <w:rsid w:val="00A23E43"/>
    <w:rsid w:val="00A25216"/>
    <w:rsid w:val="00A27420"/>
    <w:rsid w:val="00A27C85"/>
    <w:rsid w:val="00A30F65"/>
    <w:rsid w:val="00A32759"/>
    <w:rsid w:val="00A329DF"/>
    <w:rsid w:val="00A35142"/>
    <w:rsid w:val="00A35EA6"/>
    <w:rsid w:val="00A40EAC"/>
    <w:rsid w:val="00A416D4"/>
    <w:rsid w:val="00A418BC"/>
    <w:rsid w:val="00A46DE0"/>
    <w:rsid w:val="00A4750C"/>
    <w:rsid w:val="00A50D73"/>
    <w:rsid w:val="00A51F19"/>
    <w:rsid w:val="00A52CAD"/>
    <w:rsid w:val="00A537F0"/>
    <w:rsid w:val="00A53FC7"/>
    <w:rsid w:val="00A54250"/>
    <w:rsid w:val="00A55161"/>
    <w:rsid w:val="00A55593"/>
    <w:rsid w:val="00A62B23"/>
    <w:rsid w:val="00A62CE1"/>
    <w:rsid w:val="00A66A11"/>
    <w:rsid w:val="00A6741E"/>
    <w:rsid w:val="00A75E40"/>
    <w:rsid w:val="00A77D1D"/>
    <w:rsid w:val="00A84923"/>
    <w:rsid w:val="00A857C0"/>
    <w:rsid w:val="00A90FED"/>
    <w:rsid w:val="00AA2996"/>
    <w:rsid w:val="00AA52BF"/>
    <w:rsid w:val="00AA559A"/>
    <w:rsid w:val="00AB2AF1"/>
    <w:rsid w:val="00AB5421"/>
    <w:rsid w:val="00AC45BD"/>
    <w:rsid w:val="00AD168E"/>
    <w:rsid w:val="00AD306C"/>
    <w:rsid w:val="00AD68C4"/>
    <w:rsid w:val="00AD7D0B"/>
    <w:rsid w:val="00AE09B3"/>
    <w:rsid w:val="00AE1A83"/>
    <w:rsid w:val="00AE7FB2"/>
    <w:rsid w:val="00B00913"/>
    <w:rsid w:val="00B01593"/>
    <w:rsid w:val="00B023F2"/>
    <w:rsid w:val="00B10A4D"/>
    <w:rsid w:val="00B120A1"/>
    <w:rsid w:val="00B12AA6"/>
    <w:rsid w:val="00B14BC1"/>
    <w:rsid w:val="00B17E71"/>
    <w:rsid w:val="00B17FDE"/>
    <w:rsid w:val="00B20632"/>
    <w:rsid w:val="00B23055"/>
    <w:rsid w:val="00B2379C"/>
    <w:rsid w:val="00B2687D"/>
    <w:rsid w:val="00B32DDB"/>
    <w:rsid w:val="00B34528"/>
    <w:rsid w:val="00B34CC9"/>
    <w:rsid w:val="00B366E5"/>
    <w:rsid w:val="00B402FC"/>
    <w:rsid w:val="00B40FF9"/>
    <w:rsid w:val="00B42470"/>
    <w:rsid w:val="00B439DA"/>
    <w:rsid w:val="00B46604"/>
    <w:rsid w:val="00B530CD"/>
    <w:rsid w:val="00B53AB0"/>
    <w:rsid w:val="00B55F5E"/>
    <w:rsid w:val="00B57338"/>
    <w:rsid w:val="00B5752E"/>
    <w:rsid w:val="00B57E25"/>
    <w:rsid w:val="00B619A9"/>
    <w:rsid w:val="00B63A11"/>
    <w:rsid w:val="00B64C24"/>
    <w:rsid w:val="00B6608F"/>
    <w:rsid w:val="00B679FB"/>
    <w:rsid w:val="00B76D1E"/>
    <w:rsid w:val="00B80EC6"/>
    <w:rsid w:val="00B84CF6"/>
    <w:rsid w:val="00B86F03"/>
    <w:rsid w:val="00B9200E"/>
    <w:rsid w:val="00B92D1D"/>
    <w:rsid w:val="00B938C5"/>
    <w:rsid w:val="00B95940"/>
    <w:rsid w:val="00B97434"/>
    <w:rsid w:val="00BA0DD3"/>
    <w:rsid w:val="00BA6C2B"/>
    <w:rsid w:val="00BA76E6"/>
    <w:rsid w:val="00BB2F03"/>
    <w:rsid w:val="00BB46F3"/>
    <w:rsid w:val="00BB4CB1"/>
    <w:rsid w:val="00BB4F98"/>
    <w:rsid w:val="00BC0E31"/>
    <w:rsid w:val="00BC5C12"/>
    <w:rsid w:val="00BC7075"/>
    <w:rsid w:val="00BC7154"/>
    <w:rsid w:val="00BC731E"/>
    <w:rsid w:val="00BD163C"/>
    <w:rsid w:val="00BD2991"/>
    <w:rsid w:val="00BD366B"/>
    <w:rsid w:val="00BD6D50"/>
    <w:rsid w:val="00BE18B9"/>
    <w:rsid w:val="00BE2495"/>
    <w:rsid w:val="00BE468E"/>
    <w:rsid w:val="00BE6186"/>
    <w:rsid w:val="00BF1578"/>
    <w:rsid w:val="00BF45D9"/>
    <w:rsid w:val="00C024B1"/>
    <w:rsid w:val="00C21405"/>
    <w:rsid w:val="00C21F94"/>
    <w:rsid w:val="00C27913"/>
    <w:rsid w:val="00C33B68"/>
    <w:rsid w:val="00C36A79"/>
    <w:rsid w:val="00C401D2"/>
    <w:rsid w:val="00C405D4"/>
    <w:rsid w:val="00C4513B"/>
    <w:rsid w:val="00C466D2"/>
    <w:rsid w:val="00C5390B"/>
    <w:rsid w:val="00C54697"/>
    <w:rsid w:val="00C60191"/>
    <w:rsid w:val="00C6152B"/>
    <w:rsid w:val="00C73885"/>
    <w:rsid w:val="00C747B1"/>
    <w:rsid w:val="00C82191"/>
    <w:rsid w:val="00C83134"/>
    <w:rsid w:val="00C8418E"/>
    <w:rsid w:val="00C85545"/>
    <w:rsid w:val="00C86B84"/>
    <w:rsid w:val="00C90CF4"/>
    <w:rsid w:val="00C92EB6"/>
    <w:rsid w:val="00C93389"/>
    <w:rsid w:val="00C936C3"/>
    <w:rsid w:val="00C96D08"/>
    <w:rsid w:val="00CA28BC"/>
    <w:rsid w:val="00CA6668"/>
    <w:rsid w:val="00CA6AB4"/>
    <w:rsid w:val="00CB259D"/>
    <w:rsid w:val="00CB4930"/>
    <w:rsid w:val="00CC2E7D"/>
    <w:rsid w:val="00CC71EC"/>
    <w:rsid w:val="00CD10A5"/>
    <w:rsid w:val="00CD2076"/>
    <w:rsid w:val="00CD29B5"/>
    <w:rsid w:val="00CD6331"/>
    <w:rsid w:val="00CE153B"/>
    <w:rsid w:val="00CE670B"/>
    <w:rsid w:val="00CF1C4C"/>
    <w:rsid w:val="00CF4908"/>
    <w:rsid w:val="00CF51EC"/>
    <w:rsid w:val="00CF73AE"/>
    <w:rsid w:val="00D040DD"/>
    <w:rsid w:val="00D050F8"/>
    <w:rsid w:val="00D075BE"/>
    <w:rsid w:val="00D1005A"/>
    <w:rsid w:val="00D11854"/>
    <w:rsid w:val="00D120FA"/>
    <w:rsid w:val="00D13986"/>
    <w:rsid w:val="00D21D83"/>
    <w:rsid w:val="00D22038"/>
    <w:rsid w:val="00D235B7"/>
    <w:rsid w:val="00D25F28"/>
    <w:rsid w:val="00D26071"/>
    <w:rsid w:val="00D27973"/>
    <w:rsid w:val="00D32F90"/>
    <w:rsid w:val="00D35E1A"/>
    <w:rsid w:val="00D50F46"/>
    <w:rsid w:val="00D52BE2"/>
    <w:rsid w:val="00D57677"/>
    <w:rsid w:val="00D64227"/>
    <w:rsid w:val="00D66223"/>
    <w:rsid w:val="00D67375"/>
    <w:rsid w:val="00D73384"/>
    <w:rsid w:val="00D8084C"/>
    <w:rsid w:val="00D915EA"/>
    <w:rsid w:val="00D92FD1"/>
    <w:rsid w:val="00D93CE2"/>
    <w:rsid w:val="00D943C6"/>
    <w:rsid w:val="00D965EC"/>
    <w:rsid w:val="00DA0BBD"/>
    <w:rsid w:val="00DA7C0C"/>
    <w:rsid w:val="00DB08A9"/>
    <w:rsid w:val="00DB2EC8"/>
    <w:rsid w:val="00DC37E3"/>
    <w:rsid w:val="00DC5B3B"/>
    <w:rsid w:val="00DD129F"/>
    <w:rsid w:val="00DD6B52"/>
    <w:rsid w:val="00DE0F63"/>
    <w:rsid w:val="00DE4C19"/>
    <w:rsid w:val="00DF317B"/>
    <w:rsid w:val="00DF42FF"/>
    <w:rsid w:val="00DF7AD4"/>
    <w:rsid w:val="00E01C0E"/>
    <w:rsid w:val="00E03F9A"/>
    <w:rsid w:val="00E04694"/>
    <w:rsid w:val="00E04F27"/>
    <w:rsid w:val="00E102BD"/>
    <w:rsid w:val="00E10A2E"/>
    <w:rsid w:val="00E11DE1"/>
    <w:rsid w:val="00E12B1E"/>
    <w:rsid w:val="00E17262"/>
    <w:rsid w:val="00E212C9"/>
    <w:rsid w:val="00E253A2"/>
    <w:rsid w:val="00E3309D"/>
    <w:rsid w:val="00E333BA"/>
    <w:rsid w:val="00E453F9"/>
    <w:rsid w:val="00E47EBA"/>
    <w:rsid w:val="00E50156"/>
    <w:rsid w:val="00E53470"/>
    <w:rsid w:val="00E539F6"/>
    <w:rsid w:val="00E6519D"/>
    <w:rsid w:val="00E67696"/>
    <w:rsid w:val="00E711D1"/>
    <w:rsid w:val="00E71A58"/>
    <w:rsid w:val="00E72A7A"/>
    <w:rsid w:val="00E733C7"/>
    <w:rsid w:val="00E75C94"/>
    <w:rsid w:val="00E76E61"/>
    <w:rsid w:val="00E8168E"/>
    <w:rsid w:val="00E924B2"/>
    <w:rsid w:val="00E93820"/>
    <w:rsid w:val="00E94A86"/>
    <w:rsid w:val="00E96143"/>
    <w:rsid w:val="00E972A9"/>
    <w:rsid w:val="00EA0840"/>
    <w:rsid w:val="00EA0C68"/>
    <w:rsid w:val="00EA17B0"/>
    <w:rsid w:val="00EA32BC"/>
    <w:rsid w:val="00EA405F"/>
    <w:rsid w:val="00EB4511"/>
    <w:rsid w:val="00EC03D7"/>
    <w:rsid w:val="00EC25F0"/>
    <w:rsid w:val="00ED62C6"/>
    <w:rsid w:val="00ED64C1"/>
    <w:rsid w:val="00ED7B65"/>
    <w:rsid w:val="00EE3446"/>
    <w:rsid w:val="00EE3E78"/>
    <w:rsid w:val="00EE466C"/>
    <w:rsid w:val="00EE4B1B"/>
    <w:rsid w:val="00EE50DB"/>
    <w:rsid w:val="00EF150D"/>
    <w:rsid w:val="00EF1F5A"/>
    <w:rsid w:val="00EF348D"/>
    <w:rsid w:val="00EF47BF"/>
    <w:rsid w:val="00F04811"/>
    <w:rsid w:val="00F0488C"/>
    <w:rsid w:val="00F05E10"/>
    <w:rsid w:val="00F10F11"/>
    <w:rsid w:val="00F13819"/>
    <w:rsid w:val="00F13C9C"/>
    <w:rsid w:val="00F15AAA"/>
    <w:rsid w:val="00F15BEF"/>
    <w:rsid w:val="00F160CE"/>
    <w:rsid w:val="00F162B3"/>
    <w:rsid w:val="00F231AE"/>
    <w:rsid w:val="00F24407"/>
    <w:rsid w:val="00F24FAA"/>
    <w:rsid w:val="00F3364D"/>
    <w:rsid w:val="00F33E56"/>
    <w:rsid w:val="00F433FE"/>
    <w:rsid w:val="00F437CC"/>
    <w:rsid w:val="00F44537"/>
    <w:rsid w:val="00F4530D"/>
    <w:rsid w:val="00F46502"/>
    <w:rsid w:val="00F47067"/>
    <w:rsid w:val="00F525EB"/>
    <w:rsid w:val="00F55E08"/>
    <w:rsid w:val="00F63DDE"/>
    <w:rsid w:val="00F63FB7"/>
    <w:rsid w:val="00F6421B"/>
    <w:rsid w:val="00F649D2"/>
    <w:rsid w:val="00F6602B"/>
    <w:rsid w:val="00F73A0C"/>
    <w:rsid w:val="00F73D08"/>
    <w:rsid w:val="00F756DB"/>
    <w:rsid w:val="00F84E7D"/>
    <w:rsid w:val="00F85066"/>
    <w:rsid w:val="00F853A9"/>
    <w:rsid w:val="00F859D0"/>
    <w:rsid w:val="00F87A4D"/>
    <w:rsid w:val="00FA5D4D"/>
    <w:rsid w:val="00FB0EE2"/>
    <w:rsid w:val="00FB542E"/>
    <w:rsid w:val="00FC0359"/>
    <w:rsid w:val="00FC0E5F"/>
    <w:rsid w:val="00FC1A95"/>
    <w:rsid w:val="00FC56DE"/>
    <w:rsid w:val="00FC684B"/>
    <w:rsid w:val="00FD3265"/>
    <w:rsid w:val="00FD4916"/>
    <w:rsid w:val="00FE2F78"/>
    <w:rsid w:val="00FF3EE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359FC93"/>
  <w15:docId w15:val="{A4C7AF56-5B51-4067-BDB9-17A6C364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44EE6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4EE6"/>
    <w:rPr>
      <w:rFonts w:ascii="Arial" w:eastAsia="Times New Roman" w:hAnsi="Arial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44E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2851-DC49-4D18-A6B9-400009AA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115</TotalTime>
  <Pages>1</Pages>
  <Words>539</Words>
  <Characters>3186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3718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13</cp:revision>
  <cp:lastPrinted>2014-07-17T14:07:00Z</cp:lastPrinted>
  <dcterms:created xsi:type="dcterms:W3CDTF">2019-08-12T08:04:00Z</dcterms:created>
  <dcterms:modified xsi:type="dcterms:W3CDTF">2019-08-13T08:57:00Z</dcterms:modified>
</cp:coreProperties>
</file>